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CE84" w14:textId="77777777" w:rsidR="00342695" w:rsidRPr="0087246C" w:rsidRDefault="00342695" w:rsidP="00342695">
      <w:pPr>
        <w:pStyle w:val="TOCHeading"/>
        <w:jc w:val="both"/>
        <w:rPr>
          <w:rFonts w:asciiTheme="minorHAnsi" w:eastAsiaTheme="minorHAnsi" w:hAnsiTheme="minorHAnsi" w:cstheme="minorHAnsi"/>
          <w:b/>
          <w:color w:val="auto"/>
          <w:sz w:val="22"/>
          <w:szCs w:val="22"/>
        </w:rPr>
      </w:pPr>
      <w:r w:rsidRPr="0087246C">
        <w:rPr>
          <w:rFonts w:asciiTheme="minorHAnsi" w:hAnsiTheme="minorHAnsi" w:cstheme="minorHAnsi"/>
          <w:b/>
          <w:color w:val="auto"/>
          <w:sz w:val="28"/>
          <w:szCs w:val="22"/>
        </w:rPr>
        <w:t>Politique en matière de contrat individuel</w:t>
      </w:r>
    </w:p>
    <w:sdt>
      <w:sdtPr>
        <w:rPr>
          <w:rFonts w:asciiTheme="minorHAnsi" w:eastAsiaTheme="minorHAnsi" w:hAnsiTheme="minorHAnsi" w:cstheme="minorHAnsi"/>
          <w:color w:val="auto"/>
          <w:sz w:val="22"/>
          <w:szCs w:val="22"/>
        </w:rPr>
        <w:id w:val="1018901588"/>
        <w:docPartObj>
          <w:docPartGallery w:val="Table of Contents"/>
          <w:docPartUnique/>
        </w:docPartObj>
      </w:sdtPr>
      <w:sdtEndPr>
        <w:rPr>
          <w:b/>
          <w:bCs/>
          <w:noProof/>
        </w:rPr>
      </w:sdtEndPr>
      <w:sdtContent>
        <w:p w14:paraId="0A1075EC" w14:textId="77777777" w:rsidR="00342695" w:rsidRPr="00956E76" w:rsidRDefault="00342695" w:rsidP="00342695">
          <w:pPr>
            <w:pStyle w:val="TOCHeading"/>
            <w:jc w:val="both"/>
            <w:rPr>
              <w:rFonts w:asciiTheme="minorHAnsi" w:hAnsiTheme="minorHAnsi" w:cstheme="minorHAnsi"/>
              <w:sz w:val="22"/>
              <w:szCs w:val="22"/>
            </w:rPr>
          </w:pPr>
          <w:r w:rsidRPr="00956E76">
            <w:rPr>
              <w:rFonts w:asciiTheme="minorHAnsi" w:hAnsiTheme="minorHAnsi" w:cstheme="minorHAnsi"/>
              <w:sz w:val="22"/>
              <w:szCs w:val="22"/>
            </w:rPr>
            <w:t>Table des matières</w:t>
          </w:r>
        </w:p>
        <w:p w14:paraId="22D346C6" w14:textId="4DD0A376" w:rsidR="004F06F4" w:rsidRDefault="00342695">
          <w:pPr>
            <w:pStyle w:val="TOC1"/>
            <w:tabs>
              <w:tab w:val="right" w:leader="dot" w:pos="9350"/>
            </w:tabs>
            <w:rPr>
              <w:rFonts w:eastAsiaTheme="minorEastAsia"/>
              <w:noProof/>
              <w:kern w:val="2"/>
              <w:sz w:val="24"/>
              <w:szCs w:val="24"/>
              <w:lang w:val="en-US"/>
              <w14:ligatures w14:val="standardContextual"/>
            </w:rPr>
          </w:pPr>
          <w:r w:rsidRPr="0087246C">
            <w:rPr>
              <w:rFonts w:cstheme="minorHAnsi"/>
            </w:rPr>
            <w:fldChar w:fldCharType="begin"/>
          </w:r>
          <w:r w:rsidRPr="0087246C">
            <w:rPr>
              <w:rFonts w:cstheme="minorHAnsi"/>
            </w:rPr>
            <w:instrText xml:space="preserve"> TOC \o "1-3" \h \z \u </w:instrText>
          </w:r>
          <w:r w:rsidRPr="0087246C">
            <w:rPr>
              <w:rFonts w:cstheme="minorHAnsi"/>
            </w:rPr>
            <w:fldChar w:fldCharType="separate"/>
          </w:r>
          <w:hyperlink w:anchor="_Toc208574044" w:history="1">
            <w:r w:rsidR="004F06F4" w:rsidRPr="004C3D68">
              <w:rPr>
                <w:rStyle w:val="Hyperlink"/>
                <w:noProof/>
              </w:rPr>
              <w:t>Mesures de transition</w:t>
            </w:r>
            <w:r w:rsidR="004F06F4">
              <w:rPr>
                <w:noProof/>
                <w:webHidden/>
              </w:rPr>
              <w:tab/>
            </w:r>
            <w:r w:rsidR="004F06F4">
              <w:rPr>
                <w:noProof/>
                <w:webHidden/>
              </w:rPr>
              <w:fldChar w:fldCharType="begin"/>
            </w:r>
            <w:r w:rsidR="004F06F4">
              <w:rPr>
                <w:noProof/>
                <w:webHidden/>
              </w:rPr>
              <w:instrText xml:space="preserve"> PAGEREF _Toc208574044 \h </w:instrText>
            </w:r>
            <w:r w:rsidR="004F06F4">
              <w:rPr>
                <w:noProof/>
                <w:webHidden/>
              </w:rPr>
            </w:r>
            <w:r w:rsidR="004F06F4">
              <w:rPr>
                <w:noProof/>
                <w:webHidden/>
              </w:rPr>
              <w:fldChar w:fldCharType="separate"/>
            </w:r>
            <w:r w:rsidR="004F06F4">
              <w:rPr>
                <w:noProof/>
                <w:webHidden/>
              </w:rPr>
              <w:t>4</w:t>
            </w:r>
            <w:r w:rsidR="004F06F4">
              <w:rPr>
                <w:noProof/>
                <w:webHidden/>
              </w:rPr>
              <w:fldChar w:fldCharType="end"/>
            </w:r>
          </w:hyperlink>
        </w:p>
        <w:p w14:paraId="1E4EEAC8" w14:textId="3A23851C" w:rsidR="004F06F4" w:rsidRDefault="004F06F4">
          <w:pPr>
            <w:pStyle w:val="TOC1"/>
            <w:tabs>
              <w:tab w:val="right" w:leader="dot" w:pos="9350"/>
            </w:tabs>
            <w:rPr>
              <w:rFonts w:eastAsiaTheme="minorEastAsia"/>
              <w:noProof/>
              <w:kern w:val="2"/>
              <w:sz w:val="24"/>
              <w:szCs w:val="24"/>
              <w:lang w:val="en-US"/>
              <w14:ligatures w14:val="standardContextual"/>
            </w:rPr>
          </w:pPr>
          <w:hyperlink w:anchor="_Toc208574045" w:history="1">
            <w:r w:rsidRPr="004C3D68">
              <w:rPr>
                <w:rStyle w:val="Hyperlink"/>
                <w:rFonts w:cstheme="minorHAnsi"/>
                <w:noProof/>
              </w:rPr>
              <w:t>Principes généraux</w:t>
            </w:r>
            <w:r>
              <w:rPr>
                <w:noProof/>
                <w:webHidden/>
              </w:rPr>
              <w:tab/>
            </w:r>
            <w:r>
              <w:rPr>
                <w:noProof/>
                <w:webHidden/>
              </w:rPr>
              <w:fldChar w:fldCharType="begin"/>
            </w:r>
            <w:r>
              <w:rPr>
                <w:noProof/>
                <w:webHidden/>
              </w:rPr>
              <w:instrText xml:space="preserve"> PAGEREF _Toc208574045 \h </w:instrText>
            </w:r>
            <w:r>
              <w:rPr>
                <w:noProof/>
                <w:webHidden/>
              </w:rPr>
            </w:r>
            <w:r>
              <w:rPr>
                <w:noProof/>
                <w:webHidden/>
              </w:rPr>
              <w:fldChar w:fldCharType="separate"/>
            </w:r>
            <w:r>
              <w:rPr>
                <w:noProof/>
                <w:webHidden/>
              </w:rPr>
              <w:t>4</w:t>
            </w:r>
            <w:r>
              <w:rPr>
                <w:noProof/>
                <w:webHidden/>
              </w:rPr>
              <w:fldChar w:fldCharType="end"/>
            </w:r>
          </w:hyperlink>
        </w:p>
        <w:p w14:paraId="5491ADC2" w14:textId="1137F7FB" w:rsidR="004F06F4" w:rsidRDefault="004F06F4">
          <w:pPr>
            <w:pStyle w:val="TOC1"/>
            <w:tabs>
              <w:tab w:val="right" w:leader="dot" w:pos="9350"/>
            </w:tabs>
            <w:rPr>
              <w:rFonts w:eastAsiaTheme="minorEastAsia"/>
              <w:noProof/>
              <w:kern w:val="2"/>
              <w:sz w:val="24"/>
              <w:szCs w:val="24"/>
              <w:lang w:val="en-US"/>
              <w14:ligatures w14:val="standardContextual"/>
            </w:rPr>
          </w:pPr>
          <w:hyperlink w:anchor="_Toc208574046" w:history="1">
            <w:r w:rsidRPr="004C3D68">
              <w:rPr>
                <w:rStyle w:val="Hyperlink"/>
                <w:rFonts w:cstheme="minorHAnsi"/>
                <w:noProof/>
              </w:rPr>
              <w:t>Objectif du contrat individuel</w:t>
            </w:r>
            <w:r>
              <w:rPr>
                <w:noProof/>
                <w:webHidden/>
              </w:rPr>
              <w:tab/>
            </w:r>
            <w:r>
              <w:rPr>
                <w:noProof/>
                <w:webHidden/>
              </w:rPr>
              <w:fldChar w:fldCharType="begin"/>
            </w:r>
            <w:r>
              <w:rPr>
                <w:noProof/>
                <w:webHidden/>
              </w:rPr>
              <w:instrText xml:space="preserve"> PAGEREF _Toc208574046 \h </w:instrText>
            </w:r>
            <w:r>
              <w:rPr>
                <w:noProof/>
                <w:webHidden/>
              </w:rPr>
            </w:r>
            <w:r>
              <w:rPr>
                <w:noProof/>
                <w:webHidden/>
              </w:rPr>
              <w:fldChar w:fldCharType="separate"/>
            </w:r>
            <w:r>
              <w:rPr>
                <w:noProof/>
                <w:webHidden/>
              </w:rPr>
              <w:t>5</w:t>
            </w:r>
            <w:r>
              <w:rPr>
                <w:noProof/>
                <w:webHidden/>
              </w:rPr>
              <w:fldChar w:fldCharType="end"/>
            </w:r>
          </w:hyperlink>
        </w:p>
        <w:p w14:paraId="73C3C0AB" w14:textId="16568484" w:rsidR="004F06F4" w:rsidRDefault="004F06F4">
          <w:pPr>
            <w:pStyle w:val="TOC1"/>
            <w:tabs>
              <w:tab w:val="right" w:leader="dot" w:pos="9350"/>
            </w:tabs>
            <w:rPr>
              <w:rFonts w:eastAsiaTheme="minorEastAsia"/>
              <w:noProof/>
              <w:kern w:val="2"/>
              <w:sz w:val="24"/>
              <w:szCs w:val="24"/>
              <w:lang w:val="en-US"/>
              <w14:ligatures w14:val="standardContextual"/>
            </w:rPr>
          </w:pPr>
          <w:hyperlink w:anchor="_Toc208574047" w:history="1">
            <w:r w:rsidRPr="004C3D68">
              <w:rPr>
                <w:rStyle w:val="Hyperlink"/>
                <w:rFonts w:cstheme="minorHAnsi"/>
                <w:noProof/>
              </w:rPr>
              <w:t>Utilisation appropriée du contrat individuel</w:t>
            </w:r>
            <w:r>
              <w:rPr>
                <w:noProof/>
                <w:webHidden/>
              </w:rPr>
              <w:tab/>
            </w:r>
            <w:r>
              <w:rPr>
                <w:noProof/>
                <w:webHidden/>
              </w:rPr>
              <w:fldChar w:fldCharType="begin"/>
            </w:r>
            <w:r>
              <w:rPr>
                <w:noProof/>
                <w:webHidden/>
              </w:rPr>
              <w:instrText xml:space="preserve"> PAGEREF _Toc208574047 \h </w:instrText>
            </w:r>
            <w:r>
              <w:rPr>
                <w:noProof/>
                <w:webHidden/>
              </w:rPr>
            </w:r>
            <w:r>
              <w:rPr>
                <w:noProof/>
                <w:webHidden/>
              </w:rPr>
              <w:fldChar w:fldCharType="separate"/>
            </w:r>
            <w:r>
              <w:rPr>
                <w:noProof/>
                <w:webHidden/>
              </w:rPr>
              <w:t>5</w:t>
            </w:r>
            <w:r>
              <w:rPr>
                <w:noProof/>
                <w:webHidden/>
              </w:rPr>
              <w:fldChar w:fldCharType="end"/>
            </w:r>
          </w:hyperlink>
        </w:p>
        <w:p w14:paraId="37C34E1E" w14:textId="2C45EF61" w:rsidR="004F06F4" w:rsidRDefault="004F06F4">
          <w:pPr>
            <w:pStyle w:val="TOC1"/>
            <w:tabs>
              <w:tab w:val="right" w:leader="dot" w:pos="9350"/>
            </w:tabs>
            <w:rPr>
              <w:rFonts w:eastAsiaTheme="minorEastAsia"/>
              <w:noProof/>
              <w:kern w:val="2"/>
              <w:sz w:val="24"/>
              <w:szCs w:val="24"/>
              <w:lang w:val="en-US"/>
              <w14:ligatures w14:val="standardContextual"/>
            </w:rPr>
          </w:pPr>
          <w:hyperlink w:anchor="_Toc208574048" w:history="1">
            <w:r w:rsidRPr="004C3D68">
              <w:rPr>
                <w:rStyle w:val="Hyperlink"/>
                <w:rFonts w:cstheme="minorHAnsi"/>
                <w:noProof/>
              </w:rPr>
              <w:t>Utilisation inappropriée du contrat individuel</w:t>
            </w:r>
            <w:r>
              <w:rPr>
                <w:noProof/>
                <w:webHidden/>
              </w:rPr>
              <w:tab/>
            </w:r>
            <w:r>
              <w:rPr>
                <w:noProof/>
                <w:webHidden/>
              </w:rPr>
              <w:fldChar w:fldCharType="begin"/>
            </w:r>
            <w:r>
              <w:rPr>
                <w:noProof/>
                <w:webHidden/>
              </w:rPr>
              <w:instrText xml:space="preserve"> PAGEREF _Toc208574048 \h </w:instrText>
            </w:r>
            <w:r>
              <w:rPr>
                <w:noProof/>
                <w:webHidden/>
              </w:rPr>
            </w:r>
            <w:r>
              <w:rPr>
                <w:noProof/>
                <w:webHidden/>
              </w:rPr>
              <w:fldChar w:fldCharType="separate"/>
            </w:r>
            <w:r>
              <w:rPr>
                <w:noProof/>
                <w:webHidden/>
              </w:rPr>
              <w:t>6</w:t>
            </w:r>
            <w:r>
              <w:rPr>
                <w:noProof/>
                <w:webHidden/>
              </w:rPr>
              <w:fldChar w:fldCharType="end"/>
            </w:r>
          </w:hyperlink>
        </w:p>
        <w:p w14:paraId="5A98A140" w14:textId="35A9A1A2" w:rsidR="004F06F4" w:rsidRDefault="004F06F4">
          <w:pPr>
            <w:pStyle w:val="TOC1"/>
            <w:tabs>
              <w:tab w:val="right" w:leader="dot" w:pos="9350"/>
            </w:tabs>
            <w:rPr>
              <w:rFonts w:eastAsiaTheme="minorEastAsia"/>
              <w:noProof/>
              <w:kern w:val="2"/>
              <w:sz w:val="24"/>
              <w:szCs w:val="24"/>
              <w:lang w:val="en-US"/>
              <w14:ligatures w14:val="standardContextual"/>
            </w:rPr>
          </w:pPr>
          <w:hyperlink w:anchor="_Toc208574049" w:history="1">
            <w:r w:rsidRPr="004C3D68">
              <w:rPr>
                <w:rStyle w:val="Hyperlink"/>
                <w:rFonts w:cstheme="minorHAnsi"/>
                <w:noProof/>
              </w:rPr>
              <w:t>Nature des services à effectuer par un consultant</w:t>
            </w:r>
            <w:r>
              <w:rPr>
                <w:noProof/>
                <w:webHidden/>
              </w:rPr>
              <w:tab/>
            </w:r>
            <w:r>
              <w:rPr>
                <w:noProof/>
                <w:webHidden/>
              </w:rPr>
              <w:fldChar w:fldCharType="begin"/>
            </w:r>
            <w:r>
              <w:rPr>
                <w:noProof/>
                <w:webHidden/>
              </w:rPr>
              <w:instrText xml:space="preserve"> PAGEREF _Toc208574049 \h </w:instrText>
            </w:r>
            <w:r>
              <w:rPr>
                <w:noProof/>
                <w:webHidden/>
              </w:rPr>
            </w:r>
            <w:r>
              <w:rPr>
                <w:noProof/>
                <w:webHidden/>
              </w:rPr>
              <w:fldChar w:fldCharType="separate"/>
            </w:r>
            <w:r>
              <w:rPr>
                <w:noProof/>
                <w:webHidden/>
              </w:rPr>
              <w:t>8</w:t>
            </w:r>
            <w:r>
              <w:rPr>
                <w:noProof/>
                <w:webHidden/>
              </w:rPr>
              <w:fldChar w:fldCharType="end"/>
            </w:r>
          </w:hyperlink>
        </w:p>
        <w:p w14:paraId="2C6EF19D" w14:textId="78001A81" w:rsidR="004F06F4" w:rsidRDefault="004F06F4">
          <w:pPr>
            <w:pStyle w:val="TOC1"/>
            <w:tabs>
              <w:tab w:val="right" w:leader="dot" w:pos="9350"/>
            </w:tabs>
            <w:rPr>
              <w:rFonts w:eastAsiaTheme="minorEastAsia"/>
              <w:noProof/>
              <w:kern w:val="2"/>
              <w:sz w:val="24"/>
              <w:szCs w:val="24"/>
              <w:lang w:val="en-US"/>
              <w14:ligatures w14:val="standardContextual"/>
            </w:rPr>
          </w:pPr>
          <w:hyperlink w:anchor="_Toc208574050" w:history="1">
            <w:r w:rsidRPr="004C3D68">
              <w:rPr>
                <w:rStyle w:val="Hyperlink"/>
                <w:rFonts w:cstheme="minorHAnsi"/>
                <w:noProof/>
              </w:rPr>
              <w:t>Politique de délégation d’autorité pour établir un contrat individuel</w:t>
            </w:r>
            <w:r>
              <w:rPr>
                <w:noProof/>
                <w:webHidden/>
              </w:rPr>
              <w:tab/>
            </w:r>
            <w:r>
              <w:rPr>
                <w:noProof/>
                <w:webHidden/>
              </w:rPr>
              <w:fldChar w:fldCharType="begin"/>
            </w:r>
            <w:r>
              <w:rPr>
                <w:noProof/>
                <w:webHidden/>
              </w:rPr>
              <w:instrText xml:space="preserve"> PAGEREF _Toc208574050 \h </w:instrText>
            </w:r>
            <w:r>
              <w:rPr>
                <w:noProof/>
                <w:webHidden/>
              </w:rPr>
            </w:r>
            <w:r>
              <w:rPr>
                <w:noProof/>
                <w:webHidden/>
              </w:rPr>
              <w:fldChar w:fldCharType="separate"/>
            </w:r>
            <w:r>
              <w:rPr>
                <w:noProof/>
                <w:webHidden/>
              </w:rPr>
              <w:t>8</w:t>
            </w:r>
            <w:r>
              <w:rPr>
                <w:noProof/>
                <w:webHidden/>
              </w:rPr>
              <w:fldChar w:fldCharType="end"/>
            </w:r>
          </w:hyperlink>
        </w:p>
        <w:p w14:paraId="3737D3F3" w14:textId="717F4245" w:rsidR="004F06F4" w:rsidRDefault="004F06F4">
          <w:pPr>
            <w:pStyle w:val="TOC2"/>
            <w:tabs>
              <w:tab w:val="right" w:leader="dot" w:pos="9350"/>
            </w:tabs>
            <w:rPr>
              <w:rFonts w:eastAsiaTheme="minorEastAsia"/>
              <w:noProof/>
              <w:kern w:val="2"/>
              <w:sz w:val="24"/>
              <w:szCs w:val="24"/>
              <w:lang w:val="en-US"/>
              <w14:ligatures w14:val="standardContextual"/>
            </w:rPr>
          </w:pPr>
          <w:hyperlink w:anchor="_Toc208574051" w:history="1">
            <w:r w:rsidRPr="004C3D68">
              <w:rPr>
                <w:rStyle w:val="Hyperlink"/>
                <w:rFonts w:cstheme="minorHAnsi"/>
                <w:noProof/>
              </w:rPr>
              <w:t>Délégation générale d’autorité</w:t>
            </w:r>
            <w:r>
              <w:rPr>
                <w:noProof/>
                <w:webHidden/>
              </w:rPr>
              <w:tab/>
            </w:r>
            <w:r>
              <w:rPr>
                <w:noProof/>
                <w:webHidden/>
              </w:rPr>
              <w:fldChar w:fldCharType="begin"/>
            </w:r>
            <w:r>
              <w:rPr>
                <w:noProof/>
                <w:webHidden/>
              </w:rPr>
              <w:instrText xml:space="preserve"> PAGEREF _Toc208574051 \h </w:instrText>
            </w:r>
            <w:r>
              <w:rPr>
                <w:noProof/>
                <w:webHidden/>
              </w:rPr>
            </w:r>
            <w:r>
              <w:rPr>
                <w:noProof/>
                <w:webHidden/>
              </w:rPr>
              <w:fldChar w:fldCharType="separate"/>
            </w:r>
            <w:r>
              <w:rPr>
                <w:noProof/>
                <w:webHidden/>
              </w:rPr>
              <w:t>8</w:t>
            </w:r>
            <w:r>
              <w:rPr>
                <w:noProof/>
                <w:webHidden/>
              </w:rPr>
              <w:fldChar w:fldCharType="end"/>
            </w:r>
          </w:hyperlink>
        </w:p>
        <w:p w14:paraId="73CAE8CA" w14:textId="33AB693B" w:rsidR="004F06F4" w:rsidRDefault="004F06F4">
          <w:pPr>
            <w:pStyle w:val="TOC2"/>
            <w:tabs>
              <w:tab w:val="right" w:leader="dot" w:pos="9350"/>
            </w:tabs>
            <w:rPr>
              <w:rFonts w:eastAsiaTheme="minorEastAsia"/>
              <w:noProof/>
              <w:kern w:val="2"/>
              <w:sz w:val="24"/>
              <w:szCs w:val="24"/>
              <w:lang w:val="en-US"/>
              <w14:ligatures w14:val="standardContextual"/>
            </w:rPr>
          </w:pPr>
          <w:hyperlink w:anchor="_Toc208574052" w:history="1">
            <w:r w:rsidRPr="004C3D68">
              <w:rPr>
                <w:rStyle w:val="Hyperlink"/>
                <w:rFonts w:cstheme="minorHAnsi"/>
                <w:noProof/>
              </w:rPr>
              <w:t>Délégation d’autorité en matière d’achats (Delegation of procurement authority, DPA)</w:t>
            </w:r>
            <w:r>
              <w:rPr>
                <w:noProof/>
                <w:webHidden/>
              </w:rPr>
              <w:tab/>
            </w:r>
            <w:r>
              <w:rPr>
                <w:noProof/>
                <w:webHidden/>
              </w:rPr>
              <w:fldChar w:fldCharType="begin"/>
            </w:r>
            <w:r>
              <w:rPr>
                <w:noProof/>
                <w:webHidden/>
              </w:rPr>
              <w:instrText xml:space="preserve"> PAGEREF _Toc208574052 \h </w:instrText>
            </w:r>
            <w:r>
              <w:rPr>
                <w:noProof/>
                <w:webHidden/>
              </w:rPr>
            </w:r>
            <w:r>
              <w:rPr>
                <w:noProof/>
                <w:webHidden/>
              </w:rPr>
              <w:fldChar w:fldCharType="separate"/>
            </w:r>
            <w:r>
              <w:rPr>
                <w:noProof/>
                <w:webHidden/>
              </w:rPr>
              <w:t>8</w:t>
            </w:r>
            <w:r>
              <w:rPr>
                <w:noProof/>
                <w:webHidden/>
              </w:rPr>
              <w:fldChar w:fldCharType="end"/>
            </w:r>
          </w:hyperlink>
        </w:p>
        <w:p w14:paraId="4A519394" w14:textId="1F562D3C" w:rsidR="004F06F4" w:rsidRDefault="004F06F4">
          <w:pPr>
            <w:pStyle w:val="TOC2"/>
            <w:tabs>
              <w:tab w:val="right" w:leader="dot" w:pos="9350"/>
            </w:tabs>
            <w:rPr>
              <w:rFonts w:eastAsiaTheme="minorEastAsia"/>
              <w:noProof/>
              <w:kern w:val="2"/>
              <w:sz w:val="24"/>
              <w:szCs w:val="24"/>
              <w:lang w:val="en-US"/>
              <w14:ligatures w14:val="standardContextual"/>
            </w:rPr>
          </w:pPr>
          <w:hyperlink w:anchor="_Toc208574053" w:history="1">
            <w:r w:rsidRPr="004C3D68">
              <w:rPr>
                <w:rStyle w:val="Hyperlink"/>
                <w:rFonts w:cstheme="minorHAnsi"/>
                <w:noProof/>
              </w:rPr>
              <w:t>Limites de la délégation d’autorité</w:t>
            </w:r>
            <w:r>
              <w:rPr>
                <w:noProof/>
                <w:webHidden/>
              </w:rPr>
              <w:tab/>
            </w:r>
            <w:r>
              <w:rPr>
                <w:noProof/>
                <w:webHidden/>
              </w:rPr>
              <w:fldChar w:fldCharType="begin"/>
            </w:r>
            <w:r>
              <w:rPr>
                <w:noProof/>
                <w:webHidden/>
              </w:rPr>
              <w:instrText xml:space="preserve"> PAGEREF _Toc208574053 \h </w:instrText>
            </w:r>
            <w:r>
              <w:rPr>
                <w:noProof/>
                <w:webHidden/>
              </w:rPr>
            </w:r>
            <w:r>
              <w:rPr>
                <w:noProof/>
                <w:webHidden/>
              </w:rPr>
              <w:fldChar w:fldCharType="separate"/>
            </w:r>
            <w:r>
              <w:rPr>
                <w:noProof/>
                <w:webHidden/>
              </w:rPr>
              <w:t>9</w:t>
            </w:r>
            <w:r>
              <w:rPr>
                <w:noProof/>
                <w:webHidden/>
              </w:rPr>
              <w:fldChar w:fldCharType="end"/>
            </w:r>
          </w:hyperlink>
        </w:p>
        <w:p w14:paraId="36977AE5" w14:textId="77ADCAC3" w:rsidR="004F06F4" w:rsidRDefault="004F06F4">
          <w:pPr>
            <w:pStyle w:val="TOC1"/>
            <w:tabs>
              <w:tab w:val="right" w:leader="dot" w:pos="9350"/>
            </w:tabs>
            <w:rPr>
              <w:rFonts w:eastAsiaTheme="minorEastAsia"/>
              <w:noProof/>
              <w:kern w:val="2"/>
              <w:sz w:val="24"/>
              <w:szCs w:val="24"/>
              <w:lang w:val="en-US"/>
              <w14:ligatures w14:val="standardContextual"/>
            </w:rPr>
          </w:pPr>
          <w:hyperlink w:anchor="_Toc208574054" w:history="1">
            <w:r w:rsidRPr="004C3D68">
              <w:rPr>
                <w:rStyle w:val="Hyperlink"/>
                <w:rFonts w:cstheme="minorHAnsi"/>
                <w:noProof/>
              </w:rPr>
              <w:t>Honoraires journaliers</w:t>
            </w:r>
            <w:r>
              <w:rPr>
                <w:noProof/>
                <w:webHidden/>
              </w:rPr>
              <w:tab/>
            </w:r>
            <w:r>
              <w:rPr>
                <w:noProof/>
                <w:webHidden/>
              </w:rPr>
              <w:fldChar w:fldCharType="begin"/>
            </w:r>
            <w:r>
              <w:rPr>
                <w:noProof/>
                <w:webHidden/>
              </w:rPr>
              <w:instrText xml:space="preserve"> PAGEREF _Toc208574054 \h </w:instrText>
            </w:r>
            <w:r>
              <w:rPr>
                <w:noProof/>
                <w:webHidden/>
              </w:rPr>
            </w:r>
            <w:r>
              <w:rPr>
                <w:noProof/>
                <w:webHidden/>
              </w:rPr>
              <w:fldChar w:fldCharType="separate"/>
            </w:r>
            <w:r>
              <w:rPr>
                <w:noProof/>
                <w:webHidden/>
              </w:rPr>
              <w:t>9</w:t>
            </w:r>
            <w:r>
              <w:rPr>
                <w:noProof/>
                <w:webHidden/>
              </w:rPr>
              <w:fldChar w:fldCharType="end"/>
            </w:r>
          </w:hyperlink>
        </w:p>
        <w:p w14:paraId="6C526CC5" w14:textId="37DB790E" w:rsidR="004F06F4" w:rsidRDefault="004F06F4">
          <w:pPr>
            <w:pStyle w:val="TOC1"/>
            <w:tabs>
              <w:tab w:val="right" w:leader="dot" w:pos="9350"/>
            </w:tabs>
            <w:rPr>
              <w:rFonts w:eastAsiaTheme="minorEastAsia"/>
              <w:noProof/>
              <w:kern w:val="2"/>
              <w:sz w:val="24"/>
              <w:szCs w:val="24"/>
              <w:lang w:val="en-US"/>
              <w14:ligatures w14:val="standardContextual"/>
            </w:rPr>
          </w:pPr>
          <w:hyperlink w:anchor="_Toc208574055" w:history="1">
            <w:r w:rsidRPr="004C3D68">
              <w:rPr>
                <w:rStyle w:val="Hyperlink"/>
                <w:rFonts w:cstheme="minorHAnsi"/>
                <w:noProof/>
              </w:rPr>
              <w:t>Directives complémentaires : options stratégiques des pays ayant des coûts élevés des services de consultants</w:t>
            </w:r>
            <w:r>
              <w:rPr>
                <w:noProof/>
                <w:webHidden/>
              </w:rPr>
              <w:tab/>
            </w:r>
            <w:r>
              <w:rPr>
                <w:noProof/>
                <w:webHidden/>
              </w:rPr>
              <w:fldChar w:fldCharType="begin"/>
            </w:r>
            <w:r>
              <w:rPr>
                <w:noProof/>
                <w:webHidden/>
              </w:rPr>
              <w:instrText xml:space="preserve"> PAGEREF _Toc208574055 \h </w:instrText>
            </w:r>
            <w:r>
              <w:rPr>
                <w:noProof/>
                <w:webHidden/>
              </w:rPr>
            </w:r>
            <w:r>
              <w:rPr>
                <w:noProof/>
                <w:webHidden/>
              </w:rPr>
              <w:fldChar w:fldCharType="separate"/>
            </w:r>
            <w:r>
              <w:rPr>
                <w:noProof/>
                <w:webHidden/>
              </w:rPr>
              <w:t>9</w:t>
            </w:r>
            <w:r>
              <w:rPr>
                <w:noProof/>
                <w:webHidden/>
              </w:rPr>
              <w:fldChar w:fldCharType="end"/>
            </w:r>
          </w:hyperlink>
        </w:p>
        <w:p w14:paraId="3123A9A5" w14:textId="4F4E8201" w:rsidR="004F06F4" w:rsidRDefault="004F06F4">
          <w:pPr>
            <w:pStyle w:val="TOC1"/>
            <w:tabs>
              <w:tab w:val="right" w:leader="dot" w:pos="9350"/>
            </w:tabs>
            <w:rPr>
              <w:rFonts w:eastAsiaTheme="minorEastAsia"/>
              <w:noProof/>
              <w:kern w:val="2"/>
              <w:sz w:val="24"/>
              <w:szCs w:val="24"/>
              <w:lang w:val="en-US"/>
              <w14:ligatures w14:val="standardContextual"/>
            </w:rPr>
          </w:pPr>
          <w:hyperlink w:anchor="_Toc208574056" w:history="1">
            <w:r w:rsidRPr="004C3D68">
              <w:rPr>
                <w:rStyle w:val="Hyperlink"/>
                <w:rFonts w:cstheme="minorHAnsi"/>
                <w:noProof/>
              </w:rPr>
              <w:t>Durée</w:t>
            </w:r>
            <w:r>
              <w:rPr>
                <w:noProof/>
                <w:webHidden/>
              </w:rPr>
              <w:tab/>
            </w:r>
            <w:r>
              <w:rPr>
                <w:noProof/>
                <w:webHidden/>
              </w:rPr>
              <w:fldChar w:fldCharType="begin"/>
            </w:r>
            <w:r>
              <w:rPr>
                <w:noProof/>
                <w:webHidden/>
              </w:rPr>
              <w:instrText xml:space="preserve"> PAGEREF _Toc208574056 \h </w:instrText>
            </w:r>
            <w:r>
              <w:rPr>
                <w:noProof/>
                <w:webHidden/>
              </w:rPr>
            </w:r>
            <w:r>
              <w:rPr>
                <w:noProof/>
                <w:webHidden/>
              </w:rPr>
              <w:fldChar w:fldCharType="separate"/>
            </w:r>
            <w:r>
              <w:rPr>
                <w:noProof/>
                <w:webHidden/>
              </w:rPr>
              <w:t>10</w:t>
            </w:r>
            <w:r>
              <w:rPr>
                <w:noProof/>
                <w:webHidden/>
              </w:rPr>
              <w:fldChar w:fldCharType="end"/>
            </w:r>
          </w:hyperlink>
        </w:p>
        <w:p w14:paraId="402FDDF5" w14:textId="18DB46FE" w:rsidR="004F06F4" w:rsidRDefault="004F06F4">
          <w:pPr>
            <w:pStyle w:val="TOC1"/>
            <w:tabs>
              <w:tab w:val="right" w:leader="dot" w:pos="9350"/>
            </w:tabs>
            <w:rPr>
              <w:rFonts w:eastAsiaTheme="minorEastAsia"/>
              <w:noProof/>
              <w:kern w:val="2"/>
              <w:sz w:val="24"/>
              <w:szCs w:val="24"/>
              <w:lang w:val="en-US"/>
              <w14:ligatures w14:val="standardContextual"/>
            </w:rPr>
          </w:pPr>
          <w:hyperlink w:anchor="_Toc208574057" w:history="1">
            <w:r w:rsidRPr="004C3D68">
              <w:rPr>
                <w:rStyle w:val="Hyperlink"/>
                <w:rFonts w:cstheme="minorHAnsi"/>
                <w:noProof/>
              </w:rPr>
              <w:t>Directives complémentaires :</w:t>
            </w:r>
            <w:r>
              <w:rPr>
                <w:noProof/>
                <w:webHidden/>
              </w:rPr>
              <w:tab/>
            </w:r>
            <w:r>
              <w:rPr>
                <w:noProof/>
                <w:webHidden/>
              </w:rPr>
              <w:fldChar w:fldCharType="begin"/>
            </w:r>
            <w:r>
              <w:rPr>
                <w:noProof/>
                <w:webHidden/>
              </w:rPr>
              <w:instrText xml:space="preserve"> PAGEREF _Toc208574057 \h </w:instrText>
            </w:r>
            <w:r>
              <w:rPr>
                <w:noProof/>
                <w:webHidden/>
              </w:rPr>
            </w:r>
            <w:r>
              <w:rPr>
                <w:noProof/>
                <w:webHidden/>
              </w:rPr>
              <w:fldChar w:fldCharType="separate"/>
            </w:r>
            <w:r>
              <w:rPr>
                <w:noProof/>
                <w:webHidden/>
              </w:rPr>
              <w:t>11</w:t>
            </w:r>
            <w:r>
              <w:rPr>
                <w:noProof/>
                <w:webHidden/>
              </w:rPr>
              <w:fldChar w:fldCharType="end"/>
            </w:r>
          </w:hyperlink>
        </w:p>
        <w:p w14:paraId="0762D0A1" w14:textId="2710DCAA" w:rsidR="004F06F4" w:rsidRDefault="004F06F4">
          <w:pPr>
            <w:pStyle w:val="TOC2"/>
            <w:tabs>
              <w:tab w:val="right" w:leader="dot" w:pos="9350"/>
            </w:tabs>
            <w:rPr>
              <w:rFonts w:eastAsiaTheme="minorEastAsia"/>
              <w:noProof/>
              <w:kern w:val="2"/>
              <w:sz w:val="24"/>
              <w:szCs w:val="24"/>
              <w:lang w:val="en-US"/>
              <w14:ligatures w14:val="standardContextual"/>
            </w:rPr>
          </w:pPr>
          <w:hyperlink w:anchor="_Toc208574058" w:history="1">
            <w:r w:rsidRPr="004C3D68">
              <w:rPr>
                <w:rStyle w:val="Hyperlink"/>
                <w:rFonts w:cstheme="minorHAnsi"/>
                <w:noProof/>
              </w:rPr>
              <w:t>Comités d’examen des marchés</w:t>
            </w:r>
            <w:r>
              <w:rPr>
                <w:noProof/>
                <w:webHidden/>
              </w:rPr>
              <w:tab/>
            </w:r>
            <w:r>
              <w:rPr>
                <w:noProof/>
                <w:webHidden/>
              </w:rPr>
              <w:fldChar w:fldCharType="begin"/>
            </w:r>
            <w:r>
              <w:rPr>
                <w:noProof/>
                <w:webHidden/>
              </w:rPr>
              <w:instrText xml:space="preserve"> PAGEREF _Toc208574058 \h </w:instrText>
            </w:r>
            <w:r>
              <w:rPr>
                <w:noProof/>
                <w:webHidden/>
              </w:rPr>
            </w:r>
            <w:r>
              <w:rPr>
                <w:noProof/>
                <w:webHidden/>
              </w:rPr>
              <w:fldChar w:fldCharType="separate"/>
            </w:r>
            <w:r>
              <w:rPr>
                <w:noProof/>
                <w:webHidden/>
              </w:rPr>
              <w:t>11</w:t>
            </w:r>
            <w:r>
              <w:rPr>
                <w:noProof/>
                <w:webHidden/>
              </w:rPr>
              <w:fldChar w:fldCharType="end"/>
            </w:r>
          </w:hyperlink>
        </w:p>
        <w:p w14:paraId="74EA750B" w14:textId="686A0084" w:rsidR="004F06F4" w:rsidRDefault="004F06F4">
          <w:pPr>
            <w:pStyle w:val="TOC1"/>
            <w:tabs>
              <w:tab w:val="right" w:leader="dot" w:pos="9350"/>
            </w:tabs>
            <w:rPr>
              <w:rFonts w:eastAsiaTheme="minorEastAsia"/>
              <w:noProof/>
              <w:kern w:val="2"/>
              <w:sz w:val="24"/>
              <w:szCs w:val="24"/>
              <w:lang w:val="en-US"/>
              <w14:ligatures w14:val="standardContextual"/>
            </w:rPr>
          </w:pPr>
          <w:hyperlink w:anchor="_Toc208574059" w:history="1">
            <w:r w:rsidRPr="004C3D68">
              <w:rPr>
                <w:rStyle w:val="Hyperlink"/>
                <w:rFonts w:cstheme="minorHAnsi"/>
                <w:noProof/>
              </w:rPr>
              <w:t>Comité des marchés, des actifs et des achats</w:t>
            </w:r>
            <w:r>
              <w:rPr>
                <w:noProof/>
                <w:webHidden/>
              </w:rPr>
              <w:tab/>
            </w:r>
            <w:r>
              <w:rPr>
                <w:noProof/>
                <w:webHidden/>
              </w:rPr>
              <w:fldChar w:fldCharType="begin"/>
            </w:r>
            <w:r>
              <w:rPr>
                <w:noProof/>
                <w:webHidden/>
              </w:rPr>
              <w:instrText xml:space="preserve"> PAGEREF _Toc208574059 \h </w:instrText>
            </w:r>
            <w:r>
              <w:rPr>
                <w:noProof/>
                <w:webHidden/>
              </w:rPr>
            </w:r>
            <w:r>
              <w:rPr>
                <w:noProof/>
                <w:webHidden/>
              </w:rPr>
              <w:fldChar w:fldCharType="separate"/>
            </w:r>
            <w:r>
              <w:rPr>
                <w:noProof/>
                <w:webHidden/>
              </w:rPr>
              <w:t>11</w:t>
            </w:r>
            <w:r>
              <w:rPr>
                <w:noProof/>
                <w:webHidden/>
              </w:rPr>
              <w:fldChar w:fldCharType="end"/>
            </w:r>
          </w:hyperlink>
        </w:p>
        <w:p w14:paraId="61992EEA" w14:textId="0BDDB225" w:rsidR="004F06F4" w:rsidRDefault="004F06F4">
          <w:pPr>
            <w:pStyle w:val="TOC1"/>
            <w:tabs>
              <w:tab w:val="right" w:leader="dot" w:pos="9350"/>
            </w:tabs>
            <w:rPr>
              <w:rFonts w:eastAsiaTheme="minorEastAsia"/>
              <w:noProof/>
              <w:kern w:val="2"/>
              <w:sz w:val="24"/>
              <w:szCs w:val="24"/>
              <w:lang w:val="en-US"/>
              <w14:ligatures w14:val="standardContextual"/>
            </w:rPr>
          </w:pPr>
          <w:hyperlink w:anchor="_Toc208574060" w:history="1">
            <w:r w:rsidRPr="004C3D68">
              <w:rPr>
                <w:rStyle w:val="Hyperlink"/>
                <w:rFonts w:cstheme="minorHAnsi"/>
                <w:noProof/>
              </w:rPr>
              <w:t>Comité consultatif régional des achats et comité consultatif des achats</w:t>
            </w:r>
            <w:r>
              <w:rPr>
                <w:noProof/>
                <w:webHidden/>
              </w:rPr>
              <w:tab/>
            </w:r>
            <w:r>
              <w:rPr>
                <w:noProof/>
                <w:webHidden/>
              </w:rPr>
              <w:fldChar w:fldCharType="begin"/>
            </w:r>
            <w:r>
              <w:rPr>
                <w:noProof/>
                <w:webHidden/>
              </w:rPr>
              <w:instrText xml:space="preserve"> PAGEREF _Toc208574060 \h </w:instrText>
            </w:r>
            <w:r>
              <w:rPr>
                <w:noProof/>
                <w:webHidden/>
              </w:rPr>
            </w:r>
            <w:r>
              <w:rPr>
                <w:noProof/>
                <w:webHidden/>
              </w:rPr>
              <w:fldChar w:fldCharType="separate"/>
            </w:r>
            <w:r>
              <w:rPr>
                <w:noProof/>
                <w:webHidden/>
              </w:rPr>
              <w:t>11</w:t>
            </w:r>
            <w:r>
              <w:rPr>
                <w:noProof/>
                <w:webHidden/>
              </w:rPr>
              <w:fldChar w:fldCharType="end"/>
            </w:r>
          </w:hyperlink>
        </w:p>
        <w:p w14:paraId="4CA9B407" w14:textId="7226098A" w:rsidR="004F06F4" w:rsidRDefault="004F06F4">
          <w:pPr>
            <w:pStyle w:val="TOC1"/>
            <w:tabs>
              <w:tab w:val="right" w:leader="dot" w:pos="9350"/>
            </w:tabs>
            <w:rPr>
              <w:rFonts w:eastAsiaTheme="minorEastAsia"/>
              <w:noProof/>
              <w:kern w:val="2"/>
              <w:sz w:val="24"/>
              <w:szCs w:val="24"/>
              <w:lang w:val="en-US"/>
              <w14:ligatures w14:val="standardContextual"/>
            </w:rPr>
          </w:pPr>
          <w:hyperlink w:anchor="_Toc208574061" w:history="1">
            <w:r w:rsidRPr="004C3D68">
              <w:rPr>
                <w:rStyle w:val="Hyperlink"/>
                <w:rFonts w:cstheme="minorHAnsi"/>
                <w:noProof/>
              </w:rPr>
              <w:t>Calcul des montants cumulés du contrat</w:t>
            </w:r>
            <w:r>
              <w:rPr>
                <w:noProof/>
                <w:webHidden/>
              </w:rPr>
              <w:tab/>
            </w:r>
            <w:r>
              <w:rPr>
                <w:noProof/>
                <w:webHidden/>
              </w:rPr>
              <w:fldChar w:fldCharType="begin"/>
            </w:r>
            <w:r>
              <w:rPr>
                <w:noProof/>
                <w:webHidden/>
              </w:rPr>
              <w:instrText xml:space="preserve"> PAGEREF _Toc208574061 \h </w:instrText>
            </w:r>
            <w:r>
              <w:rPr>
                <w:noProof/>
                <w:webHidden/>
              </w:rPr>
            </w:r>
            <w:r>
              <w:rPr>
                <w:noProof/>
                <w:webHidden/>
              </w:rPr>
              <w:fldChar w:fldCharType="separate"/>
            </w:r>
            <w:r>
              <w:rPr>
                <w:noProof/>
                <w:webHidden/>
              </w:rPr>
              <w:t>12</w:t>
            </w:r>
            <w:r>
              <w:rPr>
                <w:noProof/>
                <w:webHidden/>
              </w:rPr>
              <w:fldChar w:fldCharType="end"/>
            </w:r>
          </w:hyperlink>
        </w:p>
        <w:p w14:paraId="256C5566" w14:textId="60478C06" w:rsidR="004F06F4" w:rsidRDefault="004F06F4">
          <w:pPr>
            <w:pStyle w:val="TOC1"/>
            <w:tabs>
              <w:tab w:val="right" w:leader="dot" w:pos="9350"/>
            </w:tabs>
            <w:rPr>
              <w:rFonts w:eastAsiaTheme="minorEastAsia"/>
              <w:noProof/>
              <w:kern w:val="2"/>
              <w:sz w:val="24"/>
              <w:szCs w:val="24"/>
              <w:lang w:val="en-US"/>
              <w14:ligatures w14:val="standardContextual"/>
            </w:rPr>
          </w:pPr>
          <w:hyperlink w:anchor="_Toc208574062" w:history="1">
            <w:r w:rsidRPr="004C3D68">
              <w:rPr>
                <w:rStyle w:val="Hyperlink"/>
                <w:rFonts w:cstheme="minorHAnsi"/>
                <w:noProof/>
              </w:rPr>
              <w:t>Conditions préalables à la passation de marché</w:t>
            </w:r>
            <w:r>
              <w:rPr>
                <w:noProof/>
                <w:webHidden/>
              </w:rPr>
              <w:tab/>
            </w:r>
            <w:r>
              <w:rPr>
                <w:noProof/>
                <w:webHidden/>
              </w:rPr>
              <w:fldChar w:fldCharType="begin"/>
            </w:r>
            <w:r>
              <w:rPr>
                <w:noProof/>
                <w:webHidden/>
              </w:rPr>
              <w:instrText xml:space="preserve"> PAGEREF _Toc208574062 \h </w:instrText>
            </w:r>
            <w:r>
              <w:rPr>
                <w:noProof/>
                <w:webHidden/>
              </w:rPr>
            </w:r>
            <w:r>
              <w:rPr>
                <w:noProof/>
                <w:webHidden/>
              </w:rPr>
              <w:fldChar w:fldCharType="separate"/>
            </w:r>
            <w:r>
              <w:rPr>
                <w:noProof/>
                <w:webHidden/>
              </w:rPr>
              <w:t>13</w:t>
            </w:r>
            <w:r>
              <w:rPr>
                <w:noProof/>
                <w:webHidden/>
              </w:rPr>
              <w:fldChar w:fldCharType="end"/>
            </w:r>
          </w:hyperlink>
        </w:p>
        <w:p w14:paraId="4814F043" w14:textId="5AE6BD07" w:rsidR="004F06F4" w:rsidRDefault="004F06F4">
          <w:pPr>
            <w:pStyle w:val="TOC2"/>
            <w:tabs>
              <w:tab w:val="right" w:leader="dot" w:pos="9350"/>
            </w:tabs>
            <w:rPr>
              <w:rFonts w:eastAsiaTheme="minorEastAsia"/>
              <w:noProof/>
              <w:kern w:val="2"/>
              <w:sz w:val="24"/>
              <w:szCs w:val="24"/>
              <w:lang w:val="en-US"/>
              <w14:ligatures w14:val="standardContextual"/>
            </w:rPr>
          </w:pPr>
          <w:hyperlink w:anchor="_Toc208574063" w:history="1">
            <w:r w:rsidRPr="004C3D68">
              <w:rPr>
                <w:rStyle w:val="Hyperlink"/>
                <w:rFonts w:cstheme="minorHAnsi"/>
                <w:noProof/>
              </w:rPr>
              <w:t>Avant l’octroi d’un contrat</w:t>
            </w:r>
            <w:r>
              <w:rPr>
                <w:noProof/>
                <w:webHidden/>
              </w:rPr>
              <w:tab/>
            </w:r>
            <w:r>
              <w:rPr>
                <w:noProof/>
                <w:webHidden/>
              </w:rPr>
              <w:fldChar w:fldCharType="begin"/>
            </w:r>
            <w:r>
              <w:rPr>
                <w:noProof/>
                <w:webHidden/>
              </w:rPr>
              <w:instrText xml:space="preserve"> PAGEREF _Toc208574063 \h </w:instrText>
            </w:r>
            <w:r>
              <w:rPr>
                <w:noProof/>
                <w:webHidden/>
              </w:rPr>
            </w:r>
            <w:r>
              <w:rPr>
                <w:noProof/>
                <w:webHidden/>
              </w:rPr>
              <w:fldChar w:fldCharType="separate"/>
            </w:r>
            <w:r>
              <w:rPr>
                <w:noProof/>
                <w:webHidden/>
              </w:rPr>
              <w:t>13</w:t>
            </w:r>
            <w:r>
              <w:rPr>
                <w:noProof/>
                <w:webHidden/>
              </w:rPr>
              <w:fldChar w:fldCharType="end"/>
            </w:r>
          </w:hyperlink>
        </w:p>
        <w:p w14:paraId="66521BBF" w14:textId="3B24D298" w:rsidR="004F06F4" w:rsidRDefault="004F06F4">
          <w:pPr>
            <w:pStyle w:val="TOC2"/>
            <w:tabs>
              <w:tab w:val="right" w:leader="dot" w:pos="9350"/>
            </w:tabs>
            <w:rPr>
              <w:rFonts w:eastAsiaTheme="minorEastAsia"/>
              <w:noProof/>
              <w:kern w:val="2"/>
              <w:sz w:val="24"/>
              <w:szCs w:val="24"/>
              <w:lang w:val="en-US"/>
              <w14:ligatures w14:val="standardContextual"/>
            </w:rPr>
          </w:pPr>
          <w:hyperlink w:anchor="_Toc208574064" w:history="1">
            <w:r w:rsidRPr="004C3D68">
              <w:rPr>
                <w:rStyle w:val="Hyperlink"/>
                <w:rFonts w:cstheme="minorHAnsi"/>
                <w:noProof/>
              </w:rPr>
              <w:t>Déterminer les honoraires du consultant</w:t>
            </w:r>
            <w:r>
              <w:rPr>
                <w:noProof/>
                <w:webHidden/>
              </w:rPr>
              <w:tab/>
            </w:r>
            <w:r>
              <w:rPr>
                <w:noProof/>
                <w:webHidden/>
              </w:rPr>
              <w:fldChar w:fldCharType="begin"/>
            </w:r>
            <w:r>
              <w:rPr>
                <w:noProof/>
                <w:webHidden/>
              </w:rPr>
              <w:instrText xml:space="preserve"> PAGEREF _Toc208574064 \h </w:instrText>
            </w:r>
            <w:r>
              <w:rPr>
                <w:noProof/>
                <w:webHidden/>
              </w:rPr>
            </w:r>
            <w:r>
              <w:rPr>
                <w:noProof/>
                <w:webHidden/>
              </w:rPr>
              <w:fldChar w:fldCharType="separate"/>
            </w:r>
            <w:r>
              <w:rPr>
                <w:noProof/>
                <w:webHidden/>
              </w:rPr>
              <w:t>14</w:t>
            </w:r>
            <w:r>
              <w:rPr>
                <w:noProof/>
                <w:webHidden/>
              </w:rPr>
              <w:fldChar w:fldCharType="end"/>
            </w:r>
          </w:hyperlink>
        </w:p>
        <w:p w14:paraId="76FF4D51" w14:textId="0B80AB27" w:rsidR="004F06F4" w:rsidRDefault="004F06F4">
          <w:pPr>
            <w:pStyle w:val="TOC1"/>
            <w:tabs>
              <w:tab w:val="right" w:leader="dot" w:pos="9350"/>
            </w:tabs>
            <w:rPr>
              <w:rFonts w:eastAsiaTheme="minorEastAsia"/>
              <w:noProof/>
              <w:kern w:val="2"/>
              <w:sz w:val="24"/>
              <w:szCs w:val="24"/>
              <w:lang w:val="en-US"/>
              <w14:ligatures w14:val="standardContextual"/>
            </w:rPr>
          </w:pPr>
          <w:hyperlink w:anchor="_Toc208574065" w:history="1">
            <w:r w:rsidRPr="004C3D68">
              <w:rPr>
                <w:rStyle w:val="Hyperlink"/>
                <w:rFonts w:cstheme="minorHAnsi"/>
                <w:noProof/>
              </w:rPr>
              <w:t>Marché à prix forfaitaire</w:t>
            </w:r>
            <w:r>
              <w:rPr>
                <w:noProof/>
                <w:webHidden/>
              </w:rPr>
              <w:tab/>
            </w:r>
            <w:r>
              <w:rPr>
                <w:noProof/>
                <w:webHidden/>
              </w:rPr>
              <w:fldChar w:fldCharType="begin"/>
            </w:r>
            <w:r>
              <w:rPr>
                <w:noProof/>
                <w:webHidden/>
              </w:rPr>
              <w:instrText xml:space="preserve"> PAGEREF _Toc208574065 \h </w:instrText>
            </w:r>
            <w:r>
              <w:rPr>
                <w:noProof/>
                <w:webHidden/>
              </w:rPr>
            </w:r>
            <w:r>
              <w:rPr>
                <w:noProof/>
                <w:webHidden/>
              </w:rPr>
              <w:fldChar w:fldCharType="separate"/>
            </w:r>
            <w:r>
              <w:rPr>
                <w:noProof/>
                <w:webHidden/>
              </w:rPr>
              <w:t>14</w:t>
            </w:r>
            <w:r>
              <w:rPr>
                <w:noProof/>
                <w:webHidden/>
              </w:rPr>
              <w:fldChar w:fldCharType="end"/>
            </w:r>
          </w:hyperlink>
        </w:p>
        <w:p w14:paraId="3B4621F3" w14:textId="4F501084" w:rsidR="004F06F4" w:rsidRDefault="004F06F4">
          <w:pPr>
            <w:pStyle w:val="TOC1"/>
            <w:tabs>
              <w:tab w:val="right" w:leader="dot" w:pos="9350"/>
            </w:tabs>
            <w:rPr>
              <w:rFonts w:eastAsiaTheme="minorEastAsia"/>
              <w:noProof/>
              <w:kern w:val="2"/>
              <w:sz w:val="24"/>
              <w:szCs w:val="24"/>
              <w:lang w:val="en-US"/>
              <w14:ligatures w14:val="standardContextual"/>
            </w:rPr>
          </w:pPr>
          <w:hyperlink w:anchor="_Toc208574066" w:history="1">
            <w:r w:rsidRPr="004C3D68">
              <w:rPr>
                <w:rStyle w:val="Hyperlink"/>
                <w:rFonts w:cstheme="minorHAnsi"/>
                <w:noProof/>
              </w:rPr>
              <w:t>Contrats fondés sur des honoraires journaliers</w:t>
            </w:r>
            <w:r>
              <w:rPr>
                <w:noProof/>
                <w:webHidden/>
              </w:rPr>
              <w:tab/>
            </w:r>
            <w:r>
              <w:rPr>
                <w:noProof/>
                <w:webHidden/>
              </w:rPr>
              <w:fldChar w:fldCharType="begin"/>
            </w:r>
            <w:r>
              <w:rPr>
                <w:noProof/>
                <w:webHidden/>
              </w:rPr>
              <w:instrText xml:space="preserve"> PAGEREF _Toc208574066 \h </w:instrText>
            </w:r>
            <w:r>
              <w:rPr>
                <w:noProof/>
                <w:webHidden/>
              </w:rPr>
            </w:r>
            <w:r>
              <w:rPr>
                <w:noProof/>
                <w:webHidden/>
              </w:rPr>
              <w:fldChar w:fldCharType="separate"/>
            </w:r>
            <w:r>
              <w:rPr>
                <w:noProof/>
                <w:webHidden/>
              </w:rPr>
              <w:t>15</w:t>
            </w:r>
            <w:r>
              <w:rPr>
                <w:noProof/>
                <w:webHidden/>
              </w:rPr>
              <w:fldChar w:fldCharType="end"/>
            </w:r>
          </w:hyperlink>
        </w:p>
        <w:p w14:paraId="0C913522" w14:textId="1E8CF673" w:rsidR="004F06F4" w:rsidRDefault="004F06F4">
          <w:pPr>
            <w:pStyle w:val="TOC1"/>
            <w:tabs>
              <w:tab w:val="right" w:leader="dot" w:pos="9350"/>
            </w:tabs>
            <w:rPr>
              <w:rFonts w:eastAsiaTheme="minorEastAsia"/>
              <w:noProof/>
              <w:kern w:val="2"/>
              <w:sz w:val="24"/>
              <w:szCs w:val="24"/>
              <w:lang w:val="en-US"/>
              <w14:ligatures w14:val="standardContextual"/>
            </w:rPr>
          </w:pPr>
          <w:hyperlink w:anchor="_Toc208574067" w:history="1">
            <w:r w:rsidRPr="004C3D68">
              <w:rPr>
                <w:rStyle w:val="Hyperlink"/>
                <w:rFonts w:cstheme="minorHAnsi"/>
                <w:noProof/>
              </w:rPr>
              <w:t>Déterminer les taux de paiement</w:t>
            </w:r>
            <w:r>
              <w:rPr>
                <w:noProof/>
                <w:webHidden/>
              </w:rPr>
              <w:tab/>
            </w:r>
            <w:r>
              <w:rPr>
                <w:noProof/>
                <w:webHidden/>
              </w:rPr>
              <w:fldChar w:fldCharType="begin"/>
            </w:r>
            <w:r>
              <w:rPr>
                <w:noProof/>
                <w:webHidden/>
              </w:rPr>
              <w:instrText xml:space="preserve"> PAGEREF _Toc208574067 \h </w:instrText>
            </w:r>
            <w:r>
              <w:rPr>
                <w:noProof/>
                <w:webHidden/>
              </w:rPr>
            </w:r>
            <w:r>
              <w:rPr>
                <w:noProof/>
                <w:webHidden/>
              </w:rPr>
              <w:fldChar w:fldCharType="separate"/>
            </w:r>
            <w:r>
              <w:rPr>
                <w:noProof/>
                <w:webHidden/>
              </w:rPr>
              <w:t>16</w:t>
            </w:r>
            <w:r>
              <w:rPr>
                <w:noProof/>
                <w:webHidden/>
              </w:rPr>
              <w:fldChar w:fldCharType="end"/>
            </w:r>
          </w:hyperlink>
        </w:p>
        <w:p w14:paraId="39B00243" w14:textId="7E9BE9B4" w:rsidR="004F06F4" w:rsidRDefault="004F06F4">
          <w:pPr>
            <w:pStyle w:val="TOC1"/>
            <w:tabs>
              <w:tab w:val="right" w:leader="dot" w:pos="9350"/>
            </w:tabs>
            <w:rPr>
              <w:rFonts w:eastAsiaTheme="minorEastAsia"/>
              <w:noProof/>
              <w:kern w:val="2"/>
              <w:sz w:val="24"/>
              <w:szCs w:val="24"/>
              <w:lang w:val="en-US"/>
              <w14:ligatures w14:val="standardContextual"/>
            </w:rPr>
          </w:pPr>
          <w:hyperlink w:anchor="_Toc208574068" w:history="1">
            <w:r w:rsidRPr="004C3D68">
              <w:rPr>
                <w:rStyle w:val="Hyperlink"/>
                <w:rFonts w:cstheme="minorHAnsi"/>
                <w:noProof/>
              </w:rPr>
              <w:t>Taux de paiement mensuels fixes</w:t>
            </w:r>
            <w:r>
              <w:rPr>
                <w:noProof/>
                <w:webHidden/>
              </w:rPr>
              <w:tab/>
            </w:r>
            <w:r>
              <w:rPr>
                <w:noProof/>
                <w:webHidden/>
              </w:rPr>
              <w:fldChar w:fldCharType="begin"/>
            </w:r>
            <w:r>
              <w:rPr>
                <w:noProof/>
                <w:webHidden/>
              </w:rPr>
              <w:instrText xml:space="preserve"> PAGEREF _Toc208574068 \h </w:instrText>
            </w:r>
            <w:r>
              <w:rPr>
                <w:noProof/>
                <w:webHidden/>
              </w:rPr>
            </w:r>
            <w:r>
              <w:rPr>
                <w:noProof/>
                <w:webHidden/>
              </w:rPr>
              <w:fldChar w:fldCharType="separate"/>
            </w:r>
            <w:r>
              <w:rPr>
                <w:noProof/>
                <w:webHidden/>
              </w:rPr>
              <w:t>17</w:t>
            </w:r>
            <w:r>
              <w:rPr>
                <w:noProof/>
                <w:webHidden/>
              </w:rPr>
              <w:fldChar w:fldCharType="end"/>
            </w:r>
          </w:hyperlink>
        </w:p>
        <w:p w14:paraId="3053A4EC" w14:textId="430813CA" w:rsidR="004F06F4" w:rsidRDefault="004F06F4">
          <w:pPr>
            <w:pStyle w:val="TOC1"/>
            <w:tabs>
              <w:tab w:val="right" w:leader="dot" w:pos="9350"/>
            </w:tabs>
            <w:rPr>
              <w:rFonts w:eastAsiaTheme="minorEastAsia"/>
              <w:noProof/>
              <w:kern w:val="2"/>
              <w:sz w:val="24"/>
              <w:szCs w:val="24"/>
              <w:lang w:val="en-US"/>
              <w14:ligatures w14:val="standardContextual"/>
            </w:rPr>
          </w:pPr>
          <w:hyperlink w:anchor="_Toc208574069" w:history="1">
            <w:r w:rsidRPr="004C3D68">
              <w:rPr>
                <w:rStyle w:val="Hyperlink"/>
                <w:rFonts w:cstheme="minorHAnsi"/>
                <w:noProof/>
              </w:rPr>
              <w:t>Sélection et embauche d’un consultant</w:t>
            </w:r>
            <w:r>
              <w:rPr>
                <w:noProof/>
                <w:webHidden/>
              </w:rPr>
              <w:tab/>
            </w:r>
            <w:r>
              <w:rPr>
                <w:noProof/>
                <w:webHidden/>
              </w:rPr>
              <w:fldChar w:fldCharType="begin"/>
            </w:r>
            <w:r>
              <w:rPr>
                <w:noProof/>
                <w:webHidden/>
              </w:rPr>
              <w:instrText xml:space="preserve"> PAGEREF _Toc208574069 \h </w:instrText>
            </w:r>
            <w:r>
              <w:rPr>
                <w:noProof/>
                <w:webHidden/>
              </w:rPr>
            </w:r>
            <w:r>
              <w:rPr>
                <w:noProof/>
                <w:webHidden/>
              </w:rPr>
              <w:fldChar w:fldCharType="separate"/>
            </w:r>
            <w:r>
              <w:rPr>
                <w:noProof/>
                <w:webHidden/>
              </w:rPr>
              <w:t>17</w:t>
            </w:r>
            <w:r>
              <w:rPr>
                <w:noProof/>
                <w:webHidden/>
              </w:rPr>
              <w:fldChar w:fldCharType="end"/>
            </w:r>
          </w:hyperlink>
        </w:p>
        <w:p w14:paraId="13EAD0BF" w14:textId="24C029FE" w:rsidR="004F06F4" w:rsidRDefault="004F06F4">
          <w:pPr>
            <w:pStyle w:val="TOC2"/>
            <w:tabs>
              <w:tab w:val="right" w:leader="dot" w:pos="9350"/>
            </w:tabs>
            <w:rPr>
              <w:rFonts w:eastAsiaTheme="minorEastAsia"/>
              <w:noProof/>
              <w:kern w:val="2"/>
              <w:sz w:val="24"/>
              <w:szCs w:val="24"/>
              <w:lang w:val="en-US"/>
              <w14:ligatures w14:val="standardContextual"/>
            </w:rPr>
          </w:pPr>
          <w:hyperlink w:anchor="_Toc208574070" w:history="1">
            <w:r w:rsidRPr="004C3D68">
              <w:rPr>
                <w:rStyle w:val="Hyperlink"/>
                <w:rFonts w:cstheme="minorHAnsi"/>
                <w:noProof/>
              </w:rPr>
              <w:t>Présentation du processus de sélection fondé sur les montants contractuels</w:t>
            </w:r>
            <w:r>
              <w:rPr>
                <w:noProof/>
                <w:webHidden/>
              </w:rPr>
              <w:tab/>
            </w:r>
            <w:r>
              <w:rPr>
                <w:noProof/>
                <w:webHidden/>
              </w:rPr>
              <w:fldChar w:fldCharType="begin"/>
            </w:r>
            <w:r>
              <w:rPr>
                <w:noProof/>
                <w:webHidden/>
              </w:rPr>
              <w:instrText xml:space="preserve"> PAGEREF _Toc208574070 \h </w:instrText>
            </w:r>
            <w:r>
              <w:rPr>
                <w:noProof/>
                <w:webHidden/>
              </w:rPr>
            </w:r>
            <w:r>
              <w:rPr>
                <w:noProof/>
                <w:webHidden/>
              </w:rPr>
              <w:fldChar w:fldCharType="separate"/>
            </w:r>
            <w:r>
              <w:rPr>
                <w:noProof/>
                <w:webHidden/>
              </w:rPr>
              <w:t>17</w:t>
            </w:r>
            <w:r>
              <w:rPr>
                <w:noProof/>
                <w:webHidden/>
              </w:rPr>
              <w:fldChar w:fldCharType="end"/>
            </w:r>
          </w:hyperlink>
        </w:p>
        <w:p w14:paraId="3256EF27" w14:textId="5985D352" w:rsidR="004F06F4" w:rsidRDefault="004F06F4">
          <w:pPr>
            <w:pStyle w:val="TOC2"/>
            <w:tabs>
              <w:tab w:val="right" w:leader="dot" w:pos="9350"/>
            </w:tabs>
            <w:rPr>
              <w:rFonts w:eastAsiaTheme="minorEastAsia"/>
              <w:noProof/>
              <w:kern w:val="2"/>
              <w:sz w:val="24"/>
              <w:szCs w:val="24"/>
              <w:lang w:val="en-US"/>
              <w14:ligatures w14:val="standardContextual"/>
            </w:rPr>
          </w:pPr>
          <w:hyperlink w:anchor="_Toc208574071" w:history="1">
            <w:r w:rsidRPr="004C3D68">
              <w:rPr>
                <w:rStyle w:val="Hyperlink"/>
                <w:rFonts w:cstheme="minorHAnsi"/>
                <w:noProof/>
              </w:rPr>
              <w:t>Processus de sélection</w:t>
            </w:r>
            <w:r>
              <w:rPr>
                <w:noProof/>
                <w:webHidden/>
              </w:rPr>
              <w:tab/>
            </w:r>
            <w:r>
              <w:rPr>
                <w:noProof/>
                <w:webHidden/>
              </w:rPr>
              <w:fldChar w:fldCharType="begin"/>
            </w:r>
            <w:r>
              <w:rPr>
                <w:noProof/>
                <w:webHidden/>
              </w:rPr>
              <w:instrText xml:space="preserve"> PAGEREF _Toc208574071 \h </w:instrText>
            </w:r>
            <w:r>
              <w:rPr>
                <w:noProof/>
                <w:webHidden/>
              </w:rPr>
            </w:r>
            <w:r>
              <w:rPr>
                <w:noProof/>
                <w:webHidden/>
              </w:rPr>
              <w:fldChar w:fldCharType="separate"/>
            </w:r>
            <w:r>
              <w:rPr>
                <w:noProof/>
                <w:webHidden/>
              </w:rPr>
              <w:t>18</w:t>
            </w:r>
            <w:r>
              <w:rPr>
                <w:noProof/>
                <w:webHidden/>
              </w:rPr>
              <w:fldChar w:fldCharType="end"/>
            </w:r>
          </w:hyperlink>
        </w:p>
        <w:p w14:paraId="4C2174BF" w14:textId="34633C5D" w:rsidR="004F06F4" w:rsidRDefault="004F06F4">
          <w:pPr>
            <w:pStyle w:val="TOC1"/>
            <w:tabs>
              <w:tab w:val="right" w:leader="dot" w:pos="9350"/>
            </w:tabs>
            <w:rPr>
              <w:rFonts w:eastAsiaTheme="minorEastAsia"/>
              <w:noProof/>
              <w:kern w:val="2"/>
              <w:sz w:val="24"/>
              <w:szCs w:val="24"/>
              <w:lang w:val="en-US"/>
              <w14:ligatures w14:val="standardContextual"/>
            </w:rPr>
          </w:pPr>
          <w:hyperlink w:anchor="_Toc208574072" w:history="1">
            <w:r w:rsidRPr="004C3D68">
              <w:rPr>
                <w:rStyle w:val="Hyperlink"/>
                <w:rFonts w:cstheme="minorHAnsi"/>
                <w:noProof/>
              </w:rPr>
              <w:t>Recrutement des candidats</w:t>
            </w:r>
            <w:r>
              <w:rPr>
                <w:noProof/>
                <w:webHidden/>
              </w:rPr>
              <w:tab/>
            </w:r>
            <w:r>
              <w:rPr>
                <w:noProof/>
                <w:webHidden/>
              </w:rPr>
              <w:fldChar w:fldCharType="begin"/>
            </w:r>
            <w:r>
              <w:rPr>
                <w:noProof/>
                <w:webHidden/>
              </w:rPr>
              <w:instrText xml:space="preserve"> PAGEREF _Toc208574072 \h </w:instrText>
            </w:r>
            <w:r>
              <w:rPr>
                <w:noProof/>
                <w:webHidden/>
              </w:rPr>
            </w:r>
            <w:r>
              <w:rPr>
                <w:noProof/>
                <w:webHidden/>
              </w:rPr>
              <w:fldChar w:fldCharType="separate"/>
            </w:r>
            <w:r>
              <w:rPr>
                <w:noProof/>
                <w:webHidden/>
              </w:rPr>
              <w:t>18</w:t>
            </w:r>
            <w:r>
              <w:rPr>
                <w:noProof/>
                <w:webHidden/>
              </w:rPr>
              <w:fldChar w:fldCharType="end"/>
            </w:r>
          </w:hyperlink>
        </w:p>
        <w:p w14:paraId="3A88AB76" w14:textId="18395DCC" w:rsidR="004F06F4" w:rsidRDefault="004F06F4">
          <w:pPr>
            <w:pStyle w:val="TOC1"/>
            <w:tabs>
              <w:tab w:val="right" w:leader="dot" w:pos="9350"/>
            </w:tabs>
            <w:rPr>
              <w:rFonts w:eastAsiaTheme="minorEastAsia"/>
              <w:noProof/>
              <w:kern w:val="2"/>
              <w:sz w:val="24"/>
              <w:szCs w:val="24"/>
              <w:lang w:val="en-US"/>
              <w14:ligatures w14:val="standardContextual"/>
            </w:rPr>
          </w:pPr>
          <w:hyperlink w:anchor="_Toc208574073" w:history="1">
            <w:r w:rsidRPr="004C3D68">
              <w:rPr>
                <w:rStyle w:val="Hyperlink"/>
                <w:rFonts w:cstheme="minorHAnsi"/>
                <w:noProof/>
              </w:rPr>
              <w:t>Directives complémentaires :</w:t>
            </w:r>
            <w:r>
              <w:rPr>
                <w:noProof/>
                <w:webHidden/>
              </w:rPr>
              <w:tab/>
            </w:r>
            <w:r>
              <w:rPr>
                <w:noProof/>
                <w:webHidden/>
              </w:rPr>
              <w:fldChar w:fldCharType="begin"/>
            </w:r>
            <w:r>
              <w:rPr>
                <w:noProof/>
                <w:webHidden/>
              </w:rPr>
              <w:instrText xml:space="preserve"> PAGEREF _Toc208574073 \h </w:instrText>
            </w:r>
            <w:r>
              <w:rPr>
                <w:noProof/>
                <w:webHidden/>
              </w:rPr>
            </w:r>
            <w:r>
              <w:rPr>
                <w:noProof/>
                <w:webHidden/>
              </w:rPr>
              <w:fldChar w:fldCharType="separate"/>
            </w:r>
            <w:r>
              <w:rPr>
                <w:noProof/>
                <w:webHidden/>
              </w:rPr>
              <w:t>19</w:t>
            </w:r>
            <w:r>
              <w:rPr>
                <w:noProof/>
                <w:webHidden/>
              </w:rPr>
              <w:fldChar w:fldCharType="end"/>
            </w:r>
          </w:hyperlink>
        </w:p>
        <w:p w14:paraId="2826B32C" w14:textId="2AD47F3F" w:rsidR="004F06F4" w:rsidRDefault="004F06F4">
          <w:pPr>
            <w:pStyle w:val="TOC1"/>
            <w:tabs>
              <w:tab w:val="right" w:leader="dot" w:pos="9350"/>
            </w:tabs>
            <w:rPr>
              <w:rFonts w:eastAsiaTheme="minorEastAsia"/>
              <w:noProof/>
              <w:kern w:val="2"/>
              <w:sz w:val="24"/>
              <w:szCs w:val="24"/>
              <w:lang w:val="en-US"/>
              <w14:ligatures w14:val="standardContextual"/>
            </w:rPr>
          </w:pPr>
          <w:hyperlink w:anchor="_Toc208574074" w:history="1">
            <w:r w:rsidRPr="004C3D68">
              <w:rPr>
                <w:rStyle w:val="Hyperlink"/>
                <w:rFonts w:cstheme="minorHAnsi"/>
                <w:noProof/>
              </w:rPr>
              <w:t>Si la tâche est publiée</w:t>
            </w:r>
            <w:r>
              <w:rPr>
                <w:noProof/>
                <w:webHidden/>
              </w:rPr>
              <w:tab/>
            </w:r>
            <w:r>
              <w:rPr>
                <w:noProof/>
                <w:webHidden/>
              </w:rPr>
              <w:fldChar w:fldCharType="begin"/>
            </w:r>
            <w:r>
              <w:rPr>
                <w:noProof/>
                <w:webHidden/>
              </w:rPr>
              <w:instrText xml:space="preserve"> PAGEREF _Toc208574074 \h </w:instrText>
            </w:r>
            <w:r>
              <w:rPr>
                <w:noProof/>
                <w:webHidden/>
              </w:rPr>
            </w:r>
            <w:r>
              <w:rPr>
                <w:noProof/>
                <w:webHidden/>
              </w:rPr>
              <w:fldChar w:fldCharType="separate"/>
            </w:r>
            <w:r>
              <w:rPr>
                <w:noProof/>
                <w:webHidden/>
              </w:rPr>
              <w:t>20</w:t>
            </w:r>
            <w:r>
              <w:rPr>
                <w:noProof/>
                <w:webHidden/>
              </w:rPr>
              <w:fldChar w:fldCharType="end"/>
            </w:r>
          </w:hyperlink>
        </w:p>
        <w:p w14:paraId="6FB468A3" w14:textId="04C14B48" w:rsidR="004F06F4" w:rsidRDefault="004F06F4">
          <w:pPr>
            <w:pStyle w:val="TOC1"/>
            <w:tabs>
              <w:tab w:val="right" w:leader="dot" w:pos="9350"/>
            </w:tabs>
            <w:rPr>
              <w:rFonts w:eastAsiaTheme="minorEastAsia"/>
              <w:noProof/>
              <w:kern w:val="2"/>
              <w:sz w:val="24"/>
              <w:szCs w:val="24"/>
              <w:lang w:val="en-US"/>
              <w14:ligatures w14:val="standardContextual"/>
            </w:rPr>
          </w:pPr>
          <w:hyperlink w:anchor="_Toc208574075" w:history="1">
            <w:r w:rsidRPr="004C3D68">
              <w:rPr>
                <w:rStyle w:val="Hyperlink"/>
                <w:rFonts w:cstheme="minorHAnsi"/>
                <w:noProof/>
              </w:rPr>
              <w:t>Réception des offres</w:t>
            </w:r>
            <w:r>
              <w:rPr>
                <w:noProof/>
                <w:webHidden/>
              </w:rPr>
              <w:tab/>
            </w:r>
            <w:r>
              <w:rPr>
                <w:noProof/>
                <w:webHidden/>
              </w:rPr>
              <w:fldChar w:fldCharType="begin"/>
            </w:r>
            <w:r>
              <w:rPr>
                <w:noProof/>
                <w:webHidden/>
              </w:rPr>
              <w:instrText xml:space="preserve"> PAGEREF _Toc208574075 \h </w:instrText>
            </w:r>
            <w:r>
              <w:rPr>
                <w:noProof/>
                <w:webHidden/>
              </w:rPr>
            </w:r>
            <w:r>
              <w:rPr>
                <w:noProof/>
                <w:webHidden/>
              </w:rPr>
              <w:fldChar w:fldCharType="separate"/>
            </w:r>
            <w:r>
              <w:rPr>
                <w:noProof/>
                <w:webHidden/>
              </w:rPr>
              <w:t>21</w:t>
            </w:r>
            <w:r>
              <w:rPr>
                <w:noProof/>
                <w:webHidden/>
              </w:rPr>
              <w:fldChar w:fldCharType="end"/>
            </w:r>
          </w:hyperlink>
        </w:p>
        <w:p w14:paraId="771F2441" w14:textId="537E2E9C" w:rsidR="004F06F4" w:rsidRDefault="004F06F4">
          <w:pPr>
            <w:pStyle w:val="TOC1"/>
            <w:tabs>
              <w:tab w:val="right" w:leader="dot" w:pos="9350"/>
            </w:tabs>
            <w:rPr>
              <w:rFonts w:eastAsiaTheme="minorEastAsia"/>
              <w:noProof/>
              <w:kern w:val="2"/>
              <w:sz w:val="24"/>
              <w:szCs w:val="24"/>
              <w:lang w:val="en-US"/>
              <w14:ligatures w14:val="standardContextual"/>
            </w:rPr>
          </w:pPr>
          <w:hyperlink w:anchor="_Toc208574076" w:history="1">
            <w:r w:rsidRPr="004C3D68">
              <w:rPr>
                <w:rStyle w:val="Hyperlink"/>
                <w:rFonts w:cstheme="minorHAnsi"/>
                <w:noProof/>
              </w:rPr>
              <w:t>Méthode d’évaluation</w:t>
            </w:r>
            <w:r>
              <w:rPr>
                <w:noProof/>
                <w:webHidden/>
              </w:rPr>
              <w:tab/>
            </w:r>
            <w:r>
              <w:rPr>
                <w:noProof/>
                <w:webHidden/>
              </w:rPr>
              <w:fldChar w:fldCharType="begin"/>
            </w:r>
            <w:r>
              <w:rPr>
                <w:noProof/>
                <w:webHidden/>
              </w:rPr>
              <w:instrText xml:space="preserve"> PAGEREF _Toc208574076 \h </w:instrText>
            </w:r>
            <w:r>
              <w:rPr>
                <w:noProof/>
                <w:webHidden/>
              </w:rPr>
            </w:r>
            <w:r>
              <w:rPr>
                <w:noProof/>
                <w:webHidden/>
              </w:rPr>
              <w:fldChar w:fldCharType="separate"/>
            </w:r>
            <w:r>
              <w:rPr>
                <w:noProof/>
                <w:webHidden/>
              </w:rPr>
              <w:t>21</w:t>
            </w:r>
            <w:r>
              <w:rPr>
                <w:noProof/>
                <w:webHidden/>
              </w:rPr>
              <w:fldChar w:fldCharType="end"/>
            </w:r>
          </w:hyperlink>
        </w:p>
        <w:p w14:paraId="00BED950" w14:textId="620A0AF2" w:rsidR="004F06F4" w:rsidRDefault="004F06F4">
          <w:pPr>
            <w:pStyle w:val="TOC1"/>
            <w:tabs>
              <w:tab w:val="right" w:leader="dot" w:pos="9350"/>
            </w:tabs>
            <w:rPr>
              <w:rFonts w:eastAsiaTheme="minorEastAsia"/>
              <w:noProof/>
              <w:kern w:val="2"/>
              <w:sz w:val="24"/>
              <w:szCs w:val="24"/>
              <w:lang w:val="en-US"/>
              <w14:ligatures w14:val="standardContextual"/>
            </w:rPr>
          </w:pPr>
          <w:hyperlink w:anchor="_Toc208574077" w:history="1">
            <w:r w:rsidRPr="004C3D68">
              <w:rPr>
                <w:rStyle w:val="Hyperlink"/>
                <w:rFonts w:cstheme="minorHAnsi"/>
                <w:iCs/>
                <w:noProof/>
              </w:rPr>
              <w:t>Étape préalable à l’évaluation</w:t>
            </w:r>
            <w:r>
              <w:rPr>
                <w:noProof/>
                <w:webHidden/>
              </w:rPr>
              <w:tab/>
            </w:r>
            <w:r>
              <w:rPr>
                <w:noProof/>
                <w:webHidden/>
              </w:rPr>
              <w:fldChar w:fldCharType="begin"/>
            </w:r>
            <w:r>
              <w:rPr>
                <w:noProof/>
                <w:webHidden/>
              </w:rPr>
              <w:instrText xml:space="preserve"> PAGEREF _Toc208574077 \h </w:instrText>
            </w:r>
            <w:r>
              <w:rPr>
                <w:noProof/>
                <w:webHidden/>
              </w:rPr>
            </w:r>
            <w:r>
              <w:rPr>
                <w:noProof/>
                <w:webHidden/>
              </w:rPr>
              <w:fldChar w:fldCharType="separate"/>
            </w:r>
            <w:r>
              <w:rPr>
                <w:noProof/>
                <w:webHidden/>
              </w:rPr>
              <w:t>21</w:t>
            </w:r>
            <w:r>
              <w:rPr>
                <w:noProof/>
                <w:webHidden/>
              </w:rPr>
              <w:fldChar w:fldCharType="end"/>
            </w:r>
          </w:hyperlink>
        </w:p>
        <w:p w14:paraId="34A383BE" w14:textId="24222C48" w:rsidR="004F06F4" w:rsidRDefault="004F06F4">
          <w:pPr>
            <w:pStyle w:val="TOC1"/>
            <w:tabs>
              <w:tab w:val="right" w:leader="dot" w:pos="9350"/>
            </w:tabs>
            <w:rPr>
              <w:rFonts w:eastAsiaTheme="minorEastAsia"/>
              <w:noProof/>
              <w:kern w:val="2"/>
              <w:sz w:val="24"/>
              <w:szCs w:val="24"/>
              <w:lang w:val="en-US"/>
              <w14:ligatures w14:val="standardContextual"/>
            </w:rPr>
          </w:pPr>
          <w:hyperlink w:anchor="_Toc208574078" w:history="1">
            <w:r w:rsidRPr="004C3D68">
              <w:rPr>
                <w:rStyle w:val="Hyperlink"/>
                <w:rFonts w:cstheme="minorHAnsi"/>
                <w:iCs/>
                <w:noProof/>
              </w:rPr>
              <w:t>Méthode d’évaluation</w:t>
            </w:r>
            <w:r>
              <w:rPr>
                <w:noProof/>
                <w:webHidden/>
              </w:rPr>
              <w:tab/>
            </w:r>
            <w:r>
              <w:rPr>
                <w:noProof/>
                <w:webHidden/>
              </w:rPr>
              <w:fldChar w:fldCharType="begin"/>
            </w:r>
            <w:r>
              <w:rPr>
                <w:noProof/>
                <w:webHidden/>
              </w:rPr>
              <w:instrText xml:space="preserve"> PAGEREF _Toc208574078 \h </w:instrText>
            </w:r>
            <w:r>
              <w:rPr>
                <w:noProof/>
                <w:webHidden/>
              </w:rPr>
            </w:r>
            <w:r>
              <w:rPr>
                <w:noProof/>
                <w:webHidden/>
              </w:rPr>
              <w:fldChar w:fldCharType="separate"/>
            </w:r>
            <w:r>
              <w:rPr>
                <w:noProof/>
                <w:webHidden/>
              </w:rPr>
              <w:t>22</w:t>
            </w:r>
            <w:r>
              <w:rPr>
                <w:noProof/>
                <w:webHidden/>
              </w:rPr>
              <w:fldChar w:fldCharType="end"/>
            </w:r>
          </w:hyperlink>
        </w:p>
        <w:p w14:paraId="0001D3EA" w14:textId="5EB3F4B1" w:rsidR="004F06F4" w:rsidRDefault="004F06F4">
          <w:pPr>
            <w:pStyle w:val="TOC1"/>
            <w:tabs>
              <w:tab w:val="right" w:leader="dot" w:pos="9350"/>
            </w:tabs>
            <w:rPr>
              <w:rFonts w:eastAsiaTheme="minorEastAsia"/>
              <w:noProof/>
              <w:kern w:val="2"/>
              <w:sz w:val="24"/>
              <w:szCs w:val="24"/>
              <w:lang w:val="en-US"/>
              <w14:ligatures w14:val="standardContextual"/>
            </w:rPr>
          </w:pPr>
          <w:hyperlink w:anchor="_Toc208574079" w:history="1">
            <w:r w:rsidRPr="004C3D68">
              <w:rPr>
                <w:rStyle w:val="Hyperlink"/>
                <w:rFonts w:cstheme="minorHAnsi"/>
                <w:iCs/>
                <w:noProof/>
              </w:rPr>
              <w:t>Étape de l’entretien (le cas échéant)</w:t>
            </w:r>
            <w:r>
              <w:rPr>
                <w:noProof/>
                <w:webHidden/>
              </w:rPr>
              <w:tab/>
            </w:r>
            <w:r>
              <w:rPr>
                <w:noProof/>
                <w:webHidden/>
              </w:rPr>
              <w:fldChar w:fldCharType="begin"/>
            </w:r>
            <w:r>
              <w:rPr>
                <w:noProof/>
                <w:webHidden/>
              </w:rPr>
              <w:instrText xml:space="preserve"> PAGEREF _Toc208574079 \h </w:instrText>
            </w:r>
            <w:r>
              <w:rPr>
                <w:noProof/>
                <w:webHidden/>
              </w:rPr>
            </w:r>
            <w:r>
              <w:rPr>
                <w:noProof/>
                <w:webHidden/>
              </w:rPr>
              <w:fldChar w:fldCharType="separate"/>
            </w:r>
            <w:r>
              <w:rPr>
                <w:noProof/>
                <w:webHidden/>
              </w:rPr>
              <w:t>23</w:t>
            </w:r>
            <w:r>
              <w:rPr>
                <w:noProof/>
                <w:webHidden/>
              </w:rPr>
              <w:fldChar w:fldCharType="end"/>
            </w:r>
          </w:hyperlink>
        </w:p>
        <w:p w14:paraId="612B6659" w14:textId="152552B3" w:rsidR="004F06F4" w:rsidRDefault="004F06F4">
          <w:pPr>
            <w:pStyle w:val="TOC1"/>
            <w:tabs>
              <w:tab w:val="right" w:leader="dot" w:pos="9350"/>
            </w:tabs>
            <w:rPr>
              <w:rFonts w:eastAsiaTheme="minorEastAsia"/>
              <w:noProof/>
              <w:kern w:val="2"/>
              <w:sz w:val="24"/>
              <w:szCs w:val="24"/>
              <w:lang w:val="en-US"/>
              <w14:ligatures w14:val="standardContextual"/>
            </w:rPr>
          </w:pPr>
          <w:hyperlink w:anchor="_Toc208574080" w:history="1">
            <w:r w:rsidRPr="004C3D68">
              <w:rPr>
                <w:rStyle w:val="Hyperlink"/>
                <w:rFonts w:cstheme="minorHAnsi"/>
                <w:iCs/>
                <w:noProof/>
              </w:rPr>
              <w:t>Directives complémentaires :</w:t>
            </w:r>
            <w:r>
              <w:rPr>
                <w:noProof/>
                <w:webHidden/>
              </w:rPr>
              <w:tab/>
            </w:r>
            <w:r>
              <w:rPr>
                <w:noProof/>
                <w:webHidden/>
              </w:rPr>
              <w:fldChar w:fldCharType="begin"/>
            </w:r>
            <w:r>
              <w:rPr>
                <w:noProof/>
                <w:webHidden/>
              </w:rPr>
              <w:instrText xml:space="preserve"> PAGEREF _Toc208574080 \h </w:instrText>
            </w:r>
            <w:r>
              <w:rPr>
                <w:noProof/>
                <w:webHidden/>
              </w:rPr>
            </w:r>
            <w:r>
              <w:rPr>
                <w:noProof/>
                <w:webHidden/>
              </w:rPr>
              <w:fldChar w:fldCharType="separate"/>
            </w:r>
            <w:r>
              <w:rPr>
                <w:noProof/>
                <w:webHidden/>
              </w:rPr>
              <w:t>23</w:t>
            </w:r>
            <w:r>
              <w:rPr>
                <w:noProof/>
                <w:webHidden/>
              </w:rPr>
              <w:fldChar w:fldCharType="end"/>
            </w:r>
          </w:hyperlink>
        </w:p>
        <w:p w14:paraId="59025E94" w14:textId="2C42B605" w:rsidR="004F06F4" w:rsidRDefault="004F06F4">
          <w:pPr>
            <w:pStyle w:val="TOC1"/>
            <w:tabs>
              <w:tab w:val="right" w:leader="dot" w:pos="9350"/>
            </w:tabs>
            <w:rPr>
              <w:rFonts w:eastAsiaTheme="minorEastAsia"/>
              <w:noProof/>
              <w:kern w:val="2"/>
              <w:sz w:val="24"/>
              <w:szCs w:val="24"/>
              <w:lang w:val="en-US"/>
              <w14:ligatures w14:val="standardContextual"/>
            </w:rPr>
          </w:pPr>
          <w:hyperlink w:anchor="_Toc208574081" w:history="1">
            <w:r w:rsidRPr="004C3D68">
              <w:rPr>
                <w:rStyle w:val="Hyperlink"/>
                <w:rFonts w:cstheme="minorHAnsi"/>
                <w:iCs/>
                <w:noProof/>
              </w:rPr>
              <w:t>Vérification des références</w:t>
            </w:r>
            <w:r>
              <w:rPr>
                <w:noProof/>
                <w:webHidden/>
              </w:rPr>
              <w:tab/>
            </w:r>
            <w:r>
              <w:rPr>
                <w:noProof/>
                <w:webHidden/>
              </w:rPr>
              <w:fldChar w:fldCharType="begin"/>
            </w:r>
            <w:r>
              <w:rPr>
                <w:noProof/>
                <w:webHidden/>
              </w:rPr>
              <w:instrText xml:space="preserve"> PAGEREF _Toc208574081 \h </w:instrText>
            </w:r>
            <w:r>
              <w:rPr>
                <w:noProof/>
                <w:webHidden/>
              </w:rPr>
            </w:r>
            <w:r>
              <w:rPr>
                <w:noProof/>
                <w:webHidden/>
              </w:rPr>
              <w:fldChar w:fldCharType="separate"/>
            </w:r>
            <w:r>
              <w:rPr>
                <w:noProof/>
                <w:webHidden/>
              </w:rPr>
              <w:t>24</w:t>
            </w:r>
            <w:r>
              <w:rPr>
                <w:noProof/>
                <w:webHidden/>
              </w:rPr>
              <w:fldChar w:fldCharType="end"/>
            </w:r>
          </w:hyperlink>
        </w:p>
        <w:p w14:paraId="4AF3358C" w14:textId="3C01D6EE" w:rsidR="004F06F4" w:rsidRDefault="004F06F4">
          <w:pPr>
            <w:pStyle w:val="TOC1"/>
            <w:tabs>
              <w:tab w:val="right" w:leader="dot" w:pos="9350"/>
            </w:tabs>
            <w:rPr>
              <w:rFonts w:eastAsiaTheme="minorEastAsia"/>
              <w:noProof/>
              <w:kern w:val="2"/>
              <w:sz w:val="24"/>
              <w:szCs w:val="24"/>
              <w:lang w:val="en-US"/>
              <w14:ligatures w14:val="standardContextual"/>
            </w:rPr>
          </w:pPr>
          <w:hyperlink w:anchor="_Toc208574082" w:history="1">
            <w:r w:rsidRPr="004C3D68">
              <w:rPr>
                <w:rStyle w:val="Hyperlink"/>
                <w:rFonts w:cstheme="minorHAnsi"/>
                <w:noProof/>
              </w:rPr>
              <w:t>Négociations et clarifications</w:t>
            </w:r>
            <w:r>
              <w:rPr>
                <w:noProof/>
                <w:webHidden/>
              </w:rPr>
              <w:tab/>
            </w:r>
            <w:r>
              <w:rPr>
                <w:noProof/>
                <w:webHidden/>
              </w:rPr>
              <w:fldChar w:fldCharType="begin"/>
            </w:r>
            <w:r>
              <w:rPr>
                <w:noProof/>
                <w:webHidden/>
              </w:rPr>
              <w:instrText xml:space="preserve"> PAGEREF _Toc208574082 \h </w:instrText>
            </w:r>
            <w:r>
              <w:rPr>
                <w:noProof/>
                <w:webHidden/>
              </w:rPr>
            </w:r>
            <w:r>
              <w:rPr>
                <w:noProof/>
                <w:webHidden/>
              </w:rPr>
              <w:fldChar w:fldCharType="separate"/>
            </w:r>
            <w:r>
              <w:rPr>
                <w:noProof/>
                <w:webHidden/>
              </w:rPr>
              <w:t>24</w:t>
            </w:r>
            <w:r>
              <w:rPr>
                <w:noProof/>
                <w:webHidden/>
              </w:rPr>
              <w:fldChar w:fldCharType="end"/>
            </w:r>
          </w:hyperlink>
        </w:p>
        <w:p w14:paraId="6F5A1745" w14:textId="5346440E" w:rsidR="004F06F4" w:rsidRDefault="004F06F4">
          <w:pPr>
            <w:pStyle w:val="TOC1"/>
            <w:tabs>
              <w:tab w:val="right" w:leader="dot" w:pos="9350"/>
            </w:tabs>
            <w:rPr>
              <w:rFonts w:eastAsiaTheme="minorEastAsia"/>
              <w:noProof/>
              <w:kern w:val="2"/>
              <w:sz w:val="24"/>
              <w:szCs w:val="24"/>
              <w:lang w:val="en-US"/>
              <w14:ligatures w14:val="standardContextual"/>
            </w:rPr>
          </w:pPr>
          <w:hyperlink w:anchor="_Toc208574083" w:history="1">
            <w:r w:rsidRPr="004C3D68">
              <w:rPr>
                <w:rStyle w:val="Hyperlink"/>
                <w:rFonts w:cstheme="minorHAnsi"/>
                <w:noProof/>
              </w:rPr>
              <w:t>Attribution</w:t>
            </w:r>
            <w:r>
              <w:rPr>
                <w:noProof/>
                <w:webHidden/>
              </w:rPr>
              <w:tab/>
            </w:r>
            <w:r>
              <w:rPr>
                <w:noProof/>
                <w:webHidden/>
              </w:rPr>
              <w:fldChar w:fldCharType="begin"/>
            </w:r>
            <w:r>
              <w:rPr>
                <w:noProof/>
                <w:webHidden/>
              </w:rPr>
              <w:instrText xml:space="preserve"> PAGEREF _Toc208574083 \h </w:instrText>
            </w:r>
            <w:r>
              <w:rPr>
                <w:noProof/>
                <w:webHidden/>
              </w:rPr>
            </w:r>
            <w:r>
              <w:rPr>
                <w:noProof/>
                <w:webHidden/>
              </w:rPr>
              <w:fldChar w:fldCharType="separate"/>
            </w:r>
            <w:r>
              <w:rPr>
                <w:noProof/>
                <w:webHidden/>
              </w:rPr>
              <w:t>25</w:t>
            </w:r>
            <w:r>
              <w:rPr>
                <w:noProof/>
                <w:webHidden/>
              </w:rPr>
              <w:fldChar w:fldCharType="end"/>
            </w:r>
          </w:hyperlink>
        </w:p>
        <w:p w14:paraId="6E3BA2FB" w14:textId="28174AAF" w:rsidR="004F06F4" w:rsidRDefault="004F06F4">
          <w:pPr>
            <w:pStyle w:val="TOC2"/>
            <w:tabs>
              <w:tab w:val="right" w:leader="dot" w:pos="9350"/>
            </w:tabs>
            <w:rPr>
              <w:rFonts w:eastAsiaTheme="minorEastAsia"/>
              <w:noProof/>
              <w:kern w:val="2"/>
              <w:sz w:val="24"/>
              <w:szCs w:val="24"/>
              <w:lang w:val="en-US"/>
              <w14:ligatures w14:val="standardContextual"/>
            </w:rPr>
          </w:pPr>
          <w:hyperlink w:anchor="_Toc208574084" w:history="1">
            <w:r w:rsidRPr="004C3D68">
              <w:rPr>
                <w:rStyle w:val="Hyperlink"/>
                <w:rFonts w:cstheme="minorHAnsi"/>
                <w:noProof/>
              </w:rPr>
              <w:t>Passation de marchés par entente directe</w:t>
            </w:r>
            <w:r>
              <w:rPr>
                <w:noProof/>
                <w:webHidden/>
              </w:rPr>
              <w:tab/>
            </w:r>
            <w:r>
              <w:rPr>
                <w:noProof/>
                <w:webHidden/>
              </w:rPr>
              <w:fldChar w:fldCharType="begin"/>
            </w:r>
            <w:r>
              <w:rPr>
                <w:noProof/>
                <w:webHidden/>
              </w:rPr>
              <w:instrText xml:space="preserve"> PAGEREF _Toc208574084 \h </w:instrText>
            </w:r>
            <w:r>
              <w:rPr>
                <w:noProof/>
                <w:webHidden/>
              </w:rPr>
            </w:r>
            <w:r>
              <w:rPr>
                <w:noProof/>
                <w:webHidden/>
              </w:rPr>
              <w:fldChar w:fldCharType="separate"/>
            </w:r>
            <w:r>
              <w:rPr>
                <w:noProof/>
                <w:webHidden/>
              </w:rPr>
              <w:t>25</w:t>
            </w:r>
            <w:r>
              <w:rPr>
                <w:noProof/>
                <w:webHidden/>
              </w:rPr>
              <w:fldChar w:fldCharType="end"/>
            </w:r>
          </w:hyperlink>
        </w:p>
        <w:p w14:paraId="00E86D33" w14:textId="22266D91" w:rsidR="004F06F4" w:rsidRDefault="004F06F4">
          <w:pPr>
            <w:pStyle w:val="TOC1"/>
            <w:tabs>
              <w:tab w:val="right" w:leader="dot" w:pos="9350"/>
            </w:tabs>
            <w:rPr>
              <w:rFonts w:eastAsiaTheme="minorEastAsia"/>
              <w:noProof/>
              <w:kern w:val="2"/>
              <w:sz w:val="24"/>
              <w:szCs w:val="24"/>
              <w:lang w:val="en-US"/>
              <w14:ligatures w14:val="standardContextual"/>
            </w:rPr>
          </w:pPr>
          <w:hyperlink w:anchor="_Toc208574085" w:history="1">
            <w:r w:rsidRPr="004C3D68">
              <w:rPr>
                <w:rStyle w:val="Hyperlink"/>
                <w:rFonts w:cstheme="minorHAnsi"/>
                <w:noProof/>
              </w:rPr>
              <w:t>Engagement de fonctionnaires, d’anciens membres du personnel de l’Organisation des Nations Unies et des proches parents des membres du personnel de l’Organisation des Nations Unies</w:t>
            </w:r>
            <w:r>
              <w:rPr>
                <w:noProof/>
                <w:webHidden/>
              </w:rPr>
              <w:tab/>
            </w:r>
            <w:r>
              <w:rPr>
                <w:noProof/>
                <w:webHidden/>
              </w:rPr>
              <w:fldChar w:fldCharType="begin"/>
            </w:r>
            <w:r>
              <w:rPr>
                <w:noProof/>
                <w:webHidden/>
              </w:rPr>
              <w:instrText xml:space="preserve"> PAGEREF _Toc208574085 \h </w:instrText>
            </w:r>
            <w:r>
              <w:rPr>
                <w:noProof/>
                <w:webHidden/>
              </w:rPr>
            </w:r>
            <w:r>
              <w:rPr>
                <w:noProof/>
                <w:webHidden/>
              </w:rPr>
              <w:fldChar w:fldCharType="separate"/>
            </w:r>
            <w:r>
              <w:rPr>
                <w:noProof/>
                <w:webHidden/>
              </w:rPr>
              <w:t>26</w:t>
            </w:r>
            <w:r>
              <w:rPr>
                <w:noProof/>
                <w:webHidden/>
              </w:rPr>
              <w:fldChar w:fldCharType="end"/>
            </w:r>
          </w:hyperlink>
        </w:p>
        <w:p w14:paraId="6FB1F44C" w14:textId="194A3E44" w:rsidR="004F06F4" w:rsidRDefault="004F06F4">
          <w:pPr>
            <w:pStyle w:val="TOC2"/>
            <w:tabs>
              <w:tab w:val="right" w:leader="dot" w:pos="9350"/>
            </w:tabs>
            <w:rPr>
              <w:rFonts w:eastAsiaTheme="minorEastAsia"/>
              <w:noProof/>
              <w:kern w:val="2"/>
              <w:sz w:val="24"/>
              <w:szCs w:val="24"/>
              <w:lang w:val="en-US"/>
              <w14:ligatures w14:val="standardContextual"/>
            </w:rPr>
          </w:pPr>
          <w:hyperlink w:anchor="_Toc208574086" w:history="1">
            <w:r w:rsidRPr="004C3D68">
              <w:rPr>
                <w:rStyle w:val="Hyperlink"/>
                <w:rFonts w:cstheme="minorHAnsi"/>
                <w:noProof/>
              </w:rPr>
              <w:t>Embauche de fonctionnaires et d’employés du Gouvernement</w:t>
            </w:r>
            <w:r>
              <w:rPr>
                <w:noProof/>
                <w:webHidden/>
              </w:rPr>
              <w:tab/>
            </w:r>
            <w:r>
              <w:rPr>
                <w:noProof/>
                <w:webHidden/>
              </w:rPr>
              <w:fldChar w:fldCharType="begin"/>
            </w:r>
            <w:r>
              <w:rPr>
                <w:noProof/>
                <w:webHidden/>
              </w:rPr>
              <w:instrText xml:space="preserve"> PAGEREF _Toc208574086 \h </w:instrText>
            </w:r>
            <w:r>
              <w:rPr>
                <w:noProof/>
                <w:webHidden/>
              </w:rPr>
            </w:r>
            <w:r>
              <w:rPr>
                <w:noProof/>
                <w:webHidden/>
              </w:rPr>
              <w:fldChar w:fldCharType="separate"/>
            </w:r>
            <w:r>
              <w:rPr>
                <w:noProof/>
                <w:webHidden/>
              </w:rPr>
              <w:t>26</w:t>
            </w:r>
            <w:r>
              <w:rPr>
                <w:noProof/>
                <w:webHidden/>
              </w:rPr>
              <w:fldChar w:fldCharType="end"/>
            </w:r>
          </w:hyperlink>
        </w:p>
        <w:p w14:paraId="18F5FF59" w14:textId="49130CEE" w:rsidR="004F06F4" w:rsidRDefault="004F06F4">
          <w:pPr>
            <w:pStyle w:val="TOC2"/>
            <w:tabs>
              <w:tab w:val="right" w:leader="dot" w:pos="9350"/>
            </w:tabs>
            <w:rPr>
              <w:rFonts w:eastAsiaTheme="minorEastAsia"/>
              <w:noProof/>
              <w:kern w:val="2"/>
              <w:sz w:val="24"/>
              <w:szCs w:val="24"/>
              <w:lang w:val="en-US"/>
              <w14:ligatures w14:val="standardContextual"/>
            </w:rPr>
          </w:pPr>
          <w:hyperlink w:anchor="_Toc208574087" w:history="1">
            <w:r w:rsidRPr="004C3D68">
              <w:rPr>
                <w:rStyle w:val="Hyperlink"/>
                <w:rFonts w:cstheme="minorHAnsi"/>
                <w:noProof/>
              </w:rPr>
              <w:t>Engagement d’anciens membres du personnel de l’Organisation des Nations Unies ou de membres retraités</w:t>
            </w:r>
            <w:r>
              <w:rPr>
                <w:noProof/>
                <w:webHidden/>
              </w:rPr>
              <w:tab/>
            </w:r>
            <w:r>
              <w:rPr>
                <w:noProof/>
                <w:webHidden/>
              </w:rPr>
              <w:fldChar w:fldCharType="begin"/>
            </w:r>
            <w:r>
              <w:rPr>
                <w:noProof/>
                <w:webHidden/>
              </w:rPr>
              <w:instrText xml:space="preserve"> PAGEREF _Toc208574087 \h </w:instrText>
            </w:r>
            <w:r>
              <w:rPr>
                <w:noProof/>
                <w:webHidden/>
              </w:rPr>
            </w:r>
            <w:r>
              <w:rPr>
                <w:noProof/>
                <w:webHidden/>
              </w:rPr>
              <w:fldChar w:fldCharType="separate"/>
            </w:r>
            <w:r>
              <w:rPr>
                <w:noProof/>
                <w:webHidden/>
              </w:rPr>
              <w:t>26</w:t>
            </w:r>
            <w:r>
              <w:rPr>
                <w:noProof/>
                <w:webHidden/>
              </w:rPr>
              <w:fldChar w:fldCharType="end"/>
            </w:r>
          </w:hyperlink>
        </w:p>
        <w:p w14:paraId="3051C263" w14:textId="128582A2" w:rsidR="004F06F4" w:rsidRDefault="004F06F4">
          <w:pPr>
            <w:pStyle w:val="TOC1"/>
            <w:tabs>
              <w:tab w:val="right" w:leader="dot" w:pos="9350"/>
            </w:tabs>
            <w:rPr>
              <w:rFonts w:eastAsiaTheme="minorEastAsia"/>
              <w:noProof/>
              <w:kern w:val="2"/>
              <w:sz w:val="24"/>
              <w:szCs w:val="24"/>
              <w:lang w:val="en-US"/>
              <w14:ligatures w14:val="standardContextual"/>
            </w:rPr>
          </w:pPr>
          <w:hyperlink w:anchor="_Toc208574088" w:history="1">
            <w:r w:rsidRPr="004C3D68">
              <w:rPr>
                <w:rStyle w:val="Hyperlink"/>
                <w:rFonts w:cstheme="minorHAnsi"/>
                <w:noProof/>
              </w:rPr>
              <w:t>Conditions d’engagement d'anciens membres du personnel de l’Organisation des Nations Unies ou des membres retraités</w:t>
            </w:r>
            <w:r>
              <w:rPr>
                <w:noProof/>
                <w:webHidden/>
              </w:rPr>
              <w:tab/>
            </w:r>
            <w:r>
              <w:rPr>
                <w:noProof/>
                <w:webHidden/>
              </w:rPr>
              <w:fldChar w:fldCharType="begin"/>
            </w:r>
            <w:r>
              <w:rPr>
                <w:noProof/>
                <w:webHidden/>
              </w:rPr>
              <w:instrText xml:space="preserve"> PAGEREF _Toc208574088 \h </w:instrText>
            </w:r>
            <w:r>
              <w:rPr>
                <w:noProof/>
                <w:webHidden/>
              </w:rPr>
            </w:r>
            <w:r>
              <w:rPr>
                <w:noProof/>
                <w:webHidden/>
              </w:rPr>
              <w:fldChar w:fldCharType="separate"/>
            </w:r>
            <w:r>
              <w:rPr>
                <w:noProof/>
                <w:webHidden/>
              </w:rPr>
              <w:t>26</w:t>
            </w:r>
            <w:r>
              <w:rPr>
                <w:noProof/>
                <w:webHidden/>
              </w:rPr>
              <w:fldChar w:fldCharType="end"/>
            </w:r>
          </w:hyperlink>
        </w:p>
        <w:p w14:paraId="4B9B2DA0" w14:textId="0D3ADA28" w:rsidR="004F06F4" w:rsidRDefault="004F06F4">
          <w:pPr>
            <w:pStyle w:val="TOC1"/>
            <w:tabs>
              <w:tab w:val="right" w:leader="dot" w:pos="9350"/>
            </w:tabs>
            <w:rPr>
              <w:rFonts w:eastAsiaTheme="minorEastAsia"/>
              <w:noProof/>
              <w:kern w:val="2"/>
              <w:sz w:val="24"/>
              <w:szCs w:val="24"/>
              <w:lang w:val="en-US"/>
              <w14:ligatures w14:val="standardContextual"/>
            </w:rPr>
          </w:pPr>
          <w:hyperlink w:anchor="_Toc208574089" w:history="1">
            <w:r w:rsidRPr="004C3D68">
              <w:rPr>
                <w:rStyle w:val="Hyperlink"/>
                <w:rFonts w:cstheme="minorHAnsi"/>
                <w:noProof/>
              </w:rPr>
              <w:t>Directives complémentaires :</w:t>
            </w:r>
            <w:r>
              <w:rPr>
                <w:noProof/>
                <w:webHidden/>
              </w:rPr>
              <w:tab/>
            </w:r>
            <w:r>
              <w:rPr>
                <w:noProof/>
                <w:webHidden/>
              </w:rPr>
              <w:fldChar w:fldCharType="begin"/>
            </w:r>
            <w:r>
              <w:rPr>
                <w:noProof/>
                <w:webHidden/>
              </w:rPr>
              <w:instrText xml:space="preserve"> PAGEREF _Toc208574089 \h </w:instrText>
            </w:r>
            <w:r>
              <w:rPr>
                <w:noProof/>
                <w:webHidden/>
              </w:rPr>
            </w:r>
            <w:r>
              <w:rPr>
                <w:noProof/>
                <w:webHidden/>
              </w:rPr>
              <w:fldChar w:fldCharType="separate"/>
            </w:r>
            <w:r>
              <w:rPr>
                <w:noProof/>
                <w:webHidden/>
              </w:rPr>
              <w:t>27</w:t>
            </w:r>
            <w:r>
              <w:rPr>
                <w:noProof/>
                <w:webHidden/>
              </w:rPr>
              <w:fldChar w:fldCharType="end"/>
            </w:r>
          </w:hyperlink>
        </w:p>
        <w:p w14:paraId="1B322EEA" w14:textId="36CF0B58" w:rsidR="004F06F4" w:rsidRDefault="004F06F4">
          <w:pPr>
            <w:pStyle w:val="TOC1"/>
            <w:tabs>
              <w:tab w:val="right" w:leader="dot" w:pos="9350"/>
            </w:tabs>
            <w:rPr>
              <w:rFonts w:eastAsiaTheme="minorEastAsia"/>
              <w:noProof/>
              <w:kern w:val="2"/>
              <w:sz w:val="24"/>
              <w:szCs w:val="24"/>
              <w:lang w:val="en-US"/>
              <w14:ligatures w14:val="standardContextual"/>
            </w:rPr>
          </w:pPr>
          <w:hyperlink w:anchor="_Toc208574090" w:history="1">
            <w:r w:rsidRPr="004C3D68">
              <w:rPr>
                <w:rStyle w:val="Hyperlink"/>
                <w:rFonts w:cstheme="minorHAnsi"/>
                <w:noProof/>
              </w:rPr>
              <w:t>Détermination des honoraires des anciens fonctionnaires</w:t>
            </w:r>
            <w:r>
              <w:rPr>
                <w:noProof/>
                <w:webHidden/>
              </w:rPr>
              <w:tab/>
            </w:r>
            <w:r>
              <w:rPr>
                <w:noProof/>
                <w:webHidden/>
              </w:rPr>
              <w:fldChar w:fldCharType="begin"/>
            </w:r>
            <w:r>
              <w:rPr>
                <w:noProof/>
                <w:webHidden/>
              </w:rPr>
              <w:instrText xml:space="preserve"> PAGEREF _Toc208574090 \h </w:instrText>
            </w:r>
            <w:r>
              <w:rPr>
                <w:noProof/>
                <w:webHidden/>
              </w:rPr>
            </w:r>
            <w:r>
              <w:rPr>
                <w:noProof/>
                <w:webHidden/>
              </w:rPr>
              <w:fldChar w:fldCharType="separate"/>
            </w:r>
            <w:r>
              <w:rPr>
                <w:noProof/>
                <w:webHidden/>
              </w:rPr>
              <w:t>27</w:t>
            </w:r>
            <w:r>
              <w:rPr>
                <w:noProof/>
                <w:webHidden/>
              </w:rPr>
              <w:fldChar w:fldCharType="end"/>
            </w:r>
          </w:hyperlink>
        </w:p>
        <w:p w14:paraId="6F3E8E0A" w14:textId="670ADCDF" w:rsidR="004F06F4" w:rsidRDefault="004F06F4">
          <w:pPr>
            <w:pStyle w:val="TOC1"/>
            <w:tabs>
              <w:tab w:val="right" w:leader="dot" w:pos="9350"/>
            </w:tabs>
            <w:rPr>
              <w:rFonts w:eastAsiaTheme="minorEastAsia"/>
              <w:noProof/>
              <w:kern w:val="2"/>
              <w:sz w:val="24"/>
              <w:szCs w:val="24"/>
              <w:lang w:val="en-US"/>
              <w14:ligatures w14:val="standardContextual"/>
            </w:rPr>
          </w:pPr>
          <w:hyperlink w:anchor="_Toc208574091" w:history="1">
            <w:r w:rsidRPr="004C3D68">
              <w:rPr>
                <w:rStyle w:val="Hyperlink"/>
                <w:rFonts w:cstheme="minorHAnsi"/>
                <w:noProof/>
              </w:rPr>
              <w:t>Restrictions applicables aux anciens membres du personnel percevant une pension de retraite</w:t>
            </w:r>
            <w:r>
              <w:rPr>
                <w:noProof/>
                <w:webHidden/>
              </w:rPr>
              <w:tab/>
            </w:r>
            <w:r>
              <w:rPr>
                <w:noProof/>
                <w:webHidden/>
              </w:rPr>
              <w:fldChar w:fldCharType="begin"/>
            </w:r>
            <w:r>
              <w:rPr>
                <w:noProof/>
                <w:webHidden/>
              </w:rPr>
              <w:instrText xml:space="preserve"> PAGEREF _Toc208574091 \h </w:instrText>
            </w:r>
            <w:r>
              <w:rPr>
                <w:noProof/>
                <w:webHidden/>
              </w:rPr>
            </w:r>
            <w:r>
              <w:rPr>
                <w:noProof/>
                <w:webHidden/>
              </w:rPr>
              <w:fldChar w:fldCharType="separate"/>
            </w:r>
            <w:r>
              <w:rPr>
                <w:noProof/>
                <w:webHidden/>
              </w:rPr>
              <w:t>27</w:t>
            </w:r>
            <w:r>
              <w:rPr>
                <w:noProof/>
                <w:webHidden/>
              </w:rPr>
              <w:fldChar w:fldCharType="end"/>
            </w:r>
          </w:hyperlink>
        </w:p>
        <w:p w14:paraId="4DDBF6F7" w14:textId="6E427099" w:rsidR="004F06F4" w:rsidRDefault="004F06F4">
          <w:pPr>
            <w:pStyle w:val="TOC2"/>
            <w:tabs>
              <w:tab w:val="right" w:leader="dot" w:pos="9350"/>
            </w:tabs>
            <w:rPr>
              <w:rFonts w:eastAsiaTheme="minorEastAsia"/>
              <w:noProof/>
              <w:kern w:val="2"/>
              <w:sz w:val="24"/>
              <w:szCs w:val="24"/>
              <w:lang w:val="en-US"/>
              <w14:ligatures w14:val="standardContextual"/>
            </w:rPr>
          </w:pPr>
          <w:hyperlink w:anchor="_Toc208574092" w:history="1">
            <w:r w:rsidRPr="004C3D68">
              <w:rPr>
                <w:rStyle w:val="Hyperlink"/>
                <w:rFonts w:cstheme="minorHAnsi"/>
                <w:noProof/>
              </w:rPr>
              <w:t>Engagement de proches parents des membres du personnel de l’Organisation des Nations Unies</w:t>
            </w:r>
            <w:r>
              <w:rPr>
                <w:noProof/>
                <w:webHidden/>
              </w:rPr>
              <w:tab/>
            </w:r>
            <w:r>
              <w:rPr>
                <w:noProof/>
                <w:webHidden/>
              </w:rPr>
              <w:fldChar w:fldCharType="begin"/>
            </w:r>
            <w:r>
              <w:rPr>
                <w:noProof/>
                <w:webHidden/>
              </w:rPr>
              <w:instrText xml:space="preserve"> PAGEREF _Toc208574092 \h </w:instrText>
            </w:r>
            <w:r>
              <w:rPr>
                <w:noProof/>
                <w:webHidden/>
              </w:rPr>
            </w:r>
            <w:r>
              <w:rPr>
                <w:noProof/>
                <w:webHidden/>
              </w:rPr>
              <w:fldChar w:fldCharType="separate"/>
            </w:r>
            <w:r>
              <w:rPr>
                <w:noProof/>
                <w:webHidden/>
              </w:rPr>
              <w:t>27</w:t>
            </w:r>
            <w:r>
              <w:rPr>
                <w:noProof/>
                <w:webHidden/>
              </w:rPr>
              <w:fldChar w:fldCharType="end"/>
            </w:r>
          </w:hyperlink>
        </w:p>
        <w:p w14:paraId="0A9E39C6" w14:textId="7AD87E6B" w:rsidR="004F06F4" w:rsidRDefault="004F06F4">
          <w:pPr>
            <w:pStyle w:val="TOC2"/>
            <w:tabs>
              <w:tab w:val="right" w:leader="dot" w:pos="9350"/>
            </w:tabs>
            <w:rPr>
              <w:rFonts w:eastAsiaTheme="minorEastAsia"/>
              <w:noProof/>
              <w:kern w:val="2"/>
              <w:sz w:val="24"/>
              <w:szCs w:val="24"/>
              <w:lang w:val="en-US"/>
              <w14:ligatures w14:val="standardContextual"/>
            </w:rPr>
          </w:pPr>
          <w:hyperlink w:anchor="_Toc208574093" w:history="1">
            <w:r w:rsidRPr="004C3D68">
              <w:rPr>
                <w:rStyle w:val="Hyperlink"/>
                <w:rFonts w:cstheme="minorHAnsi"/>
                <w:noProof/>
              </w:rPr>
              <w:t>Engagement de consultants contractés par d’ autres unités administratives du PNUD</w:t>
            </w:r>
            <w:r>
              <w:rPr>
                <w:noProof/>
                <w:webHidden/>
              </w:rPr>
              <w:tab/>
            </w:r>
            <w:r>
              <w:rPr>
                <w:noProof/>
                <w:webHidden/>
              </w:rPr>
              <w:fldChar w:fldCharType="begin"/>
            </w:r>
            <w:r>
              <w:rPr>
                <w:noProof/>
                <w:webHidden/>
              </w:rPr>
              <w:instrText xml:space="preserve"> PAGEREF _Toc208574093 \h </w:instrText>
            </w:r>
            <w:r>
              <w:rPr>
                <w:noProof/>
                <w:webHidden/>
              </w:rPr>
            </w:r>
            <w:r>
              <w:rPr>
                <w:noProof/>
                <w:webHidden/>
              </w:rPr>
              <w:fldChar w:fldCharType="separate"/>
            </w:r>
            <w:r>
              <w:rPr>
                <w:noProof/>
                <w:webHidden/>
              </w:rPr>
              <w:t>28</w:t>
            </w:r>
            <w:r>
              <w:rPr>
                <w:noProof/>
                <w:webHidden/>
              </w:rPr>
              <w:fldChar w:fldCharType="end"/>
            </w:r>
          </w:hyperlink>
        </w:p>
        <w:p w14:paraId="731B24D0" w14:textId="0F297B45" w:rsidR="004F06F4" w:rsidRDefault="004F06F4">
          <w:pPr>
            <w:pStyle w:val="TOC2"/>
            <w:tabs>
              <w:tab w:val="right" w:leader="dot" w:pos="9350"/>
            </w:tabs>
            <w:rPr>
              <w:rFonts w:eastAsiaTheme="minorEastAsia"/>
              <w:noProof/>
              <w:kern w:val="2"/>
              <w:sz w:val="24"/>
              <w:szCs w:val="24"/>
              <w:lang w:val="en-US"/>
              <w14:ligatures w14:val="standardContextual"/>
            </w:rPr>
          </w:pPr>
          <w:hyperlink w:anchor="_Toc208574094" w:history="1">
            <w:r w:rsidRPr="004C3D68">
              <w:rPr>
                <w:rStyle w:val="Hyperlink"/>
                <w:rFonts w:cstheme="minorHAnsi"/>
                <w:bCs/>
                <w:iCs/>
                <w:noProof/>
              </w:rPr>
              <w:t>Directives complémentaires :</w:t>
            </w:r>
            <w:r>
              <w:rPr>
                <w:noProof/>
                <w:webHidden/>
              </w:rPr>
              <w:tab/>
            </w:r>
            <w:r>
              <w:rPr>
                <w:noProof/>
                <w:webHidden/>
              </w:rPr>
              <w:fldChar w:fldCharType="begin"/>
            </w:r>
            <w:r>
              <w:rPr>
                <w:noProof/>
                <w:webHidden/>
              </w:rPr>
              <w:instrText xml:space="preserve"> PAGEREF _Toc208574094 \h </w:instrText>
            </w:r>
            <w:r>
              <w:rPr>
                <w:noProof/>
                <w:webHidden/>
              </w:rPr>
            </w:r>
            <w:r>
              <w:rPr>
                <w:noProof/>
                <w:webHidden/>
              </w:rPr>
              <w:fldChar w:fldCharType="separate"/>
            </w:r>
            <w:r>
              <w:rPr>
                <w:noProof/>
                <w:webHidden/>
              </w:rPr>
              <w:t>29</w:t>
            </w:r>
            <w:r>
              <w:rPr>
                <w:noProof/>
                <w:webHidden/>
              </w:rPr>
              <w:fldChar w:fldCharType="end"/>
            </w:r>
          </w:hyperlink>
        </w:p>
        <w:p w14:paraId="73602F21" w14:textId="2C25E69B" w:rsidR="004F06F4" w:rsidRDefault="004F06F4">
          <w:pPr>
            <w:pStyle w:val="TOC2"/>
            <w:tabs>
              <w:tab w:val="right" w:leader="dot" w:pos="9350"/>
            </w:tabs>
            <w:rPr>
              <w:rFonts w:eastAsiaTheme="minorEastAsia"/>
              <w:noProof/>
              <w:kern w:val="2"/>
              <w:sz w:val="24"/>
              <w:szCs w:val="24"/>
              <w:lang w:val="en-US"/>
              <w14:ligatures w14:val="standardContextual"/>
            </w:rPr>
          </w:pPr>
          <w:hyperlink w:anchor="_Toc208574095" w:history="1">
            <w:r w:rsidRPr="004C3D68">
              <w:rPr>
                <w:rStyle w:val="Hyperlink"/>
                <w:rFonts w:cstheme="minorHAnsi"/>
                <w:noProof/>
              </w:rPr>
              <w:t>Interdiction d’engager le personnel des Nations Unies/du PNUD :</w:t>
            </w:r>
            <w:r>
              <w:rPr>
                <w:noProof/>
                <w:webHidden/>
              </w:rPr>
              <w:tab/>
            </w:r>
            <w:r>
              <w:rPr>
                <w:noProof/>
                <w:webHidden/>
              </w:rPr>
              <w:fldChar w:fldCharType="begin"/>
            </w:r>
            <w:r>
              <w:rPr>
                <w:noProof/>
                <w:webHidden/>
              </w:rPr>
              <w:instrText xml:space="preserve"> PAGEREF _Toc208574095 \h </w:instrText>
            </w:r>
            <w:r>
              <w:rPr>
                <w:noProof/>
                <w:webHidden/>
              </w:rPr>
            </w:r>
            <w:r>
              <w:rPr>
                <w:noProof/>
                <w:webHidden/>
              </w:rPr>
              <w:fldChar w:fldCharType="separate"/>
            </w:r>
            <w:r>
              <w:rPr>
                <w:noProof/>
                <w:webHidden/>
              </w:rPr>
              <w:t>29</w:t>
            </w:r>
            <w:r>
              <w:rPr>
                <w:noProof/>
                <w:webHidden/>
              </w:rPr>
              <w:fldChar w:fldCharType="end"/>
            </w:r>
          </w:hyperlink>
        </w:p>
        <w:p w14:paraId="4BFCF0A9" w14:textId="102E438F" w:rsidR="004F06F4" w:rsidRDefault="004F06F4">
          <w:pPr>
            <w:pStyle w:val="TOC1"/>
            <w:tabs>
              <w:tab w:val="right" w:leader="dot" w:pos="9350"/>
            </w:tabs>
            <w:rPr>
              <w:rFonts w:eastAsiaTheme="minorEastAsia"/>
              <w:noProof/>
              <w:kern w:val="2"/>
              <w:sz w:val="24"/>
              <w:szCs w:val="24"/>
              <w:lang w:val="en-US"/>
              <w14:ligatures w14:val="standardContextual"/>
            </w:rPr>
          </w:pPr>
          <w:hyperlink w:anchor="_Toc208574096" w:history="1">
            <w:r w:rsidRPr="004C3D68">
              <w:rPr>
                <w:rStyle w:val="Hyperlink"/>
                <w:rFonts w:cstheme="minorHAnsi"/>
                <w:noProof/>
              </w:rPr>
              <w:t>Établissement de contrat individuel :</w:t>
            </w:r>
            <w:r>
              <w:rPr>
                <w:noProof/>
                <w:webHidden/>
              </w:rPr>
              <w:tab/>
            </w:r>
            <w:r>
              <w:rPr>
                <w:noProof/>
                <w:webHidden/>
              </w:rPr>
              <w:fldChar w:fldCharType="begin"/>
            </w:r>
            <w:r>
              <w:rPr>
                <w:noProof/>
                <w:webHidden/>
              </w:rPr>
              <w:instrText xml:space="preserve"> PAGEREF _Toc208574096 \h </w:instrText>
            </w:r>
            <w:r>
              <w:rPr>
                <w:noProof/>
                <w:webHidden/>
              </w:rPr>
            </w:r>
            <w:r>
              <w:rPr>
                <w:noProof/>
                <w:webHidden/>
              </w:rPr>
              <w:fldChar w:fldCharType="separate"/>
            </w:r>
            <w:r>
              <w:rPr>
                <w:noProof/>
                <w:webHidden/>
              </w:rPr>
              <w:t>29</w:t>
            </w:r>
            <w:r>
              <w:rPr>
                <w:noProof/>
                <w:webHidden/>
              </w:rPr>
              <w:fldChar w:fldCharType="end"/>
            </w:r>
          </w:hyperlink>
        </w:p>
        <w:p w14:paraId="41A95DFC" w14:textId="60695CD0" w:rsidR="004F06F4" w:rsidRDefault="004F06F4">
          <w:pPr>
            <w:pStyle w:val="TOC2"/>
            <w:tabs>
              <w:tab w:val="right" w:leader="dot" w:pos="9350"/>
            </w:tabs>
            <w:rPr>
              <w:rFonts w:eastAsiaTheme="minorEastAsia"/>
              <w:noProof/>
              <w:kern w:val="2"/>
              <w:sz w:val="24"/>
              <w:szCs w:val="24"/>
              <w:lang w:val="en-US"/>
              <w14:ligatures w14:val="standardContextual"/>
            </w:rPr>
          </w:pPr>
          <w:hyperlink w:anchor="_Toc208574097" w:history="1">
            <w:r w:rsidRPr="004C3D68">
              <w:rPr>
                <w:rStyle w:val="Hyperlink"/>
                <w:rFonts w:cstheme="minorHAnsi"/>
                <w:noProof/>
              </w:rPr>
              <w:t>Accord de prêt remboursable</w:t>
            </w:r>
            <w:r>
              <w:rPr>
                <w:noProof/>
                <w:webHidden/>
              </w:rPr>
              <w:tab/>
            </w:r>
            <w:r>
              <w:rPr>
                <w:noProof/>
                <w:webHidden/>
              </w:rPr>
              <w:fldChar w:fldCharType="begin"/>
            </w:r>
            <w:r>
              <w:rPr>
                <w:noProof/>
                <w:webHidden/>
              </w:rPr>
              <w:instrText xml:space="preserve"> PAGEREF _Toc208574097 \h </w:instrText>
            </w:r>
            <w:r>
              <w:rPr>
                <w:noProof/>
                <w:webHidden/>
              </w:rPr>
            </w:r>
            <w:r>
              <w:rPr>
                <w:noProof/>
                <w:webHidden/>
              </w:rPr>
              <w:fldChar w:fldCharType="separate"/>
            </w:r>
            <w:r>
              <w:rPr>
                <w:noProof/>
                <w:webHidden/>
              </w:rPr>
              <w:t>29</w:t>
            </w:r>
            <w:r>
              <w:rPr>
                <w:noProof/>
                <w:webHidden/>
              </w:rPr>
              <w:fldChar w:fldCharType="end"/>
            </w:r>
          </w:hyperlink>
        </w:p>
        <w:p w14:paraId="1987572E" w14:textId="222FB195" w:rsidR="004F06F4" w:rsidRDefault="004F06F4">
          <w:pPr>
            <w:pStyle w:val="TOC1"/>
            <w:tabs>
              <w:tab w:val="right" w:leader="dot" w:pos="9350"/>
            </w:tabs>
            <w:rPr>
              <w:rFonts w:eastAsiaTheme="minorEastAsia"/>
              <w:noProof/>
              <w:kern w:val="2"/>
              <w:sz w:val="24"/>
              <w:szCs w:val="24"/>
              <w:lang w:val="en-US"/>
              <w14:ligatures w14:val="standardContextual"/>
            </w:rPr>
          </w:pPr>
          <w:hyperlink w:anchor="_Toc208574098" w:history="1">
            <w:r w:rsidRPr="004C3D68">
              <w:rPr>
                <w:rStyle w:val="Hyperlink"/>
                <w:rFonts w:cstheme="minorHAnsi"/>
                <w:noProof/>
              </w:rPr>
              <w:t>Directives complémentaires :</w:t>
            </w:r>
            <w:r>
              <w:rPr>
                <w:noProof/>
                <w:webHidden/>
              </w:rPr>
              <w:tab/>
            </w:r>
            <w:r>
              <w:rPr>
                <w:noProof/>
                <w:webHidden/>
              </w:rPr>
              <w:fldChar w:fldCharType="begin"/>
            </w:r>
            <w:r>
              <w:rPr>
                <w:noProof/>
                <w:webHidden/>
              </w:rPr>
              <w:instrText xml:space="preserve"> PAGEREF _Toc208574098 \h </w:instrText>
            </w:r>
            <w:r>
              <w:rPr>
                <w:noProof/>
                <w:webHidden/>
              </w:rPr>
            </w:r>
            <w:r>
              <w:rPr>
                <w:noProof/>
                <w:webHidden/>
              </w:rPr>
              <w:fldChar w:fldCharType="separate"/>
            </w:r>
            <w:r>
              <w:rPr>
                <w:noProof/>
                <w:webHidden/>
              </w:rPr>
              <w:t>30</w:t>
            </w:r>
            <w:r>
              <w:rPr>
                <w:noProof/>
                <w:webHidden/>
              </w:rPr>
              <w:fldChar w:fldCharType="end"/>
            </w:r>
          </w:hyperlink>
        </w:p>
        <w:p w14:paraId="78282FE3" w14:textId="4B227523" w:rsidR="004F06F4" w:rsidRDefault="004F06F4">
          <w:pPr>
            <w:pStyle w:val="TOC3"/>
            <w:tabs>
              <w:tab w:val="left" w:pos="880"/>
              <w:tab w:val="right" w:leader="dot" w:pos="9350"/>
            </w:tabs>
            <w:rPr>
              <w:noProof/>
              <w:kern w:val="2"/>
              <w:sz w:val="24"/>
              <w:szCs w:val="24"/>
              <w:lang w:val="en-US" w:eastAsia="en-US"/>
              <w14:ligatures w14:val="standardContextual"/>
            </w:rPr>
          </w:pPr>
          <w:hyperlink w:anchor="_Toc208574099" w:history="1">
            <w:r w:rsidRPr="004C3D68">
              <w:rPr>
                <w:rStyle w:val="Hyperlink"/>
                <w:rFonts w:cstheme="minorHAnsi"/>
                <w:noProof/>
              </w:rPr>
              <w:t>a.</w:t>
            </w:r>
            <w:r>
              <w:rPr>
                <w:noProof/>
                <w:kern w:val="2"/>
                <w:sz w:val="24"/>
                <w:szCs w:val="24"/>
                <w:lang w:val="en-US" w:eastAsia="en-US"/>
                <w14:ligatures w14:val="standardContextual"/>
              </w:rPr>
              <w:tab/>
            </w:r>
            <w:r w:rsidRPr="004C3D68">
              <w:rPr>
                <w:rStyle w:val="Hyperlink"/>
                <w:rFonts w:cstheme="minorHAnsi"/>
                <w:noProof/>
              </w:rPr>
              <w:t>Le contrat individuel comme accord-cadre</w:t>
            </w:r>
            <w:r>
              <w:rPr>
                <w:noProof/>
                <w:webHidden/>
              </w:rPr>
              <w:tab/>
            </w:r>
            <w:r>
              <w:rPr>
                <w:noProof/>
                <w:webHidden/>
              </w:rPr>
              <w:fldChar w:fldCharType="begin"/>
            </w:r>
            <w:r>
              <w:rPr>
                <w:noProof/>
                <w:webHidden/>
              </w:rPr>
              <w:instrText xml:space="preserve"> PAGEREF _Toc208574099 \h </w:instrText>
            </w:r>
            <w:r>
              <w:rPr>
                <w:noProof/>
                <w:webHidden/>
              </w:rPr>
            </w:r>
            <w:r>
              <w:rPr>
                <w:noProof/>
                <w:webHidden/>
              </w:rPr>
              <w:fldChar w:fldCharType="separate"/>
            </w:r>
            <w:r>
              <w:rPr>
                <w:noProof/>
                <w:webHidden/>
              </w:rPr>
              <w:t>30</w:t>
            </w:r>
            <w:r>
              <w:rPr>
                <w:noProof/>
                <w:webHidden/>
              </w:rPr>
              <w:fldChar w:fldCharType="end"/>
            </w:r>
          </w:hyperlink>
        </w:p>
        <w:p w14:paraId="38C20FCD" w14:textId="5A5786E3" w:rsidR="004F06F4" w:rsidRDefault="004F06F4">
          <w:pPr>
            <w:pStyle w:val="TOC3"/>
            <w:tabs>
              <w:tab w:val="left" w:pos="880"/>
              <w:tab w:val="right" w:leader="dot" w:pos="9350"/>
            </w:tabs>
            <w:rPr>
              <w:noProof/>
              <w:kern w:val="2"/>
              <w:sz w:val="24"/>
              <w:szCs w:val="24"/>
              <w:lang w:val="en-US" w:eastAsia="en-US"/>
              <w14:ligatures w14:val="standardContextual"/>
            </w:rPr>
          </w:pPr>
          <w:hyperlink w:anchor="_Toc208574100" w:history="1">
            <w:r w:rsidRPr="004C3D68">
              <w:rPr>
                <w:rStyle w:val="Hyperlink"/>
                <w:rFonts w:cstheme="minorHAnsi"/>
                <w:noProof/>
              </w:rPr>
              <w:t>b.</w:t>
            </w:r>
            <w:r>
              <w:rPr>
                <w:noProof/>
                <w:kern w:val="2"/>
                <w:sz w:val="24"/>
                <w:szCs w:val="24"/>
                <w:lang w:val="en-US" w:eastAsia="en-US"/>
                <w14:ligatures w14:val="standardContextual"/>
              </w:rPr>
              <w:tab/>
            </w:r>
            <w:r w:rsidRPr="004C3D68">
              <w:rPr>
                <w:rStyle w:val="Hyperlink"/>
                <w:rFonts w:cstheme="minorHAnsi"/>
                <w:noProof/>
              </w:rPr>
              <w:t>Directives complémentaires :</w:t>
            </w:r>
            <w:r>
              <w:rPr>
                <w:noProof/>
                <w:webHidden/>
              </w:rPr>
              <w:tab/>
            </w:r>
            <w:r>
              <w:rPr>
                <w:noProof/>
                <w:webHidden/>
              </w:rPr>
              <w:fldChar w:fldCharType="begin"/>
            </w:r>
            <w:r>
              <w:rPr>
                <w:noProof/>
                <w:webHidden/>
              </w:rPr>
              <w:instrText xml:space="preserve"> PAGEREF _Toc208574100 \h </w:instrText>
            </w:r>
            <w:r>
              <w:rPr>
                <w:noProof/>
                <w:webHidden/>
              </w:rPr>
            </w:r>
            <w:r>
              <w:rPr>
                <w:noProof/>
                <w:webHidden/>
              </w:rPr>
              <w:fldChar w:fldCharType="separate"/>
            </w:r>
            <w:r>
              <w:rPr>
                <w:noProof/>
                <w:webHidden/>
              </w:rPr>
              <w:t>31</w:t>
            </w:r>
            <w:r>
              <w:rPr>
                <w:noProof/>
                <w:webHidden/>
              </w:rPr>
              <w:fldChar w:fldCharType="end"/>
            </w:r>
          </w:hyperlink>
        </w:p>
        <w:p w14:paraId="07E4FA87" w14:textId="75F306EE" w:rsidR="004F06F4" w:rsidRDefault="004F06F4">
          <w:pPr>
            <w:pStyle w:val="TOC3"/>
            <w:tabs>
              <w:tab w:val="left" w:pos="880"/>
              <w:tab w:val="right" w:leader="dot" w:pos="9350"/>
            </w:tabs>
            <w:rPr>
              <w:noProof/>
              <w:kern w:val="2"/>
              <w:sz w:val="24"/>
              <w:szCs w:val="24"/>
              <w:lang w:val="en-US" w:eastAsia="en-US"/>
              <w14:ligatures w14:val="standardContextual"/>
            </w:rPr>
          </w:pPr>
          <w:hyperlink w:anchor="_Toc208574101" w:history="1">
            <w:r w:rsidRPr="004C3D68">
              <w:rPr>
                <w:rStyle w:val="Hyperlink"/>
                <w:rFonts w:cstheme="minorHAnsi"/>
                <w:noProof/>
              </w:rPr>
              <w:t>c.</w:t>
            </w:r>
            <w:r>
              <w:rPr>
                <w:noProof/>
                <w:kern w:val="2"/>
                <w:sz w:val="24"/>
                <w:szCs w:val="24"/>
                <w:lang w:val="en-US" w:eastAsia="en-US"/>
                <w14:ligatures w14:val="standardContextual"/>
              </w:rPr>
              <w:tab/>
            </w:r>
            <w:r w:rsidRPr="004C3D68">
              <w:rPr>
                <w:rStyle w:val="Hyperlink"/>
                <w:rFonts w:cstheme="minorHAnsi"/>
                <w:noProof/>
              </w:rPr>
              <w:t>Date de début des services</w:t>
            </w:r>
            <w:r>
              <w:rPr>
                <w:noProof/>
                <w:webHidden/>
              </w:rPr>
              <w:tab/>
            </w:r>
            <w:r>
              <w:rPr>
                <w:noProof/>
                <w:webHidden/>
              </w:rPr>
              <w:fldChar w:fldCharType="begin"/>
            </w:r>
            <w:r>
              <w:rPr>
                <w:noProof/>
                <w:webHidden/>
              </w:rPr>
              <w:instrText xml:space="preserve"> PAGEREF _Toc208574101 \h </w:instrText>
            </w:r>
            <w:r>
              <w:rPr>
                <w:noProof/>
                <w:webHidden/>
              </w:rPr>
            </w:r>
            <w:r>
              <w:rPr>
                <w:noProof/>
                <w:webHidden/>
              </w:rPr>
              <w:fldChar w:fldCharType="separate"/>
            </w:r>
            <w:r>
              <w:rPr>
                <w:noProof/>
                <w:webHidden/>
              </w:rPr>
              <w:t>31</w:t>
            </w:r>
            <w:r>
              <w:rPr>
                <w:noProof/>
                <w:webHidden/>
              </w:rPr>
              <w:fldChar w:fldCharType="end"/>
            </w:r>
          </w:hyperlink>
        </w:p>
        <w:p w14:paraId="766BB25B" w14:textId="32DE2B14" w:rsidR="004F06F4" w:rsidRDefault="004F06F4">
          <w:pPr>
            <w:pStyle w:val="TOC3"/>
            <w:tabs>
              <w:tab w:val="left" w:pos="880"/>
              <w:tab w:val="right" w:leader="dot" w:pos="9350"/>
            </w:tabs>
            <w:rPr>
              <w:noProof/>
              <w:kern w:val="2"/>
              <w:sz w:val="24"/>
              <w:szCs w:val="24"/>
              <w:lang w:val="en-US" w:eastAsia="en-US"/>
              <w14:ligatures w14:val="standardContextual"/>
            </w:rPr>
          </w:pPr>
          <w:hyperlink w:anchor="_Toc208574102" w:history="1">
            <w:r w:rsidRPr="004C3D68">
              <w:rPr>
                <w:rStyle w:val="Hyperlink"/>
                <w:rFonts w:cstheme="minorHAnsi"/>
                <w:noProof/>
              </w:rPr>
              <w:t>d.</w:t>
            </w:r>
            <w:r>
              <w:rPr>
                <w:noProof/>
                <w:kern w:val="2"/>
                <w:sz w:val="24"/>
                <w:szCs w:val="24"/>
                <w:lang w:val="en-US" w:eastAsia="en-US"/>
                <w14:ligatures w14:val="standardContextual"/>
              </w:rPr>
              <w:tab/>
            </w:r>
            <w:r w:rsidRPr="004C3D68">
              <w:rPr>
                <w:rStyle w:val="Hyperlink"/>
                <w:rFonts w:cstheme="minorHAnsi"/>
                <w:noProof/>
              </w:rPr>
              <w:t>Contrats post-facto :</w:t>
            </w:r>
            <w:r>
              <w:rPr>
                <w:noProof/>
                <w:webHidden/>
              </w:rPr>
              <w:tab/>
            </w:r>
            <w:r>
              <w:rPr>
                <w:noProof/>
                <w:webHidden/>
              </w:rPr>
              <w:fldChar w:fldCharType="begin"/>
            </w:r>
            <w:r>
              <w:rPr>
                <w:noProof/>
                <w:webHidden/>
              </w:rPr>
              <w:instrText xml:space="preserve"> PAGEREF _Toc208574102 \h </w:instrText>
            </w:r>
            <w:r>
              <w:rPr>
                <w:noProof/>
                <w:webHidden/>
              </w:rPr>
            </w:r>
            <w:r>
              <w:rPr>
                <w:noProof/>
                <w:webHidden/>
              </w:rPr>
              <w:fldChar w:fldCharType="separate"/>
            </w:r>
            <w:r>
              <w:rPr>
                <w:noProof/>
                <w:webHidden/>
              </w:rPr>
              <w:t>32</w:t>
            </w:r>
            <w:r>
              <w:rPr>
                <w:noProof/>
                <w:webHidden/>
              </w:rPr>
              <w:fldChar w:fldCharType="end"/>
            </w:r>
          </w:hyperlink>
        </w:p>
        <w:p w14:paraId="1CA6386F" w14:textId="5573D2C3" w:rsidR="004F06F4" w:rsidRDefault="004F06F4">
          <w:pPr>
            <w:pStyle w:val="TOC1"/>
            <w:tabs>
              <w:tab w:val="right" w:leader="dot" w:pos="9350"/>
            </w:tabs>
            <w:rPr>
              <w:rFonts w:eastAsiaTheme="minorEastAsia"/>
              <w:noProof/>
              <w:kern w:val="2"/>
              <w:sz w:val="24"/>
              <w:szCs w:val="24"/>
              <w:lang w:val="en-US"/>
              <w14:ligatures w14:val="standardContextual"/>
            </w:rPr>
          </w:pPr>
          <w:hyperlink w:anchor="_Toc208574103" w:history="1">
            <w:r w:rsidRPr="004C3D68">
              <w:rPr>
                <w:rStyle w:val="Hyperlink"/>
                <w:rFonts w:cstheme="minorHAnsi"/>
                <w:noProof/>
              </w:rPr>
              <w:t>Statut juridique, droits et obligations d’un consultant</w:t>
            </w:r>
            <w:r>
              <w:rPr>
                <w:noProof/>
                <w:webHidden/>
              </w:rPr>
              <w:tab/>
            </w:r>
            <w:r>
              <w:rPr>
                <w:noProof/>
                <w:webHidden/>
              </w:rPr>
              <w:fldChar w:fldCharType="begin"/>
            </w:r>
            <w:r>
              <w:rPr>
                <w:noProof/>
                <w:webHidden/>
              </w:rPr>
              <w:instrText xml:space="preserve"> PAGEREF _Toc208574103 \h </w:instrText>
            </w:r>
            <w:r>
              <w:rPr>
                <w:noProof/>
                <w:webHidden/>
              </w:rPr>
            </w:r>
            <w:r>
              <w:rPr>
                <w:noProof/>
                <w:webHidden/>
              </w:rPr>
              <w:fldChar w:fldCharType="separate"/>
            </w:r>
            <w:r>
              <w:rPr>
                <w:noProof/>
                <w:webHidden/>
              </w:rPr>
              <w:t>32</w:t>
            </w:r>
            <w:r>
              <w:rPr>
                <w:noProof/>
                <w:webHidden/>
              </w:rPr>
              <w:fldChar w:fldCharType="end"/>
            </w:r>
          </w:hyperlink>
        </w:p>
        <w:p w14:paraId="2FCFB90A" w14:textId="044B4064" w:rsidR="004F06F4" w:rsidRDefault="004F06F4">
          <w:pPr>
            <w:pStyle w:val="TOC1"/>
            <w:tabs>
              <w:tab w:val="right" w:leader="dot" w:pos="9350"/>
            </w:tabs>
            <w:rPr>
              <w:rFonts w:eastAsiaTheme="minorEastAsia"/>
              <w:noProof/>
              <w:kern w:val="2"/>
              <w:sz w:val="24"/>
              <w:szCs w:val="24"/>
              <w:lang w:val="en-US"/>
              <w14:ligatures w14:val="standardContextual"/>
            </w:rPr>
          </w:pPr>
          <w:hyperlink w:anchor="_Toc208574104" w:history="1">
            <w:r w:rsidRPr="004C3D68">
              <w:rPr>
                <w:rStyle w:val="Hyperlink"/>
                <w:rFonts w:cstheme="minorHAnsi"/>
                <w:noProof/>
              </w:rPr>
              <w:t>Interdiction d’exploitation et d’abus sexuels</w:t>
            </w:r>
            <w:r>
              <w:rPr>
                <w:noProof/>
                <w:webHidden/>
              </w:rPr>
              <w:tab/>
            </w:r>
            <w:r>
              <w:rPr>
                <w:noProof/>
                <w:webHidden/>
              </w:rPr>
              <w:fldChar w:fldCharType="begin"/>
            </w:r>
            <w:r>
              <w:rPr>
                <w:noProof/>
                <w:webHidden/>
              </w:rPr>
              <w:instrText xml:space="preserve"> PAGEREF _Toc208574104 \h </w:instrText>
            </w:r>
            <w:r>
              <w:rPr>
                <w:noProof/>
                <w:webHidden/>
              </w:rPr>
            </w:r>
            <w:r>
              <w:rPr>
                <w:noProof/>
                <w:webHidden/>
              </w:rPr>
              <w:fldChar w:fldCharType="separate"/>
            </w:r>
            <w:r>
              <w:rPr>
                <w:noProof/>
                <w:webHidden/>
              </w:rPr>
              <w:t>33</w:t>
            </w:r>
            <w:r>
              <w:rPr>
                <w:noProof/>
                <w:webHidden/>
              </w:rPr>
              <w:fldChar w:fldCharType="end"/>
            </w:r>
          </w:hyperlink>
        </w:p>
        <w:p w14:paraId="4EFA8FBF" w14:textId="3BD77709" w:rsidR="004F06F4" w:rsidRDefault="004F06F4">
          <w:pPr>
            <w:pStyle w:val="TOC1"/>
            <w:tabs>
              <w:tab w:val="right" w:leader="dot" w:pos="9350"/>
            </w:tabs>
            <w:rPr>
              <w:rFonts w:eastAsiaTheme="minorEastAsia"/>
              <w:noProof/>
              <w:kern w:val="2"/>
              <w:sz w:val="24"/>
              <w:szCs w:val="24"/>
              <w:lang w:val="en-US"/>
              <w14:ligatures w14:val="standardContextual"/>
            </w:rPr>
          </w:pPr>
          <w:hyperlink w:anchor="_Toc208574105" w:history="1">
            <w:r w:rsidRPr="004C3D68">
              <w:rPr>
                <w:rStyle w:val="Hyperlink"/>
                <w:rFonts w:cstheme="minorHAnsi"/>
                <w:noProof/>
              </w:rPr>
              <w:t>Aucune relation employeur-employé</w:t>
            </w:r>
            <w:r>
              <w:rPr>
                <w:noProof/>
                <w:webHidden/>
              </w:rPr>
              <w:tab/>
            </w:r>
            <w:r>
              <w:rPr>
                <w:noProof/>
                <w:webHidden/>
              </w:rPr>
              <w:fldChar w:fldCharType="begin"/>
            </w:r>
            <w:r>
              <w:rPr>
                <w:noProof/>
                <w:webHidden/>
              </w:rPr>
              <w:instrText xml:space="preserve"> PAGEREF _Toc208574105 \h </w:instrText>
            </w:r>
            <w:r>
              <w:rPr>
                <w:noProof/>
                <w:webHidden/>
              </w:rPr>
            </w:r>
            <w:r>
              <w:rPr>
                <w:noProof/>
                <w:webHidden/>
              </w:rPr>
              <w:fldChar w:fldCharType="separate"/>
            </w:r>
            <w:r>
              <w:rPr>
                <w:noProof/>
                <w:webHidden/>
              </w:rPr>
              <w:t>33</w:t>
            </w:r>
            <w:r>
              <w:rPr>
                <w:noProof/>
                <w:webHidden/>
              </w:rPr>
              <w:fldChar w:fldCharType="end"/>
            </w:r>
          </w:hyperlink>
        </w:p>
        <w:p w14:paraId="7D69676D" w14:textId="64068C01" w:rsidR="004F06F4" w:rsidRDefault="004F06F4">
          <w:pPr>
            <w:pStyle w:val="TOC1"/>
            <w:tabs>
              <w:tab w:val="right" w:leader="dot" w:pos="9350"/>
            </w:tabs>
            <w:rPr>
              <w:rFonts w:eastAsiaTheme="minorEastAsia"/>
              <w:noProof/>
              <w:kern w:val="2"/>
              <w:sz w:val="24"/>
              <w:szCs w:val="24"/>
              <w:lang w:val="en-US"/>
              <w14:ligatures w14:val="standardContextual"/>
            </w:rPr>
          </w:pPr>
          <w:hyperlink w:anchor="_Toc208574106" w:history="1">
            <w:r w:rsidRPr="004C3D68">
              <w:rPr>
                <w:rStyle w:val="Hyperlink"/>
                <w:rFonts w:cstheme="minorHAnsi"/>
                <w:noProof/>
              </w:rPr>
              <w:t>Plan de sécurité</w:t>
            </w:r>
            <w:r>
              <w:rPr>
                <w:noProof/>
                <w:webHidden/>
              </w:rPr>
              <w:tab/>
            </w:r>
            <w:r>
              <w:rPr>
                <w:noProof/>
                <w:webHidden/>
              </w:rPr>
              <w:fldChar w:fldCharType="begin"/>
            </w:r>
            <w:r>
              <w:rPr>
                <w:noProof/>
                <w:webHidden/>
              </w:rPr>
              <w:instrText xml:space="preserve"> PAGEREF _Toc208574106 \h </w:instrText>
            </w:r>
            <w:r>
              <w:rPr>
                <w:noProof/>
                <w:webHidden/>
              </w:rPr>
            </w:r>
            <w:r>
              <w:rPr>
                <w:noProof/>
                <w:webHidden/>
              </w:rPr>
              <w:fldChar w:fldCharType="separate"/>
            </w:r>
            <w:r>
              <w:rPr>
                <w:noProof/>
                <w:webHidden/>
              </w:rPr>
              <w:t>33</w:t>
            </w:r>
            <w:r>
              <w:rPr>
                <w:noProof/>
                <w:webHidden/>
              </w:rPr>
              <w:fldChar w:fldCharType="end"/>
            </w:r>
          </w:hyperlink>
        </w:p>
        <w:p w14:paraId="4FB1C705" w14:textId="3224C7D8" w:rsidR="004F06F4" w:rsidRDefault="004F06F4">
          <w:pPr>
            <w:pStyle w:val="TOC1"/>
            <w:tabs>
              <w:tab w:val="right" w:leader="dot" w:pos="9350"/>
            </w:tabs>
            <w:rPr>
              <w:rFonts w:eastAsiaTheme="minorEastAsia"/>
              <w:noProof/>
              <w:kern w:val="2"/>
              <w:sz w:val="24"/>
              <w:szCs w:val="24"/>
              <w:lang w:val="en-US"/>
              <w14:ligatures w14:val="standardContextual"/>
            </w:rPr>
          </w:pPr>
          <w:hyperlink w:anchor="_Toc208574107" w:history="1">
            <w:r w:rsidRPr="004C3D68">
              <w:rPr>
                <w:rStyle w:val="Hyperlink"/>
                <w:rFonts w:cstheme="minorHAnsi"/>
                <w:noProof/>
              </w:rPr>
              <w:t>Droits et obligations des consultants</w:t>
            </w:r>
            <w:r>
              <w:rPr>
                <w:noProof/>
                <w:webHidden/>
              </w:rPr>
              <w:tab/>
            </w:r>
            <w:r>
              <w:rPr>
                <w:noProof/>
                <w:webHidden/>
              </w:rPr>
              <w:fldChar w:fldCharType="begin"/>
            </w:r>
            <w:r>
              <w:rPr>
                <w:noProof/>
                <w:webHidden/>
              </w:rPr>
              <w:instrText xml:space="preserve"> PAGEREF _Toc208574107 \h </w:instrText>
            </w:r>
            <w:r>
              <w:rPr>
                <w:noProof/>
                <w:webHidden/>
              </w:rPr>
            </w:r>
            <w:r>
              <w:rPr>
                <w:noProof/>
                <w:webHidden/>
              </w:rPr>
              <w:fldChar w:fldCharType="separate"/>
            </w:r>
            <w:r>
              <w:rPr>
                <w:noProof/>
                <w:webHidden/>
              </w:rPr>
              <w:t>34</w:t>
            </w:r>
            <w:r>
              <w:rPr>
                <w:noProof/>
                <w:webHidden/>
              </w:rPr>
              <w:fldChar w:fldCharType="end"/>
            </w:r>
          </w:hyperlink>
        </w:p>
        <w:p w14:paraId="722CDF8F" w14:textId="2E8A6BEB" w:rsidR="004F06F4" w:rsidRDefault="004F06F4">
          <w:pPr>
            <w:pStyle w:val="TOC1"/>
            <w:tabs>
              <w:tab w:val="right" w:leader="dot" w:pos="9350"/>
            </w:tabs>
            <w:rPr>
              <w:rFonts w:eastAsiaTheme="minorEastAsia"/>
              <w:noProof/>
              <w:kern w:val="2"/>
              <w:sz w:val="24"/>
              <w:szCs w:val="24"/>
              <w:lang w:val="en-US"/>
              <w14:ligatures w14:val="standardContextual"/>
            </w:rPr>
          </w:pPr>
          <w:hyperlink w:anchor="_Toc208574108" w:history="1">
            <w:r w:rsidRPr="004C3D68">
              <w:rPr>
                <w:rStyle w:val="Hyperlink"/>
                <w:rFonts w:cstheme="minorHAnsi"/>
                <w:noProof/>
              </w:rPr>
              <w:t>Droits de propriété intellectuelle</w:t>
            </w:r>
            <w:r>
              <w:rPr>
                <w:noProof/>
                <w:webHidden/>
              </w:rPr>
              <w:tab/>
            </w:r>
            <w:r>
              <w:rPr>
                <w:noProof/>
                <w:webHidden/>
              </w:rPr>
              <w:fldChar w:fldCharType="begin"/>
            </w:r>
            <w:r>
              <w:rPr>
                <w:noProof/>
                <w:webHidden/>
              </w:rPr>
              <w:instrText xml:space="preserve"> PAGEREF _Toc208574108 \h </w:instrText>
            </w:r>
            <w:r>
              <w:rPr>
                <w:noProof/>
                <w:webHidden/>
              </w:rPr>
            </w:r>
            <w:r>
              <w:rPr>
                <w:noProof/>
                <w:webHidden/>
              </w:rPr>
              <w:fldChar w:fldCharType="separate"/>
            </w:r>
            <w:r>
              <w:rPr>
                <w:noProof/>
                <w:webHidden/>
              </w:rPr>
              <w:t>35</w:t>
            </w:r>
            <w:r>
              <w:rPr>
                <w:noProof/>
                <w:webHidden/>
              </w:rPr>
              <w:fldChar w:fldCharType="end"/>
            </w:r>
          </w:hyperlink>
        </w:p>
        <w:p w14:paraId="3E895B7F" w14:textId="2B57207A" w:rsidR="004F06F4" w:rsidRDefault="004F06F4">
          <w:pPr>
            <w:pStyle w:val="TOC1"/>
            <w:tabs>
              <w:tab w:val="right" w:leader="dot" w:pos="9350"/>
            </w:tabs>
            <w:rPr>
              <w:rFonts w:eastAsiaTheme="minorEastAsia"/>
              <w:noProof/>
              <w:kern w:val="2"/>
              <w:sz w:val="24"/>
              <w:szCs w:val="24"/>
              <w:lang w:val="en-US"/>
              <w14:ligatures w14:val="standardContextual"/>
            </w:rPr>
          </w:pPr>
          <w:hyperlink w:anchor="_Toc208574109" w:history="1">
            <w:r w:rsidRPr="004C3D68">
              <w:rPr>
                <w:rStyle w:val="Hyperlink"/>
                <w:rFonts w:cstheme="minorHAnsi"/>
                <w:noProof/>
              </w:rPr>
              <w:t>Divulgation de l’information</w:t>
            </w:r>
            <w:r>
              <w:rPr>
                <w:noProof/>
                <w:webHidden/>
              </w:rPr>
              <w:tab/>
            </w:r>
            <w:r>
              <w:rPr>
                <w:noProof/>
                <w:webHidden/>
              </w:rPr>
              <w:fldChar w:fldCharType="begin"/>
            </w:r>
            <w:r>
              <w:rPr>
                <w:noProof/>
                <w:webHidden/>
              </w:rPr>
              <w:instrText xml:space="preserve"> PAGEREF _Toc208574109 \h </w:instrText>
            </w:r>
            <w:r>
              <w:rPr>
                <w:noProof/>
                <w:webHidden/>
              </w:rPr>
            </w:r>
            <w:r>
              <w:rPr>
                <w:noProof/>
                <w:webHidden/>
              </w:rPr>
              <w:fldChar w:fldCharType="separate"/>
            </w:r>
            <w:r>
              <w:rPr>
                <w:noProof/>
                <w:webHidden/>
              </w:rPr>
              <w:t>35</w:t>
            </w:r>
            <w:r>
              <w:rPr>
                <w:noProof/>
                <w:webHidden/>
              </w:rPr>
              <w:fldChar w:fldCharType="end"/>
            </w:r>
          </w:hyperlink>
        </w:p>
        <w:p w14:paraId="3687FC5E" w14:textId="4BCD2F37" w:rsidR="004F06F4" w:rsidRDefault="004F06F4">
          <w:pPr>
            <w:pStyle w:val="TOC1"/>
            <w:tabs>
              <w:tab w:val="right" w:leader="dot" w:pos="9350"/>
            </w:tabs>
            <w:rPr>
              <w:rFonts w:eastAsiaTheme="minorEastAsia"/>
              <w:noProof/>
              <w:kern w:val="2"/>
              <w:sz w:val="24"/>
              <w:szCs w:val="24"/>
              <w:lang w:val="en-US"/>
              <w14:ligatures w14:val="standardContextual"/>
            </w:rPr>
          </w:pPr>
          <w:hyperlink w:anchor="_Toc208574110" w:history="1">
            <w:r w:rsidRPr="004C3D68">
              <w:rPr>
                <w:rStyle w:val="Hyperlink"/>
                <w:rFonts w:cstheme="minorHAnsi"/>
                <w:noProof/>
              </w:rPr>
              <w:t>Gestion et administration des contrats individuels</w:t>
            </w:r>
            <w:r>
              <w:rPr>
                <w:noProof/>
                <w:webHidden/>
              </w:rPr>
              <w:tab/>
            </w:r>
            <w:r>
              <w:rPr>
                <w:noProof/>
                <w:webHidden/>
              </w:rPr>
              <w:fldChar w:fldCharType="begin"/>
            </w:r>
            <w:r>
              <w:rPr>
                <w:noProof/>
                <w:webHidden/>
              </w:rPr>
              <w:instrText xml:space="preserve"> PAGEREF _Toc208574110 \h </w:instrText>
            </w:r>
            <w:r>
              <w:rPr>
                <w:noProof/>
                <w:webHidden/>
              </w:rPr>
            </w:r>
            <w:r>
              <w:rPr>
                <w:noProof/>
                <w:webHidden/>
              </w:rPr>
              <w:fldChar w:fldCharType="separate"/>
            </w:r>
            <w:r>
              <w:rPr>
                <w:noProof/>
                <w:webHidden/>
              </w:rPr>
              <w:t>35</w:t>
            </w:r>
            <w:r>
              <w:rPr>
                <w:noProof/>
                <w:webHidden/>
              </w:rPr>
              <w:fldChar w:fldCharType="end"/>
            </w:r>
          </w:hyperlink>
        </w:p>
        <w:p w14:paraId="19E964D6" w14:textId="269ECE59" w:rsidR="004F06F4" w:rsidRDefault="004F06F4">
          <w:pPr>
            <w:pStyle w:val="TOC3"/>
            <w:tabs>
              <w:tab w:val="right" w:leader="dot" w:pos="9350"/>
            </w:tabs>
            <w:rPr>
              <w:noProof/>
              <w:kern w:val="2"/>
              <w:sz w:val="24"/>
              <w:szCs w:val="24"/>
              <w:lang w:val="en-US" w:eastAsia="en-US"/>
              <w14:ligatures w14:val="standardContextual"/>
            </w:rPr>
          </w:pPr>
          <w:hyperlink w:anchor="_Toc208574111" w:history="1">
            <w:r w:rsidRPr="004C3D68">
              <w:rPr>
                <w:rStyle w:val="Hyperlink"/>
                <w:rFonts w:cstheme="minorHAnsi"/>
                <w:noProof/>
              </w:rPr>
              <w:t>Administration informatisée des contrats individuels</w:t>
            </w:r>
            <w:r>
              <w:rPr>
                <w:noProof/>
                <w:webHidden/>
              </w:rPr>
              <w:tab/>
            </w:r>
            <w:r>
              <w:rPr>
                <w:noProof/>
                <w:webHidden/>
              </w:rPr>
              <w:fldChar w:fldCharType="begin"/>
            </w:r>
            <w:r>
              <w:rPr>
                <w:noProof/>
                <w:webHidden/>
              </w:rPr>
              <w:instrText xml:space="preserve"> PAGEREF _Toc208574111 \h </w:instrText>
            </w:r>
            <w:r>
              <w:rPr>
                <w:noProof/>
                <w:webHidden/>
              </w:rPr>
            </w:r>
            <w:r>
              <w:rPr>
                <w:noProof/>
                <w:webHidden/>
              </w:rPr>
              <w:fldChar w:fldCharType="separate"/>
            </w:r>
            <w:r>
              <w:rPr>
                <w:noProof/>
                <w:webHidden/>
              </w:rPr>
              <w:t>35</w:t>
            </w:r>
            <w:r>
              <w:rPr>
                <w:noProof/>
                <w:webHidden/>
              </w:rPr>
              <w:fldChar w:fldCharType="end"/>
            </w:r>
          </w:hyperlink>
        </w:p>
        <w:p w14:paraId="29CE328C" w14:textId="15F8E023" w:rsidR="004F06F4" w:rsidRDefault="004F06F4">
          <w:pPr>
            <w:pStyle w:val="TOC3"/>
            <w:tabs>
              <w:tab w:val="right" w:leader="dot" w:pos="9350"/>
            </w:tabs>
            <w:rPr>
              <w:noProof/>
              <w:kern w:val="2"/>
              <w:sz w:val="24"/>
              <w:szCs w:val="24"/>
              <w:lang w:val="en-US" w:eastAsia="en-US"/>
              <w14:ligatures w14:val="standardContextual"/>
            </w:rPr>
          </w:pPr>
          <w:hyperlink w:anchor="_Toc208574112" w:history="1">
            <w:r w:rsidRPr="004C3D68">
              <w:rPr>
                <w:rStyle w:val="Hyperlink"/>
                <w:rFonts w:cstheme="minorHAnsi"/>
                <w:noProof/>
              </w:rPr>
              <w:t>Paiement et évaluation des performances</w:t>
            </w:r>
            <w:r>
              <w:rPr>
                <w:noProof/>
                <w:webHidden/>
              </w:rPr>
              <w:tab/>
            </w:r>
            <w:r>
              <w:rPr>
                <w:noProof/>
                <w:webHidden/>
              </w:rPr>
              <w:fldChar w:fldCharType="begin"/>
            </w:r>
            <w:r>
              <w:rPr>
                <w:noProof/>
                <w:webHidden/>
              </w:rPr>
              <w:instrText xml:space="preserve"> PAGEREF _Toc208574112 \h </w:instrText>
            </w:r>
            <w:r>
              <w:rPr>
                <w:noProof/>
                <w:webHidden/>
              </w:rPr>
            </w:r>
            <w:r>
              <w:rPr>
                <w:noProof/>
                <w:webHidden/>
              </w:rPr>
              <w:fldChar w:fldCharType="separate"/>
            </w:r>
            <w:r>
              <w:rPr>
                <w:noProof/>
                <w:webHidden/>
              </w:rPr>
              <w:t>35</w:t>
            </w:r>
            <w:r>
              <w:rPr>
                <w:noProof/>
                <w:webHidden/>
              </w:rPr>
              <w:fldChar w:fldCharType="end"/>
            </w:r>
          </w:hyperlink>
        </w:p>
        <w:p w14:paraId="6675DF4D" w14:textId="3BD0AAFF" w:rsidR="004F06F4" w:rsidRDefault="004F06F4">
          <w:pPr>
            <w:pStyle w:val="TOC3"/>
            <w:tabs>
              <w:tab w:val="right" w:leader="dot" w:pos="9350"/>
            </w:tabs>
            <w:rPr>
              <w:noProof/>
              <w:kern w:val="2"/>
              <w:sz w:val="24"/>
              <w:szCs w:val="24"/>
              <w:lang w:val="en-US" w:eastAsia="en-US"/>
              <w14:ligatures w14:val="standardContextual"/>
            </w:rPr>
          </w:pPr>
          <w:hyperlink w:anchor="_Toc208574113" w:history="1">
            <w:r w:rsidRPr="004C3D68">
              <w:rPr>
                <w:rStyle w:val="Hyperlink"/>
                <w:rFonts w:cstheme="minorHAnsi"/>
                <w:noProof/>
              </w:rPr>
              <w:t>Modification d’un contrat individuel</w:t>
            </w:r>
            <w:r>
              <w:rPr>
                <w:noProof/>
                <w:webHidden/>
              </w:rPr>
              <w:tab/>
            </w:r>
            <w:r>
              <w:rPr>
                <w:noProof/>
                <w:webHidden/>
              </w:rPr>
              <w:fldChar w:fldCharType="begin"/>
            </w:r>
            <w:r>
              <w:rPr>
                <w:noProof/>
                <w:webHidden/>
              </w:rPr>
              <w:instrText xml:space="preserve"> PAGEREF _Toc208574113 \h </w:instrText>
            </w:r>
            <w:r>
              <w:rPr>
                <w:noProof/>
                <w:webHidden/>
              </w:rPr>
            </w:r>
            <w:r>
              <w:rPr>
                <w:noProof/>
                <w:webHidden/>
              </w:rPr>
              <w:fldChar w:fldCharType="separate"/>
            </w:r>
            <w:r>
              <w:rPr>
                <w:noProof/>
                <w:webHidden/>
              </w:rPr>
              <w:t>36</w:t>
            </w:r>
            <w:r>
              <w:rPr>
                <w:noProof/>
                <w:webHidden/>
              </w:rPr>
              <w:fldChar w:fldCharType="end"/>
            </w:r>
          </w:hyperlink>
        </w:p>
        <w:p w14:paraId="530480E3" w14:textId="67BD2E05" w:rsidR="004F06F4" w:rsidRDefault="004F06F4">
          <w:pPr>
            <w:pStyle w:val="TOC3"/>
            <w:tabs>
              <w:tab w:val="right" w:leader="dot" w:pos="9350"/>
            </w:tabs>
            <w:rPr>
              <w:noProof/>
              <w:kern w:val="2"/>
              <w:sz w:val="24"/>
              <w:szCs w:val="24"/>
              <w:lang w:val="en-US" w:eastAsia="en-US"/>
              <w14:ligatures w14:val="standardContextual"/>
            </w:rPr>
          </w:pPr>
          <w:hyperlink w:anchor="_Toc208574114" w:history="1">
            <w:r w:rsidRPr="004C3D68">
              <w:rPr>
                <w:rStyle w:val="Hyperlink"/>
                <w:rFonts w:cstheme="minorHAnsi"/>
                <w:noProof/>
              </w:rPr>
              <w:t>Taux de rémunération en cas de prorogation du contrat</w:t>
            </w:r>
            <w:r>
              <w:rPr>
                <w:noProof/>
                <w:webHidden/>
              </w:rPr>
              <w:tab/>
            </w:r>
            <w:r>
              <w:rPr>
                <w:noProof/>
                <w:webHidden/>
              </w:rPr>
              <w:fldChar w:fldCharType="begin"/>
            </w:r>
            <w:r>
              <w:rPr>
                <w:noProof/>
                <w:webHidden/>
              </w:rPr>
              <w:instrText xml:space="preserve"> PAGEREF _Toc208574114 \h </w:instrText>
            </w:r>
            <w:r>
              <w:rPr>
                <w:noProof/>
                <w:webHidden/>
              </w:rPr>
            </w:r>
            <w:r>
              <w:rPr>
                <w:noProof/>
                <w:webHidden/>
              </w:rPr>
              <w:fldChar w:fldCharType="separate"/>
            </w:r>
            <w:r>
              <w:rPr>
                <w:noProof/>
                <w:webHidden/>
              </w:rPr>
              <w:t>37</w:t>
            </w:r>
            <w:r>
              <w:rPr>
                <w:noProof/>
                <w:webHidden/>
              </w:rPr>
              <w:fldChar w:fldCharType="end"/>
            </w:r>
          </w:hyperlink>
        </w:p>
        <w:p w14:paraId="6ED15E3A" w14:textId="6978D615" w:rsidR="004F06F4" w:rsidRDefault="004F06F4">
          <w:pPr>
            <w:pStyle w:val="TOC3"/>
            <w:tabs>
              <w:tab w:val="right" w:leader="dot" w:pos="9350"/>
            </w:tabs>
            <w:rPr>
              <w:noProof/>
              <w:kern w:val="2"/>
              <w:sz w:val="24"/>
              <w:szCs w:val="24"/>
              <w:lang w:val="en-US" w:eastAsia="en-US"/>
              <w14:ligatures w14:val="standardContextual"/>
            </w:rPr>
          </w:pPr>
          <w:hyperlink w:anchor="_Toc208574115" w:history="1">
            <w:r w:rsidRPr="004C3D68">
              <w:rPr>
                <w:rStyle w:val="Hyperlink"/>
                <w:rFonts w:cstheme="minorHAnsi"/>
                <w:noProof/>
              </w:rPr>
              <w:t>Établissement d’une base de données de prestataires</w:t>
            </w:r>
            <w:r>
              <w:rPr>
                <w:noProof/>
                <w:webHidden/>
              </w:rPr>
              <w:tab/>
            </w:r>
            <w:r>
              <w:rPr>
                <w:noProof/>
                <w:webHidden/>
              </w:rPr>
              <w:fldChar w:fldCharType="begin"/>
            </w:r>
            <w:r>
              <w:rPr>
                <w:noProof/>
                <w:webHidden/>
              </w:rPr>
              <w:instrText xml:space="preserve"> PAGEREF _Toc208574115 \h </w:instrText>
            </w:r>
            <w:r>
              <w:rPr>
                <w:noProof/>
                <w:webHidden/>
              </w:rPr>
            </w:r>
            <w:r>
              <w:rPr>
                <w:noProof/>
                <w:webHidden/>
              </w:rPr>
              <w:fldChar w:fldCharType="separate"/>
            </w:r>
            <w:r>
              <w:rPr>
                <w:noProof/>
                <w:webHidden/>
              </w:rPr>
              <w:t>37</w:t>
            </w:r>
            <w:r>
              <w:rPr>
                <w:noProof/>
                <w:webHidden/>
              </w:rPr>
              <w:fldChar w:fldCharType="end"/>
            </w:r>
          </w:hyperlink>
        </w:p>
        <w:p w14:paraId="7118C822" w14:textId="0255775C" w:rsidR="004F06F4" w:rsidRDefault="004F06F4">
          <w:pPr>
            <w:pStyle w:val="TOC3"/>
            <w:tabs>
              <w:tab w:val="right" w:leader="dot" w:pos="9350"/>
            </w:tabs>
            <w:rPr>
              <w:noProof/>
              <w:kern w:val="2"/>
              <w:sz w:val="24"/>
              <w:szCs w:val="24"/>
              <w:lang w:val="en-US" w:eastAsia="en-US"/>
              <w14:ligatures w14:val="standardContextual"/>
            </w:rPr>
          </w:pPr>
          <w:hyperlink w:anchor="_Toc208574116" w:history="1">
            <w:r w:rsidRPr="004C3D68">
              <w:rPr>
                <w:rStyle w:val="Hyperlink"/>
                <w:rFonts w:cstheme="minorHAnsi"/>
                <w:noProof/>
              </w:rPr>
              <w:t>Alimenter une base de données</w:t>
            </w:r>
            <w:r>
              <w:rPr>
                <w:noProof/>
                <w:webHidden/>
              </w:rPr>
              <w:tab/>
            </w:r>
            <w:r>
              <w:rPr>
                <w:noProof/>
                <w:webHidden/>
              </w:rPr>
              <w:fldChar w:fldCharType="begin"/>
            </w:r>
            <w:r>
              <w:rPr>
                <w:noProof/>
                <w:webHidden/>
              </w:rPr>
              <w:instrText xml:space="preserve"> PAGEREF _Toc208574116 \h </w:instrText>
            </w:r>
            <w:r>
              <w:rPr>
                <w:noProof/>
                <w:webHidden/>
              </w:rPr>
            </w:r>
            <w:r>
              <w:rPr>
                <w:noProof/>
                <w:webHidden/>
              </w:rPr>
              <w:fldChar w:fldCharType="separate"/>
            </w:r>
            <w:r>
              <w:rPr>
                <w:noProof/>
                <w:webHidden/>
              </w:rPr>
              <w:t>37</w:t>
            </w:r>
            <w:r>
              <w:rPr>
                <w:noProof/>
                <w:webHidden/>
              </w:rPr>
              <w:fldChar w:fldCharType="end"/>
            </w:r>
          </w:hyperlink>
        </w:p>
        <w:p w14:paraId="5EC2C44C" w14:textId="1AFA8F69" w:rsidR="004F06F4" w:rsidRDefault="004F06F4">
          <w:pPr>
            <w:pStyle w:val="TOC3"/>
            <w:tabs>
              <w:tab w:val="right" w:leader="dot" w:pos="9350"/>
            </w:tabs>
            <w:rPr>
              <w:noProof/>
              <w:kern w:val="2"/>
              <w:sz w:val="24"/>
              <w:szCs w:val="24"/>
              <w:lang w:val="en-US" w:eastAsia="en-US"/>
              <w14:ligatures w14:val="standardContextual"/>
            </w:rPr>
          </w:pPr>
          <w:hyperlink w:anchor="_Toc208574117" w:history="1">
            <w:r w:rsidRPr="004C3D68">
              <w:rPr>
                <w:rStyle w:val="Hyperlink"/>
                <w:rFonts w:cstheme="minorHAnsi"/>
                <w:noProof/>
              </w:rPr>
              <w:t>Recrutement à partir d’une base de données</w:t>
            </w:r>
            <w:r>
              <w:rPr>
                <w:noProof/>
                <w:webHidden/>
              </w:rPr>
              <w:tab/>
            </w:r>
            <w:r>
              <w:rPr>
                <w:noProof/>
                <w:webHidden/>
              </w:rPr>
              <w:fldChar w:fldCharType="begin"/>
            </w:r>
            <w:r>
              <w:rPr>
                <w:noProof/>
                <w:webHidden/>
              </w:rPr>
              <w:instrText xml:space="preserve"> PAGEREF _Toc208574117 \h </w:instrText>
            </w:r>
            <w:r>
              <w:rPr>
                <w:noProof/>
                <w:webHidden/>
              </w:rPr>
            </w:r>
            <w:r>
              <w:rPr>
                <w:noProof/>
                <w:webHidden/>
              </w:rPr>
              <w:fldChar w:fldCharType="separate"/>
            </w:r>
            <w:r>
              <w:rPr>
                <w:noProof/>
                <w:webHidden/>
              </w:rPr>
              <w:t>38</w:t>
            </w:r>
            <w:r>
              <w:rPr>
                <w:noProof/>
                <w:webHidden/>
              </w:rPr>
              <w:fldChar w:fldCharType="end"/>
            </w:r>
          </w:hyperlink>
        </w:p>
        <w:p w14:paraId="70F192DD" w14:textId="09EF6C0A" w:rsidR="004F06F4" w:rsidRDefault="004F06F4">
          <w:pPr>
            <w:pStyle w:val="TOC1"/>
            <w:tabs>
              <w:tab w:val="right" w:leader="dot" w:pos="9350"/>
            </w:tabs>
            <w:rPr>
              <w:rFonts w:eastAsiaTheme="minorEastAsia"/>
              <w:noProof/>
              <w:kern w:val="2"/>
              <w:sz w:val="24"/>
              <w:szCs w:val="24"/>
              <w:lang w:val="en-US"/>
              <w14:ligatures w14:val="standardContextual"/>
            </w:rPr>
          </w:pPr>
          <w:hyperlink w:anchor="_Toc208574118" w:history="1">
            <w:r w:rsidRPr="004C3D68">
              <w:rPr>
                <w:rStyle w:val="Hyperlink"/>
                <w:rFonts w:cstheme="minorHAnsi"/>
                <w:noProof/>
              </w:rPr>
              <w:t>Directives complémentaires :</w:t>
            </w:r>
            <w:r>
              <w:rPr>
                <w:noProof/>
                <w:webHidden/>
              </w:rPr>
              <w:tab/>
            </w:r>
            <w:r>
              <w:rPr>
                <w:noProof/>
                <w:webHidden/>
              </w:rPr>
              <w:fldChar w:fldCharType="begin"/>
            </w:r>
            <w:r>
              <w:rPr>
                <w:noProof/>
                <w:webHidden/>
              </w:rPr>
              <w:instrText xml:space="preserve"> PAGEREF _Toc208574118 \h </w:instrText>
            </w:r>
            <w:r>
              <w:rPr>
                <w:noProof/>
                <w:webHidden/>
              </w:rPr>
            </w:r>
            <w:r>
              <w:rPr>
                <w:noProof/>
                <w:webHidden/>
              </w:rPr>
              <w:fldChar w:fldCharType="separate"/>
            </w:r>
            <w:r>
              <w:rPr>
                <w:noProof/>
                <w:webHidden/>
              </w:rPr>
              <w:t>38</w:t>
            </w:r>
            <w:r>
              <w:rPr>
                <w:noProof/>
                <w:webHidden/>
              </w:rPr>
              <w:fldChar w:fldCharType="end"/>
            </w:r>
          </w:hyperlink>
        </w:p>
        <w:p w14:paraId="7E9C20C4" w14:textId="2DCB5F1F" w:rsidR="004F06F4" w:rsidRDefault="004F06F4">
          <w:pPr>
            <w:pStyle w:val="TOC3"/>
            <w:tabs>
              <w:tab w:val="right" w:leader="dot" w:pos="9350"/>
            </w:tabs>
            <w:rPr>
              <w:noProof/>
              <w:kern w:val="2"/>
              <w:sz w:val="24"/>
              <w:szCs w:val="24"/>
              <w:lang w:val="en-US" w:eastAsia="en-US"/>
              <w14:ligatures w14:val="standardContextual"/>
            </w:rPr>
          </w:pPr>
          <w:hyperlink w:anchor="_Toc208574119" w:history="1">
            <w:r w:rsidRPr="004C3D68">
              <w:rPr>
                <w:rStyle w:val="Hyperlink"/>
                <w:rFonts w:cstheme="minorHAnsi"/>
                <w:noProof/>
              </w:rPr>
              <w:t>Bases de données de candidats préapprouvées</w:t>
            </w:r>
            <w:r>
              <w:rPr>
                <w:noProof/>
                <w:webHidden/>
              </w:rPr>
              <w:tab/>
            </w:r>
            <w:r>
              <w:rPr>
                <w:noProof/>
                <w:webHidden/>
              </w:rPr>
              <w:fldChar w:fldCharType="begin"/>
            </w:r>
            <w:r>
              <w:rPr>
                <w:noProof/>
                <w:webHidden/>
              </w:rPr>
              <w:instrText xml:space="preserve"> PAGEREF _Toc208574119 \h </w:instrText>
            </w:r>
            <w:r>
              <w:rPr>
                <w:noProof/>
                <w:webHidden/>
              </w:rPr>
            </w:r>
            <w:r>
              <w:rPr>
                <w:noProof/>
                <w:webHidden/>
              </w:rPr>
              <w:fldChar w:fldCharType="separate"/>
            </w:r>
            <w:r>
              <w:rPr>
                <w:noProof/>
                <w:webHidden/>
              </w:rPr>
              <w:t>38</w:t>
            </w:r>
            <w:r>
              <w:rPr>
                <w:noProof/>
                <w:webHidden/>
              </w:rPr>
              <w:fldChar w:fldCharType="end"/>
            </w:r>
          </w:hyperlink>
        </w:p>
        <w:p w14:paraId="46A20267" w14:textId="034D3A2D" w:rsidR="004F06F4" w:rsidRDefault="004F06F4">
          <w:pPr>
            <w:pStyle w:val="TOC1"/>
            <w:tabs>
              <w:tab w:val="right" w:leader="dot" w:pos="9350"/>
            </w:tabs>
            <w:rPr>
              <w:rFonts w:eastAsiaTheme="minorEastAsia"/>
              <w:noProof/>
              <w:kern w:val="2"/>
              <w:sz w:val="24"/>
              <w:szCs w:val="24"/>
              <w:lang w:val="en-US"/>
              <w14:ligatures w14:val="standardContextual"/>
            </w:rPr>
          </w:pPr>
          <w:hyperlink w:anchor="_Toc208574120" w:history="1">
            <w:r w:rsidRPr="004C3D68">
              <w:rPr>
                <w:rStyle w:val="Hyperlink"/>
                <w:rFonts w:cstheme="minorHAnsi"/>
                <w:noProof/>
              </w:rPr>
              <w:t>Administration des déplacements des consultants</w:t>
            </w:r>
            <w:r>
              <w:rPr>
                <w:noProof/>
                <w:webHidden/>
              </w:rPr>
              <w:tab/>
            </w:r>
            <w:r>
              <w:rPr>
                <w:noProof/>
                <w:webHidden/>
              </w:rPr>
              <w:fldChar w:fldCharType="begin"/>
            </w:r>
            <w:r>
              <w:rPr>
                <w:noProof/>
                <w:webHidden/>
              </w:rPr>
              <w:instrText xml:space="preserve"> PAGEREF _Toc208574120 \h </w:instrText>
            </w:r>
            <w:r>
              <w:rPr>
                <w:noProof/>
                <w:webHidden/>
              </w:rPr>
            </w:r>
            <w:r>
              <w:rPr>
                <w:noProof/>
                <w:webHidden/>
              </w:rPr>
              <w:fldChar w:fldCharType="separate"/>
            </w:r>
            <w:r>
              <w:rPr>
                <w:noProof/>
                <w:webHidden/>
              </w:rPr>
              <w:t>39</w:t>
            </w:r>
            <w:r>
              <w:rPr>
                <w:noProof/>
                <w:webHidden/>
              </w:rPr>
              <w:fldChar w:fldCharType="end"/>
            </w:r>
          </w:hyperlink>
        </w:p>
        <w:p w14:paraId="5043055B" w14:textId="32A2A7EB" w:rsidR="004F06F4" w:rsidRDefault="004F06F4">
          <w:pPr>
            <w:pStyle w:val="TOC3"/>
            <w:tabs>
              <w:tab w:val="right" w:leader="dot" w:pos="9350"/>
            </w:tabs>
            <w:rPr>
              <w:noProof/>
              <w:kern w:val="2"/>
              <w:sz w:val="24"/>
              <w:szCs w:val="24"/>
              <w:lang w:val="en-US" w:eastAsia="en-US"/>
              <w14:ligatures w14:val="standardContextual"/>
            </w:rPr>
          </w:pPr>
          <w:hyperlink w:anchor="_Toc208574121" w:history="1">
            <w:r w:rsidRPr="004C3D68">
              <w:rPr>
                <w:rStyle w:val="Hyperlink"/>
                <w:rFonts w:cstheme="minorHAnsi"/>
                <w:noProof/>
              </w:rPr>
              <w:t>Modes de déplacement des consultants</w:t>
            </w:r>
            <w:r>
              <w:rPr>
                <w:noProof/>
                <w:webHidden/>
              </w:rPr>
              <w:tab/>
            </w:r>
            <w:r>
              <w:rPr>
                <w:noProof/>
                <w:webHidden/>
              </w:rPr>
              <w:fldChar w:fldCharType="begin"/>
            </w:r>
            <w:r>
              <w:rPr>
                <w:noProof/>
                <w:webHidden/>
              </w:rPr>
              <w:instrText xml:space="preserve"> PAGEREF _Toc208574121 \h </w:instrText>
            </w:r>
            <w:r>
              <w:rPr>
                <w:noProof/>
                <w:webHidden/>
              </w:rPr>
            </w:r>
            <w:r>
              <w:rPr>
                <w:noProof/>
                <w:webHidden/>
              </w:rPr>
              <w:fldChar w:fldCharType="separate"/>
            </w:r>
            <w:r>
              <w:rPr>
                <w:noProof/>
                <w:webHidden/>
              </w:rPr>
              <w:t>39</w:t>
            </w:r>
            <w:r>
              <w:rPr>
                <w:noProof/>
                <w:webHidden/>
              </w:rPr>
              <w:fldChar w:fldCharType="end"/>
            </w:r>
          </w:hyperlink>
        </w:p>
        <w:p w14:paraId="36314907" w14:textId="0C1A2BED" w:rsidR="004F06F4" w:rsidRDefault="004F06F4">
          <w:pPr>
            <w:pStyle w:val="TOC3"/>
            <w:tabs>
              <w:tab w:val="right" w:leader="dot" w:pos="9350"/>
            </w:tabs>
            <w:rPr>
              <w:noProof/>
              <w:kern w:val="2"/>
              <w:sz w:val="24"/>
              <w:szCs w:val="24"/>
              <w:lang w:val="en-US" w:eastAsia="en-US"/>
              <w14:ligatures w14:val="standardContextual"/>
            </w:rPr>
          </w:pPr>
          <w:hyperlink w:anchor="_Toc208574122" w:history="1">
            <w:r w:rsidRPr="004C3D68">
              <w:rPr>
                <w:rStyle w:val="Hyperlink"/>
                <w:rFonts w:cstheme="minorHAnsi"/>
                <w:noProof/>
              </w:rPr>
              <w:t>Budgétisation des déplacements</w:t>
            </w:r>
            <w:r>
              <w:rPr>
                <w:noProof/>
                <w:webHidden/>
              </w:rPr>
              <w:tab/>
            </w:r>
            <w:r>
              <w:rPr>
                <w:noProof/>
                <w:webHidden/>
              </w:rPr>
              <w:fldChar w:fldCharType="begin"/>
            </w:r>
            <w:r>
              <w:rPr>
                <w:noProof/>
                <w:webHidden/>
              </w:rPr>
              <w:instrText xml:space="preserve"> PAGEREF _Toc208574122 \h </w:instrText>
            </w:r>
            <w:r>
              <w:rPr>
                <w:noProof/>
                <w:webHidden/>
              </w:rPr>
            </w:r>
            <w:r>
              <w:rPr>
                <w:noProof/>
                <w:webHidden/>
              </w:rPr>
              <w:fldChar w:fldCharType="separate"/>
            </w:r>
            <w:r>
              <w:rPr>
                <w:noProof/>
                <w:webHidden/>
              </w:rPr>
              <w:t>39</w:t>
            </w:r>
            <w:r>
              <w:rPr>
                <w:noProof/>
                <w:webHidden/>
              </w:rPr>
              <w:fldChar w:fldCharType="end"/>
            </w:r>
          </w:hyperlink>
        </w:p>
        <w:p w14:paraId="1BCB6AA3" w14:textId="09E2452D" w:rsidR="004F06F4" w:rsidRDefault="004F06F4">
          <w:pPr>
            <w:pStyle w:val="TOC3"/>
            <w:tabs>
              <w:tab w:val="right" w:leader="dot" w:pos="9350"/>
            </w:tabs>
            <w:rPr>
              <w:noProof/>
              <w:kern w:val="2"/>
              <w:sz w:val="24"/>
              <w:szCs w:val="24"/>
              <w:lang w:val="en-US" w:eastAsia="en-US"/>
              <w14:ligatures w14:val="standardContextual"/>
            </w:rPr>
          </w:pPr>
          <w:hyperlink w:anchor="_Toc208574123" w:history="1">
            <w:r w:rsidRPr="004C3D68">
              <w:rPr>
                <w:rStyle w:val="Hyperlink"/>
                <w:rFonts w:cstheme="minorHAnsi"/>
                <w:noProof/>
              </w:rPr>
              <w:t>Frais de déplacement</w:t>
            </w:r>
            <w:r>
              <w:rPr>
                <w:noProof/>
                <w:webHidden/>
              </w:rPr>
              <w:tab/>
            </w:r>
            <w:r>
              <w:rPr>
                <w:noProof/>
                <w:webHidden/>
              </w:rPr>
              <w:fldChar w:fldCharType="begin"/>
            </w:r>
            <w:r>
              <w:rPr>
                <w:noProof/>
                <w:webHidden/>
              </w:rPr>
              <w:instrText xml:space="preserve"> PAGEREF _Toc208574123 \h </w:instrText>
            </w:r>
            <w:r>
              <w:rPr>
                <w:noProof/>
                <w:webHidden/>
              </w:rPr>
            </w:r>
            <w:r>
              <w:rPr>
                <w:noProof/>
                <w:webHidden/>
              </w:rPr>
              <w:fldChar w:fldCharType="separate"/>
            </w:r>
            <w:r>
              <w:rPr>
                <w:noProof/>
                <w:webHidden/>
              </w:rPr>
              <w:t>40</w:t>
            </w:r>
            <w:r>
              <w:rPr>
                <w:noProof/>
                <w:webHidden/>
              </w:rPr>
              <w:fldChar w:fldCharType="end"/>
            </w:r>
          </w:hyperlink>
        </w:p>
        <w:p w14:paraId="65C6A191" w14:textId="1CDE1E5F" w:rsidR="004F06F4" w:rsidRDefault="004F06F4">
          <w:pPr>
            <w:pStyle w:val="TOC3"/>
            <w:tabs>
              <w:tab w:val="right" w:leader="dot" w:pos="9350"/>
            </w:tabs>
            <w:rPr>
              <w:noProof/>
              <w:kern w:val="2"/>
              <w:sz w:val="24"/>
              <w:szCs w:val="24"/>
              <w:lang w:val="en-US" w:eastAsia="en-US"/>
              <w14:ligatures w14:val="standardContextual"/>
            </w:rPr>
          </w:pPr>
          <w:hyperlink w:anchor="_Toc208574124" w:history="1">
            <w:r w:rsidRPr="004C3D68">
              <w:rPr>
                <w:rStyle w:val="Hyperlink"/>
                <w:rFonts w:cstheme="minorHAnsi"/>
                <w:noProof/>
              </w:rPr>
              <w:t>Négociations relatives aux voyages aériens imprévus et aux indemnités de subsistance</w:t>
            </w:r>
            <w:r>
              <w:rPr>
                <w:noProof/>
                <w:webHidden/>
              </w:rPr>
              <w:tab/>
            </w:r>
            <w:r>
              <w:rPr>
                <w:noProof/>
                <w:webHidden/>
              </w:rPr>
              <w:fldChar w:fldCharType="begin"/>
            </w:r>
            <w:r>
              <w:rPr>
                <w:noProof/>
                <w:webHidden/>
              </w:rPr>
              <w:instrText xml:space="preserve"> PAGEREF _Toc208574124 \h </w:instrText>
            </w:r>
            <w:r>
              <w:rPr>
                <w:noProof/>
                <w:webHidden/>
              </w:rPr>
            </w:r>
            <w:r>
              <w:rPr>
                <w:noProof/>
                <w:webHidden/>
              </w:rPr>
              <w:fldChar w:fldCharType="separate"/>
            </w:r>
            <w:r>
              <w:rPr>
                <w:noProof/>
                <w:webHidden/>
              </w:rPr>
              <w:t>40</w:t>
            </w:r>
            <w:r>
              <w:rPr>
                <w:noProof/>
                <w:webHidden/>
              </w:rPr>
              <w:fldChar w:fldCharType="end"/>
            </w:r>
          </w:hyperlink>
        </w:p>
        <w:p w14:paraId="103113EA" w14:textId="7FAD124A" w:rsidR="004F06F4" w:rsidRDefault="004F06F4">
          <w:pPr>
            <w:pStyle w:val="TOC3"/>
            <w:tabs>
              <w:tab w:val="right" w:leader="dot" w:pos="9350"/>
            </w:tabs>
            <w:rPr>
              <w:noProof/>
              <w:kern w:val="2"/>
              <w:sz w:val="24"/>
              <w:szCs w:val="24"/>
              <w:lang w:val="en-US" w:eastAsia="en-US"/>
              <w14:ligatures w14:val="standardContextual"/>
            </w:rPr>
          </w:pPr>
          <w:hyperlink w:anchor="_Toc208574125" w:history="1">
            <w:r w:rsidRPr="004C3D68">
              <w:rPr>
                <w:rStyle w:val="Hyperlink"/>
                <w:rFonts w:cstheme="minorHAnsi"/>
                <w:noProof/>
              </w:rPr>
              <w:t>Visa et documents de voyage</w:t>
            </w:r>
            <w:r>
              <w:rPr>
                <w:noProof/>
                <w:webHidden/>
              </w:rPr>
              <w:tab/>
            </w:r>
            <w:r>
              <w:rPr>
                <w:noProof/>
                <w:webHidden/>
              </w:rPr>
              <w:fldChar w:fldCharType="begin"/>
            </w:r>
            <w:r>
              <w:rPr>
                <w:noProof/>
                <w:webHidden/>
              </w:rPr>
              <w:instrText xml:space="preserve"> PAGEREF _Toc208574125 \h </w:instrText>
            </w:r>
            <w:r>
              <w:rPr>
                <w:noProof/>
                <w:webHidden/>
              </w:rPr>
            </w:r>
            <w:r>
              <w:rPr>
                <w:noProof/>
                <w:webHidden/>
              </w:rPr>
              <w:fldChar w:fldCharType="separate"/>
            </w:r>
            <w:r>
              <w:rPr>
                <w:noProof/>
                <w:webHidden/>
              </w:rPr>
              <w:t>41</w:t>
            </w:r>
            <w:r>
              <w:rPr>
                <w:noProof/>
                <w:webHidden/>
              </w:rPr>
              <w:fldChar w:fldCharType="end"/>
            </w:r>
          </w:hyperlink>
        </w:p>
        <w:p w14:paraId="45D5C27D" w14:textId="789B83D8" w:rsidR="004F06F4" w:rsidRDefault="004F06F4">
          <w:pPr>
            <w:pStyle w:val="TOC3"/>
            <w:tabs>
              <w:tab w:val="right" w:leader="dot" w:pos="9350"/>
            </w:tabs>
            <w:rPr>
              <w:noProof/>
              <w:kern w:val="2"/>
              <w:sz w:val="24"/>
              <w:szCs w:val="24"/>
              <w:lang w:val="en-US" w:eastAsia="en-US"/>
              <w14:ligatures w14:val="standardContextual"/>
            </w:rPr>
          </w:pPr>
          <w:hyperlink w:anchor="_Toc208574126" w:history="1">
            <w:r w:rsidRPr="004C3D68">
              <w:rPr>
                <w:rStyle w:val="Hyperlink"/>
                <w:rFonts w:cstheme="minorHAnsi"/>
                <w:noProof/>
              </w:rPr>
              <w:t>Habilitation/Visa de sécurité</w:t>
            </w:r>
            <w:r>
              <w:rPr>
                <w:noProof/>
                <w:webHidden/>
              </w:rPr>
              <w:tab/>
            </w:r>
            <w:r>
              <w:rPr>
                <w:noProof/>
                <w:webHidden/>
              </w:rPr>
              <w:fldChar w:fldCharType="begin"/>
            </w:r>
            <w:r>
              <w:rPr>
                <w:noProof/>
                <w:webHidden/>
              </w:rPr>
              <w:instrText xml:space="preserve"> PAGEREF _Toc208574126 \h </w:instrText>
            </w:r>
            <w:r>
              <w:rPr>
                <w:noProof/>
                <w:webHidden/>
              </w:rPr>
            </w:r>
            <w:r>
              <w:rPr>
                <w:noProof/>
                <w:webHidden/>
              </w:rPr>
              <w:fldChar w:fldCharType="separate"/>
            </w:r>
            <w:r>
              <w:rPr>
                <w:noProof/>
                <w:webHidden/>
              </w:rPr>
              <w:t>41</w:t>
            </w:r>
            <w:r>
              <w:rPr>
                <w:noProof/>
                <w:webHidden/>
              </w:rPr>
              <w:fldChar w:fldCharType="end"/>
            </w:r>
          </w:hyperlink>
        </w:p>
        <w:p w14:paraId="3492FE04" w14:textId="733052C8" w:rsidR="004F06F4" w:rsidRDefault="004F06F4">
          <w:pPr>
            <w:pStyle w:val="TOC3"/>
            <w:tabs>
              <w:tab w:val="right" w:leader="dot" w:pos="9350"/>
            </w:tabs>
            <w:rPr>
              <w:noProof/>
              <w:kern w:val="2"/>
              <w:sz w:val="24"/>
              <w:szCs w:val="24"/>
              <w:lang w:val="en-US" w:eastAsia="en-US"/>
              <w14:ligatures w14:val="standardContextual"/>
            </w:rPr>
          </w:pPr>
          <w:hyperlink w:anchor="_Toc208574127" w:history="1">
            <w:r w:rsidRPr="004C3D68">
              <w:rPr>
                <w:rStyle w:val="Hyperlink"/>
                <w:rFonts w:cstheme="minorHAnsi"/>
                <w:noProof/>
              </w:rPr>
              <w:t>Déclaration d’aptitude médicale au travail</w:t>
            </w:r>
            <w:r>
              <w:rPr>
                <w:noProof/>
                <w:webHidden/>
              </w:rPr>
              <w:tab/>
            </w:r>
            <w:r>
              <w:rPr>
                <w:noProof/>
                <w:webHidden/>
              </w:rPr>
              <w:fldChar w:fldCharType="begin"/>
            </w:r>
            <w:r>
              <w:rPr>
                <w:noProof/>
                <w:webHidden/>
              </w:rPr>
              <w:instrText xml:space="preserve"> PAGEREF _Toc208574127 \h </w:instrText>
            </w:r>
            <w:r>
              <w:rPr>
                <w:noProof/>
                <w:webHidden/>
              </w:rPr>
            </w:r>
            <w:r>
              <w:rPr>
                <w:noProof/>
                <w:webHidden/>
              </w:rPr>
              <w:fldChar w:fldCharType="separate"/>
            </w:r>
            <w:r>
              <w:rPr>
                <w:noProof/>
                <w:webHidden/>
              </w:rPr>
              <w:t>42</w:t>
            </w:r>
            <w:r>
              <w:rPr>
                <w:noProof/>
                <w:webHidden/>
              </w:rPr>
              <w:fldChar w:fldCharType="end"/>
            </w:r>
          </w:hyperlink>
        </w:p>
        <w:p w14:paraId="0627B9AC" w14:textId="23488F56" w:rsidR="004F06F4" w:rsidRDefault="004F06F4">
          <w:pPr>
            <w:pStyle w:val="TOC3"/>
            <w:tabs>
              <w:tab w:val="right" w:leader="dot" w:pos="9350"/>
            </w:tabs>
            <w:rPr>
              <w:noProof/>
              <w:kern w:val="2"/>
              <w:sz w:val="24"/>
              <w:szCs w:val="24"/>
              <w:lang w:val="en-US" w:eastAsia="en-US"/>
              <w14:ligatures w14:val="standardContextual"/>
            </w:rPr>
          </w:pPr>
          <w:hyperlink w:anchor="_Toc208574128" w:history="1">
            <w:r w:rsidRPr="004C3D68">
              <w:rPr>
                <w:rStyle w:val="Hyperlink"/>
                <w:rFonts w:cstheme="minorHAnsi"/>
                <w:noProof/>
              </w:rPr>
              <w:t>Inoculations/vaccinations</w:t>
            </w:r>
            <w:r>
              <w:rPr>
                <w:noProof/>
                <w:webHidden/>
              </w:rPr>
              <w:tab/>
            </w:r>
            <w:r>
              <w:rPr>
                <w:noProof/>
                <w:webHidden/>
              </w:rPr>
              <w:fldChar w:fldCharType="begin"/>
            </w:r>
            <w:r>
              <w:rPr>
                <w:noProof/>
                <w:webHidden/>
              </w:rPr>
              <w:instrText xml:space="preserve"> PAGEREF _Toc208574128 \h </w:instrText>
            </w:r>
            <w:r>
              <w:rPr>
                <w:noProof/>
                <w:webHidden/>
              </w:rPr>
            </w:r>
            <w:r>
              <w:rPr>
                <w:noProof/>
                <w:webHidden/>
              </w:rPr>
              <w:fldChar w:fldCharType="separate"/>
            </w:r>
            <w:r>
              <w:rPr>
                <w:noProof/>
                <w:webHidden/>
              </w:rPr>
              <w:t>42</w:t>
            </w:r>
            <w:r>
              <w:rPr>
                <w:noProof/>
                <w:webHidden/>
              </w:rPr>
              <w:fldChar w:fldCharType="end"/>
            </w:r>
          </w:hyperlink>
        </w:p>
        <w:p w14:paraId="3D0AA346" w14:textId="3A569A92" w:rsidR="004F06F4" w:rsidRDefault="004F06F4">
          <w:pPr>
            <w:pStyle w:val="TOC3"/>
            <w:tabs>
              <w:tab w:val="right" w:leader="dot" w:pos="9350"/>
            </w:tabs>
            <w:rPr>
              <w:noProof/>
              <w:kern w:val="2"/>
              <w:sz w:val="24"/>
              <w:szCs w:val="24"/>
              <w:lang w:val="en-US" w:eastAsia="en-US"/>
              <w14:ligatures w14:val="standardContextual"/>
            </w:rPr>
          </w:pPr>
          <w:hyperlink w:anchor="_Toc208574129" w:history="1">
            <w:r w:rsidRPr="004C3D68">
              <w:rPr>
                <w:rStyle w:val="Hyperlink"/>
                <w:rFonts w:cstheme="minorHAnsi"/>
                <w:noProof/>
              </w:rPr>
              <w:t>Maladie, blessure ou décès imputable au service</w:t>
            </w:r>
            <w:r>
              <w:rPr>
                <w:noProof/>
                <w:webHidden/>
              </w:rPr>
              <w:tab/>
            </w:r>
            <w:r>
              <w:rPr>
                <w:noProof/>
                <w:webHidden/>
              </w:rPr>
              <w:fldChar w:fldCharType="begin"/>
            </w:r>
            <w:r>
              <w:rPr>
                <w:noProof/>
                <w:webHidden/>
              </w:rPr>
              <w:instrText xml:space="preserve"> PAGEREF _Toc208574129 \h </w:instrText>
            </w:r>
            <w:r>
              <w:rPr>
                <w:noProof/>
                <w:webHidden/>
              </w:rPr>
            </w:r>
            <w:r>
              <w:rPr>
                <w:noProof/>
                <w:webHidden/>
              </w:rPr>
              <w:fldChar w:fldCharType="separate"/>
            </w:r>
            <w:r>
              <w:rPr>
                <w:noProof/>
                <w:webHidden/>
              </w:rPr>
              <w:t>42</w:t>
            </w:r>
            <w:r>
              <w:rPr>
                <w:noProof/>
                <w:webHidden/>
              </w:rPr>
              <w:fldChar w:fldCharType="end"/>
            </w:r>
          </w:hyperlink>
        </w:p>
        <w:p w14:paraId="5C267936" w14:textId="421065CC" w:rsidR="004F06F4" w:rsidRDefault="004F06F4">
          <w:pPr>
            <w:pStyle w:val="TOC1"/>
            <w:tabs>
              <w:tab w:val="right" w:leader="dot" w:pos="9350"/>
            </w:tabs>
            <w:rPr>
              <w:rFonts w:eastAsiaTheme="minorEastAsia"/>
              <w:noProof/>
              <w:kern w:val="2"/>
              <w:sz w:val="24"/>
              <w:szCs w:val="24"/>
              <w:lang w:val="en-US"/>
              <w14:ligatures w14:val="standardContextual"/>
            </w:rPr>
          </w:pPr>
          <w:hyperlink w:anchor="_Toc208574130" w:history="1">
            <w:r w:rsidRPr="004C3D68">
              <w:rPr>
                <w:rStyle w:val="Hyperlink"/>
                <w:rFonts w:cstheme="minorHAnsi"/>
                <w:noProof/>
              </w:rPr>
              <w:t>Directives complémentaires :</w:t>
            </w:r>
            <w:r>
              <w:rPr>
                <w:noProof/>
                <w:webHidden/>
              </w:rPr>
              <w:tab/>
            </w:r>
            <w:r>
              <w:rPr>
                <w:noProof/>
                <w:webHidden/>
              </w:rPr>
              <w:fldChar w:fldCharType="begin"/>
            </w:r>
            <w:r>
              <w:rPr>
                <w:noProof/>
                <w:webHidden/>
              </w:rPr>
              <w:instrText xml:space="preserve"> PAGEREF _Toc208574130 \h </w:instrText>
            </w:r>
            <w:r>
              <w:rPr>
                <w:noProof/>
                <w:webHidden/>
              </w:rPr>
            </w:r>
            <w:r>
              <w:rPr>
                <w:noProof/>
                <w:webHidden/>
              </w:rPr>
              <w:fldChar w:fldCharType="separate"/>
            </w:r>
            <w:r>
              <w:rPr>
                <w:noProof/>
                <w:webHidden/>
              </w:rPr>
              <w:t>42</w:t>
            </w:r>
            <w:r>
              <w:rPr>
                <w:noProof/>
                <w:webHidden/>
              </w:rPr>
              <w:fldChar w:fldCharType="end"/>
            </w:r>
          </w:hyperlink>
        </w:p>
        <w:p w14:paraId="4B050314" w14:textId="42127363" w:rsidR="004F06F4" w:rsidRDefault="004F06F4">
          <w:pPr>
            <w:pStyle w:val="TOC3"/>
            <w:tabs>
              <w:tab w:val="right" w:leader="dot" w:pos="9350"/>
            </w:tabs>
            <w:rPr>
              <w:noProof/>
              <w:kern w:val="2"/>
              <w:sz w:val="24"/>
              <w:szCs w:val="24"/>
              <w:lang w:val="en-US" w:eastAsia="en-US"/>
              <w14:ligatures w14:val="standardContextual"/>
            </w:rPr>
          </w:pPr>
          <w:hyperlink w:anchor="_Toc208574131" w:history="1">
            <w:r w:rsidRPr="004C3D68">
              <w:rPr>
                <w:rStyle w:val="Hyperlink"/>
                <w:rFonts w:cstheme="minorHAnsi"/>
                <w:noProof/>
              </w:rPr>
              <w:t>Police d’assurance contre les actes de malveillance</w:t>
            </w:r>
            <w:r>
              <w:rPr>
                <w:noProof/>
                <w:webHidden/>
              </w:rPr>
              <w:tab/>
            </w:r>
            <w:r>
              <w:rPr>
                <w:noProof/>
                <w:webHidden/>
              </w:rPr>
              <w:fldChar w:fldCharType="begin"/>
            </w:r>
            <w:r>
              <w:rPr>
                <w:noProof/>
                <w:webHidden/>
              </w:rPr>
              <w:instrText xml:space="preserve"> PAGEREF _Toc208574131 \h </w:instrText>
            </w:r>
            <w:r>
              <w:rPr>
                <w:noProof/>
                <w:webHidden/>
              </w:rPr>
            </w:r>
            <w:r>
              <w:rPr>
                <w:noProof/>
                <w:webHidden/>
              </w:rPr>
              <w:fldChar w:fldCharType="separate"/>
            </w:r>
            <w:r>
              <w:rPr>
                <w:noProof/>
                <w:webHidden/>
              </w:rPr>
              <w:t>43</w:t>
            </w:r>
            <w:r>
              <w:rPr>
                <w:noProof/>
                <w:webHidden/>
              </w:rPr>
              <w:fldChar w:fldCharType="end"/>
            </w:r>
          </w:hyperlink>
        </w:p>
        <w:p w14:paraId="1A53F6C7" w14:textId="5C107496" w:rsidR="004F06F4" w:rsidRDefault="004F06F4">
          <w:pPr>
            <w:pStyle w:val="TOC1"/>
            <w:tabs>
              <w:tab w:val="right" w:leader="dot" w:pos="9350"/>
            </w:tabs>
            <w:rPr>
              <w:rFonts w:eastAsiaTheme="minorEastAsia"/>
              <w:noProof/>
              <w:kern w:val="2"/>
              <w:sz w:val="24"/>
              <w:szCs w:val="24"/>
              <w:lang w:val="en-US"/>
              <w14:ligatures w14:val="standardContextual"/>
            </w:rPr>
          </w:pPr>
          <w:hyperlink w:anchor="_Toc208574132" w:history="1">
            <w:r w:rsidRPr="004C3D68">
              <w:rPr>
                <w:rStyle w:val="Hyperlink"/>
                <w:rFonts w:cstheme="minorHAnsi"/>
                <w:noProof/>
              </w:rPr>
              <w:t>Violation, résiliation et règlement des différends</w:t>
            </w:r>
            <w:r>
              <w:rPr>
                <w:noProof/>
                <w:webHidden/>
              </w:rPr>
              <w:tab/>
            </w:r>
            <w:r>
              <w:rPr>
                <w:noProof/>
                <w:webHidden/>
              </w:rPr>
              <w:fldChar w:fldCharType="begin"/>
            </w:r>
            <w:r>
              <w:rPr>
                <w:noProof/>
                <w:webHidden/>
              </w:rPr>
              <w:instrText xml:space="preserve"> PAGEREF _Toc208574132 \h </w:instrText>
            </w:r>
            <w:r>
              <w:rPr>
                <w:noProof/>
                <w:webHidden/>
              </w:rPr>
            </w:r>
            <w:r>
              <w:rPr>
                <w:noProof/>
                <w:webHidden/>
              </w:rPr>
              <w:fldChar w:fldCharType="separate"/>
            </w:r>
            <w:r>
              <w:rPr>
                <w:noProof/>
                <w:webHidden/>
              </w:rPr>
              <w:t>43</w:t>
            </w:r>
            <w:r>
              <w:rPr>
                <w:noProof/>
                <w:webHidden/>
              </w:rPr>
              <w:fldChar w:fldCharType="end"/>
            </w:r>
          </w:hyperlink>
        </w:p>
        <w:p w14:paraId="222EE1F9" w14:textId="302CC418" w:rsidR="004F06F4" w:rsidRDefault="004F06F4">
          <w:pPr>
            <w:pStyle w:val="TOC3"/>
            <w:tabs>
              <w:tab w:val="right" w:leader="dot" w:pos="9350"/>
            </w:tabs>
            <w:rPr>
              <w:noProof/>
              <w:kern w:val="2"/>
              <w:sz w:val="24"/>
              <w:szCs w:val="24"/>
              <w:lang w:val="en-US" w:eastAsia="en-US"/>
              <w14:ligatures w14:val="standardContextual"/>
            </w:rPr>
          </w:pPr>
          <w:hyperlink w:anchor="_Toc208574133" w:history="1">
            <w:r w:rsidRPr="004C3D68">
              <w:rPr>
                <w:rStyle w:val="Hyperlink"/>
                <w:rFonts w:cstheme="minorHAnsi"/>
                <w:noProof/>
              </w:rPr>
              <w:t>Violation d’un contrat individuel</w:t>
            </w:r>
            <w:r>
              <w:rPr>
                <w:noProof/>
                <w:webHidden/>
              </w:rPr>
              <w:tab/>
            </w:r>
            <w:r>
              <w:rPr>
                <w:noProof/>
                <w:webHidden/>
              </w:rPr>
              <w:fldChar w:fldCharType="begin"/>
            </w:r>
            <w:r>
              <w:rPr>
                <w:noProof/>
                <w:webHidden/>
              </w:rPr>
              <w:instrText xml:space="preserve"> PAGEREF _Toc208574133 \h </w:instrText>
            </w:r>
            <w:r>
              <w:rPr>
                <w:noProof/>
                <w:webHidden/>
              </w:rPr>
            </w:r>
            <w:r>
              <w:rPr>
                <w:noProof/>
                <w:webHidden/>
              </w:rPr>
              <w:fldChar w:fldCharType="separate"/>
            </w:r>
            <w:r>
              <w:rPr>
                <w:noProof/>
                <w:webHidden/>
              </w:rPr>
              <w:t>43</w:t>
            </w:r>
            <w:r>
              <w:rPr>
                <w:noProof/>
                <w:webHidden/>
              </w:rPr>
              <w:fldChar w:fldCharType="end"/>
            </w:r>
          </w:hyperlink>
        </w:p>
        <w:p w14:paraId="7B9FD157" w14:textId="7C96D0FB" w:rsidR="004F06F4" w:rsidRDefault="004F06F4">
          <w:pPr>
            <w:pStyle w:val="TOC3"/>
            <w:tabs>
              <w:tab w:val="right" w:leader="dot" w:pos="9350"/>
            </w:tabs>
            <w:rPr>
              <w:noProof/>
              <w:kern w:val="2"/>
              <w:sz w:val="24"/>
              <w:szCs w:val="24"/>
              <w:lang w:val="en-US" w:eastAsia="en-US"/>
              <w14:ligatures w14:val="standardContextual"/>
            </w:rPr>
          </w:pPr>
          <w:hyperlink w:anchor="_Toc208574134" w:history="1">
            <w:r w:rsidRPr="004C3D68">
              <w:rPr>
                <w:rStyle w:val="Hyperlink"/>
                <w:rFonts w:cstheme="minorHAnsi"/>
                <w:noProof/>
              </w:rPr>
              <w:t>Résiliation d’un contrat individuel</w:t>
            </w:r>
            <w:r>
              <w:rPr>
                <w:noProof/>
                <w:webHidden/>
              </w:rPr>
              <w:tab/>
            </w:r>
            <w:r>
              <w:rPr>
                <w:noProof/>
                <w:webHidden/>
              </w:rPr>
              <w:fldChar w:fldCharType="begin"/>
            </w:r>
            <w:r>
              <w:rPr>
                <w:noProof/>
                <w:webHidden/>
              </w:rPr>
              <w:instrText xml:space="preserve"> PAGEREF _Toc208574134 \h </w:instrText>
            </w:r>
            <w:r>
              <w:rPr>
                <w:noProof/>
                <w:webHidden/>
              </w:rPr>
            </w:r>
            <w:r>
              <w:rPr>
                <w:noProof/>
                <w:webHidden/>
              </w:rPr>
              <w:fldChar w:fldCharType="separate"/>
            </w:r>
            <w:r>
              <w:rPr>
                <w:noProof/>
                <w:webHidden/>
              </w:rPr>
              <w:t>43</w:t>
            </w:r>
            <w:r>
              <w:rPr>
                <w:noProof/>
                <w:webHidden/>
              </w:rPr>
              <w:fldChar w:fldCharType="end"/>
            </w:r>
          </w:hyperlink>
        </w:p>
        <w:p w14:paraId="3D2EE62D" w14:textId="58840F32" w:rsidR="004F06F4" w:rsidRDefault="004F06F4">
          <w:pPr>
            <w:pStyle w:val="TOC3"/>
            <w:tabs>
              <w:tab w:val="right" w:leader="dot" w:pos="9350"/>
            </w:tabs>
            <w:rPr>
              <w:noProof/>
              <w:kern w:val="2"/>
              <w:sz w:val="24"/>
              <w:szCs w:val="24"/>
              <w:lang w:val="en-US" w:eastAsia="en-US"/>
              <w14:ligatures w14:val="standardContextual"/>
            </w:rPr>
          </w:pPr>
          <w:hyperlink w:anchor="_Toc208574135" w:history="1">
            <w:r w:rsidRPr="004C3D68">
              <w:rPr>
                <w:rStyle w:val="Hyperlink"/>
                <w:rFonts w:cstheme="minorHAnsi"/>
                <w:noProof/>
              </w:rPr>
              <w:t>Règlement de différends</w:t>
            </w:r>
            <w:r>
              <w:rPr>
                <w:noProof/>
                <w:webHidden/>
              </w:rPr>
              <w:tab/>
            </w:r>
            <w:r>
              <w:rPr>
                <w:noProof/>
                <w:webHidden/>
              </w:rPr>
              <w:fldChar w:fldCharType="begin"/>
            </w:r>
            <w:r>
              <w:rPr>
                <w:noProof/>
                <w:webHidden/>
              </w:rPr>
              <w:instrText xml:space="preserve"> PAGEREF _Toc208574135 \h </w:instrText>
            </w:r>
            <w:r>
              <w:rPr>
                <w:noProof/>
                <w:webHidden/>
              </w:rPr>
            </w:r>
            <w:r>
              <w:rPr>
                <w:noProof/>
                <w:webHidden/>
              </w:rPr>
              <w:fldChar w:fldCharType="separate"/>
            </w:r>
            <w:r>
              <w:rPr>
                <w:noProof/>
                <w:webHidden/>
              </w:rPr>
              <w:t>44</w:t>
            </w:r>
            <w:r>
              <w:rPr>
                <w:noProof/>
                <w:webHidden/>
              </w:rPr>
              <w:fldChar w:fldCharType="end"/>
            </w:r>
          </w:hyperlink>
        </w:p>
        <w:p w14:paraId="4B4111A8" w14:textId="276BC9B7" w:rsidR="004F06F4" w:rsidRDefault="004F06F4">
          <w:pPr>
            <w:pStyle w:val="TOC1"/>
            <w:tabs>
              <w:tab w:val="right" w:leader="dot" w:pos="9350"/>
            </w:tabs>
            <w:rPr>
              <w:rFonts w:eastAsiaTheme="minorEastAsia"/>
              <w:noProof/>
              <w:kern w:val="2"/>
              <w:sz w:val="24"/>
              <w:szCs w:val="24"/>
              <w:lang w:val="en-US"/>
              <w14:ligatures w14:val="standardContextual"/>
            </w:rPr>
          </w:pPr>
          <w:hyperlink w:anchor="_Toc208574136" w:history="1">
            <w:r w:rsidRPr="004C3D68">
              <w:rPr>
                <w:rStyle w:val="Hyperlink"/>
                <w:rFonts w:cstheme="minorHAnsi"/>
                <w:noProof/>
              </w:rPr>
              <w:t>Rôles et responsabilités</w:t>
            </w:r>
            <w:r>
              <w:rPr>
                <w:noProof/>
                <w:webHidden/>
              </w:rPr>
              <w:tab/>
            </w:r>
            <w:r>
              <w:rPr>
                <w:noProof/>
                <w:webHidden/>
              </w:rPr>
              <w:fldChar w:fldCharType="begin"/>
            </w:r>
            <w:r>
              <w:rPr>
                <w:noProof/>
                <w:webHidden/>
              </w:rPr>
              <w:instrText xml:space="preserve"> PAGEREF _Toc208574136 \h </w:instrText>
            </w:r>
            <w:r>
              <w:rPr>
                <w:noProof/>
                <w:webHidden/>
              </w:rPr>
            </w:r>
            <w:r>
              <w:rPr>
                <w:noProof/>
                <w:webHidden/>
              </w:rPr>
              <w:fldChar w:fldCharType="separate"/>
            </w:r>
            <w:r>
              <w:rPr>
                <w:noProof/>
                <w:webHidden/>
              </w:rPr>
              <w:t>44</w:t>
            </w:r>
            <w:r>
              <w:rPr>
                <w:noProof/>
                <w:webHidden/>
              </w:rPr>
              <w:fldChar w:fldCharType="end"/>
            </w:r>
          </w:hyperlink>
        </w:p>
        <w:p w14:paraId="67BD0646" w14:textId="1A4F348C" w:rsidR="00E66DE5" w:rsidRDefault="00342695" w:rsidP="00CA0ABD">
          <w:pPr>
            <w:pStyle w:val="TOC1"/>
            <w:tabs>
              <w:tab w:val="right" w:leader="dot" w:pos="9350"/>
            </w:tabs>
            <w:rPr>
              <w:rFonts w:cstheme="minorHAnsi"/>
              <w:b/>
              <w:bCs/>
            </w:rPr>
          </w:pPr>
          <w:r w:rsidRPr="0087246C">
            <w:rPr>
              <w:rFonts w:cstheme="minorHAnsi"/>
              <w:b/>
              <w:bCs/>
            </w:rPr>
            <w:fldChar w:fldCharType="end"/>
          </w:r>
        </w:p>
        <w:p w14:paraId="6A2BDEB7" w14:textId="3214EC61" w:rsidR="00342695" w:rsidRPr="00E66DE5" w:rsidRDefault="00C44CB9" w:rsidP="00E66DE5"/>
      </w:sdtContent>
    </w:sdt>
    <w:p w14:paraId="172C4715" w14:textId="7B0530CE" w:rsidR="00876F33" w:rsidRPr="00876F33" w:rsidRDefault="00876F33" w:rsidP="00876F33">
      <w:pPr>
        <w:pStyle w:val="Calibri11"/>
        <w:numPr>
          <w:ilvl w:val="0"/>
          <w:numId w:val="0"/>
        </w:numPr>
        <w:ind w:left="360" w:hanging="360"/>
      </w:pPr>
      <w:bookmarkStart w:id="0" w:name="_Toc208574044"/>
      <w:r w:rsidRPr="00876F33">
        <w:t>Mesures de transition</w:t>
      </w:r>
      <w:bookmarkEnd w:id="0"/>
    </w:p>
    <w:p w14:paraId="18AFA275" w14:textId="16237488" w:rsidR="00876F33" w:rsidRPr="00876F33" w:rsidRDefault="00876F33" w:rsidP="00876F33">
      <w:pPr>
        <w:shd w:val="clear" w:color="auto" w:fill="FFFFFF" w:themeFill="background1"/>
        <w:spacing w:after="0" w:line="240" w:lineRule="auto"/>
        <w:rPr>
          <w:rFonts w:ascii="Calibri" w:eastAsia="Calibri" w:hAnsi="Calibri" w:cs="Calibri"/>
        </w:rPr>
      </w:pPr>
      <w:r w:rsidRPr="00876F33">
        <w:rPr>
          <w:rFonts w:ascii="Calibri" w:eastAsia="Calibri" w:hAnsi="Calibri" w:cs="Calibri"/>
          <w:b/>
          <w:bCs/>
          <w:u w:val="single"/>
        </w:rPr>
        <w:t>Mise à jour de la politique de la CI en vue du lancement de la politique IPSA/NPSA.</w:t>
      </w:r>
    </w:p>
    <w:p w14:paraId="24F83454" w14:textId="77777777" w:rsidR="00876F33" w:rsidRPr="00876F33" w:rsidRDefault="00876F33" w:rsidP="00876F33">
      <w:pPr>
        <w:shd w:val="clear" w:color="auto" w:fill="FFFFFF" w:themeFill="background1"/>
        <w:spacing w:after="0" w:line="240" w:lineRule="auto"/>
        <w:rPr>
          <w:rFonts w:ascii="Calibri" w:eastAsia="Calibri" w:hAnsi="Calibri" w:cs="Calibri"/>
        </w:rPr>
      </w:pPr>
    </w:p>
    <w:p w14:paraId="60FC3B7A" w14:textId="77777777" w:rsidR="00876F33" w:rsidRPr="003C686A" w:rsidRDefault="00876F33" w:rsidP="00876F33">
      <w:pPr>
        <w:shd w:val="clear" w:color="auto" w:fill="FFFFFF" w:themeFill="background1"/>
        <w:spacing w:after="0" w:line="240" w:lineRule="auto"/>
        <w:rPr>
          <w:rFonts w:ascii="Calibri" w:eastAsia="Calibri" w:hAnsi="Calibri" w:cs="Calibri"/>
        </w:rPr>
      </w:pPr>
      <w:r w:rsidRPr="003C686A">
        <w:rPr>
          <w:rFonts w:ascii="Calibri" w:eastAsia="Calibri" w:hAnsi="Calibri" w:cs="Calibri"/>
          <w:b/>
          <w:bCs/>
        </w:rPr>
        <w:t>UNDP:</w:t>
      </w:r>
    </w:p>
    <w:p w14:paraId="79CDA39F" w14:textId="148E98A3" w:rsidR="00876F33" w:rsidRDefault="00876F33" w:rsidP="001766E0">
      <w:pPr>
        <w:shd w:val="clear" w:color="auto" w:fill="FFFFFF" w:themeFill="background1"/>
        <w:spacing w:after="0" w:line="240" w:lineRule="auto"/>
        <w:jc w:val="both"/>
        <w:rPr>
          <w:rFonts w:ascii="Calibri" w:eastAsia="Calibri" w:hAnsi="Calibri" w:cs="Calibri"/>
        </w:rPr>
      </w:pPr>
      <w:r w:rsidRPr="00876F33">
        <w:rPr>
          <w:rFonts w:ascii="Calibri" w:eastAsia="Calibri" w:hAnsi="Calibri" w:cs="Calibri"/>
        </w:rPr>
        <w:t xml:space="preserve">L'IPSA et le N-PSA remplaceront tous les CI internationaux et locaux à partir du 31 mars 2022 (prolongé du 31 décembre 2021), </w:t>
      </w:r>
      <w:r w:rsidRPr="0061650D">
        <w:rPr>
          <w:rFonts w:ascii="Calibri" w:eastAsia="Calibri" w:hAnsi="Calibri" w:cs="Calibri"/>
          <w:u w:val="single"/>
        </w:rPr>
        <w:t>à l'exception de ceux qui sont des arrangements forfaitaires basés sur des livrables</w:t>
      </w:r>
      <w:r w:rsidRPr="00876F33">
        <w:rPr>
          <w:rFonts w:ascii="Calibri" w:eastAsia="Calibri" w:hAnsi="Calibri" w:cs="Calibri"/>
        </w:rPr>
        <w:t xml:space="preserve">. Après cette date, l'utilisation des CI sera limitée aux arrangements basés sur </w:t>
      </w:r>
      <w:r w:rsidRPr="0061650D">
        <w:rPr>
          <w:rFonts w:ascii="Calibri" w:eastAsia="Calibri" w:hAnsi="Calibri" w:cs="Calibri"/>
          <w:b/>
          <w:bCs/>
        </w:rPr>
        <w:t>des versements forfaitaires</w:t>
      </w:r>
      <w:r w:rsidR="0061650D" w:rsidRPr="0061650D">
        <w:rPr>
          <w:rFonts w:ascii="Calibri" w:eastAsia="Calibri" w:hAnsi="Calibri" w:cs="Calibri"/>
          <w:b/>
          <w:bCs/>
        </w:rPr>
        <w:t xml:space="preserve"> </w:t>
      </w:r>
      <w:r w:rsidR="0061650D" w:rsidRPr="0061650D">
        <w:rPr>
          <w:rFonts w:cstheme="minorHAnsi"/>
          <w:b/>
          <w:bCs/>
        </w:rPr>
        <w:t>liées aux produits livrables</w:t>
      </w:r>
      <w:r w:rsidRPr="00876F33">
        <w:rPr>
          <w:rFonts w:ascii="Calibri" w:eastAsia="Calibri" w:hAnsi="Calibri" w:cs="Calibri"/>
        </w:rPr>
        <w:t>.</w:t>
      </w:r>
    </w:p>
    <w:p w14:paraId="3D82698D" w14:textId="77777777" w:rsidR="0061650D" w:rsidRPr="00876F33" w:rsidRDefault="0061650D" w:rsidP="00876F33">
      <w:pPr>
        <w:shd w:val="clear" w:color="auto" w:fill="FFFFFF" w:themeFill="background1"/>
        <w:spacing w:after="0" w:line="240" w:lineRule="auto"/>
        <w:rPr>
          <w:rFonts w:ascii="Calibri" w:eastAsia="Calibri" w:hAnsi="Calibri" w:cs="Calibri"/>
        </w:rPr>
      </w:pPr>
    </w:p>
    <w:p w14:paraId="610AF60F" w14:textId="789562FD" w:rsidR="00876F33" w:rsidRPr="00085CF5" w:rsidRDefault="00085CF5" w:rsidP="00876F33">
      <w:pPr>
        <w:shd w:val="clear" w:color="auto" w:fill="FFFFFF" w:themeFill="background1"/>
        <w:spacing w:after="0" w:line="240" w:lineRule="auto"/>
        <w:rPr>
          <w:rFonts w:ascii="Calibri" w:eastAsia="Calibri" w:hAnsi="Calibri" w:cs="Calibri"/>
        </w:rPr>
      </w:pPr>
      <w:r w:rsidRPr="00085CF5">
        <w:rPr>
          <w:rFonts w:ascii="Calibri" w:eastAsia="Calibri" w:hAnsi="Calibri" w:cs="Calibri"/>
          <w:b/>
          <w:bCs/>
        </w:rPr>
        <w:t>Autres agences des Nations unies</w:t>
      </w:r>
      <w:r w:rsidR="00876F33" w:rsidRPr="00085CF5">
        <w:rPr>
          <w:rFonts w:ascii="Calibri" w:eastAsia="Calibri" w:hAnsi="Calibri" w:cs="Calibri"/>
          <w:b/>
          <w:bCs/>
        </w:rPr>
        <w:t>:</w:t>
      </w:r>
    </w:p>
    <w:p w14:paraId="55840B4E" w14:textId="0D33EE6C" w:rsidR="00342695" w:rsidRPr="00085CF5" w:rsidRDefault="00085CF5" w:rsidP="001766E0">
      <w:pPr>
        <w:shd w:val="clear" w:color="auto" w:fill="FFFFFF" w:themeFill="background1"/>
        <w:spacing w:after="0" w:line="240" w:lineRule="auto"/>
        <w:jc w:val="both"/>
        <w:rPr>
          <w:rFonts w:ascii="Calibri" w:eastAsia="Calibri" w:hAnsi="Calibri" w:cs="Calibri"/>
        </w:rPr>
      </w:pPr>
      <w:r w:rsidRPr="00907CCD">
        <w:rPr>
          <w:rFonts w:ascii="Calibri" w:eastAsia="Calibri" w:hAnsi="Calibri" w:cs="Calibri"/>
        </w:rPr>
        <w:t xml:space="preserve">La politique en matière de CI est toujours disponible dans sa forme actuelle, couvrant à la fois les CI journaliers et forfaitaires, pour être utilisée par toutes les autres agences des Nations Unies jusqu'au </w:t>
      </w:r>
      <w:r w:rsidR="00907CCD" w:rsidRPr="00281AA4">
        <w:rPr>
          <w:rFonts w:ascii="Calibri" w:eastAsia="Calibri" w:hAnsi="Calibri" w:cs="Calibri"/>
        </w:rPr>
        <w:t>31 décembre 2025</w:t>
      </w:r>
      <w:r w:rsidR="0023364E" w:rsidRPr="00907CCD">
        <w:rPr>
          <w:rFonts w:ascii="Calibri" w:eastAsia="Calibri" w:hAnsi="Calibri" w:cs="Calibri"/>
        </w:rPr>
        <w:t>.</w:t>
      </w:r>
    </w:p>
    <w:p w14:paraId="45B284FB" w14:textId="77777777" w:rsidR="00342695" w:rsidRPr="0087246C" w:rsidRDefault="00342695" w:rsidP="00342695">
      <w:pPr>
        <w:pStyle w:val="Calibri11"/>
        <w:numPr>
          <w:ilvl w:val="0"/>
          <w:numId w:val="0"/>
        </w:numPr>
        <w:jc w:val="both"/>
        <w:rPr>
          <w:rFonts w:asciiTheme="minorHAnsi" w:hAnsiTheme="minorHAnsi" w:cstheme="minorHAnsi"/>
          <w:szCs w:val="22"/>
        </w:rPr>
      </w:pPr>
      <w:bookmarkStart w:id="1" w:name="_Toc208574045"/>
      <w:r w:rsidRPr="0087246C">
        <w:rPr>
          <w:rFonts w:asciiTheme="minorHAnsi" w:hAnsiTheme="minorHAnsi" w:cstheme="minorHAnsi"/>
          <w:szCs w:val="22"/>
        </w:rPr>
        <w:t>Principes généraux</w:t>
      </w:r>
      <w:bookmarkEnd w:id="1"/>
      <w:r w:rsidRPr="0087246C">
        <w:rPr>
          <w:rFonts w:asciiTheme="minorHAnsi" w:hAnsiTheme="minorHAnsi" w:cstheme="minorHAnsi"/>
          <w:szCs w:val="22"/>
        </w:rPr>
        <w:t xml:space="preserve"> </w:t>
      </w:r>
    </w:p>
    <w:p w14:paraId="6CA45C42" w14:textId="77777777" w:rsidR="00342695" w:rsidRPr="0087246C" w:rsidRDefault="00342695" w:rsidP="00342695">
      <w:pPr>
        <w:shd w:val="clear" w:color="auto" w:fill="FFFFFF"/>
        <w:spacing w:after="0" w:line="240" w:lineRule="auto"/>
        <w:jc w:val="both"/>
        <w:textAlignment w:val="top"/>
        <w:rPr>
          <w:rFonts w:eastAsia="Times New Roman" w:cstheme="minorHAnsi"/>
          <w:color w:val="333333"/>
        </w:rPr>
      </w:pPr>
      <w:r w:rsidRPr="0087246C">
        <w:rPr>
          <w:rFonts w:cstheme="minorHAnsi"/>
          <w:color w:val="333333"/>
        </w:rPr>
        <w:t> </w:t>
      </w:r>
      <w:bookmarkStart w:id="2" w:name="_Toc271192891"/>
      <w:bookmarkStart w:id="3" w:name="_Toc269916300"/>
      <w:bookmarkStart w:id="4" w:name="_Toc269908044"/>
      <w:bookmarkEnd w:id="2"/>
      <w:bookmarkEnd w:id="3"/>
      <w:bookmarkEnd w:id="4"/>
    </w:p>
    <w:p w14:paraId="78745053" w14:textId="77777777" w:rsidR="00342695" w:rsidRPr="0087246C" w:rsidRDefault="00342695" w:rsidP="00342695">
      <w:pPr>
        <w:pStyle w:val="ListParagraph"/>
        <w:numPr>
          <w:ilvl w:val="0"/>
          <w:numId w:val="36"/>
        </w:numPr>
        <w:shd w:val="clear" w:color="auto" w:fill="FFFFFF"/>
        <w:spacing w:before="0" w:beforeAutospacing="0" w:after="0" w:afterAutospacing="0"/>
        <w:jc w:val="both"/>
        <w:textAlignment w:val="top"/>
        <w:rPr>
          <w:rFonts w:asciiTheme="minorHAnsi" w:hAnsiTheme="minorHAnsi" w:cstheme="minorHAnsi"/>
          <w:color w:val="333333"/>
          <w:sz w:val="22"/>
          <w:szCs w:val="22"/>
        </w:rPr>
      </w:pPr>
      <w:r w:rsidRPr="0087246C">
        <w:rPr>
          <w:rFonts w:asciiTheme="minorHAnsi" w:hAnsiTheme="minorHAnsi" w:cstheme="minorHAnsi"/>
          <w:color w:val="000000"/>
          <w:sz w:val="22"/>
          <w:szCs w:val="22"/>
        </w:rPr>
        <w:t xml:space="preserve">La modalité de contrat individuel est utilisée pour la passation des </w:t>
      </w:r>
      <w:r w:rsidRPr="0087246C">
        <w:rPr>
          <w:rFonts w:asciiTheme="minorHAnsi" w:hAnsiTheme="minorHAnsi" w:cstheme="minorHAnsi"/>
          <w:b/>
          <w:color w:val="000000"/>
          <w:sz w:val="22"/>
          <w:szCs w:val="22"/>
        </w:rPr>
        <w:t>marchés de services visant à réaliser des tâches selon une durée limitée et par un personnel n’ayant pas le statut de fonctionnaire dans le but de produire des résultats précis et quantifiables</w:t>
      </w:r>
      <w:r w:rsidRPr="0087246C">
        <w:rPr>
          <w:rFonts w:asciiTheme="minorHAnsi" w:hAnsiTheme="minorHAnsi" w:cstheme="minorHAnsi"/>
          <w:color w:val="000000"/>
          <w:sz w:val="22"/>
          <w:szCs w:val="22"/>
        </w:rPr>
        <w:t xml:space="preserve">. Ces tâches doivent être clairement indiquées dans le contrat et directement liées au paiement.  </w:t>
      </w:r>
    </w:p>
    <w:p w14:paraId="213A8634" w14:textId="77777777" w:rsidR="00342695" w:rsidRPr="0087246C" w:rsidRDefault="00342695" w:rsidP="00342695">
      <w:pPr>
        <w:pStyle w:val="ListParagraph"/>
        <w:shd w:val="clear" w:color="auto" w:fill="FFFFFF"/>
        <w:spacing w:before="0" w:beforeAutospacing="0" w:after="0" w:afterAutospacing="0"/>
        <w:ind w:left="720"/>
        <w:jc w:val="both"/>
        <w:textAlignment w:val="top"/>
        <w:rPr>
          <w:rFonts w:asciiTheme="minorHAnsi" w:hAnsiTheme="minorHAnsi" w:cstheme="minorHAnsi"/>
          <w:color w:val="333333"/>
          <w:sz w:val="22"/>
          <w:szCs w:val="22"/>
        </w:rPr>
      </w:pPr>
    </w:p>
    <w:p w14:paraId="5D3B2AB7" w14:textId="77777777" w:rsidR="00342695" w:rsidRPr="0087246C" w:rsidRDefault="00342695" w:rsidP="00342695">
      <w:pPr>
        <w:pStyle w:val="ListParagraph"/>
        <w:numPr>
          <w:ilvl w:val="0"/>
          <w:numId w:val="36"/>
        </w:numPr>
        <w:shd w:val="clear" w:color="auto" w:fill="FFFFFF"/>
        <w:spacing w:before="0" w:beforeAutospacing="0" w:after="0" w:afterAutospacing="0"/>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L’embauche de personnes en tant que prestataires au titre de la modalité de contrat individuel obéit aux principes généraux de passation des marchés établis par le Règlement financier et les règles de gestion financière du PNUD (article 21, règlement 21.02), à savoir : </w:t>
      </w:r>
    </w:p>
    <w:p w14:paraId="41E2A6AA" w14:textId="77777777" w:rsidR="00342695" w:rsidRPr="0087246C" w:rsidRDefault="00342695" w:rsidP="00342695">
      <w:pPr>
        <w:shd w:val="clear" w:color="auto" w:fill="FFFFFF"/>
        <w:spacing w:after="0" w:line="240" w:lineRule="auto"/>
        <w:jc w:val="both"/>
        <w:textAlignment w:val="top"/>
        <w:rPr>
          <w:rFonts w:eastAsia="Times New Roman" w:cstheme="minorHAnsi"/>
          <w:color w:val="000000"/>
        </w:rPr>
      </w:pPr>
      <w:r w:rsidRPr="0087246C">
        <w:rPr>
          <w:rFonts w:cstheme="minorHAnsi"/>
          <w:color w:val="000000"/>
        </w:rPr>
        <w:t> </w:t>
      </w:r>
    </w:p>
    <w:p w14:paraId="2F20AF16" w14:textId="77777777" w:rsidR="00342695" w:rsidRPr="0087246C" w:rsidRDefault="00342695" w:rsidP="00342695">
      <w:pPr>
        <w:numPr>
          <w:ilvl w:val="0"/>
          <w:numId w:val="35"/>
        </w:numPr>
        <w:shd w:val="clear" w:color="auto" w:fill="FFFFFF"/>
        <w:spacing w:after="0" w:line="240" w:lineRule="auto"/>
        <w:contextualSpacing/>
        <w:jc w:val="both"/>
        <w:textAlignment w:val="top"/>
        <w:rPr>
          <w:rFonts w:eastAsia="Times New Roman" w:cstheme="minorHAnsi"/>
          <w:color w:val="000000"/>
        </w:rPr>
      </w:pPr>
      <w:r w:rsidRPr="0087246C">
        <w:rPr>
          <w:rFonts w:cstheme="minorHAnsi"/>
          <w:color w:val="000000"/>
        </w:rPr>
        <w:t>Le meilleur rapport qualité-prix, qui renvoie à l’acquisition des meilleurs services personnels aux taux les plus concurrentiels dans le cadre d’une compétence précise, de manière à refléter les conditions de marché locales et actuelles.  </w:t>
      </w:r>
    </w:p>
    <w:p w14:paraId="13E9A4FA" w14:textId="77777777" w:rsidR="00342695" w:rsidRPr="0087246C" w:rsidRDefault="00342695" w:rsidP="00342695">
      <w:pPr>
        <w:numPr>
          <w:ilvl w:val="0"/>
          <w:numId w:val="35"/>
        </w:numPr>
        <w:shd w:val="clear" w:color="auto" w:fill="FFFFFF"/>
        <w:spacing w:after="0" w:line="240" w:lineRule="auto"/>
        <w:contextualSpacing/>
        <w:jc w:val="both"/>
        <w:textAlignment w:val="top"/>
        <w:rPr>
          <w:rFonts w:eastAsia="Times New Roman" w:cstheme="minorHAnsi"/>
          <w:color w:val="000000"/>
        </w:rPr>
      </w:pPr>
      <w:r w:rsidRPr="0087246C">
        <w:rPr>
          <w:rFonts w:cstheme="minorHAnsi"/>
          <w:color w:val="000000"/>
        </w:rPr>
        <w:t xml:space="preserve">L’équité, l’intégrité et la transparence, avec des processus de sélection et de gestion fondés tant sur le règlement financier et les règles du PNUD que sur les procédures du PNUD dans l’ensemble, et qui veillent à ce que les unités administratives rendent compte de l’application appropriée de la modalité de contrat individuel ainsi que des résultats obtenus, et que les décisions soient prises de façon transparente.   </w:t>
      </w:r>
    </w:p>
    <w:p w14:paraId="056AD753" w14:textId="77777777" w:rsidR="00342695" w:rsidRPr="0087246C" w:rsidRDefault="00342695" w:rsidP="00342695">
      <w:pPr>
        <w:numPr>
          <w:ilvl w:val="0"/>
          <w:numId w:val="35"/>
        </w:numPr>
        <w:shd w:val="clear" w:color="auto" w:fill="FFFFFF"/>
        <w:spacing w:after="0" w:line="240" w:lineRule="auto"/>
        <w:contextualSpacing/>
        <w:jc w:val="both"/>
        <w:textAlignment w:val="top"/>
        <w:rPr>
          <w:rFonts w:eastAsia="Times New Roman" w:cstheme="minorHAnsi"/>
          <w:color w:val="000000"/>
        </w:rPr>
      </w:pPr>
      <w:r w:rsidRPr="0087246C">
        <w:rPr>
          <w:rFonts w:cstheme="minorHAnsi"/>
          <w:color w:val="000000"/>
        </w:rPr>
        <w:t>La mise en concurrence internationale efficace, qui signifie que les contrats individuels doivent être attribués au moyen d’un processus de sélection par mise en concurrence d’individus compétents et hautement qualifiés ; et  </w:t>
      </w:r>
    </w:p>
    <w:p w14:paraId="6ED35015" w14:textId="77777777" w:rsidR="00342695" w:rsidRPr="0087246C" w:rsidRDefault="00342695" w:rsidP="00342695">
      <w:pPr>
        <w:numPr>
          <w:ilvl w:val="0"/>
          <w:numId w:val="35"/>
        </w:numPr>
        <w:shd w:val="clear" w:color="auto" w:fill="FFFFFF"/>
        <w:spacing w:after="0" w:line="240" w:lineRule="auto"/>
        <w:contextualSpacing/>
        <w:jc w:val="both"/>
        <w:textAlignment w:val="top"/>
        <w:rPr>
          <w:rFonts w:eastAsia="Times New Roman" w:cstheme="minorHAnsi"/>
          <w:color w:val="000000"/>
        </w:rPr>
      </w:pPr>
      <w:r w:rsidRPr="0087246C">
        <w:rPr>
          <w:rFonts w:cstheme="minorHAnsi"/>
          <w:color w:val="000000"/>
        </w:rPr>
        <w:t xml:space="preserve">Les intérêts du PNUD et des Nations Unies. </w:t>
      </w:r>
    </w:p>
    <w:p w14:paraId="3BB43A07" w14:textId="77777777" w:rsidR="00342695" w:rsidRPr="0087246C" w:rsidRDefault="00342695" w:rsidP="00342695">
      <w:pPr>
        <w:shd w:val="clear" w:color="auto" w:fill="FFFFFF"/>
        <w:spacing w:after="100" w:line="240" w:lineRule="auto"/>
        <w:jc w:val="both"/>
        <w:textAlignment w:val="top"/>
        <w:rPr>
          <w:rFonts w:eastAsia="Times New Roman" w:cstheme="minorHAnsi"/>
          <w:color w:val="000000"/>
        </w:rPr>
      </w:pPr>
      <w:r w:rsidRPr="0087246C">
        <w:rPr>
          <w:rFonts w:cstheme="minorHAnsi"/>
          <w:color w:val="000000"/>
        </w:rPr>
        <w:t> </w:t>
      </w:r>
    </w:p>
    <w:p w14:paraId="34661BDC" w14:textId="253A39E0" w:rsidR="00342695" w:rsidRPr="00250735" w:rsidRDefault="00342695" w:rsidP="00223F65">
      <w:pPr>
        <w:pStyle w:val="ListParagraph"/>
        <w:numPr>
          <w:ilvl w:val="0"/>
          <w:numId w:val="36"/>
        </w:numPr>
        <w:shd w:val="clear" w:color="auto" w:fill="FFFFFF"/>
        <w:spacing w:before="0" w:beforeAutospacing="0" w:after="0" w:afterAutospacing="0"/>
        <w:jc w:val="both"/>
        <w:textAlignment w:val="top"/>
        <w:rPr>
          <w:rFonts w:cstheme="minorHAnsi"/>
          <w:color w:val="333333"/>
        </w:rPr>
      </w:pPr>
      <w:r w:rsidRPr="00250735">
        <w:rPr>
          <w:rFonts w:asciiTheme="minorHAnsi" w:hAnsiTheme="minorHAnsi" w:cstheme="minorHAnsi"/>
          <w:color w:val="000000"/>
          <w:sz w:val="22"/>
          <w:szCs w:val="22"/>
        </w:rPr>
        <w:t>Eu égard à ce qui précède, toute question susceptible de se poser lors du recrutement des consultants ou lors de la gestion des contrats individuels, qui n’est pas abordée de façon spécifique dans la présente politique, doit être fondée et interprétée sur la base du contenu de la section relative aux contrats et à la passation des marchés des Politiques et procédures relatives aux programmes et aux opérations (POPP) du PNUD ainsi qu’aux normes en matière des meilleures pratiques de passation des marchés. La présente politique fait office de cadre directeur pour les deux (2) instruments juridiques utilisés pour engager les services de personnes, notamment : (a) Le contrat individuel ; et (b) l’accord de prêt remboursable.</w:t>
      </w:r>
      <w:r w:rsidR="00250735" w:rsidRPr="00250735">
        <w:rPr>
          <w:rFonts w:asciiTheme="minorHAnsi" w:hAnsiTheme="minorHAnsi" w:cstheme="minorHAnsi"/>
          <w:color w:val="000000"/>
          <w:sz w:val="22"/>
          <w:szCs w:val="22"/>
        </w:rPr>
        <w:t xml:space="preserve"> </w:t>
      </w:r>
    </w:p>
    <w:p w14:paraId="4C47A601" w14:textId="77777777" w:rsidR="00342695" w:rsidRPr="0087246C" w:rsidRDefault="00342695" w:rsidP="00342695">
      <w:pPr>
        <w:pStyle w:val="Calibri11"/>
        <w:numPr>
          <w:ilvl w:val="0"/>
          <w:numId w:val="0"/>
        </w:numPr>
        <w:jc w:val="both"/>
        <w:rPr>
          <w:rFonts w:asciiTheme="minorHAnsi" w:hAnsiTheme="minorHAnsi" w:cstheme="minorHAnsi"/>
          <w:szCs w:val="22"/>
        </w:rPr>
      </w:pPr>
      <w:bookmarkStart w:id="5" w:name="_Toc208574046"/>
      <w:r w:rsidRPr="0087246C">
        <w:rPr>
          <w:rFonts w:asciiTheme="minorHAnsi" w:hAnsiTheme="minorHAnsi" w:cstheme="minorHAnsi"/>
          <w:szCs w:val="22"/>
        </w:rPr>
        <w:lastRenderedPageBreak/>
        <w:t>Objectif du contrat individuel</w:t>
      </w:r>
      <w:bookmarkEnd w:id="5"/>
    </w:p>
    <w:p w14:paraId="73B86175" w14:textId="77777777" w:rsidR="00342695" w:rsidRPr="0087246C" w:rsidRDefault="00342695" w:rsidP="00342695">
      <w:pPr>
        <w:pStyle w:val="ListParagraph"/>
        <w:numPr>
          <w:ilvl w:val="0"/>
          <w:numId w:val="36"/>
        </w:numPr>
        <w:shd w:val="clear" w:color="auto" w:fill="FFFFFF"/>
        <w:spacing w:before="0" w:beforeAutospacing="0" w:after="0" w:afterAutospacing="0"/>
        <w:jc w:val="both"/>
        <w:textAlignment w:val="top"/>
        <w:rPr>
          <w:rFonts w:asciiTheme="minorHAnsi" w:hAnsiTheme="minorHAnsi" w:cstheme="minorHAnsi"/>
          <w:sz w:val="22"/>
          <w:szCs w:val="22"/>
        </w:rPr>
      </w:pPr>
      <w:r w:rsidRPr="0087246C">
        <w:rPr>
          <w:rFonts w:asciiTheme="minorHAnsi" w:hAnsiTheme="minorHAnsi" w:cstheme="minorHAnsi"/>
          <w:sz w:val="22"/>
          <w:szCs w:val="22"/>
        </w:rPr>
        <w:t>Pour se procurer des services par l’entremise d’un contrat individuel, l’unité administrative requérante doit d’abord s’assurer que la modalité contractuelle est la plus adaptée au besoin.</w:t>
      </w:r>
    </w:p>
    <w:p w14:paraId="037FB154" w14:textId="77777777" w:rsidR="00342695" w:rsidRPr="0087246C" w:rsidRDefault="00342695" w:rsidP="00342695">
      <w:pPr>
        <w:shd w:val="clear" w:color="auto" w:fill="FFFFFF"/>
        <w:spacing w:before="100" w:beforeAutospacing="1" w:after="100" w:afterAutospacing="1" w:line="240" w:lineRule="auto"/>
        <w:ind w:firstLine="720"/>
        <w:jc w:val="both"/>
        <w:textAlignment w:val="top"/>
        <w:rPr>
          <w:rFonts w:eastAsia="Times New Roman" w:cstheme="minorHAnsi"/>
        </w:rPr>
      </w:pPr>
      <w:r w:rsidRPr="0087246C">
        <w:rPr>
          <w:rFonts w:cstheme="minorHAnsi"/>
        </w:rPr>
        <w:t>Les consultants doivent être embauchés par des contrats individuels lorsque :  </w:t>
      </w:r>
    </w:p>
    <w:p w14:paraId="54C2A5AD" w14:textId="77777777" w:rsidR="00342695" w:rsidRPr="0087246C" w:rsidRDefault="00342695" w:rsidP="00342695">
      <w:pPr>
        <w:numPr>
          <w:ilvl w:val="0"/>
          <w:numId w:val="37"/>
        </w:numPr>
        <w:shd w:val="clear" w:color="auto" w:fill="FFFFFF"/>
        <w:spacing w:after="0" w:line="240" w:lineRule="auto"/>
        <w:contextualSpacing/>
        <w:jc w:val="both"/>
        <w:textAlignment w:val="top"/>
        <w:rPr>
          <w:rFonts w:eastAsia="Times New Roman" w:cstheme="minorHAnsi"/>
        </w:rPr>
      </w:pPr>
      <w:proofErr w:type="gramStart"/>
      <w:r w:rsidRPr="0087246C">
        <w:rPr>
          <w:rFonts w:cstheme="minorHAnsi"/>
        </w:rPr>
        <w:t>les</w:t>
      </w:r>
      <w:proofErr w:type="gramEnd"/>
      <w:r w:rsidRPr="0087246C">
        <w:rPr>
          <w:rFonts w:cstheme="minorHAnsi"/>
        </w:rPr>
        <w:t xml:space="preserve"> qualifications et l’expérience d’une personne sont essentielles à l’atteinte d’un résultat ; </w:t>
      </w:r>
    </w:p>
    <w:p w14:paraId="4A5AC699" w14:textId="77777777" w:rsidR="00342695" w:rsidRPr="0087246C" w:rsidRDefault="00342695" w:rsidP="00342695">
      <w:pPr>
        <w:numPr>
          <w:ilvl w:val="0"/>
          <w:numId w:val="37"/>
        </w:numPr>
        <w:shd w:val="clear" w:color="auto" w:fill="FFFFFF"/>
        <w:spacing w:after="0" w:line="240" w:lineRule="auto"/>
        <w:contextualSpacing/>
        <w:jc w:val="both"/>
        <w:textAlignment w:val="top"/>
        <w:rPr>
          <w:rFonts w:eastAsia="Times New Roman" w:cstheme="minorHAnsi"/>
        </w:rPr>
      </w:pPr>
      <w:proofErr w:type="gramStart"/>
      <w:r w:rsidRPr="0087246C">
        <w:rPr>
          <w:rFonts w:cstheme="minorHAnsi"/>
        </w:rPr>
        <w:t>la</w:t>
      </w:r>
      <w:proofErr w:type="gramEnd"/>
      <w:r w:rsidRPr="0087246C">
        <w:rPr>
          <w:rFonts w:cstheme="minorHAnsi"/>
        </w:rPr>
        <w:t xml:space="preserve"> personne seule peut respecter les exigences des termes de référence (TDR) sans qu'un soutien de quelque nature que ce soit lui soit apporté par l’institution ou par le concours d’autres experts en vue d’obtenir les résultats énoncés dans les TDR ; et </w:t>
      </w:r>
    </w:p>
    <w:p w14:paraId="1781B2E0" w14:textId="77777777" w:rsidR="00342695" w:rsidRPr="0087246C" w:rsidRDefault="00342695" w:rsidP="00342695">
      <w:pPr>
        <w:numPr>
          <w:ilvl w:val="0"/>
          <w:numId w:val="37"/>
        </w:numPr>
        <w:shd w:val="clear" w:color="auto" w:fill="FFFFFF"/>
        <w:spacing w:after="100" w:line="240" w:lineRule="auto"/>
        <w:contextualSpacing/>
        <w:jc w:val="both"/>
        <w:textAlignment w:val="top"/>
        <w:rPr>
          <w:rFonts w:eastAsia="Times New Roman" w:cstheme="minorHAnsi"/>
        </w:rPr>
      </w:pPr>
      <w:proofErr w:type="gramStart"/>
      <w:r w:rsidRPr="0087246C">
        <w:rPr>
          <w:rFonts w:cstheme="minorHAnsi"/>
        </w:rPr>
        <w:t>une</w:t>
      </w:r>
      <w:proofErr w:type="gramEnd"/>
      <w:r w:rsidRPr="0087246C">
        <w:rPr>
          <w:rFonts w:cstheme="minorHAnsi"/>
        </w:rPr>
        <w:t xml:space="preserve"> approche pluridisciplinaire en vue de la réalisation d’une tâche n’est pas nécessaire.</w:t>
      </w:r>
    </w:p>
    <w:p w14:paraId="65B8064D" w14:textId="77777777" w:rsidR="00342695" w:rsidRPr="00876F33" w:rsidRDefault="00342695" w:rsidP="00342695">
      <w:pPr>
        <w:shd w:val="clear" w:color="auto" w:fill="FFFFFF"/>
        <w:spacing w:after="100" w:line="240" w:lineRule="auto"/>
        <w:ind w:left="720"/>
        <w:contextualSpacing/>
        <w:jc w:val="both"/>
        <w:textAlignment w:val="top"/>
        <w:rPr>
          <w:rFonts w:eastAsia="Times New Roman" w:cstheme="minorHAnsi"/>
        </w:rPr>
      </w:pPr>
    </w:p>
    <w:p w14:paraId="5FD6AA63" w14:textId="77777777" w:rsidR="00342695" w:rsidRPr="0087246C" w:rsidRDefault="00342695" w:rsidP="00342695">
      <w:pPr>
        <w:pStyle w:val="ListParagraph"/>
        <w:numPr>
          <w:ilvl w:val="0"/>
          <w:numId w:val="36"/>
        </w:numPr>
        <w:shd w:val="clear" w:color="auto" w:fill="FFFFFF"/>
        <w:spacing w:before="0" w:beforeAutospacing="0" w:after="0" w:afterAutospacing="0"/>
        <w:jc w:val="both"/>
        <w:textAlignment w:val="top"/>
        <w:rPr>
          <w:rFonts w:asciiTheme="minorHAnsi" w:hAnsiTheme="minorHAnsi" w:cstheme="minorHAnsi"/>
          <w:sz w:val="22"/>
          <w:szCs w:val="22"/>
        </w:rPr>
      </w:pPr>
      <w:r w:rsidRPr="0087246C">
        <w:rPr>
          <w:rFonts w:asciiTheme="minorHAnsi" w:hAnsiTheme="minorHAnsi" w:cstheme="minorHAnsi"/>
          <w:sz w:val="22"/>
          <w:szCs w:val="22"/>
        </w:rPr>
        <w:t xml:space="preserve">Par ailleurs, lorsqu’une tâche nécessite l’intégration de travaux techniques ainsi que des interventions provenant de plus d’un (1) domaine de compétence pour obtenir un résultat, l’utilisation du contrat individuel n’est pas l’approche la plus appropriée.  En effet, embaucher une personne morale, telle qu’une société de conseil, est la meilleure approche, en particulier si des risques majeurs pèsent sur la nature ou l’environnement de travail.  </w:t>
      </w:r>
    </w:p>
    <w:p w14:paraId="49537FD1" w14:textId="77777777" w:rsidR="00342695" w:rsidRPr="0087246C" w:rsidRDefault="00342695" w:rsidP="00342695">
      <w:pPr>
        <w:shd w:val="clear" w:color="auto" w:fill="FFFFFF"/>
        <w:spacing w:after="0" w:line="240" w:lineRule="auto"/>
        <w:jc w:val="both"/>
        <w:textAlignment w:val="top"/>
        <w:rPr>
          <w:rFonts w:eastAsia="Times New Roman" w:cstheme="minorHAnsi"/>
        </w:rPr>
      </w:pPr>
      <w:r w:rsidRPr="0087246C">
        <w:rPr>
          <w:rFonts w:cstheme="minorHAnsi"/>
        </w:rPr>
        <w:t> </w:t>
      </w:r>
    </w:p>
    <w:p w14:paraId="235B4553" w14:textId="77777777" w:rsidR="00342695" w:rsidRPr="0087246C" w:rsidRDefault="00342695" w:rsidP="00342695">
      <w:pPr>
        <w:pStyle w:val="Calibri11"/>
        <w:numPr>
          <w:ilvl w:val="0"/>
          <w:numId w:val="0"/>
        </w:numPr>
        <w:jc w:val="both"/>
        <w:rPr>
          <w:rFonts w:asciiTheme="minorHAnsi" w:hAnsiTheme="minorHAnsi" w:cstheme="minorHAnsi"/>
          <w:szCs w:val="22"/>
        </w:rPr>
      </w:pPr>
      <w:bookmarkStart w:id="6" w:name="_Toc208574047"/>
      <w:r w:rsidRPr="0087246C">
        <w:rPr>
          <w:rFonts w:asciiTheme="minorHAnsi" w:hAnsiTheme="minorHAnsi" w:cstheme="minorHAnsi"/>
          <w:szCs w:val="22"/>
        </w:rPr>
        <w:t>Utilisation appropriée du contrat individuel</w:t>
      </w:r>
      <w:bookmarkEnd w:id="6"/>
    </w:p>
    <w:p w14:paraId="7F7F572B" w14:textId="77777777" w:rsidR="00342695" w:rsidRPr="0087246C" w:rsidRDefault="00342695" w:rsidP="00342695">
      <w:pPr>
        <w:shd w:val="clear" w:color="auto" w:fill="FFFFFF"/>
        <w:spacing w:after="0" w:line="240" w:lineRule="auto"/>
        <w:jc w:val="both"/>
        <w:textAlignment w:val="top"/>
        <w:rPr>
          <w:rFonts w:eastAsia="Times New Roman" w:cstheme="minorHAnsi"/>
          <w:b/>
        </w:rPr>
      </w:pPr>
      <w:r w:rsidRPr="0087246C">
        <w:rPr>
          <w:rFonts w:cstheme="minorHAnsi"/>
          <w:b/>
        </w:rPr>
        <w:t> </w:t>
      </w:r>
    </w:p>
    <w:p w14:paraId="533FFA8A" w14:textId="77777777" w:rsidR="00342695" w:rsidRPr="0087246C" w:rsidRDefault="00342695" w:rsidP="00342695">
      <w:pPr>
        <w:pStyle w:val="ListParagraph"/>
        <w:numPr>
          <w:ilvl w:val="0"/>
          <w:numId w:val="36"/>
        </w:numPr>
        <w:shd w:val="clear" w:color="auto" w:fill="FFFFFF"/>
        <w:spacing w:before="0" w:beforeAutospacing="0" w:after="0" w:afterAutospacing="0"/>
        <w:jc w:val="both"/>
        <w:textAlignment w:val="top"/>
        <w:rPr>
          <w:rFonts w:asciiTheme="minorHAnsi" w:hAnsiTheme="minorHAnsi" w:cstheme="minorHAnsi"/>
          <w:sz w:val="22"/>
          <w:szCs w:val="22"/>
        </w:rPr>
      </w:pPr>
      <w:r w:rsidRPr="0087246C">
        <w:rPr>
          <w:rFonts w:asciiTheme="minorHAnsi" w:hAnsiTheme="minorHAnsi" w:cstheme="minorHAnsi"/>
          <w:sz w:val="22"/>
          <w:szCs w:val="22"/>
        </w:rPr>
        <w:t>La modalité de contrat individuel est utilisée dans les cas suivants :</w:t>
      </w:r>
    </w:p>
    <w:p w14:paraId="587B6BF4" w14:textId="77777777" w:rsidR="00342695" w:rsidRPr="0087246C" w:rsidRDefault="00342695" w:rsidP="00342695">
      <w:pPr>
        <w:numPr>
          <w:ilvl w:val="0"/>
          <w:numId w:val="38"/>
        </w:numPr>
        <w:shd w:val="clear" w:color="auto" w:fill="FFFFFF"/>
        <w:spacing w:after="0" w:line="240" w:lineRule="auto"/>
        <w:contextualSpacing/>
        <w:jc w:val="both"/>
        <w:textAlignment w:val="top"/>
        <w:rPr>
          <w:rFonts w:eastAsia="Times New Roman" w:cstheme="minorHAnsi"/>
        </w:rPr>
      </w:pPr>
      <w:r w:rsidRPr="0087246C">
        <w:rPr>
          <w:rFonts w:cstheme="minorHAnsi"/>
        </w:rPr>
        <w:t xml:space="preserve">Les services requis ne peuvent être fournis en s'appuyant sur les ressources en personnel actuelles en raison du manque de connaissances et/ou d’expertise spécialisées en interne ; </w:t>
      </w:r>
    </w:p>
    <w:p w14:paraId="11E95818" w14:textId="77777777" w:rsidR="00342695" w:rsidRPr="0087246C" w:rsidRDefault="00342695" w:rsidP="00342695">
      <w:pPr>
        <w:numPr>
          <w:ilvl w:val="0"/>
          <w:numId w:val="38"/>
        </w:numPr>
        <w:shd w:val="clear" w:color="auto" w:fill="FFFFFF"/>
        <w:spacing w:after="0" w:line="240" w:lineRule="auto"/>
        <w:contextualSpacing/>
        <w:jc w:val="both"/>
        <w:textAlignment w:val="top"/>
        <w:rPr>
          <w:rFonts w:eastAsia="Times New Roman" w:cstheme="minorHAnsi"/>
        </w:rPr>
      </w:pPr>
      <w:r w:rsidRPr="0087246C">
        <w:rPr>
          <w:rFonts w:cstheme="minorHAnsi"/>
        </w:rPr>
        <w:t>La tâche est axée sur les résultats et peut être effectuée à l’intérieur ou à l’extérieur des locaux du PNUD, selon un délai défini, et les paiements sont directement liés aux produits livrables/résultats obtenus ;</w:t>
      </w:r>
    </w:p>
    <w:p w14:paraId="3FE54C23" w14:textId="77777777" w:rsidR="00342695" w:rsidRPr="0087246C" w:rsidRDefault="00342695" w:rsidP="00342695">
      <w:pPr>
        <w:numPr>
          <w:ilvl w:val="0"/>
          <w:numId w:val="38"/>
        </w:numPr>
        <w:shd w:val="clear" w:color="auto" w:fill="FFFFFF"/>
        <w:spacing w:after="0" w:line="240" w:lineRule="auto"/>
        <w:contextualSpacing/>
        <w:jc w:val="both"/>
        <w:textAlignment w:val="top"/>
        <w:rPr>
          <w:rFonts w:eastAsia="Times New Roman" w:cstheme="minorHAnsi"/>
        </w:rPr>
      </w:pPr>
      <w:r w:rsidRPr="0087246C">
        <w:rPr>
          <w:rFonts w:cstheme="minorHAnsi"/>
        </w:rPr>
        <w:t xml:space="preserve">La tâche nécessite l’exercice de fonctions qui ne sont pas en principe du ressort du personnel du PNUD (fonctions assumées par le personnel n’ayant pas le statut de fonctionnaire) ; </w:t>
      </w:r>
    </w:p>
    <w:p w14:paraId="5AA6B620" w14:textId="77777777" w:rsidR="00342695" w:rsidRPr="0087246C" w:rsidRDefault="00342695" w:rsidP="00342695">
      <w:pPr>
        <w:numPr>
          <w:ilvl w:val="0"/>
          <w:numId w:val="38"/>
        </w:numPr>
        <w:shd w:val="clear" w:color="auto" w:fill="FFFFFF"/>
        <w:spacing w:after="100" w:line="240" w:lineRule="auto"/>
        <w:contextualSpacing/>
        <w:jc w:val="both"/>
        <w:textAlignment w:val="top"/>
        <w:rPr>
          <w:rFonts w:eastAsia="Times New Roman" w:cstheme="minorHAnsi"/>
        </w:rPr>
      </w:pPr>
      <w:r w:rsidRPr="0087246C">
        <w:rPr>
          <w:rFonts w:cstheme="minorHAnsi"/>
        </w:rPr>
        <w:t xml:space="preserve">Il s’agit d’une mesure de soutien </w:t>
      </w:r>
      <w:r w:rsidRPr="0087246C">
        <w:rPr>
          <w:rFonts w:cstheme="minorHAnsi"/>
          <w:u w:val="single"/>
        </w:rPr>
        <w:t>exceptionnelle</w:t>
      </w:r>
      <w:r w:rsidRPr="0087246C">
        <w:rPr>
          <w:rFonts w:cstheme="minorHAnsi"/>
        </w:rPr>
        <w:t>, provisoire et palliative eu égard à l’effectif visant à aider un membre du personnel désigné pour assumer des fonctions supplémentaires à la suite de l’absence temporaire d’un autre membre du personnel ayant pris un congé de quelque nature que ce soit</w:t>
      </w:r>
      <w:r w:rsidRPr="0087246C">
        <w:rPr>
          <w:rStyle w:val="FootnoteReference"/>
          <w:rFonts w:eastAsia="Times New Roman" w:cstheme="minorHAnsi"/>
          <w:lang w:val="en-GB"/>
        </w:rPr>
        <w:footnoteReference w:id="1"/>
      </w:r>
      <w:r w:rsidRPr="0087246C">
        <w:rPr>
          <w:rFonts w:cstheme="minorHAnsi"/>
        </w:rPr>
        <w:t>. Cependant, cette utilisation du contrat individuel est limitée à une période de trois (3) mois, et le travail doit être effectué sans obligation fiduciaire ou d’autres responsabilités ne devant être assumées que par les personnes ayant le statut de personnel.</w:t>
      </w:r>
    </w:p>
    <w:p w14:paraId="48A5DA8B" w14:textId="77777777" w:rsidR="00342695" w:rsidRPr="001E4F22" w:rsidRDefault="00342695" w:rsidP="001E4F22">
      <w:pPr>
        <w:pStyle w:val="Calibri11"/>
        <w:numPr>
          <w:ilvl w:val="0"/>
          <w:numId w:val="0"/>
        </w:numPr>
        <w:jc w:val="both"/>
        <w:rPr>
          <w:rFonts w:asciiTheme="minorHAnsi" w:hAnsiTheme="minorHAnsi" w:cstheme="minorHAnsi"/>
          <w:szCs w:val="22"/>
        </w:rPr>
      </w:pPr>
      <w:r w:rsidRPr="001E4F22">
        <w:rPr>
          <w:rFonts w:asciiTheme="minorHAnsi" w:hAnsiTheme="minorHAnsi" w:cstheme="minorHAnsi"/>
          <w:szCs w:val="22"/>
        </w:rPr>
        <w:lastRenderedPageBreak/>
        <w:t> </w:t>
      </w:r>
      <w:bookmarkStart w:id="7" w:name="_Toc208574048"/>
      <w:r w:rsidRPr="001E4F22">
        <w:rPr>
          <w:rFonts w:asciiTheme="minorHAnsi" w:hAnsiTheme="minorHAnsi" w:cstheme="minorHAnsi"/>
          <w:szCs w:val="22"/>
        </w:rPr>
        <w:t>Utilisation inappropriée du contrat individuel</w:t>
      </w:r>
      <w:bookmarkEnd w:id="7"/>
    </w:p>
    <w:p w14:paraId="1DBDD613" w14:textId="77777777" w:rsidR="00342695" w:rsidRPr="0087246C" w:rsidRDefault="00342695" w:rsidP="00342695">
      <w:pPr>
        <w:pStyle w:val="ListParagraph"/>
        <w:numPr>
          <w:ilvl w:val="0"/>
          <w:numId w:val="36"/>
        </w:numPr>
        <w:shd w:val="clear" w:color="auto" w:fill="FFFFFF"/>
        <w:spacing w:before="0" w:beforeAutospacing="0" w:after="0" w:afterAutospacing="0"/>
        <w:jc w:val="both"/>
        <w:textAlignment w:val="top"/>
        <w:rPr>
          <w:rFonts w:asciiTheme="minorHAnsi" w:hAnsiTheme="minorHAnsi" w:cstheme="minorHAnsi"/>
          <w:sz w:val="22"/>
          <w:szCs w:val="22"/>
        </w:rPr>
      </w:pPr>
      <w:r w:rsidRPr="0087246C">
        <w:rPr>
          <w:rFonts w:asciiTheme="minorHAnsi" w:hAnsiTheme="minorHAnsi" w:cstheme="minorHAnsi"/>
          <w:b/>
          <w:bCs/>
          <w:sz w:val="22"/>
          <w:szCs w:val="22"/>
        </w:rPr>
        <w:t>Le responsable du PNUD qui approuve le contrat individuel est responsable de son application adéquate.</w:t>
      </w:r>
      <w:r w:rsidRPr="0087246C">
        <w:rPr>
          <w:rFonts w:asciiTheme="minorHAnsi" w:hAnsiTheme="minorHAnsi" w:cstheme="minorHAnsi"/>
          <w:sz w:val="22"/>
          <w:szCs w:val="22"/>
        </w:rPr>
        <w:t xml:space="preserve">  Un consultant ne doit </w:t>
      </w:r>
      <w:proofErr w:type="gramStart"/>
      <w:r w:rsidRPr="0087246C">
        <w:rPr>
          <w:rFonts w:asciiTheme="minorHAnsi" w:hAnsiTheme="minorHAnsi" w:cstheme="minorHAnsi"/>
          <w:sz w:val="22"/>
          <w:szCs w:val="22"/>
        </w:rPr>
        <w:t>ni être embauché</w:t>
      </w:r>
      <w:proofErr w:type="gramEnd"/>
      <w:r w:rsidRPr="0087246C">
        <w:rPr>
          <w:rFonts w:asciiTheme="minorHAnsi" w:hAnsiTheme="minorHAnsi" w:cstheme="minorHAnsi"/>
          <w:sz w:val="22"/>
          <w:szCs w:val="22"/>
        </w:rPr>
        <w:t xml:space="preserve"> pour assumer des fonctions réservées, en principe, aux membres du personnel ; ni pour remplacer un membre du personnel absent sous quelque forme que ce soit, pour une durée quelconque.  Lesdites fonctions doivent être remplies dans le cadre de contrats du personnel, tels que le contrat d’engagement temporaire (</w:t>
      </w:r>
      <w:proofErr w:type="spellStart"/>
      <w:r w:rsidRPr="0087246C">
        <w:rPr>
          <w:rFonts w:asciiTheme="minorHAnsi" w:hAnsiTheme="minorHAnsi" w:cstheme="minorHAnsi"/>
          <w:sz w:val="22"/>
          <w:szCs w:val="22"/>
        </w:rPr>
        <w:t>Temporary</w:t>
      </w:r>
      <w:proofErr w:type="spellEnd"/>
      <w:r w:rsidRPr="0087246C">
        <w:rPr>
          <w:rFonts w:asciiTheme="minorHAnsi" w:hAnsiTheme="minorHAnsi" w:cstheme="minorHAnsi"/>
          <w:sz w:val="22"/>
          <w:szCs w:val="22"/>
        </w:rPr>
        <w:t xml:space="preserve"> </w:t>
      </w:r>
      <w:proofErr w:type="spellStart"/>
      <w:r w:rsidRPr="0087246C">
        <w:rPr>
          <w:rFonts w:asciiTheme="minorHAnsi" w:hAnsiTheme="minorHAnsi" w:cstheme="minorHAnsi"/>
          <w:sz w:val="22"/>
          <w:szCs w:val="22"/>
        </w:rPr>
        <w:t>Appointment</w:t>
      </w:r>
      <w:proofErr w:type="spellEnd"/>
      <w:r w:rsidRPr="0087246C">
        <w:rPr>
          <w:rFonts w:asciiTheme="minorHAnsi" w:hAnsiTheme="minorHAnsi" w:cstheme="minorHAnsi"/>
          <w:sz w:val="22"/>
          <w:szCs w:val="22"/>
        </w:rPr>
        <w:t>, TA) ou le contrat d’engagement à durée déterminée (</w:t>
      </w:r>
      <w:proofErr w:type="spellStart"/>
      <w:r w:rsidRPr="0087246C">
        <w:rPr>
          <w:rFonts w:asciiTheme="minorHAnsi" w:hAnsiTheme="minorHAnsi" w:cstheme="minorHAnsi"/>
          <w:sz w:val="22"/>
          <w:szCs w:val="22"/>
        </w:rPr>
        <w:t>Fixed</w:t>
      </w:r>
      <w:proofErr w:type="spellEnd"/>
      <w:r w:rsidRPr="0087246C">
        <w:rPr>
          <w:rFonts w:asciiTheme="minorHAnsi" w:hAnsiTheme="minorHAnsi" w:cstheme="minorHAnsi"/>
          <w:sz w:val="22"/>
          <w:szCs w:val="22"/>
        </w:rPr>
        <w:t xml:space="preserve"> </w:t>
      </w:r>
      <w:proofErr w:type="spellStart"/>
      <w:r w:rsidRPr="0087246C">
        <w:rPr>
          <w:rFonts w:asciiTheme="minorHAnsi" w:hAnsiTheme="minorHAnsi" w:cstheme="minorHAnsi"/>
          <w:sz w:val="22"/>
          <w:szCs w:val="22"/>
        </w:rPr>
        <w:t>Term</w:t>
      </w:r>
      <w:proofErr w:type="spellEnd"/>
      <w:r w:rsidRPr="0087246C">
        <w:rPr>
          <w:rFonts w:asciiTheme="minorHAnsi" w:hAnsiTheme="minorHAnsi" w:cstheme="minorHAnsi"/>
          <w:sz w:val="22"/>
          <w:szCs w:val="22"/>
        </w:rPr>
        <w:t xml:space="preserve"> </w:t>
      </w:r>
      <w:proofErr w:type="spellStart"/>
      <w:r w:rsidRPr="0087246C">
        <w:rPr>
          <w:rFonts w:asciiTheme="minorHAnsi" w:hAnsiTheme="minorHAnsi" w:cstheme="minorHAnsi"/>
          <w:sz w:val="22"/>
          <w:szCs w:val="22"/>
        </w:rPr>
        <w:t>Appointment</w:t>
      </w:r>
      <w:proofErr w:type="spellEnd"/>
      <w:r w:rsidRPr="0087246C">
        <w:rPr>
          <w:rFonts w:asciiTheme="minorHAnsi" w:hAnsiTheme="minorHAnsi" w:cstheme="minorHAnsi"/>
          <w:sz w:val="22"/>
          <w:szCs w:val="22"/>
        </w:rPr>
        <w:t xml:space="preserve">, FTA). </w:t>
      </w:r>
    </w:p>
    <w:p w14:paraId="16CA46A2" w14:textId="77777777" w:rsidR="00342695" w:rsidRPr="0087246C" w:rsidRDefault="00342695" w:rsidP="00342695">
      <w:pPr>
        <w:pStyle w:val="ListParagraph"/>
        <w:shd w:val="clear" w:color="auto" w:fill="FFFFFF"/>
        <w:spacing w:before="0" w:beforeAutospacing="0" w:after="0" w:afterAutospacing="0"/>
        <w:ind w:left="720"/>
        <w:jc w:val="both"/>
        <w:textAlignment w:val="top"/>
        <w:rPr>
          <w:rFonts w:asciiTheme="minorHAnsi" w:hAnsiTheme="minorHAnsi" w:cstheme="minorHAnsi"/>
          <w:sz w:val="22"/>
          <w:szCs w:val="22"/>
        </w:rPr>
      </w:pPr>
    </w:p>
    <w:p w14:paraId="69048360" w14:textId="77777777" w:rsidR="00342695" w:rsidRPr="0087246C" w:rsidRDefault="00342695" w:rsidP="00342695">
      <w:pPr>
        <w:pStyle w:val="ListParagraph"/>
        <w:numPr>
          <w:ilvl w:val="0"/>
          <w:numId w:val="36"/>
        </w:numPr>
        <w:shd w:val="clear" w:color="auto" w:fill="FFFFFF"/>
        <w:spacing w:before="0" w:beforeAutospacing="0" w:after="0" w:afterAutospacing="0"/>
        <w:jc w:val="both"/>
        <w:textAlignment w:val="top"/>
        <w:rPr>
          <w:rFonts w:asciiTheme="minorHAnsi" w:hAnsiTheme="minorHAnsi" w:cstheme="minorHAnsi"/>
          <w:sz w:val="22"/>
          <w:szCs w:val="22"/>
        </w:rPr>
      </w:pPr>
      <w:r w:rsidRPr="0087246C">
        <w:rPr>
          <w:rFonts w:asciiTheme="minorHAnsi" w:hAnsiTheme="minorHAnsi" w:cstheme="minorHAnsi"/>
          <w:sz w:val="22"/>
          <w:szCs w:val="22"/>
        </w:rPr>
        <w:t xml:space="preserve">Plus particulièrement, les contrats individuels ne doivent pas être utilisés pour l’un des objectifs suivants : </w:t>
      </w:r>
    </w:p>
    <w:p w14:paraId="6D30E180" w14:textId="77777777" w:rsidR="00342695" w:rsidRPr="0087246C" w:rsidRDefault="00342695" w:rsidP="00342695">
      <w:pPr>
        <w:numPr>
          <w:ilvl w:val="0"/>
          <w:numId w:val="39"/>
        </w:numPr>
        <w:shd w:val="clear" w:color="auto" w:fill="FFFFFF"/>
        <w:spacing w:beforeAutospacing="1" w:after="100" w:afterAutospacing="1" w:line="240" w:lineRule="auto"/>
        <w:contextualSpacing/>
        <w:jc w:val="both"/>
        <w:textAlignment w:val="top"/>
        <w:rPr>
          <w:rFonts w:eastAsia="Times New Roman" w:cstheme="minorHAnsi"/>
        </w:rPr>
      </w:pPr>
      <w:r w:rsidRPr="0087246C">
        <w:rPr>
          <w:rFonts w:cstheme="minorHAnsi"/>
        </w:rPr>
        <w:t xml:space="preserve">Pour assumer des fonctions réservées aux membres du personnel et qui sont liées à des programmes, projets, opérations ou d’autres domaines relevant des activités du PNUD ; </w:t>
      </w:r>
    </w:p>
    <w:p w14:paraId="0747CD5C" w14:textId="77777777" w:rsidR="00342695" w:rsidRPr="0087246C" w:rsidRDefault="00342695" w:rsidP="00342695">
      <w:pPr>
        <w:numPr>
          <w:ilvl w:val="0"/>
          <w:numId w:val="39"/>
        </w:numPr>
        <w:shd w:val="clear" w:color="auto" w:fill="FFFFFF"/>
        <w:spacing w:before="100" w:beforeAutospacing="1" w:after="100" w:afterAutospacing="1" w:line="240" w:lineRule="auto"/>
        <w:contextualSpacing/>
        <w:jc w:val="both"/>
        <w:textAlignment w:val="top"/>
        <w:rPr>
          <w:rFonts w:eastAsia="Times New Roman" w:cstheme="minorHAnsi"/>
        </w:rPr>
      </w:pPr>
      <w:r w:rsidRPr="0087246C">
        <w:rPr>
          <w:rFonts w:cstheme="minorHAnsi"/>
        </w:rPr>
        <w:t>En tant que mesure palliative visant à pourvoir à titre provisoire des postes dont les fonctions doivent être assumées par les membres du personnel</w:t>
      </w:r>
      <w:r w:rsidRPr="0087246C">
        <w:rPr>
          <w:rStyle w:val="FootnoteReference"/>
          <w:rFonts w:eastAsia="Times New Roman" w:cstheme="minorHAnsi"/>
          <w:lang w:val="en-GB"/>
        </w:rPr>
        <w:footnoteReference w:id="2"/>
      </w:r>
      <w:r w:rsidRPr="0087246C">
        <w:rPr>
          <w:rFonts w:cstheme="minorHAnsi"/>
        </w:rPr>
        <w:t xml:space="preserve">, lesquels postes ont été laissés vacants par les membres du personnel du PNUD qui sont absents ou en congé (congé annuel, dans les foyers, de maternité/paternité, ou congé spécial avec ou sans traitement, etc.), sauf si l’objectif sous-tendant l’embauche du consultant est conforme au paragraphe (d) en vertu de la section « Utilisation appropriée du contrat individuel ». </w:t>
      </w:r>
    </w:p>
    <w:p w14:paraId="689DFE96" w14:textId="77777777" w:rsidR="00342695" w:rsidRPr="0087246C" w:rsidRDefault="00342695" w:rsidP="00342695">
      <w:pPr>
        <w:numPr>
          <w:ilvl w:val="0"/>
          <w:numId w:val="39"/>
        </w:numPr>
        <w:shd w:val="clear" w:color="auto" w:fill="FFFFFF"/>
        <w:spacing w:before="100" w:beforeAutospacing="1" w:after="100" w:afterAutospacing="1" w:line="240" w:lineRule="auto"/>
        <w:contextualSpacing/>
        <w:jc w:val="both"/>
        <w:textAlignment w:val="top"/>
        <w:rPr>
          <w:rFonts w:eastAsia="Times New Roman" w:cstheme="minorHAnsi"/>
        </w:rPr>
      </w:pPr>
      <w:r w:rsidRPr="0087246C">
        <w:rPr>
          <w:rFonts w:cstheme="minorHAnsi"/>
        </w:rPr>
        <w:t xml:space="preserve">Comme conséquence d’un processus de recrutement anormalement long d’un nouveau membre du personnel, </w:t>
      </w:r>
      <w:proofErr w:type="spellStart"/>
      <w:r w:rsidRPr="0087246C">
        <w:rPr>
          <w:rFonts w:cstheme="minorHAnsi"/>
        </w:rPr>
        <w:t>quelque</w:t>
      </w:r>
      <w:proofErr w:type="spellEnd"/>
      <w:r w:rsidRPr="0087246C">
        <w:rPr>
          <w:rFonts w:cstheme="minorHAnsi"/>
        </w:rPr>
        <w:t xml:space="preserve"> soit la cause d’un tel retard ; </w:t>
      </w:r>
    </w:p>
    <w:p w14:paraId="103CBB3A" w14:textId="77777777" w:rsidR="00342695" w:rsidRPr="0087246C" w:rsidRDefault="00342695" w:rsidP="00342695">
      <w:pPr>
        <w:numPr>
          <w:ilvl w:val="0"/>
          <w:numId w:val="39"/>
        </w:numPr>
        <w:shd w:val="clear" w:color="auto" w:fill="FFFFFF"/>
        <w:spacing w:before="100" w:beforeAutospacing="1" w:after="100" w:afterAutospacing="1" w:line="240" w:lineRule="auto"/>
        <w:contextualSpacing/>
        <w:jc w:val="both"/>
        <w:textAlignment w:val="top"/>
        <w:rPr>
          <w:rFonts w:eastAsia="Times New Roman" w:cstheme="minorHAnsi"/>
        </w:rPr>
      </w:pPr>
      <w:r w:rsidRPr="0087246C">
        <w:rPr>
          <w:rFonts w:cstheme="minorHAnsi"/>
        </w:rPr>
        <w:t>Pour s’acquitter de tâches régulières et continuelles dans une unité administrative, lesquelles tâches ne sont ni limitées dans le temps ni liées aux produits livrables particuliers ;</w:t>
      </w:r>
    </w:p>
    <w:p w14:paraId="04E767C8" w14:textId="77777777" w:rsidR="00342695" w:rsidRPr="0087246C" w:rsidRDefault="00342695" w:rsidP="00342695">
      <w:pPr>
        <w:numPr>
          <w:ilvl w:val="0"/>
          <w:numId w:val="39"/>
        </w:numPr>
        <w:shd w:val="clear" w:color="auto" w:fill="FFFFFF"/>
        <w:spacing w:before="100" w:beforeAutospacing="1" w:after="100" w:afterAutospacing="1" w:line="240" w:lineRule="auto"/>
        <w:contextualSpacing/>
        <w:jc w:val="both"/>
        <w:textAlignment w:val="top"/>
        <w:rPr>
          <w:rFonts w:eastAsia="Times New Roman" w:cstheme="minorHAnsi"/>
        </w:rPr>
      </w:pPr>
      <w:r w:rsidRPr="0087246C">
        <w:rPr>
          <w:rFonts w:cstheme="minorHAnsi"/>
        </w:rPr>
        <w:t xml:space="preserve">Comme un moyen de rétablir un membre du personnel lorsque son poste ou sa fonction précédent(e) a été supprimé(e) ou ne pouvait plus être prolongé(e) ; </w:t>
      </w:r>
    </w:p>
    <w:p w14:paraId="3C85109D" w14:textId="77777777" w:rsidR="00342695" w:rsidRPr="0087246C" w:rsidRDefault="00342695" w:rsidP="00342695">
      <w:pPr>
        <w:numPr>
          <w:ilvl w:val="0"/>
          <w:numId w:val="39"/>
        </w:numPr>
        <w:shd w:val="clear" w:color="auto" w:fill="FFFFFF"/>
        <w:spacing w:before="100" w:beforeAutospacing="1" w:after="100" w:afterAutospacing="1" w:line="240" w:lineRule="auto"/>
        <w:contextualSpacing/>
        <w:jc w:val="both"/>
        <w:textAlignment w:val="top"/>
        <w:rPr>
          <w:rFonts w:eastAsia="Times New Roman" w:cstheme="minorHAnsi"/>
        </w:rPr>
      </w:pPr>
      <w:r w:rsidRPr="0087246C">
        <w:rPr>
          <w:rFonts w:cstheme="minorHAnsi"/>
        </w:rPr>
        <w:t xml:space="preserve">Comme mesure visant à placer un membre du personnel en période d'essai ou d’observation à court terme, même si un processus de sélection par mise en concurrence a été effectué, avant de confirmer le recrutement du membre du personnel sur la base d’un contrat à durée déterminée ou d’une autre modalité contractuelle ; </w:t>
      </w:r>
      <w:proofErr w:type="gramStart"/>
      <w:r w:rsidRPr="0087246C">
        <w:rPr>
          <w:rFonts w:cstheme="minorHAnsi"/>
        </w:rPr>
        <w:t>ou</w:t>
      </w:r>
      <w:proofErr w:type="gramEnd"/>
    </w:p>
    <w:p w14:paraId="57DB3046" w14:textId="77777777" w:rsidR="00342695" w:rsidRPr="0087246C" w:rsidRDefault="00342695" w:rsidP="00342695">
      <w:pPr>
        <w:numPr>
          <w:ilvl w:val="0"/>
          <w:numId w:val="39"/>
        </w:numPr>
        <w:shd w:val="clear" w:color="auto" w:fill="FFFFFF"/>
        <w:spacing w:before="100" w:beforeAutospacing="1" w:after="100" w:afterAutospacing="1" w:line="240" w:lineRule="auto"/>
        <w:contextualSpacing/>
        <w:jc w:val="both"/>
        <w:textAlignment w:val="top"/>
        <w:rPr>
          <w:rFonts w:eastAsia="Times New Roman" w:cstheme="minorHAnsi"/>
        </w:rPr>
      </w:pPr>
      <w:r w:rsidRPr="0087246C">
        <w:rPr>
          <w:rFonts w:cstheme="minorHAnsi"/>
        </w:rPr>
        <w:t>Lorsqu’un poste est créé à titre expérimental et que l’unité administrative aimerait savoir si ledit poste et lesdites fonctions doivent constituer un poste ou une fonction au sein de la même unité administrative.</w:t>
      </w:r>
    </w:p>
    <w:p w14:paraId="08EFFDA1" w14:textId="77777777" w:rsidR="00342695" w:rsidRPr="0087246C" w:rsidRDefault="00342695" w:rsidP="00342695">
      <w:pPr>
        <w:pStyle w:val="ListParagraph"/>
        <w:numPr>
          <w:ilvl w:val="0"/>
          <w:numId w:val="36"/>
        </w:numPr>
        <w:shd w:val="clear" w:color="auto" w:fill="FFFFFF"/>
        <w:spacing w:before="0" w:beforeAutospacing="0" w:after="0" w:afterAutospacing="0"/>
        <w:jc w:val="both"/>
        <w:textAlignment w:val="top"/>
        <w:rPr>
          <w:rFonts w:asciiTheme="minorHAnsi" w:hAnsiTheme="minorHAnsi" w:cstheme="minorHAnsi"/>
          <w:sz w:val="22"/>
          <w:szCs w:val="22"/>
        </w:rPr>
      </w:pPr>
      <w:r w:rsidRPr="0087246C">
        <w:rPr>
          <w:rFonts w:asciiTheme="minorHAnsi" w:hAnsiTheme="minorHAnsi" w:cstheme="minorHAnsi"/>
          <w:sz w:val="22"/>
          <w:szCs w:val="22"/>
        </w:rPr>
        <w:t xml:space="preserve">Dans la mesure où le contrat individuel est une modalité de marché public, il est nécessaire d’établir la différence entre les fonctions réservées aux membres du personnel et celles dont les personnes n’ayant pas le statut de personnel doivent assumer, avant la décision de recourir à la modalité de contrat individuel.  Un consultant ne doit en aucun cas être embauché au titre d’un </w:t>
      </w:r>
      <w:r w:rsidRPr="0087246C">
        <w:rPr>
          <w:rFonts w:asciiTheme="minorHAnsi" w:hAnsiTheme="minorHAnsi" w:cstheme="minorHAnsi"/>
          <w:sz w:val="22"/>
          <w:szCs w:val="22"/>
        </w:rPr>
        <w:lastRenderedPageBreak/>
        <w:t xml:space="preserve">accord de services spéciaux pour assumer des fonctions réservées, en principe, aux membres du personnel ou pour remplacer un membre du personnel pour une durée quelconque. </w:t>
      </w:r>
    </w:p>
    <w:p w14:paraId="79E1AE5A" w14:textId="77777777" w:rsidR="00342695" w:rsidRPr="0087246C" w:rsidRDefault="00342695" w:rsidP="00342695">
      <w:pPr>
        <w:pStyle w:val="ListParagraph"/>
        <w:shd w:val="clear" w:color="auto" w:fill="FFFFFF"/>
        <w:spacing w:before="0" w:beforeAutospacing="0" w:after="0" w:afterAutospacing="0"/>
        <w:ind w:left="720"/>
        <w:jc w:val="both"/>
        <w:textAlignment w:val="top"/>
        <w:rPr>
          <w:rFonts w:asciiTheme="minorHAnsi" w:hAnsiTheme="minorHAnsi" w:cstheme="minorHAnsi"/>
          <w:sz w:val="22"/>
          <w:szCs w:val="22"/>
        </w:rPr>
      </w:pPr>
    </w:p>
    <w:p w14:paraId="63ADACC1" w14:textId="208AAF4D" w:rsidR="00342695" w:rsidRPr="00226566" w:rsidRDefault="00342695" w:rsidP="009072FB">
      <w:pPr>
        <w:pStyle w:val="ListParagraph"/>
        <w:numPr>
          <w:ilvl w:val="0"/>
          <w:numId w:val="36"/>
        </w:numPr>
        <w:shd w:val="clear" w:color="auto" w:fill="FFFFFF"/>
        <w:spacing w:before="0" w:beforeAutospacing="0" w:after="0" w:afterAutospacing="0"/>
        <w:jc w:val="both"/>
        <w:textAlignment w:val="top"/>
        <w:rPr>
          <w:rFonts w:asciiTheme="minorHAnsi" w:hAnsiTheme="minorHAnsi" w:cstheme="minorHAnsi"/>
          <w:sz w:val="22"/>
          <w:szCs w:val="22"/>
        </w:rPr>
      </w:pPr>
      <w:r w:rsidRPr="00226566">
        <w:rPr>
          <w:rFonts w:asciiTheme="minorHAnsi" w:hAnsiTheme="minorHAnsi" w:cstheme="minorHAnsi"/>
          <w:sz w:val="22"/>
          <w:szCs w:val="22"/>
        </w:rPr>
        <w:t>Le tableau suivant peut servir de guide pour déterminer si un contrat individuel est approprié ou non aux fins de l’exécution d’une tâche :</w:t>
      </w:r>
      <w:r w:rsidR="00226566" w:rsidRPr="00226566">
        <w:rPr>
          <w:rFonts w:asciiTheme="minorHAnsi" w:hAnsiTheme="minorHAnsi" w:cstheme="minorHAnsi"/>
          <w:sz w:val="22"/>
          <w:szCs w:val="22"/>
        </w:rPr>
        <w:t xml:space="preserve"> </w:t>
      </w:r>
    </w:p>
    <w:tbl>
      <w:tblPr>
        <w:tblpPr w:leftFromText="180" w:rightFromText="180" w:topFromText="100" w:bottomFromText="100" w:vertAnchor="text" w:horzAnchor="margin" w:tblpXSpec="center" w:tblpY="435"/>
        <w:tblW w:w="10530" w:type="dxa"/>
        <w:tblCellMar>
          <w:left w:w="0" w:type="dxa"/>
          <w:right w:w="0" w:type="dxa"/>
        </w:tblCellMar>
        <w:tblLook w:val="04A0" w:firstRow="1" w:lastRow="0" w:firstColumn="1" w:lastColumn="0" w:noHBand="0" w:noVBand="1"/>
      </w:tblPr>
      <w:tblGrid>
        <w:gridCol w:w="2060"/>
        <w:gridCol w:w="3870"/>
        <w:gridCol w:w="4600"/>
      </w:tblGrid>
      <w:tr w:rsidR="00342695" w:rsidRPr="0087246C" w14:paraId="707ED8FB" w14:textId="77777777" w:rsidTr="00226566">
        <w:trPr>
          <w:trHeight w:val="530"/>
          <w:tblHeader/>
        </w:trPr>
        <w:tc>
          <w:tcPr>
            <w:tcW w:w="2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C9524A" w14:textId="77777777" w:rsidR="00342695" w:rsidRPr="0087246C" w:rsidRDefault="00342695" w:rsidP="00342695">
            <w:pPr>
              <w:spacing w:after="0" w:line="240" w:lineRule="auto"/>
              <w:jc w:val="both"/>
              <w:rPr>
                <w:rFonts w:eastAsia="Times New Roman" w:cstheme="minorHAnsi"/>
                <w:color w:val="333333"/>
              </w:rPr>
            </w:pPr>
            <w:r w:rsidRPr="0087246C">
              <w:rPr>
                <w:rFonts w:cstheme="minorHAnsi"/>
                <w:b/>
                <w:bCs/>
                <w:color w:val="333333"/>
              </w:rPr>
              <w:t> </w:t>
            </w:r>
          </w:p>
          <w:p w14:paraId="7E66B181" w14:textId="77777777" w:rsidR="00342695" w:rsidRPr="0087246C" w:rsidRDefault="00342695" w:rsidP="00342695">
            <w:pPr>
              <w:spacing w:after="0" w:line="240" w:lineRule="auto"/>
              <w:rPr>
                <w:rFonts w:eastAsia="Times New Roman" w:cstheme="minorHAnsi"/>
                <w:color w:val="333333"/>
              </w:rPr>
            </w:pPr>
            <w:r w:rsidRPr="0087246C">
              <w:rPr>
                <w:rFonts w:cstheme="minorHAnsi"/>
                <w:b/>
                <w:bCs/>
                <w:color w:val="333333"/>
              </w:rPr>
              <w:t>Éléments à examiner</w:t>
            </w:r>
          </w:p>
        </w:tc>
        <w:tc>
          <w:tcPr>
            <w:tcW w:w="387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4B48CC9" w14:textId="77777777" w:rsidR="00342695" w:rsidRPr="0087246C" w:rsidRDefault="00342695" w:rsidP="00342695">
            <w:pPr>
              <w:spacing w:after="0" w:line="240" w:lineRule="auto"/>
              <w:jc w:val="both"/>
              <w:rPr>
                <w:rFonts w:eastAsia="Times New Roman" w:cstheme="minorHAnsi"/>
                <w:color w:val="333333"/>
              </w:rPr>
            </w:pPr>
            <w:r w:rsidRPr="0087246C">
              <w:rPr>
                <w:rFonts w:cstheme="minorHAnsi"/>
                <w:b/>
                <w:bCs/>
                <w:color w:val="333333"/>
              </w:rPr>
              <w:t> </w:t>
            </w:r>
          </w:p>
          <w:p w14:paraId="5D89DCA6" w14:textId="77777777" w:rsidR="00342695" w:rsidRPr="0087246C" w:rsidRDefault="00342695" w:rsidP="00342695">
            <w:pPr>
              <w:spacing w:after="0" w:line="240" w:lineRule="auto"/>
              <w:jc w:val="both"/>
              <w:rPr>
                <w:rFonts w:eastAsia="Times New Roman" w:cstheme="minorHAnsi"/>
                <w:color w:val="333333"/>
              </w:rPr>
            </w:pPr>
            <w:r w:rsidRPr="0087246C">
              <w:rPr>
                <w:rFonts w:cstheme="minorHAnsi"/>
                <w:b/>
                <w:bCs/>
                <w:color w:val="333333"/>
              </w:rPr>
              <w:t>Cas dans lesquels le contrat individuel peut constituer une modalité de contrat appropriée</w:t>
            </w:r>
          </w:p>
        </w:tc>
        <w:tc>
          <w:tcPr>
            <w:tcW w:w="460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CE2C026" w14:textId="77777777" w:rsidR="00342695" w:rsidRPr="0087246C" w:rsidRDefault="00342695" w:rsidP="00342695">
            <w:pPr>
              <w:spacing w:after="0" w:line="240" w:lineRule="auto"/>
              <w:jc w:val="both"/>
              <w:rPr>
                <w:rFonts w:eastAsia="Times New Roman" w:cstheme="minorHAnsi"/>
                <w:color w:val="333333"/>
              </w:rPr>
            </w:pPr>
            <w:r w:rsidRPr="0087246C">
              <w:rPr>
                <w:rFonts w:cstheme="minorHAnsi"/>
                <w:b/>
                <w:bCs/>
                <w:color w:val="333333"/>
              </w:rPr>
              <w:t> </w:t>
            </w:r>
          </w:p>
          <w:p w14:paraId="71F21E3C" w14:textId="77777777" w:rsidR="00342695" w:rsidRPr="0087246C" w:rsidRDefault="00342695" w:rsidP="00342695">
            <w:pPr>
              <w:spacing w:after="0" w:line="240" w:lineRule="auto"/>
              <w:jc w:val="both"/>
              <w:rPr>
                <w:rFonts w:eastAsia="Times New Roman" w:cstheme="minorHAnsi"/>
                <w:color w:val="333333"/>
              </w:rPr>
            </w:pPr>
            <w:r w:rsidRPr="0087246C">
              <w:rPr>
                <w:rFonts w:cstheme="minorHAnsi"/>
                <w:b/>
                <w:bCs/>
                <w:color w:val="333333"/>
              </w:rPr>
              <w:t>Cas dans lesquels le contrat individuel ne constitue pas la meilleure modalité / d’autres modalités contractuelles doivent être examinées</w:t>
            </w:r>
          </w:p>
        </w:tc>
      </w:tr>
      <w:tr w:rsidR="00342695" w:rsidRPr="0087246C" w14:paraId="68FE78AD" w14:textId="77777777" w:rsidTr="00342695">
        <w:trPr>
          <w:trHeight w:val="890"/>
        </w:trPr>
        <w:tc>
          <w:tcPr>
            <w:tcW w:w="20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D5718AF" w14:textId="77777777" w:rsidR="00342695" w:rsidRPr="0087246C" w:rsidRDefault="00342695" w:rsidP="00342695">
            <w:pPr>
              <w:spacing w:after="0" w:line="240" w:lineRule="auto"/>
              <w:jc w:val="both"/>
              <w:rPr>
                <w:rFonts w:eastAsia="Times New Roman" w:cstheme="minorHAnsi"/>
                <w:color w:val="333333"/>
              </w:rPr>
            </w:pPr>
            <w:r w:rsidRPr="0087246C">
              <w:rPr>
                <w:rFonts w:cstheme="minorHAnsi"/>
                <w:color w:val="333333"/>
              </w:rPr>
              <w:t> </w:t>
            </w:r>
          </w:p>
          <w:p w14:paraId="215AC306" w14:textId="77777777" w:rsidR="00342695" w:rsidRPr="0087246C" w:rsidRDefault="00342695" w:rsidP="00342695">
            <w:pPr>
              <w:spacing w:after="0" w:line="240" w:lineRule="auto"/>
              <w:jc w:val="both"/>
              <w:rPr>
                <w:rFonts w:eastAsia="Times New Roman" w:cstheme="minorHAnsi"/>
                <w:color w:val="333333"/>
              </w:rPr>
            </w:pPr>
            <w:r w:rsidRPr="0087246C">
              <w:rPr>
                <w:rFonts w:cstheme="minorHAnsi"/>
                <w:color w:val="333333"/>
              </w:rPr>
              <w:t>Nature générale du travail</w:t>
            </w:r>
          </w:p>
        </w:tc>
        <w:tc>
          <w:tcPr>
            <w:tcW w:w="3870" w:type="dxa"/>
            <w:tcBorders>
              <w:top w:val="nil"/>
              <w:left w:val="nil"/>
              <w:bottom w:val="single" w:sz="8" w:space="0" w:color="000000"/>
              <w:right w:val="single" w:sz="8" w:space="0" w:color="000000"/>
            </w:tcBorders>
            <w:tcMar>
              <w:top w:w="0" w:type="dxa"/>
              <w:left w:w="108" w:type="dxa"/>
              <w:bottom w:w="0" w:type="dxa"/>
              <w:right w:w="108" w:type="dxa"/>
            </w:tcMar>
            <w:hideMark/>
          </w:tcPr>
          <w:p w14:paraId="31F881AA" w14:textId="77777777" w:rsidR="00342695" w:rsidRPr="0087246C" w:rsidRDefault="00342695" w:rsidP="00342695">
            <w:pPr>
              <w:spacing w:after="0" w:line="240" w:lineRule="auto"/>
              <w:jc w:val="both"/>
              <w:rPr>
                <w:rFonts w:eastAsia="Times New Roman" w:cstheme="minorHAnsi"/>
                <w:color w:val="333333"/>
              </w:rPr>
            </w:pPr>
            <w:r w:rsidRPr="0087246C">
              <w:rPr>
                <w:rFonts w:cstheme="minorHAnsi"/>
                <w:color w:val="333333"/>
              </w:rPr>
              <w:t> </w:t>
            </w:r>
          </w:p>
          <w:p w14:paraId="25933159" w14:textId="77777777" w:rsidR="00342695" w:rsidRPr="0087246C" w:rsidRDefault="00342695" w:rsidP="00342695">
            <w:pPr>
              <w:spacing w:after="0" w:line="240" w:lineRule="auto"/>
              <w:jc w:val="both"/>
              <w:rPr>
                <w:rFonts w:eastAsia="Times New Roman" w:cstheme="minorHAnsi"/>
                <w:color w:val="333333"/>
              </w:rPr>
            </w:pPr>
            <w:r w:rsidRPr="0087246C">
              <w:rPr>
                <w:rFonts w:cstheme="minorHAnsi"/>
                <w:color w:val="333333"/>
              </w:rPr>
              <w:t>Le travail ne peut être effectué par les capacités internes du PNUD.</w:t>
            </w:r>
          </w:p>
          <w:p w14:paraId="1AD8EDF7" w14:textId="77777777" w:rsidR="00342695" w:rsidRPr="0087246C" w:rsidRDefault="00342695" w:rsidP="00342695">
            <w:pPr>
              <w:spacing w:after="0" w:line="240" w:lineRule="auto"/>
              <w:jc w:val="both"/>
              <w:rPr>
                <w:rFonts w:eastAsia="Times New Roman" w:cstheme="minorHAnsi"/>
                <w:color w:val="333333"/>
              </w:rPr>
            </w:pPr>
            <w:r w:rsidRPr="0087246C">
              <w:rPr>
                <w:rFonts w:cstheme="minorHAnsi"/>
                <w:color w:val="333333"/>
              </w:rPr>
              <w:t> </w:t>
            </w:r>
          </w:p>
          <w:p w14:paraId="0F2DCCEA" w14:textId="77777777" w:rsidR="00342695" w:rsidRPr="0087246C" w:rsidRDefault="00342695" w:rsidP="00342695">
            <w:pPr>
              <w:spacing w:after="0" w:line="240" w:lineRule="auto"/>
              <w:jc w:val="both"/>
              <w:rPr>
                <w:rFonts w:eastAsia="Times New Roman" w:cstheme="minorHAnsi"/>
                <w:color w:val="333333"/>
              </w:rPr>
            </w:pPr>
            <w:r w:rsidRPr="0087246C">
              <w:rPr>
                <w:rFonts w:cstheme="minorHAnsi"/>
                <w:color w:val="333333"/>
              </w:rPr>
              <w:t>Les TDR et/ou le poste ne sont semblables à aucun des postes définis dans les termes de références génériques.</w:t>
            </w:r>
          </w:p>
        </w:tc>
        <w:tc>
          <w:tcPr>
            <w:tcW w:w="4600" w:type="dxa"/>
            <w:tcBorders>
              <w:top w:val="nil"/>
              <w:left w:val="nil"/>
              <w:bottom w:val="single" w:sz="8" w:space="0" w:color="000000"/>
              <w:right w:val="single" w:sz="8" w:space="0" w:color="000000"/>
            </w:tcBorders>
            <w:tcMar>
              <w:top w:w="0" w:type="dxa"/>
              <w:left w:w="108" w:type="dxa"/>
              <w:bottom w:w="0" w:type="dxa"/>
              <w:right w:w="108" w:type="dxa"/>
            </w:tcMar>
            <w:hideMark/>
          </w:tcPr>
          <w:p w14:paraId="6B1AD89D" w14:textId="77777777" w:rsidR="00342695" w:rsidRPr="0087246C" w:rsidRDefault="00342695" w:rsidP="00342695">
            <w:pPr>
              <w:spacing w:after="0" w:line="240" w:lineRule="auto"/>
              <w:jc w:val="both"/>
              <w:rPr>
                <w:rFonts w:eastAsia="Times New Roman" w:cstheme="minorHAnsi"/>
                <w:color w:val="333333"/>
              </w:rPr>
            </w:pPr>
            <w:r w:rsidRPr="0087246C">
              <w:rPr>
                <w:rFonts w:cstheme="minorHAnsi"/>
                <w:color w:val="333333"/>
              </w:rPr>
              <w:t> </w:t>
            </w:r>
          </w:p>
          <w:p w14:paraId="7FF4F44B" w14:textId="77777777" w:rsidR="00342695" w:rsidRPr="0087246C" w:rsidRDefault="00342695" w:rsidP="00342695">
            <w:pPr>
              <w:spacing w:after="0" w:line="240" w:lineRule="auto"/>
              <w:jc w:val="both"/>
              <w:rPr>
                <w:rFonts w:eastAsia="Times New Roman" w:cstheme="minorHAnsi"/>
                <w:color w:val="333333"/>
              </w:rPr>
            </w:pPr>
            <w:r w:rsidRPr="0087246C">
              <w:rPr>
                <w:rFonts w:cstheme="minorHAnsi"/>
                <w:color w:val="333333"/>
              </w:rPr>
              <w:t>Le travail est une tâche assignée au personnel permanent.</w:t>
            </w:r>
          </w:p>
          <w:p w14:paraId="734CEBC9" w14:textId="77777777" w:rsidR="00342695" w:rsidRPr="0087246C" w:rsidRDefault="00342695" w:rsidP="00342695">
            <w:pPr>
              <w:spacing w:after="0" w:line="240" w:lineRule="auto"/>
              <w:jc w:val="both"/>
              <w:rPr>
                <w:rFonts w:eastAsia="Times New Roman" w:cstheme="minorHAnsi"/>
                <w:color w:val="333333"/>
              </w:rPr>
            </w:pPr>
            <w:r w:rsidRPr="0087246C">
              <w:rPr>
                <w:rFonts w:cstheme="minorHAnsi"/>
                <w:color w:val="333333"/>
              </w:rPr>
              <w:t>Les TDR et/ou le poste sont semblables à l’un des postes définis dans les termes de références génériques du personnel du PNUD.</w:t>
            </w:r>
          </w:p>
        </w:tc>
      </w:tr>
      <w:tr w:rsidR="00342695" w:rsidRPr="0087246C" w14:paraId="105A9921" w14:textId="77777777" w:rsidTr="00342695">
        <w:trPr>
          <w:trHeight w:val="1250"/>
        </w:trPr>
        <w:tc>
          <w:tcPr>
            <w:tcW w:w="20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5686C07" w14:textId="77777777" w:rsidR="00342695" w:rsidRPr="0087246C" w:rsidRDefault="00342695" w:rsidP="00342695">
            <w:pPr>
              <w:spacing w:after="0" w:line="240" w:lineRule="auto"/>
              <w:jc w:val="both"/>
              <w:rPr>
                <w:rFonts w:eastAsia="Times New Roman" w:cstheme="minorHAnsi"/>
                <w:color w:val="333333"/>
              </w:rPr>
            </w:pPr>
            <w:r w:rsidRPr="0087246C">
              <w:rPr>
                <w:rFonts w:cstheme="minorHAnsi"/>
                <w:color w:val="333333"/>
              </w:rPr>
              <w:t> </w:t>
            </w:r>
          </w:p>
          <w:p w14:paraId="12050098" w14:textId="77777777" w:rsidR="00342695" w:rsidRPr="0087246C" w:rsidRDefault="00342695" w:rsidP="00342695">
            <w:pPr>
              <w:spacing w:after="0" w:line="240" w:lineRule="auto"/>
              <w:jc w:val="both"/>
              <w:rPr>
                <w:rFonts w:eastAsia="Times New Roman" w:cstheme="minorHAnsi"/>
                <w:color w:val="333333"/>
              </w:rPr>
            </w:pPr>
            <w:r w:rsidRPr="0087246C">
              <w:rPr>
                <w:rFonts w:cstheme="minorHAnsi"/>
                <w:color w:val="333333"/>
              </w:rPr>
              <w:t>Produits livrables/résultats attendus</w:t>
            </w:r>
          </w:p>
        </w:tc>
        <w:tc>
          <w:tcPr>
            <w:tcW w:w="3870" w:type="dxa"/>
            <w:tcBorders>
              <w:top w:val="nil"/>
              <w:left w:val="nil"/>
              <w:bottom w:val="single" w:sz="8" w:space="0" w:color="000000"/>
              <w:right w:val="single" w:sz="8" w:space="0" w:color="000000"/>
            </w:tcBorders>
            <w:tcMar>
              <w:top w:w="0" w:type="dxa"/>
              <w:left w:w="108" w:type="dxa"/>
              <w:bottom w:w="0" w:type="dxa"/>
              <w:right w:w="108" w:type="dxa"/>
            </w:tcMar>
            <w:hideMark/>
          </w:tcPr>
          <w:p w14:paraId="64F47599" w14:textId="77777777" w:rsidR="00342695" w:rsidRPr="0087246C" w:rsidRDefault="00342695" w:rsidP="00342695">
            <w:pPr>
              <w:spacing w:after="0" w:line="240" w:lineRule="auto"/>
              <w:jc w:val="both"/>
              <w:rPr>
                <w:rFonts w:eastAsia="Times New Roman" w:cstheme="minorHAnsi"/>
                <w:color w:val="333333"/>
              </w:rPr>
            </w:pPr>
            <w:r w:rsidRPr="0087246C">
              <w:rPr>
                <w:rFonts w:cstheme="minorHAnsi"/>
                <w:color w:val="333333"/>
              </w:rPr>
              <w:t> </w:t>
            </w:r>
          </w:p>
          <w:p w14:paraId="11505922" w14:textId="77777777" w:rsidR="00342695" w:rsidRPr="0087246C" w:rsidRDefault="00342695" w:rsidP="00342695">
            <w:pPr>
              <w:spacing w:after="0" w:line="240" w:lineRule="auto"/>
              <w:jc w:val="both"/>
              <w:rPr>
                <w:rFonts w:eastAsia="Times New Roman" w:cstheme="minorHAnsi"/>
                <w:color w:val="333333"/>
              </w:rPr>
            </w:pPr>
            <w:r w:rsidRPr="0087246C">
              <w:rPr>
                <w:rFonts w:cstheme="minorHAnsi"/>
                <w:color w:val="333333"/>
              </w:rPr>
              <w:t xml:space="preserve">Les résultats sont quantifiables, c’est-à-dire qu’ils peuvent être identifiés et évalués. </w:t>
            </w:r>
          </w:p>
          <w:p w14:paraId="52782C11" w14:textId="77777777" w:rsidR="00342695" w:rsidRPr="0087246C" w:rsidRDefault="00342695" w:rsidP="00342695">
            <w:pPr>
              <w:spacing w:after="0" w:line="240" w:lineRule="auto"/>
              <w:jc w:val="both"/>
              <w:rPr>
                <w:rFonts w:eastAsia="Times New Roman" w:cstheme="minorHAnsi"/>
                <w:color w:val="333333"/>
              </w:rPr>
            </w:pPr>
            <w:r w:rsidRPr="0087246C">
              <w:rPr>
                <w:rFonts w:cstheme="minorHAnsi"/>
                <w:color w:val="333333"/>
              </w:rPr>
              <w:t> </w:t>
            </w:r>
          </w:p>
          <w:p w14:paraId="673F6349" w14:textId="77777777" w:rsidR="00342695" w:rsidRPr="0087246C" w:rsidRDefault="00342695" w:rsidP="00342695">
            <w:pPr>
              <w:spacing w:after="0" w:line="240" w:lineRule="auto"/>
              <w:jc w:val="both"/>
              <w:rPr>
                <w:rFonts w:eastAsia="Times New Roman" w:cstheme="minorHAnsi"/>
                <w:color w:val="333333"/>
              </w:rPr>
            </w:pPr>
            <w:r w:rsidRPr="0087246C">
              <w:rPr>
                <w:rFonts w:cstheme="minorHAnsi"/>
                <w:color w:val="333333"/>
              </w:rPr>
              <w:t>Le besoin de ce résultat est unique et définitif ; une fois livré ou satisfait, il n'est prévu aucun nouveau besoin pour un tel travail.</w:t>
            </w:r>
          </w:p>
        </w:tc>
        <w:tc>
          <w:tcPr>
            <w:tcW w:w="4600" w:type="dxa"/>
            <w:tcBorders>
              <w:top w:val="nil"/>
              <w:left w:val="nil"/>
              <w:bottom w:val="single" w:sz="8" w:space="0" w:color="000000"/>
              <w:right w:val="single" w:sz="8" w:space="0" w:color="000000"/>
            </w:tcBorders>
            <w:tcMar>
              <w:top w:w="0" w:type="dxa"/>
              <w:left w:w="108" w:type="dxa"/>
              <w:bottom w:w="0" w:type="dxa"/>
              <w:right w:w="108" w:type="dxa"/>
            </w:tcMar>
            <w:hideMark/>
          </w:tcPr>
          <w:p w14:paraId="05D0E2EE" w14:textId="77777777" w:rsidR="00342695" w:rsidRPr="0087246C" w:rsidRDefault="00342695" w:rsidP="00342695">
            <w:pPr>
              <w:spacing w:after="0" w:line="240" w:lineRule="auto"/>
              <w:jc w:val="both"/>
              <w:rPr>
                <w:rFonts w:eastAsia="Times New Roman" w:cstheme="minorHAnsi"/>
                <w:color w:val="333333"/>
              </w:rPr>
            </w:pPr>
            <w:r w:rsidRPr="0087246C">
              <w:rPr>
                <w:rFonts w:cstheme="minorHAnsi"/>
                <w:color w:val="333333"/>
              </w:rPr>
              <w:t> </w:t>
            </w:r>
          </w:p>
          <w:p w14:paraId="399E7E28" w14:textId="77777777" w:rsidR="00342695" w:rsidRPr="0087246C" w:rsidRDefault="00342695" w:rsidP="00342695">
            <w:pPr>
              <w:spacing w:after="0" w:line="240" w:lineRule="auto"/>
              <w:jc w:val="both"/>
              <w:rPr>
                <w:rFonts w:eastAsia="Times New Roman" w:cstheme="minorHAnsi"/>
                <w:color w:val="333333"/>
              </w:rPr>
            </w:pPr>
            <w:r w:rsidRPr="0087246C">
              <w:rPr>
                <w:rFonts w:cstheme="minorHAnsi"/>
                <w:color w:val="333333"/>
              </w:rPr>
              <w:t>Il est difficile de quantifier ou d’identifier les résultats, car les tâches/le besoin d’accomplir les tâches ont un caractère continu ou doivent être effectuées en permanence.</w:t>
            </w:r>
          </w:p>
        </w:tc>
      </w:tr>
      <w:tr w:rsidR="00342695" w:rsidRPr="0087246C" w14:paraId="52815009" w14:textId="77777777" w:rsidTr="00342695">
        <w:trPr>
          <w:trHeight w:val="710"/>
        </w:trPr>
        <w:tc>
          <w:tcPr>
            <w:tcW w:w="20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B13D3C" w14:textId="77777777" w:rsidR="00342695" w:rsidRPr="0087246C" w:rsidRDefault="00342695" w:rsidP="00342695">
            <w:pPr>
              <w:spacing w:after="0" w:line="240" w:lineRule="auto"/>
              <w:jc w:val="both"/>
              <w:rPr>
                <w:rFonts w:eastAsia="Times New Roman" w:cstheme="minorHAnsi"/>
                <w:color w:val="333333"/>
              </w:rPr>
            </w:pPr>
            <w:r w:rsidRPr="0087246C">
              <w:rPr>
                <w:rFonts w:cstheme="minorHAnsi"/>
                <w:color w:val="333333"/>
              </w:rPr>
              <w:t> </w:t>
            </w:r>
          </w:p>
          <w:p w14:paraId="7087141D" w14:textId="77777777" w:rsidR="00342695" w:rsidRPr="0087246C" w:rsidRDefault="00342695" w:rsidP="00342695">
            <w:pPr>
              <w:spacing w:after="0" w:line="240" w:lineRule="auto"/>
              <w:jc w:val="both"/>
              <w:rPr>
                <w:rFonts w:eastAsia="Times New Roman" w:cstheme="minorHAnsi"/>
                <w:color w:val="333333"/>
              </w:rPr>
            </w:pPr>
            <w:r w:rsidRPr="0087246C">
              <w:rPr>
                <w:rFonts w:cstheme="minorHAnsi"/>
                <w:color w:val="333333"/>
              </w:rPr>
              <w:t>Durée prévue du travail</w:t>
            </w:r>
          </w:p>
        </w:tc>
        <w:tc>
          <w:tcPr>
            <w:tcW w:w="3870" w:type="dxa"/>
            <w:tcBorders>
              <w:top w:val="nil"/>
              <w:left w:val="nil"/>
              <w:bottom w:val="single" w:sz="8" w:space="0" w:color="000000"/>
              <w:right w:val="single" w:sz="8" w:space="0" w:color="000000"/>
            </w:tcBorders>
            <w:tcMar>
              <w:top w:w="0" w:type="dxa"/>
              <w:left w:w="108" w:type="dxa"/>
              <w:bottom w:w="0" w:type="dxa"/>
              <w:right w:w="108" w:type="dxa"/>
            </w:tcMar>
            <w:hideMark/>
          </w:tcPr>
          <w:p w14:paraId="091B9D57" w14:textId="77777777" w:rsidR="00342695" w:rsidRPr="0087246C" w:rsidRDefault="00342695" w:rsidP="00342695">
            <w:pPr>
              <w:spacing w:after="0" w:line="240" w:lineRule="auto"/>
              <w:jc w:val="both"/>
              <w:rPr>
                <w:rFonts w:eastAsia="Times New Roman" w:cstheme="minorHAnsi"/>
                <w:color w:val="333333"/>
              </w:rPr>
            </w:pPr>
            <w:r w:rsidRPr="0087246C">
              <w:rPr>
                <w:rFonts w:cstheme="minorHAnsi"/>
                <w:color w:val="333333"/>
              </w:rPr>
              <w:t> </w:t>
            </w:r>
          </w:p>
          <w:p w14:paraId="036FCF60" w14:textId="77777777" w:rsidR="00342695" w:rsidRPr="0087246C" w:rsidRDefault="00342695" w:rsidP="00342695">
            <w:pPr>
              <w:spacing w:after="0" w:line="240" w:lineRule="auto"/>
              <w:jc w:val="both"/>
              <w:rPr>
                <w:rFonts w:eastAsia="Times New Roman" w:cstheme="minorHAnsi"/>
                <w:color w:val="333333"/>
              </w:rPr>
            </w:pPr>
            <w:r w:rsidRPr="0087246C">
              <w:rPr>
                <w:rFonts w:cstheme="minorHAnsi"/>
                <w:color w:val="333333"/>
              </w:rPr>
              <w:t>Le délai nécessaire à l’accomplissement de la tâche est fixe ; parvenu à une période/date donnée, la réalisation de cette tâche est caduque.</w:t>
            </w:r>
          </w:p>
          <w:p w14:paraId="73735543" w14:textId="77777777" w:rsidR="00342695" w:rsidRPr="0087246C" w:rsidRDefault="00342695" w:rsidP="00342695">
            <w:pPr>
              <w:spacing w:after="0" w:line="240" w:lineRule="auto"/>
              <w:jc w:val="both"/>
              <w:rPr>
                <w:rFonts w:eastAsia="Times New Roman" w:cstheme="minorHAnsi"/>
                <w:color w:val="333333"/>
              </w:rPr>
            </w:pPr>
            <w:r w:rsidRPr="0087246C">
              <w:rPr>
                <w:rFonts w:cstheme="minorHAnsi"/>
                <w:color w:val="333333"/>
              </w:rPr>
              <w:t> </w:t>
            </w:r>
          </w:p>
          <w:p w14:paraId="2A9ADECE" w14:textId="77777777" w:rsidR="00342695" w:rsidRPr="0087246C" w:rsidRDefault="00342695" w:rsidP="00342695">
            <w:pPr>
              <w:spacing w:after="0" w:line="240" w:lineRule="auto"/>
              <w:jc w:val="both"/>
              <w:rPr>
                <w:rFonts w:eastAsia="Times New Roman" w:cstheme="minorHAnsi"/>
                <w:color w:val="333333"/>
              </w:rPr>
            </w:pPr>
            <w:r w:rsidRPr="0087246C">
              <w:rPr>
                <w:rFonts w:cstheme="minorHAnsi"/>
                <w:color w:val="333333"/>
              </w:rPr>
              <w:t>Le besoin d’accomplir cette tâche ne devrait pas être prolongé ; une date butoir pour satisfaire ce besoin est clairement prévue.</w:t>
            </w:r>
          </w:p>
        </w:tc>
        <w:tc>
          <w:tcPr>
            <w:tcW w:w="4600" w:type="dxa"/>
            <w:tcBorders>
              <w:top w:val="nil"/>
              <w:left w:val="nil"/>
              <w:bottom w:val="single" w:sz="8" w:space="0" w:color="000000"/>
              <w:right w:val="single" w:sz="8" w:space="0" w:color="000000"/>
            </w:tcBorders>
            <w:tcMar>
              <w:top w:w="0" w:type="dxa"/>
              <w:left w:w="108" w:type="dxa"/>
              <w:bottom w:w="0" w:type="dxa"/>
              <w:right w:w="108" w:type="dxa"/>
            </w:tcMar>
            <w:hideMark/>
          </w:tcPr>
          <w:p w14:paraId="12625B3B" w14:textId="77777777" w:rsidR="00342695" w:rsidRPr="0087246C" w:rsidRDefault="00342695" w:rsidP="00342695">
            <w:pPr>
              <w:spacing w:after="0" w:line="240" w:lineRule="auto"/>
              <w:jc w:val="both"/>
              <w:rPr>
                <w:rFonts w:eastAsia="Times New Roman" w:cstheme="minorHAnsi"/>
                <w:color w:val="333333"/>
              </w:rPr>
            </w:pPr>
            <w:r w:rsidRPr="0087246C">
              <w:rPr>
                <w:rFonts w:cstheme="minorHAnsi"/>
                <w:color w:val="333333"/>
              </w:rPr>
              <w:t> </w:t>
            </w:r>
          </w:p>
          <w:p w14:paraId="6252AA77" w14:textId="77777777" w:rsidR="00342695" w:rsidRPr="0087246C" w:rsidRDefault="00342695" w:rsidP="00342695">
            <w:pPr>
              <w:spacing w:after="0" w:line="240" w:lineRule="auto"/>
              <w:jc w:val="both"/>
              <w:rPr>
                <w:rFonts w:eastAsia="Times New Roman" w:cstheme="minorHAnsi"/>
                <w:color w:val="333333"/>
              </w:rPr>
            </w:pPr>
            <w:r w:rsidRPr="0087246C">
              <w:rPr>
                <w:rFonts w:cstheme="minorHAnsi"/>
                <w:color w:val="333333"/>
              </w:rPr>
              <w:t>Le travail doit être réalisé dans un délai d’un an (utiliser le contrat d’engagement temporaire) ou au-delà d’un an (utiliser le contrat d’engagement à durée déterminée ou le contrat de service en cas d’un projet de développement).</w:t>
            </w:r>
          </w:p>
          <w:p w14:paraId="186294BD" w14:textId="77777777" w:rsidR="00342695" w:rsidRPr="0087246C" w:rsidRDefault="00342695" w:rsidP="00342695">
            <w:pPr>
              <w:spacing w:after="0" w:line="240" w:lineRule="auto"/>
              <w:jc w:val="both"/>
              <w:rPr>
                <w:rFonts w:eastAsia="Times New Roman" w:cstheme="minorHAnsi"/>
                <w:color w:val="333333"/>
              </w:rPr>
            </w:pPr>
            <w:r w:rsidRPr="0087246C">
              <w:rPr>
                <w:rFonts w:cstheme="minorHAnsi"/>
                <w:color w:val="333333"/>
              </w:rPr>
              <w:t> </w:t>
            </w:r>
          </w:p>
          <w:p w14:paraId="18F0D3A8" w14:textId="77777777" w:rsidR="00342695" w:rsidRPr="0087246C" w:rsidRDefault="00342695" w:rsidP="00342695">
            <w:pPr>
              <w:spacing w:after="0" w:line="240" w:lineRule="auto"/>
              <w:jc w:val="both"/>
              <w:rPr>
                <w:rFonts w:eastAsia="Times New Roman" w:cstheme="minorHAnsi"/>
                <w:color w:val="333333"/>
              </w:rPr>
            </w:pPr>
            <w:r w:rsidRPr="0087246C">
              <w:rPr>
                <w:rFonts w:cstheme="minorHAnsi"/>
                <w:color w:val="333333"/>
              </w:rPr>
              <w:t>Le besoin d’accomplir la tâche devrait/vraisemblablement être maintenu ; aucune date butoir pour la satisfaction de ce besoin n’est prévue à court terme (c-à-d. dans les prochains 12 mois).</w:t>
            </w:r>
          </w:p>
          <w:p w14:paraId="69F481F6" w14:textId="77777777" w:rsidR="00342695" w:rsidRPr="0087246C" w:rsidRDefault="00342695" w:rsidP="00342695">
            <w:pPr>
              <w:spacing w:after="0" w:line="240" w:lineRule="auto"/>
              <w:jc w:val="both"/>
              <w:rPr>
                <w:rFonts w:eastAsia="Times New Roman" w:cstheme="minorHAnsi"/>
                <w:color w:val="333333"/>
              </w:rPr>
            </w:pPr>
            <w:r w:rsidRPr="0087246C">
              <w:rPr>
                <w:rFonts w:cstheme="minorHAnsi"/>
                <w:color w:val="333333"/>
              </w:rPr>
              <w:t> </w:t>
            </w:r>
          </w:p>
          <w:p w14:paraId="642AA177" w14:textId="77777777" w:rsidR="00342695" w:rsidRPr="0087246C" w:rsidRDefault="00342695" w:rsidP="00342695">
            <w:pPr>
              <w:spacing w:after="0" w:line="240" w:lineRule="auto"/>
              <w:jc w:val="both"/>
              <w:rPr>
                <w:rFonts w:eastAsia="Times New Roman" w:cstheme="minorHAnsi"/>
                <w:color w:val="333333"/>
              </w:rPr>
            </w:pPr>
            <w:r w:rsidRPr="0087246C">
              <w:rPr>
                <w:rFonts w:cstheme="minorHAnsi"/>
                <w:color w:val="333333"/>
              </w:rPr>
              <w:t> En admettant qu’un contrat individuel soit proposé, une fois ledit contrat terminé, l’unité administrative a la conviction que ce même type de service sera toujours requis.</w:t>
            </w:r>
          </w:p>
        </w:tc>
      </w:tr>
      <w:tr w:rsidR="00342695" w:rsidRPr="0087246C" w14:paraId="238693F9" w14:textId="77777777" w:rsidTr="00342695">
        <w:trPr>
          <w:trHeight w:val="902"/>
        </w:trPr>
        <w:tc>
          <w:tcPr>
            <w:tcW w:w="20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5E84222" w14:textId="77777777" w:rsidR="00342695" w:rsidRPr="0087246C" w:rsidRDefault="00342695" w:rsidP="00342695">
            <w:pPr>
              <w:spacing w:after="0" w:line="240" w:lineRule="auto"/>
              <w:jc w:val="both"/>
              <w:rPr>
                <w:rFonts w:eastAsia="Times New Roman" w:cstheme="minorHAnsi"/>
                <w:color w:val="333333"/>
              </w:rPr>
            </w:pPr>
            <w:r w:rsidRPr="0087246C">
              <w:rPr>
                <w:rFonts w:cstheme="minorHAnsi"/>
                <w:color w:val="333333"/>
              </w:rPr>
              <w:lastRenderedPageBreak/>
              <w:t> </w:t>
            </w:r>
          </w:p>
          <w:p w14:paraId="7A3DFC86" w14:textId="77777777" w:rsidR="00342695" w:rsidRPr="0087246C" w:rsidRDefault="00342695" w:rsidP="00342695">
            <w:pPr>
              <w:spacing w:after="0" w:line="240" w:lineRule="auto"/>
              <w:jc w:val="both"/>
              <w:rPr>
                <w:rFonts w:eastAsia="Times New Roman" w:cstheme="minorHAnsi"/>
                <w:color w:val="333333"/>
              </w:rPr>
            </w:pPr>
            <w:r w:rsidRPr="0087246C">
              <w:rPr>
                <w:rFonts w:cstheme="minorHAnsi"/>
                <w:color w:val="333333"/>
              </w:rPr>
              <w:t>Situation géographique de la personne exécutant les tâches</w:t>
            </w:r>
          </w:p>
        </w:tc>
        <w:tc>
          <w:tcPr>
            <w:tcW w:w="3870" w:type="dxa"/>
            <w:tcBorders>
              <w:top w:val="nil"/>
              <w:left w:val="nil"/>
              <w:bottom w:val="single" w:sz="8" w:space="0" w:color="000000"/>
              <w:right w:val="single" w:sz="8" w:space="0" w:color="000000"/>
            </w:tcBorders>
            <w:tcMar>
              <w:top w:w="0" w:type="dxa"/>
              <w:left w:w="108" w:type="dxa"/>
              <w:bottom w:w="0" w:type="dxa"/>
              <w:right w:w="108" w:type="dxa"/>
            </w:tcMar>
            <w:hideMark/>
          </w:tcPr>
          <w:p w14:paraId="370D8948" w14:textId="77777777" w:rsidR="00342695" w:rsidRPr="0087246C" w:rsidRDefault="00342695" w:rsidP="00342695">
            <w:pPr>
              <w:spacing w:after="0" w:line="240" w:lineRule="auto"/>
              <w:jc w:val="both"/>
              <w:rPr>
                <w:rFonts w:eastAsia="Times New Roman" w:cstheme="minorHAnsi"/>
                <w:color w:val="333333"/>
              </w:rPr>
            </w:pPr>
            <w:r w:rsidRPr="0087246C">
              <w:rPr>
                <w:rFonts w:cstheme="minorHAnsi"/>
                <w:color w:val="333333"/>
              </w:rPr>
              <w:t> </w:t>
            </w:r>
          </w:p>
          <w:p w14:paraId="1D585883" w14:textId="77777777" w:rsidR="00342695" w:rsidRPr="0087246C" w:rsidRDefault="00342695" w:rsidP="00342695">
            <w:pPr>
              <w:spacing w:after="0" w:line="240" w:lineRule="auto"/>
              <w:jc w:val="both"/>
              <w:rPr>
                <w:rFonts w:eastAsia="Times New Roman" w:cstheme="minorHAnsi"/>
                <w:color w:val="333333"/>
              </w:rPr>
            </w:pPr>
            <w:r w:rsidRPr="0087246C">
              <w:rPr>
                <w:rFonts w:cstheme="minorHAnsi"/>
                <w:color w:val="333333"/>
              </w:rPr>
              <w:t xml:space="preserve">Le travail peut être effectué/réalisé en dehors du bureau ; quelques visites au bureau seront nécessaires aux fins de coordination, mais lesdites visites ne seront pas requises au quotidien </w:t>
            </w:r>
          </w:p>
        </w:tc>
        <w:tc>
          <w:tcPr>
            <w:tcW w:w="4600" w:type="dxa"/>
            <w:tcBorders>
              <w:top w:val="nil"/>
              <w:left w:val="nil"/>
              <w:bottom w:val="single" w:sz="8" w:space="0" w:color="000000"/>
              <w:right w:val="single" w:sz="8" w:space="0" w:color="000000"/>
            </w:tcBorders>
            <w:tcMar>
              <w:top w:w="0" w:type="dxa"/>
              <w:left w:w="108" w:type="dxa"/>
              <w:bottom w:w="0" w:type="dxa"/>
              <w:right w:w="108" w:type="dxa"/>
            </w:tcMar>
            <w:hideMark/>
          </w:tcPr>
          <w:p w14:paraId="61486CC2" w14:textId="77777777" w:rsidR="00342695" w:rsidRPr="0087246C" w:rsidRDefault="00342695" w:rsidP="00342695">
            <w:pPr>
              <w:spacing w:after="0" w:line="240" w:lineRule="auto"/>
              <w:jc w:val="both"/>
              <w:rPr>
                <w:rFonts w:eastAsia="Times New Roman" w:cstheme="minorHAnsi"/>
                <w:color w:val="333333"/>
              </w:rPr>
            </w:pPr>
            <w:r w:rsidRPr="0087246C">
              <w:rPr>
                <w:rFonts w:cstheme="minorHAnsi"/>
                <w:color w:val="333333"/>
              </w:rPr>
              <w:t> </w:t>
            </w:r>
          </w:p>
          <w:p w14:paraId="32814025" w14:textId="77777777" w:rsidR="00342695" w:rsidRPr="0087246C" w:rsidRDefault="00342695" w:rsidP="00342695">
            <w:pPr>
              <w:spacing w:after="0" w:line="240" w:lineRule="auto"/>
              <w:jc w:val="both"/>
              <w:rPr>
                <w:rFonts w:eastAsia="Times New Roman" w:cstheme="minorHAnsi"/>
                <w:color w:val="333333"/>
              </w:rPr>
            </w:pPr>
            <w:r w:rsidRPr="0087246C">
              <w:rPr>
                <w:rFonts w:cstheme="minorHAnsi"/>
                <w:color w:val="333333"/>
              </w:rPr>
              <w:t>La personne exécutant la tâche doit être présente au bureau tous les jours, car cette tâche ne peut être réalisée à l’extérieur des locaux de bureau.</w:t>
            </w:r>
          </w:p>
        </w:tc>
      </w:tr>
    </w:tbl>
    <w:p w14:paraId="59C0EDA9" w14:textId="672C47BB" w:rsidR="00342695" w:rsidRPr="0087246C" w:rsidRDefault="00342695" w:rsidP="00226566">
      <w:pPr>
        <w:shd w:val="clear" w:color="auto" w:fill="FFFFFF"/>
        <w:spacing w:line="240" w:lineRule="auto"/>
        <w:jc w:val="both"/>
        <w:textAlignment w:val="top"/>
        <w:rPr>
          <w:rFonts w:cstheme="minorHAnsi"/>
        </w:rPr>
      </w:pPr>
      <w:r w:rsidRPr="0087246C">
        <w:rPr>
          <w:rFonts w:cstheme="minorHAnsi"/>
        </w:rPr>
        <w:t> </w:t>
      </w:r>
    </w:p>
    <w:p w14:paraId="596A5751" w14:textId="77777777" w:rsidR="00342695" w:rsidRPr="0087246C" w:rsidRDefault="00342695" w:rsidP="00342695">
      <w:pPr>
        <w:pStyle w:val="ListParagraph"/>
        <w:numPr>
          <w:ilvl w:val="0"/>
          <w:numId w:val="36"/>
        </w:numPr>
        <w:shd w:val="clear" w:color="auto" w:fill="FFFFFF"/>
        <w:spacing w:before="0" w:beforeAutospacing="0" w:after="0" w:afterAutospacing="0"/>
        <w:jc w:val="both"/>
        <w:textAlignment w:val="top"/>
        <w:rPr>
          <w:rFonts w:asciiTheme="minorHAnsi" w:hAnsiTheme="minorHAnsi" w:cstheme="minorHAnsi"/>
          <w:sz w:val="22"/>
          <w:szCs w:val="22"/>
        </w:rPr>
      </w:pPr>
      <w:r w:rsidRPr="0087246C">
        <w:rPr>
          <w:rFonts w:asciiTheme="minorHAnsi" w:hAnsiTheme="minorHAnsi" w:cstheme="minorHAnsi"/>
          <w:sz w:val="22"/>
          <w:szCs w:val="22"/>
        </w:rPr>
        <w:t>Conformément au principe général d’équité et d’impartialité dans la réalisation de la passation des marchés du PNUD, les consultants impliqués dans la préparation ou l’élaboration d’un projet ou d’une activité de mise en œuvre du projet conduisant à des services ultérieurs, comprenant, mais sans s’y limiter, la rédaction des termes de référence de ces services donnant lieu à l’embauche d’un consultant, doivent être exclus du processus de sélection pour des services à effectuer par un consultant qui découlent d’un tel travail, afin d’éviter des cas de conflits d’intérêts.   De même, un consultant ne doit pas être inclus dans l’évaluation d’un projet ou d’une activité de projet, si ce dernier a participé de quelque manière que ce soit à l’élaboration ou à la mise en œuvre de ce projet ou d'une activité de ce projet.</w:t>
      </w:r>
    </w:p>
    <w:p w14:paraId="5FA49FFB" w14:textId="77777777" w:rsidR="00342695" w:rsidRPr="0087246C" w:rsidRDefault="00342695" w:rsidP="00342695">
      <w:pPr>
        <w:pStyle w:val="Calibri11"/>
        <w:numPr>
          <w:ilvl w:val="0"/>
          <w:numId w:val="0"/>
        </w:numPr>
        <w:jc w:val="both"/>
        <w:rPr>
          <w:rFonts w:asciiTheme="minorHAnsi" w:hAnsiTheme="minorHAnsi" w:cstheme="minorHAnsi"/>
          <w:szCs w:val="22"/>
        </w:rPr>
      </w:pPr>
      <w:bookmarkStart w:id="8" w:name="_Toc208574049"/>
      <w:r w:rsidRPr="0087246C">
        <w:rPr>
          <w:rFonts w:asciiTheme="minorHAnsi" w:hAnsiTheme="minorHAnsi" w:cstheme="minorHAnsi"/>
          <w:szCs w:val="22"/>
        </w:rPr>
        <w:t>Nature des services à effectuer par un consultant</w:t>
      </w:r>
      <w:bookmarkEnd w:id="8"/>
    </w:p>
    <w:p w14:paraId="499A4D0E" w14:textId="77777777" w:rsidR="00342695" w:rsidRPr="0087246C" w:rsidRDefault="00342695" w:rsidP="00342695">
      <w:pPr>
        <w:pStyle w:val="ListParagraph"/>
        <w:numPr>
          <w:ilvl w:val="0"/>
          <w:numId w:val="36"/>
        </w:numPr>
        <w:shd w:val="clear" w:color="auto" w:fill="FFFFFF"/>
        <w:spacing w:before="0" w:beforeAutospacing="0" w:after="0" w:afterAutospacing="0"/>
        <w:jc w:val="both"/>
        <w:textAlignment w:val="top"/>
        <w:rPr>
          <w:rFonts w:asciiTheme="minorHAnsi" w:hAnsiTheme="minorHAnsi" w:cstheme="minorHAnsi"/>
          <w:sz w:val="22"/>
          <w:szCs w:val="22"/>
        </w:rPr>
      </w:pPr>
      <w:r w:rsidRPr="0087246C">
        <w:rPr>
          <w:rFonts w:asciiTheme="minorHAnsi" w:hAnsiTheme="minorHAnsi" w:cstheme="minorHAnsi"/>
          <w:sz w:val="22"/>
          <w:szCs w:val="22"/>
        </w:rPr>
        <w:t xml:space="preserve">Les services fournis par un consultant </w:t>
      </w:r>
      <w:r w:rsidRPr="0087246C">
        <w:rPr>
          <w:rFonts w:asciiTheme="minorHAnsi" w:hAnsiTheme="minorHAnsi" w:cstheme="minorHAnsi"/>
          <w:b/>
          <w:sz w:val="22"/>
          <w:szCs w:val="22"/>
        </w:rPr>
        <w:t>peuvent être des services à caractère intellectuel</w:t>
      </w:r>
      <w:r w:rsidRPr="0087246C">
        <w:rPr>
          <w:rFonts w:asciiTheme="minorHAnsi" w:hAnsiTheme="minorHAnsi" w:cstheme="minorHAnsi"/>
          <w:sz w:val="22"/>
          <w:szCs w:val="22"/>
        </w:rPr>
        <w:t xml:space="preserve"> ou être des </w:t>
      </w:r>
      <w:r w:rsidRPr="0087246C">
        <w:rPr>
          <w:rFonts w:asciiTheme="minorHAnsi" w:hAnsiTheme="minorHAnsi" w:cstheme="minorHAnsi"/>
          <w:b/>
          <w:sz w:val="22"/>
          <w:szCs w:val="22"/>
        </w:rPr>
        <w:t>services d’appui</w:t>
      </w:r>
      <w:r w:rsidRPr="0087246C">
        <w:rPr>
          <w:rFonts w:asciiTheme="minorHAnsi" w:hAnsiTheme="minorHAnsi" w:cstheme="minorHAnsi"/>
          <w:sz w:val="22"/>
          <w:szCs w:val="22"/>
        </w:rPr>
        <w:t>. Des exemples de services à caractère intellectuel comprennent l’élaboration d’une note conceptuelle, la préparation d’un document de projet, l’organisation d’un atelier, l’évaluation d’un projet en fournissant des conseils techniques sur les stratégies. En revanche, les services d’appui peuvent comprendre entre autres, la réalisation de documentaires, la gestion d’un événement ou d’une conférence ponctuelle.</w:t>
      </w:r>
    </w:p>
    <w:p w14:paraId="3F8AE901" w14:textId="77777777" w:rsidR="00342695" w:rsidRPr="0087246C" w:rsidRDefault="00342695" w:rsidP="00342695">
      <w:pPr>
        <w:pStyle w:val="Calibri11"/>
        <w:numPr>
          <w:ilvl w:val="0"/>
          <w:numId w:val="0"/>
        </w:numPr>
        <w:jc w:val="both"/>
        <w:rPr>
          <w:rFonts w:asciiTheme="minorHAnsi" w:hAnsiTheme="minorHAnsi" w:cstheme="minorHAnsi"/>
          <w:szCs w:val="22"/>
        </w:rPr>
      </w:pPr>
      <w:bookmarkStart w:id="9" w:name="_Toc208574050"/>
      <w:r w:rsidRPr="0087246C">
        <w:rPr>
          <w:rFonts w:asciiTheme="minorHAnsi" w:hAnsiTheme="minorHAnsi" w:cstheme="minorHAnsi"/>
          <w:szCs w:val="22"/>
        </w:rPr>
        <w:t>Politique</w:t>
      </w:r>
      <w:bookmarkStart w:id="10" w:name="RelevantPolicies"/>
      <w:bookmarkEnd w:id="10"/>
      <w:r w:rsidRPr="0087246C">
        <w:rPr>
          <w:rFonts w:asciiTheme="minorHAnsi" w:hAnsiTheme="minorHAnsi" w:cstheme="minorHAnsi"/>
          <w:szCs w:val="22"/>
        </w:rPr>
        <w:t xml:space="preserve"> de délégation d’autorité pour établir un contrat individuel</w:t>
      </w:r>
      <w:bookmarkEnd w:id="9"/>
    </w:p>
    <w:p w14:paraId="4F1999D0" w14:textId="77777777" w:rsidR="00342695" w:rsidRPr="0087246C" w:rsidRDefault="00342695" w:rsidP="00342695">
      <w:pPr>
        <w:pStyle w:val="Calibri11Sub"/>
        <w:numPr>
          <w:ilvl w:val="0"/>
          <w:numId w:val="0"/>
        </w:numPr>
        <w:tabs>
          <w:tab w:val="clear" w:pos="900"/>
        </w:tabs>
        <w:spacing w:before="0"/>
        <w:ind w:left="540"/>
        <w:jc w:val="both"/>
        <w:rPr>
          <w:rFonts w:cstheme="minorHAnsi"/>
          <w:szCs w:val="22"/>
        </w:rPr>
      </w:pPr>
      <w:bookmarkStart w:id="11" w:name="_Toc208574051"/>
      <w:r w:rsidRPr="0087246C">
        <w:rPr>
          <w:rFonts w:cstheme="minorHAnsi"/>
        </w:rPr>
        <w:t>Délégation générale d’autorité</w:t>
      </w:r>
      <w:bookmarkEnd w:id="11"/>
    </w:p>
    <w:p w14:paraId="242EA139" w14:textId="77777777" w:rsidR="00342695" w:rsidRPr="0087246C" w:rsidRDefault="00342695" w:rsidP="00342695">
      <w:pPr>
        <w:pStyle w:val="ListParagraph"/>
        <w:numPr>
          <w:ilvl w:val="0"/>
          <w:numId w:val="36"/>
        </w:numPr>
        <w:spacing w:before="0" w:beforeAutospacing="0"/>
        <w:jc w:val="both"/>
        <w:rPr>
          <w:rFonts w:asciiTheme="minorHAnsi" w:hAnsiTheme="minorHAnsi" w:cstheme="minorHAnsi"/>
          <w:sz w:val="22"/>
          <w:szCs w:val="22"/>
        </w:rPr>
      </w:pPr>
      <w:r w:rsidRPr="0087246C">
        <w:rPr>
          <w:rFonts w:asciiTheme="minorHAnsi" w:hAnsiTheme="minorHAnsi" w:cstheme="minorHAnsi"/>
          <w:sz w:val="22"/>
          <w:szCs w:val="22"/>
        </w:rPr>
        <w:t>L’autorité principale en matière d’attribution, d’établissement et de gestion d’un contrat individuel appartient au Chef de la section des achats, qui a délégué ce pouvoir aux Représentants résidents, Directeurs du bureau, Responsables des unités détachées du Siège et aux responsables des différentes unités au Siège.</w:t>
      </w:r>
    </w:p>
    <w:p w14:paraId="2BEBC753" w14:textId="77777777" w:rsidR="00342695" w:rsidRPr="0087246C" w:rsidRDefault="00342695" w:rsidP="00342695">
      <w:pPr>
        <w:pStyle w:val="Calibri11Sub"/>
        <w:numPr>
          <w:ilvl w:val="0"/>
          <w:numId w:val="0"/>
        </w:numPr>
        <w:tabs>
          <w:tab w:val="clear" w:pos="900"/>
        </w:tabs>
        <w:spacing w:before="0"/>
        <w:ind w:left="540"/>
        <w:jc w:val="both"/>
        <w:rPr>
          <w:rFonts w:cstheme="minorHAnsi"/>
          <w:szCs w:val="22"/>
        </w:rPr>
      </w:pPr>
      <w:bookmarkStart w:id="12" w:name="_Toc208574052"/>
      <w:r w:rsidRPr="0087246C">
        <w:rPr>
          <w:rFonts w:cstheme="minorHAnsi"/>
        </w:rPr>
        <w:t>Délégation d’autorité en matière d’achats (</w:t>
      </w:r>
      <w:proofErr w:type="spellStart"/>
      <w:r w:rsidRPr="0087246C">
        <w:rPr>
          <w:rFonts w:cstheme="minorHAnsi"/>
        </w:rPr>
        <w:t>Delegation</w:t>
      </w:r>
      <w:proofErr w:type="spellEnd"/>
      <w:r w:rsidRPr="0087246C">
        <w:rPr>
          <w:rFonts w:cstheme="minorHAnsi"/>
        </w:rPr>
        <w:t xml:space="preserve"> of </w:t>
      </w:r>
      <w:proofErr w:type="spellStart"/>
      <w:r w:rsidRPr="0087246C">
        <w:rPr>
          <w:rFonts w:cstheme="minorHAnsi"/>
        </w:rPr>
        <w:t>procurement</w:t>
      </w:r>
      <w:proofErr w:type="spellEnd"/>
      <w:r w:rsidRPr="0087246C">
        <w:rPr>
          <w:rFonts w:cstheme="minorHAnsi"/>
        </w:rPr>
        <w:t xml:space="preserve"> </w:t>
      </w:r>
      <w:proofErr w:type="spellStart"/>
      <w:r w:rsidRPr="0087246C">
        <w:rPr>
          <w:rFonts w:cstheme="minorHAnsi"/>
        </w:rPr>
        <w:t>authority</w:t>
      </w:r>
      <w:proofErr w:type="spellEnd"/>
      <w:r w:rsidRPr="0087246C">
        <w:rPr>
          <w:rFonts w:cstheme="minorHAnsi"/>
        </w:rPr>
        <w:t>, DPA)</w:t>
      </w:r>
      <w:bookmarkEnd w:id="12"/>
    </w:p>
    <w:p w14:paraId="0F4A76CC" w14:textId="77777777" w:rsidR="00342695" w:rsidRPr="0087246C" w:rsidRDefault="00342695" w:rsidP="00342695">
      <w:pPr>
        <w:pStyle w:val="ListParagraph"/>
        <w:numPr>
          <w:ilvl w:val="0"/>
          <w:numId w:val="36"/>
        </w:numPr>
        <w:spacing w:before="0" w:beforeAutospacing="0"/>
        <w:jc w:val="both"/>
        <w:rPr>
          <w:rFonts w:asciiTheme="minorHAnsi" w:hAnsiTheme="minorHAnsi" w:cstheme="minorHAnsi"/>
          <w:sz w:val="22"/>
          <w:szCs w:val="22"/>
        </w:rPr>
      </w:pPr>
      <w:r w:rsidRPr="0087246C">
        <w:rPr>
          <w:rFonts w:asciiTheme="minorHAnsi" w:hAnsiTheme="minorHAnsi" w:cstheme="minorHAnsi"/>
          <w:sz w:val="22"/>
          <w:szCs w:val="22"/>
        </w:rPr>
        <w:t>Les représentants-résidents, les Directeurs du bureau, les Responsables des unités détachées du Siège et les responsables des différentes unités au Siège ont le pouvoir d’attribuer un contrat individuel ou un ensemble de contrats individuels à la même personne (consultant) /personne morale (accord de prêt remboursable [</w:t>
      </w:r>
      <w:proofErr w:type="spellStart"/>
      <w:r w:rsidRPr="0087246C">
        <w:rPr>
          <w:rFonts w:asciiTheme="minorHAnsi" w:hAnsiTheme="minorHAnsi" w:cstheme="minorHAnsi"/>
          <w:sz w:val="22"/>
          <w:szCs w:val="22"/>
        </w:rPr>
        <w:t>Reimbursable</w:t>
      </w:r>
      <w:proofErr w:type="spellEnd"/>
      <w:r w:rsidRPr="0087246C">
        <w:rPr>
          <w:rFonts w:asciiTheme="minorHAnsi" w:hAnsiTheme="minorHAnsi" w:cstheme="minorHAnsi"/>
          <w:sz w:val="22"/>
          <w:szCs w:val="22"/>
        </w:rPr>
        <w:t xml:space="preserve"> Loan Agreement, RLA]), ou de céder le pouvoir en matière d’achats qui leur a été délégué. Cette autorité s’applique si le contrat individuel est attribué à l’issue d’un processus de mise en concurrence ou à la suite d’une passation de marchés par entente directe (dérogation pour mise en concurrence).  </w:t>
      </w:r>
    </w:p>
    <w:p w14:paraId="36BC3A11" w14:textId="77777777" w:rsidR="00342695" w:rsidRPr="0087246C" w:rsidRDefault="00342695" w:rsidP="00342695">
      <w:pPr>
        <w:pStyle w:val="Calibri11Sub"/>
        <w:numPr>
          <w:ilvl w:val="0"/>
          <w:numId w:val="0"/>
        </w:numPr>
        <w:tabs>
          <w:tab w:val="clear" w:pos="900"/>
        </w:tabs>
        <w:spacing w:before="0"/>
        <w:ind w:left="540"/>
        <w:jc w:val="both"/>
        <w:rPr>
          <w:rFonts w:cstheme="minorHAnsi"/>
          <w:szCs w:val="22"/>
        </w:rPr>
      </w:pPr>
      <w:bookmarkStart w:id="13" w:name="_Toc208574053"/>
      <w:r w:rsidRPr="0087246C">
        <w:rPr>
          <w:rFonts w:cstheme="minorHAnsi"/>
        </w:rPr>
        <w:lastRenderedPageBreak/>
        <w:t>Limites de la délégation d’autorité</w:t>
      </w:r>
      <w:bookmarkEnd w:id="13"/>
    </w:p>
    <w:p w14:paraId="39EEEA43" w14:textId="77777777" w:rsidR="00617A57" w:rsidRPr="0087246C" w:rsidRDefault="00617A57" w:rsidP="00617A57">
      <w:pPr>
        <w:pStyle w:val="ListParagraph"/>
        <w:spacing w:before="0" w:beforeAutospacing="0" w:after="0" w:afterAutospacing="0"/>
        <w:ind w:left="810"/>
        <w:jc w:val="both"/>
        <w:rPr>
          <w:rFonts w:asciiTheme="minorHAnsi" w:hAnsiTheme="minorHAnsi" w:cstheme="minorHAnsi"/>
          <w:sz w:val="22"/>
          <w:szCs w:val="22"/>
        </w:rPr>
      </w:pPr>
    </w:p>
    <w:p w14:paraId="1D9DD180" w14:textId="77777777" w:rsidR="00617A57" w:rsidRPr="0087246C" w:rsidRDefault="00617A57" w:rsidP="00617A57">
      <w:pPr>
        <w:pStyle w:val="ListParagraph"/>
        <w:numPr>
          <w:ilvl w:val="0"/>
          <w:numId w:val="36"/>
        </w:numPr>
        <w:spacing w:before="0" w:beforeAutospacing="0" w:after="0" w:afterAutospacing="0"/>
        <w:jc w:val="both"/>
        <w:rPr>
          <w:rFonts w:asciiTheme="minorHAnsi" w:hAnsiTheme="minorHAnsi" w:cstheme="minorHAnsi"/>
          <w:sz w:val="22"/>
          <w:szCs w:val="22"/>
        </w:rPr>
      </w:pPr>
      <w:r w:rsidRPr="0087246C">
        <w:rPr>
          <w:rFonts w:asciiTheme="minorHAnsi" w:hAnsiTheme="minorHAnsi" w:cstheme="minorHAnsi"/>
          <w:sz w:val="22"/>
          <w:szCs w:val="22"/>
        </w:rPr>
        <w:t>Selon le dispositif de contrôle interne du PNUD, la délégation de pouvoir du Directeur du Bureau régional au Représentant résident doit être officialisée par écrit et conservée au dossier.</w:t>
      </w:r>
    </w:p>
    <w:p w14:paraId="4A7AE814" w14:textId="77777777" w:rsidR="00617A57" w:rsidRPr="0087246C" w:rsidRDefault="00617A57" w:rsidP="00617A57">
      <w:pPr>
        <w:pStyle w:val="ListParagraph"/>
        <w:spacing w:before="0" w:beforeAutospacing="0" w:after="0" w:afterAutospacing="0"/>
        <w:ind w:left="810"/>
        <w:jc w:val="both"/>
        <w:rPr>
          <w:rFonts w:asciiTheme="minorHAnsi" w:hAnsiTheme="minorHAnsi" w:cstheme="minorHAnsi"/>
          <w:sz w:val="22"/>
          <w:szCs w:val="22"/>
        </w:rPr>
      </w:pPr>
    </w:p>
    <w:p w14:paraId="6826132A" w14:textId="77777777" w:rsidR="00617A57" w:rsidRPr="0087246C" w:rsidRDefault="00617A57" w:rsidP="00617A57">
      <w:pPr>
        <w:pStyle w:val="ListParagraph"/>
        <w:numPr>
          <w:ilvl w:val="0"/>
          <w:numId w:val="36"/>
        </w:numPr>
        <w:spacing w:before="0" w:beforeAutospacing="0" w:after="0" w:afterAutospacing="0"/>
        <w:jc w:val="both"/>
        <w:rPr>
          <w:rFonts w:asciiTheme="minorHAnsi" w:hAnsiTheme="minorHAnsi" w:cstheme="minorHAnsi"/>
          <w:sz w:val="22"/>
          <w:szCs w:val="22"/>
        </w:rPr>
      </w:pPr>
      <w:r w:rsidRPr="0087246C">
        <w:rPr>
          <w:rFonts w:asciiTheme="minorHAnsi" w:hAnsiTheme="minorHAnsi" w:cstheme="minorHAnsi"/>
          <w:sz w:val="22"/>
          <w:szCs w:val="22"/>
        </w:rPr>
        <w:t xml:space="preserve">Pour les unités du Siège et celles détachées du Siège, une justification doit être soumise au Chef de bureau pour approbation. En ce qui concerne les bureaux indépendants, tels que le Bureau de l’audit et des investigations ou le Bureau de l’évaluation, ladite approbation doit être accordée par le Chef du bureau en question. </w:t>
      </w:r>
    </w:p>
    <w:p w14:paraId="17BA328A" w14:textId="77777777" w:rsidR="00617A57" w:rsidRPr="0087246C" w:rsidRDefault="00617A57" w:rsidP="00617A57">
      <w:pPr>
        <w:pStyle w:val="ListParagraph"/>
        <w:spacing w:before="0" w:beforeAutospacing="0" w:after="0" w:afterAutospacing="0"/>
        <w:ind w:left="810"/>
        <w:jc w:val="both"/>
        <w:rPr>
          <w:rFonts w:asciiTheme="minorHAnsi" w:hAnsiTheme="minorHAnsi" w:cstheme="minorHAnsi"/>
          <w:sz w:val="22"/>
          <w:szCs w:val="22"/>
        </w:rPr>
      </w:pPr>
    </w:p>
    <w:p w14:paraId="6B4052D8" w14:textId="77777777" w:rsidR="00342695" w:rsidRPr="0087246C" w:rsidRDefault="00342695" w:rsidP="00342695">
      <w:pPr>
        <w:pStyle w:val="Calibri11SubSubSub"/>
        <w:numPr>
          <w:ilvl w:val="0"/>
          <w:numId w:val="0"/>
        </w:numPr>
        <w:spacing w:before="0"/>
        <w:jc w:val="both"/>
        <w:rPr>
          <w:rFonts w:asciiTheme="minorHAnsi" w:hAnsiTheme="minorHAnsi" w:cstheme="minorHAnsi"/>
          <w:szCs w:val="22"/>
        </w:rPr>
      </w:pPr>
      <w:bookmarkStart w:id="14" w:name="_Toc208574054"/>
      <w:r w:rsidRPr="0087246C">
        <w:rPr>
          <w:rFonts w:asciiTheme="minorHAnsi" w:hAnsiTheme="minorHAnsi" w:cstheme="minorHAnsi"/>
          <w:szCs w:val="22"/>
        </w:rPr>
        <w:t>Honoraires journaliers</w:t>
      </w:r>
      <w:bookmarkEnd w:id="14"/>
    </w:p>
    <w:p w14:paraId="1DB71A70" w14:textId="2486A331" w:rsidR="00342695" w:rsidRDefault="00342695" w:rsidP="00342695">
      <w:pPr>
        <w:pStyle w:val="ListParagraph"/>
        <w:numPr>
          <w:ilvl w:val="0"/>
          <w:numId w:val="36"/>
        </w:numPr>
        <w:spacing w:before="0" w:beforeAutospacing="0" w:after="0" w:afterAutospacing="0"/>
        <w:jc w:val="both"/>
        <w:rPr>
          <w:rFonts w:asciiTheme="minorHAnsi" w:hAnsiTheme="minorHAnsi" w:cstheme="minorHAnsi"/>
          <w:sz w:val="22"/>
          <w:szCs w:val="22"/>
        </w:rPr>
      </w:pPr>
      <w:r w:rsidRPr="0087246C">
        <w:rPr>
          <w:rFonts w:asciiTheme="minorHAnsi" w:hAnsiTheme="minorHAnsi" w:cstheme="minorHAnsi"/>
          <w:sz w:val="22"/>
          <w:szCs w:val="22"/>
        </w:rPr>
        <w:t>Si les honoraires journaliers d’un contrat individuel dépassent le montant de 1 </w:t>
      </w:r>
      <w:r w:rsidR="00F3606F">
        <w:rPr>
          <w:rFonts w:asciiTheme="minorHAnsi" w:hAnsiTheme="minorHAnsi" w:cstheme="minorHAnsi"/>
          <w:sz w:val="22"/>
          <w:szCs w:val="22"/>
        </w:rPr>
        <w:t>800</w:t>
      </w:r>
      <w:r w:rsidRPr="0087246C">
        <w:rPr>
          <w:rFonts w:asciiTheme="minorHAnsi" w:hAnsiTheme="minorHAnsi" w:cstheme="minorHAnsi"/>
          <w:sz w:val="22"/>
          <w:szCs w:val="22"/>
        </w:rPr>
        <w:t> USD, indépendamment de la durée du contrat, lesdits honoraires doivent faire l’objet d’une justification et être dûment approuvés par le Directeur du Bureau régional ou le Représentant résident s’il s’agit des Bureaux de pays. L’approbation par le Représentant résident des honoraires journaliers sera communiquée au Directeur du Bureau régional.</w:t>
      </w:r>
    </w:p>
    <w:p w14:paraId="7B1DB069" w14:textId="77777777" w:rsidR="00617A57" w:rsidRPr="0087246C" w:rsidRDefault="00617A57" w:rsidP="00617A57">
      <w:pPr>
        <w:pStyle w:val="ListParagraph"/>
        <w:spacing w:before="0" w:beforeAutospacing="0" w:after="0" w:afterAutospacing="0"/>
        <w:ind w:left="720"/>
        <w:jc w:val="both"/>
        <w:rPr>
          <w:rFonts w:asciiTheme="minorHAnsi" w:hAnsiTheme="minorHAnsi" w:cstheme="minorHAnsi"/>
          <w:sz w:val="22"/>
          <w:szCs w:val="22"/>
        </w:rPr>
      </w:pPr>
    </w:p>
    <w:p w14:paraId="041D669B" w14:textId="04D9CB0E" w:rsidR="00342695" w:rsidRPr="0087246C" w:rsidRDefault="00342695" w:rsidP="00342695">
      <w:pPr>
        <w:pStyle w:val="ListParagraph"/>
        <w:numPr>
          <w:ilvl w:val="0"/>
          <w:numId w:val="36"/>
        </w:numPr>
        <w:spacing w:before="0" w:beforeAutospacing="0" w:after="0" w:afterAutospacing="0"/>
        <w:jc w:val="both"/>
        <w:rPr>
          <w:rFonts w:asciiTheme="minorHAnsi" w:hAnsiTheme="minorHAnsi" w:cstheme="minorHAnsi"/>
          <w:sz w:val="22"/>
          <w:szCs w:val="22"/>
        </w:rPr>
      </w:pPr>
      <w:r w:rsidRPr="0087246C">
        <w:rPr>
          <w:rFonts w:asciiTheme="minorHAnsi" w:hAnsiTheme="minorHAnsi" w:cstheme="minorHAnsi"/>
          <w:sz w:val="22"/>
          <w:szCs w:val="22"/>
        </w:rPr>
        <w:t>Les demandes d’approbation des honoraires journaliers dont le montant est supérieur à 1 </w:t>
      </w:r>
      <w:r w:rsidR="00F3606F">
        <w:rPr>
          <w:rFonts w:asciiTheme="minorHAnsi" w:hAnsiTheme="minorHAnsi" w:cstheme="minorHAnsi"/>
          <w:sz w:val="22"/>
          <w:szCs w:val="22"/>
        </w:rPr>
        <w:t>800</w:t>
      </w:r>
      <w:r w:rsidRPr="0087246C">
        <w:rPr>
          <w:rFonts w:asciiTheme="minorHAnsi" w:hAnsiTheme="minorHAnsi" w:cstheme="minorHAnsi"/>
          <w:sz w:val="22"/>
          <w:szCs w:val="22"/>
        </w:rPr>
        <w:t> USD doivent être soumises au moyen du</w:t>
      </w:r>
      <w:r w:rsidRPr="00FC5488">
        <w:rPr>
          <w:rFonts w:asciiTheme="minorHAnsi" w:hAnsiTheme="minorHAnsi" w:cstheme="minorHAnsi"/>
          <w:color w:val="2E74B5" w:themeColor="accent1" w:themeShade="BF"/>
          <w:sz w:val="22"/>
          <w:szCs w:val="22"/>
        </w:rPr>
        <w:t> </w:t>
      </w:r>
      <w:hyperlink r:id="rId11" w:history="1">
        <w:r w:rsidRPr="00A8635F">
          <w:rPr>
            <w:rFonts w:asciiTheme="minorHAnsi" w:hAnsiTheme="minorHAnsi" w:cstheme="minorHAnsi"/>
            <w:color w:val="2E74B5" w:themeColor="accent1" w:themeShade="BF"/>
            <w:sz w:val="22"/>
            <w:szCs w:val="22"/>
            <w:u w:val="single"/>
          </w:rPr>
          <w:t>Formulaire d’approbation relatif à la durée de consultation et aux honoraires journaliers</w:t>
        </w:r>
        <w:r w:rsidRPr="00FC5488">
          <w:rPr>
            <w:rFonts w:asciiTheme="minorHAnsi" w:hAnsiTheme="minorHAnsi" w:cstheme="minorHAnsi"/>
            <w:color w:val="2E74B5" w:themeColor="accent1" w:themeShade="BF"/>
            <w:sz w:val="22"/>
            <w:szCs w:val="22"/>
          </w:rPr>
          <w:t> </w:t>
        </w:r>
      </w:hyperlink>
      <w:r w:rsidR="00AC44D4" w:rsidRPr="00AC44D4">
        <w:rPr>
          <w:rFonts w:asciiTheme="minorHAnsi" w:hAnsiTheme="minorHAnsi" w:cstheme="minorHAnsi"/>
          <w:sz w:val="22"/>
          <w:szCs w:val="22"/>
        </w:rPr>
        <w:t>(en anglais).</w:t>
      </w:r>
      <w:r w:rsidR="00AC44D4">
        <w:t xml:space="preserve"> </w:t>
      </w:r>
      <w:r w:rsidRPr="0087246C">
        <w:rPr>
          <w:rFonts w:asciiTheme="minorHAnsi" w:hAnsiTheme="minorHAnsi" w:cstheme="minorHAnsi"/>
          <w:sz w:val="22"/>
          <w:szCs w:val="22"/>
        </w:rPr>
        <w:t>Si le contrat individuel porte sur un montant qui nécessite d’être examiné et soumis au Comité d’examen des marchés, l’approbation des honoraires journaliers doit être obtenue avant la soumission. </w:t>
      </w:r>
    </w:p>
    <w:p w14:paraId="76F60047" w14:textId="77777777" w:rsidR="00342695" w:rsidRPr="0087246C" w:rsidRDefault="00342695" w:rsidP="00342695">
      <w:pPr>
        <w:pStyle w:val="ListParagraph"/>
        <w:spacing w:before="0" w:beforeAutospacing="0" w:after="0" w:afterAutospacing="0"/>
        <w:ind w:left="810"/>
        <w:jc w:val="both"/>
        <w:rPr>
          <w:rFonts w:asciiTheme="minorHAnsi" w:hAnsiTheme="minorHAnsi" w:cstheme="minorHAnsi"/>
          <w:sz w:val="22"/>
          <w:szCs w:val="22"/>
        </w:rPr>
      </w:pPr>
    </w:p>
    <w:p w14:paraId="567597EE" w14:textId="5D473C3C" w:rsidR="00342695" w:rsidRPr="0087246C" w:rsidRDefault="00342695" w:rsidP="00342695">
      <w:pPr>
        <w:pStyle w:val="ListParagraph"/>
        <w:numPr>
          <w:ilvl w:val="0"/>
          <w:numId w:val="36"/>
        </w:numPr>
        <w:spacing w:before="0" w:beforeAutospacing="0" w:after="0" w:afterAutospacing="0"/>
        <w:jc w:val="both"/>
        <w:rPr>
          <w:rFonts w:asciiTheme="minorHAnsi" w:hAnsiTheme="minorHAnsi" w:cstheme="minorHAnsi"/>
          <w:sz w:val="22"/>
          <w:szCs w:val="22"/>
        </w:rPr>
      </w:pPr>
      <w:r w:rsidRPr="0087246C">
        <w:rPr>
          <w:rFonts w:asciiTheme="minorHAnsi" w:hAnsiTheme="minorHAnsi" w:cstheme="minorHAnsi"/>
          <w:sz w:val="22"/>
          <w:szCs w:val="22"/>
        </w:rPr>
        <w:t>Le calcul des honoraires journaliers ne doit se fonder que sur les « honoraires journaliers » mentionnés par la personne, et ce, à l’exclusion de toutes les autres dépenses (par exemple, les indemnités de subsistance, etc.).</w:t>
      </w:r>
    </w:p>
    <w:p w14:paraId="78527447" w14:textId="77777777" w:rsidR="00342695" w:rsidRPr="0087246C" w:rsidRDefault="00342695" w:rsidP="00342695">
      <w:pPr>
        <w:spacing w:after="0"/>
        <w:jc w:val="both"/>
        <w:rPr>
          <w:rFonts w:cstheme="minorHAnsi"/>
        </w:rPr>
      </w:pPr>
    </w:p>
    <w:p w14:paraId="0E43BA70" w14:textId="77777777" w:rsidR="00342695" w:rsidRPr="0087246C" w:rsidRDefault="00342695" w:rsidP="00342695">
      <w:pPr>
        <w:pStyle w:val="Calibri11SubSubSub"/>
        <w:numPr>
          <w:ilvl w:val="0"/>
          <w:numId w:val="0"/>
        </w:numPr>
        <w:spacing w:before="0"/>
        <w:jc w:val="both"/>
        <w:rPr>
          <w:rFonts w:asciiTheme="minorHAnsi" w:hAnsiTheme="minorHAnsi" w:cstheme="minorHAnsi"/>
          <w:szCs w:val="22"/>
        </w:rPr>
      </w:pPr>
      <w:bookmarkStart w:id="15" w:name="_Toc208574055"/>
      <w:r w:rsidRPr="0087246C">
        <w:rPr>
          <w:rFonts w:asciiTheme="minorHAnsi" w:hAnsiTheme="minorHAnsi" w:cstheme="minorHAnsi"/>
          <w:szCs w:val="22"/>
        </w:rPr>
        <w:t>Directives complémentaires : options stratégiques des pays ayant des coûts élevés des services de consultants</w:t>
      </w:r>
      <w:bookmarkEnd w:id="15"/>
      <w:r w:rsidRPr="0087246C">
        <w:rPr>
          <w:rFonts w:asciiTheme="minorHAnsi" w:hAnsiTheme="minorHAnsi" w:cstheme="minorHAnsi"/>
          <w:szCs w:val="22"/>
        </w:rPr>
        <w:t xml:space="preserve"> </w:t>
      </w:r>
    </w:p>
    <w:p w14:paraId="57540ADE" w14:textId="77777777" w:rsidR="00342695" w:rsidRPr="0087246C" w:rsidRDefault="00342695" w:rsidP="00342695">
      <w:pPr>
        <w:shd w:val="clear" w:color="auto" w:fill="FFFFFF"/>
        <w:spacing w:after="0" w:line="270" w:lineRule="atLeast"/>
        <w:ind w:left="810"/>
        <w:jc w:val="both"/>
        <w:textAlignment w:val="top"/>
        <w:rPr>
          <w:rFonts w:eastAsia="Times New Roman" w:cstheme="minorHAnsi"/>
        </w:rPr>
      </w:pPr>
      <w:r w:rsidRPr="0087246C">
        <w:rPr>
          <w:rFonts w:cstheme="minorHAnsi"/>
        </w:rPr>
        <w:t> </w:t>
      </w:r>
    </w:p>
    <w:p w14:paraId="4E31B89F" w14:textId="215B326D" w:rsidR="00342695" w:rsidRPr="0087246C" w:rsidRDefault="00342695" w:rsidP="00342695">
      <w:pPr>
        <w:pStyle w:val="ListParagraph"/>
        <w:numPr>
          <w:ilvl w:val="0"/>
          <w:numId w:val="36"/>
        </w:numPr>
        <w:spacing w:before="0" w:beforeAutospacing="0" w:after="0" w:afterAutospacing="0"/>
        <w:jc w:val="both"/>
        <w:rPr>
          <w:rFonts w:asciiTheme="minorHAnsi" w:hAnsiTheme="minorHAnsi" w:cstheme="minorHAnsi"/>
          <w:sz w:val="22"/>
          <w:szCs w:val="22"/>
        </w:rPr>
      </w:pPr>
      <w:r w:rsidRPr="0087246C">
        <w:rPr>
          <w:rFonts w:asciiTheme="minorHAnsi" w:hAnsiTheme="minorHAnsi" w:cstheme="minorHAnsi"/>
          <w:sz w:val="22"/>
          <w:szCs w:val="22"/>
        </w:rPr>
        <w:t>Dans les marchés où les honoraires journaliers d’un montant supérieur à 1 </w:t>
      </w:r>
      <w:r w:rsidR="00445779">
        <w:rPr>
          <w:rFonts w:asciiTheme="minorHAnsi" w:hAnsiTheme="minorHAnsi" w:cstheme="minorHAnsi"/>
          <w:sz w:val="22"/>
          <w:szCs w:val="22"/>
        </w:rPr>
        <w:t>800</w:t>
      </w:r>
      <w:r w:rsidRPr="0087246C">
        <w:rPr>
          <w:rFonts w:asciiTheme="minorHAnsi" w:hAnsiTheme="minorHAnsi" w:cstheme="minorHAnsi"/>
          <w:sz w:val="22"/>
          <w:szCs w:val="22"/>
        </w:rPr>
        <w:t> USD sont courants et conduisent, par conséquent, à des soumissions et demandes fréquentes d’approbation par le Directeur du Bureau régional ou le Représentant résident, les unités administratives peuvent : </w:t>
      </w:r>
    </w:p>
    <w:p w14:paraId="64847AA9" w14:textId="77777777" w:rsidR="00342695" w:rsidRPr="0087246C" w:rsidRDefault="00342695" w:rsidP="00AC44D4">
      <w:pPr>
        <w:pStyle w:val="ListParagraph"/>
        <w:spacing w:before="0" w:beforeAutospacing="0" w:after="0" w:afterAutospacing="0"/>
        <w:ind w:left="360"/>
        <w:jc w:val="both"/>
        <w:rPr>
          <w:rFonts w:asciiTheme="minorHAnsi" w:hAnsiTheme="minorHAnsi" w:cstheme="minorHAnsi"/>
          <w:sz w:val="22"/>
          <w:szCs w:val="22"/>
        </w:rPr>
      </w:pPr>
    </w:p>
    <w:p w14:paraId="49628980" w14:textId="77777777" w:rsidR="00342695" w:rsidRPr="0087246C" w:rsidRDefault="00342695" w:rsidP="00AC44D4">
      <w:pPr>
        <w:pStyle w:val="ListParagraph"/>
        <w:numPr>
          <w:ilvl w:val="0"/>
          <w:numId w:val="40"/>
        </w:numPr>
        <w:spacing w:before="0" w:beforeAutospacing="0" w:after="0" w:afterAutospacing="0"/>
        <w:ind w:left="1080"/>
        <w:jc w:val="both"/>
        <w:rPr>
          <w:rFonts w:asciiTheme="minorHAnsi" w:hAnsiTheme="minorHAnsi" w:cstheme="minorHAnsi"/>
          <w:sz w:val="22"/>
          <w:szCs w:val="22"/>
        </w:rPr>
      </w:pPr>
      <w:r w:rsidRPr="0087246C">
        <w:rPr>
          <w:rFonts w:asciiTheme="minorHAnsi" w:hAnsiTheme="minorHAnsi" w:cstheme="minorHAnsi"/>
          <w:sz w:val="22"/>
          <w:szCs w:val="22"/>
        </w:rPr>
        <w:t>Dresser un tableau des honoraires de consultation réservé aux experts, et ce, par niveaux de qualification, en s’inspirant d’une étude de marché structurée menée par des experts ou des institutions externes, laquelle tient compte des taux des honoraires journaliers utilisés par toutes les agences des Nations Unies et organisations internationales de taille comparable, taux appliqués dans le même environnement de marché, la même région ou dans une autre zone géographique ; et</w:t>
      </w:r>
    </w:p>
    <w:p w14:paraId="6441C0C0" w14:textId="77777777" w:rsidR="00342695" w:rsidRPr="0087246C" w:rsidRDefault="00342695" w:rsidP="00AC44D4">
      <w:pPr>
        <w:pStyle w:val="ListParagraph"/>
        <w:numPr>
          <w:ilvl w:val="0"/>
          <w:numId w:val="40"/>
        </w:numPr>
        <w:spacing w:after="0"/>
        <w:ind w:left="1080"/>
        <w:jc w:val="both"/>
        <w:rPr>
          <w:rFonts w:asciiTheme="minorHAnsi" w:hAnsiTheme="minorHAnsi" w:cstheme="minorHAnsi"/>
          <w:sz w:val="22"/>
          <w:szCs w:val="22"/>
        </w:rPr>
      </w:pPr>
      <w:r w:rsidRPr="0087246C">
        <w:rPr>
          <w:rFonts w:asciiTheme="minorHAnsi" w:hAnsiTheme="minorHAnsi" w:cstheme="minorHAnsi"/>
          <w:sz w:val="22"/>
          <w:szCs w:val="22"/>
        </w:rPr>
        <w:t>Obtenir une approbation ponctuelle du tableau des honoraires de consultation par le Directeur du Bureau régional ou le Représentant résident.</w:t>
      </w:r>
    </w:p>
    <w:p w14:paraId="2ACB838D" w14:textId="77777777" w:rsidR="00342695" w:rsidRPr="0087246C" w:rsidRDefault="00342695" w:rsidP="00342695">
      <w:pPr>
        <w:pStyle w:val="ListParagraph"/>
        <w:numPr>
          <w:ilvl w:val="0"/>
          <w:numId w:val="36"/>
        </w:numPr>
        <w:spacing w:before="0" w:beforeAutospacing="0" w:after="0" w:afterAutospacing="0"/>
        <w:jc w:val="both"/>
        <w:rPr>
          <w:rFonts w:asciiTheme="minorHAnsi" w:hAnsiTheme="minorHAnsi" w:cstheme="minorHAnsi"/>
          <w:sz w:val="22"/>
          <w:szCs w:val="22"/>
        </w:rPr>
      </w:pPr>
      <w:r w:rsidRPr="0087246C">
        <w:rPr>
          <w:rFonts w:asciiTheme="minorHAnsi" w:hAnsiTheme="minorHAnsi" w:cstheme="minorHAnsi"/>
          <w:sz w:val="22"/>
          <w:szCs w:val="22"/>
        </w:rPr>
        <w:t>La conduite de l’enquête s’appuiera sur les meilleures pratiques du secteur reconnues par des professionnels chevronnés et des institutions ayant fait leurs preuves dans l’élaboration d’un tel tableau des honoraires de consultation.</w:t>
      </w:r>
    </w:p>
    <w:p w14:paraId="5C82943C" w14:textId="77777777" w:rsidR="00342695" w:rsidRPr="0087246C" w:rsidRDefault="00342695" w:rsidP="00342695">
      <w:pPr>
        <w:pStyle w:val="ListParagraph"/>
        <w:spacing w:before="0" w:beforeAutospacing="0" w:after="0" w:afterAutospacing="0"/>
        <w:ind w:left="810"/>
        <w:jc w:val="both"/>
        <w:rPr>
          <w:rFonts w:asciiTheme="minorHAnsi" w:hAnsiTheme="minorHAnsi" w:cstheme="minorHAnsi"/>
          <w:sz w:val="22"/>
          <w:szCs w:val="22"/>
        </w:rPr>
      </w:pPr>
    </w:p>
    <w:p w14:paraId="187D9DBD" w14:textId="4AF1547D" w:rsidR="00342695" w:rsidRPr="005166EF" w:rsidRDefault="005166EF" w:rsidP="005166EF">
      <w:pPr>
        <w:pStyle w:val="ListParagraph"/>
        <w:numPr>
          <w:ilvl w:val="0"/>
          <w:numId w:val="36"/>
        </w:numPr>
        <w:spacing w:before="0" w:beforeAutospacing="0" w:after="0" w:afterAutospacing="0"/>
        <w:jc w:val="both"/>
        <w:rPr>
          <w:rFonts w:asciiTheme="minorHAnsi" w:hAnsiTheme="minorHAnsi" w:cstheme="minorHAnsi"/>
          <w:sz w:val="22"/>
          <w:szCs w:val="22"/>
        </w:rPr>
      </w:pPr>
      <w:r w:rsidRPr="0087246C">
        <w:rPr>
          <w:rFonts w:asciiTheme="minorHAnsi" w:hAnsiTheme="minorHAnsi" w:cstheme="minorHAnsi"/>
          <w:sz w:val="22"/>
          <w:szCs w:val="22"/>
        </w:rPr>
        <w:lastRenderedPageBreak/>
        <w:t>Il convient de prendre en compte le cadre et la durée de la tâche lors de l’élaboration et de l’approbation des taux des honoraires journaliers. Par exemple, un taux élevé des honoraires journaliers convenu pour un expert pendant une courte durée dans un environnement</w:t>
      </w:r>
      <w:r>
        <w:rPr>
          <w:rFonts w:asciiTheme="minorHAnsi" w:hAnsiTheme="minorHAnsi" w:cstheme="minorHAnsi"/>
          <w:sz w:val="22"/>
          <w:szCs w:val="22"/>
        </w:rPr>
        <w:t xml:space="preserve"> </w:t>
      </w:r>
      <w:r w:rsidRPr="00C42634">
        <w:rPr>
          <w:rFonts w:asciiTheme="minorHAnsi" w:hAnsiTheme="minorHAnsi" w:cstheme="minorHAnsi"/>
          <w:sz w:val="22"/>
          <w:szCs w:val="22"/>
        </w:rPr>
        <w:t>à haut</w:t>
      </w:r>
      <w:r>
        <w:rPr>
          <w:rFonts w:asciiTheme="minorHAnsi" w:hAnsiTheme="minorHAnsi" w:cstheme="minorHAnsi"/>
          <w:sz w:val="22"/>
          <w:szCs w:val="22"/>
        </w:rPr>
        <w:t xml:space="preserve"> risque</w:t>
      </w:r>
      <w:r w:rsidRPr="0087246C">
        <w:rPr>
          <w:rFonts w:asciiTheme="minorHAnsi" w:hAnsiTheme="minorHAnsi" w:cstheme="minorHAnsi"/>
          <w:sz w:val="22"/>
          <w:szCs w:val="22"/>
        </w:rPr>
        <w:t xml:space="preserve"> de sécurité pourrait ne pas s’appliquer ni être justifié pour le même expert dans le cadre d’une affectation à long terme dans un lieu d’affectation</w:t>
      </w:r>
      <w:r>
        <w:rPr>
          <w:rFonts w:asciiTheme="minorHAnsi" w:hAnsiTheme="minorHAnsi" w:cstheme="minorHAnsi"/>
          <w:sz w:val="22"/>
          <w:szCs w:val="22"/>
        </w:rPr>
        <w:t xml:space="preserve"> </w:t>
      </w:r>
      <w:r w:rsidRPr="00E21A2D">
        <w:rPr>
          <w:rFonts w:asciiTheme="minorHAnsi" w:hAnsiTheme="minorHAnsi" w:cstheme="minorHAnsi"/>
          <w:sz w:val="22"/>
          <w:szCs w:val="22"/>
        </w:rPr>
        <w:t>à faible risque de sécurité</w:t>
      </w:r>
      <w:r w:rsidRPr="0087246C">
        <w:rPr>
          <w:rFonts w:asciiTheme="minorHAnsi" w:hAnsiTheme="minorHAnsi" w:cstheme="minorHAnsi"/>
          <w:sz w:val="22"/>
          <w:szCs w:val="22"/>
        </w:rPr>
        <w:t xml:space="preserve">. Cet exemple met en évidence la nécessité d’établir un lien entre les honoraires et les produits livrables, et le caractère complexe des termes de référence. </w:t>
      </w:r>
    </w:p>
    <w:p w14:paraId="26190A44" w14:textId="77777777" w:rsidR="00342695" w:rsidRPr="0087246C" w:rsidRDefault="00342695" w:rsidP="00342695">
      <w:pPr>
        <w:pStyle w:val="ListParagraph"/>
        <w:spacing w:before="0" w:beforeAutospacing="0" w:after="0" w:afterAutospacing="0"/>
        <w:ind w:left="810"/>
        <w:jc w:val="both"/>
        <w:rPr>
          <w:rFonts w:asciiTheme="minorHAnsi" w:hAnsiTheme="minorHAnsi" w:cstheme="minorHAnsi"/>
          <w:sz w:val="22"/>
          <w:szCs w:val="22"/>
        </w:rPr>
      </w:pPr>
    </w:p>
    <w:p w14:paraId="29ABABCB" w14:textId="77777777" w:rsidR="00342695" w:rsidRPr="0087246C" w:rsidRDefault="00342695" w:rsidP="00342695">
      <w:pPr>
        <w:pStyle w:val="ListParagraph"/>
        <w:numPr>
          <w:ilvl w:val="0"/>
          <w:numId w:val="36"/>
        </w:numPr>
        <w:spacing w:before="0" w:beforeAutospacing="0" w:after="0" w:afterAutospacing="0"/>
        <w:jc w:val="both"/>
        <w:rPr>
          <w:rFonts w:asciiTheme="minorHAnsi" w:hAnsiTheme="minorHAnsi" w:cstheme="minorHAnsi"/>
          <w:sz w:val="22"/>
          <w:szCs w:val="22"/>
        </w:rPr>
      </w:pPr>
      <w:r w:rsidRPr="0087246C">
        <w:rPr>
          <w:rFonts w:asciiTheme="minorHAnsi" w:hAnsiTheme="minorHAnsi" w:cstheme="minorHAnsi"/>
          <w:sz w:val="22"/>
          <w:szCs w:val="22"/>
        </w:rPr>
        <w:t xml:space="preserve">Pour surveiller les jours effectifs de travail d’une personne rémunérée par honoraires journaliers, le modèle de </w:t>
      </w:r>
      <w:hyperlink r:id="rId12" w:history="1">
        <w:r w:rsidRPr="0087246C">
          <w:rPr>
            <w:rStyle w:val="Hyperlink"/>
            <w:rFonts w:asciiTheme="minorHAnsi" w:hAnsiTheme="minorHAnsi" w:cstheme="minorHAnsi"/>
            <w:sz w:val="22"/>
            <w:szCs w:val="22"/>
          </w:rPr>
          <w:t xml:space="preserve">Feuille de temps du consultant </w:t>
        </w:r>
      </w:hyperlink>
      <w:r w:rsidRPr="0087246C">
        <w:rPr>
          <w:rFonts w:asciiTheme="minorHAnsi" w:hAnsiTheme="minorHAnsi" w:cstheme="minorHAnsi"/>
          <w:sz w:val="22"/>
          <w:szCs w:val="22"/>
        </w:rPr>
        <w:t>peut être utilisé. Le paiement ne doit tenir compte que des jours pendant lesquels le travail pour le compte du PNUD a été effectué. Le temps mis pour atteindre le lieu d’affectation n’est pas inclus, même si le contrat est signé avant le voyage.</w:t>
      </w:r>
    </w:p>
    <w:p w14:paraId="39EA6376" w14:textId="77777777" w:rsidR="00342695" w:rsidRPr="0087246C" w:rsidRDefault="00342695" w:rsidP="00342695">
      <w:pPr>
        <w:pStyle w:val="ListParagraph"/>
        <w:spacing w:before="0" w:beforeAutospacing="0" w:after="0" w:afterAutospacing="0"/>
        <w:ind w:left="810"/>
        <w:jc w:val="both"/>
        <w:rPr>
          <w:rFonts w:asciiTheme="minorHAnsi" w:hAnsiTheme="minorHAnsi" w:cstheme="minorHAnsi"/>
          <w:sz w:val="22"/>
          <w:szCs w:val="22"/>
        </w:rPr>
      </w:pPr>
    </w:p>
    <w:p w14:paraId="6FF6821A" w14:textId="77777777" w:rsidR="00342695" w:rsidRPr="0087246C" w:rsidRDefault="00342695" w:rsidP="00342695">
      <w:pPr>
        <w:pStyle w:val="Calibri11SubSubSub"/>
        <w:numPr>
          <w:ilvl w:val="0"/>
          <w:numId w:val="0"/>
        </w:numPr>
        <w:spacing w:before="0"/>
        <w:jc w:val="both"/>
        <w:rPr>
          <w:rFonts w:asciiTheme="minorHAnsi" w:hAnsiTheme="minorHAnsi" w:cstheme="minorHAnsi"/>
          <w:szCs w:val="22"/>
        </w:rPr>
      </w:pPr>
      <w:bookmarkStart w:id="16" w:name="_Toc208574056"/>
      <w:r w:rsidRPr="0087246C">
        <w:rPr>
          <w:rFonts w:asciiTheme="minorHAnsi" w:hAnsiTheme="minorHAnsi" w:cstheme="minorHAnsi"/>
          <w:szCs w:val="22"/>
        </w:rPr>
        <w:t>Durée</w:t>
      </w:r>
      <w:bookmarkEnd w:id="16"/>
    </w:p>
    <w:p w14:paraId="5EEA1049" w14:textId="77777777" w:rsidR="00342695" w:rsidRPr="0087246C" w:rsidRDefault="00342695" w:rsidP="00342695">
      <w:pPr>
        <w:pStyle w:val="Calibri11SubSubSub"/>
        <w:numPr>
          <w:ilvl w:val="0"/>
          <w:numId w:val="0"/>
        </w:numPr>
        <w:spacing w:before="0"/>
        <w:jc w:val="both"/>
        <w:rPr>
          <w:rFonts w:asciiTheme="minorHAnsi" w:hAnsiTheme="minorHAnsi" w:cstheme="minorHAnsi"/>
          <w:szCs w:val="22"/>
        </w:rPr>
      </w:pPr>
    </w:p>
    <w:p w14:paraId="547FAFA3" w14:textId="77777777"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sz w:val="22"/>
          <w:szCs w:val="22"/>
        </w:rPr>
      </w:pPr>
      <w:r w:rsidRPr="0087246C">
        <w:rPr>
          <w:rFonts w:asciiTheme="minorHAnsi" w:hAnsiTheme="minorHAnsi" w:cstheme="minorHAnsi"/>
          <w:sz w:val="22"/>
          <w:szCs w:val="22"/>
        </w:rPr>
        <w:t xml:space="preserve">La durée d’embauche du consultant par le PNUD doit être directement liée aux résultats/produits livrables requis conformément aux termes de référence, qui sont en général joints en annexe au contrat. Si l’embauche du consultant par la même unité administrative en vertu du même contrat (dont les modifications et prolongations) et des mêmes termes de référence (ou essentiellement les mêmes) dépasse une période unique ou cumulée de 24 mois, l’approbation du Directeur du Bureau régional ou du Représentant résident doit être obtenue avant l’attribution d’un contrat individuel ou avant d’y apporter des modifications. </w:t>
      </w:r>
    </w:p>
    <w:p w14:paraId="4181E85E" w14:textId="77777777"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sz w:val="22"/>
          <w:szCs w:val="22"/>
        </w:rPr>
      </w:pPr>
      <w:r w:rsidRPr="0087246C">
        <w:rPr>
          <w:rFonts w:asciiTheme="minorHAnsi" w:hAnsiTheme="minorHAnsi" w:cstheme="minorHAnsi"/>
          <w:sz w:val="22"/>
          <w:szCs w:val="22"/>
        </w:rPr>
        <w:t xml:space="preserve">Selon le dispositif de contrôle interne du PNUD, la délégation de cette autorité par le Directeur du Bureau régional au Représentant résident doit être officialisée par écrit et conservée au dossier. </w:t>
      </w:r>
    </w:p>
    <w:p w14:paraId="2FBC240F" w14:textId="77777777"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sz w:val="22"/>
          <w:szCs w:val="22"/>
        </w:rPr>
      </w:pPr>
      <w:r w:rsidRPr="0087246C">
        <w:rPr>
          <w:rFonts w:asciiTheme="minorHAnsi" w:hAnsiTheme="minorHAnsi" w:cstheme="minorHAnsi"/>
          <w:sz w:val="22"/>
          <w:szCs w:val="22"/>
        </w:rPr>
        <w:t xml:space="preserve">Si la période dépassant 24 mois est définie lors de l’élaboration des termes de référence, l’approbation doit être obtenue avant d’entamer la procédure d’appel d’offres. </w:t>
      </w:r>
    </w:p>
    <w:p w14:paraId="5FC018FB" w14:textId="77777777"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sz w:val="22"/>
          <w:szCs w:val="22"/>
        </w:rPr>
      </w:pPr>
      <w:r w:rsidRPr="0087246C">
        <w:rPr>
          <w:rFonts w:asciiTheme="minorHAnsi" w:hAnsiTheme="minorHAnsi" w:cstheme="minorHAnsi"/>
          <w:sz w:val="22"/>
          <w:szCs w:val="22"/>
        </w:rPr>
        <w:t>Si un cas nécessite l’examen par un Comité d’attribution, l’approbation de la durée doit être obtenue avant ledit examen. </w:t>
      </w:r>
    </w:p>
    <w:p w14:paraId="678B449A" w14:textId="110239A6"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sz w:val="22"/>
          <w:szCs w:val="22"/>
        </w:rPr>
      </w:pPr>
      <w:r w:rsidRPr="0087246C">
        <w:rPr>
          <w:rFonts w:asciiTheme="minorHAnsi" w:hAnsiTheme="minorHAnsi" w:cstheme="minorHAnsi"/>
          <w:sz w:val="22"/>
          <w:szCs w:val="22"/>
        </w:rPr>
        <w:t xml:space="preserve">La demande d’un contrat individuel d’une durée supérieure à 24 mois doit être faite par soumission du </w:t>
      </w:r>
      <w:hyperlink r:id="rId13" w:history="1">
        <w:r w:rsidRPr="00226566">
          <w:rPr>
            <w:rStyle w:val="Hyperlink"/>
            <w:rFonts w:asciiTheme="minorHAnsi" w:hAnsiTheme="minorHAnsi" w:cstheme="minorHAnsi"/>
            <w:color w:val="2E74B5" w:themeColor="accent1" w:themeShade="BF"/>
            <w:sz w:val="22"/>
            <w:szCs w:val="22"/>
            <w:u w:val="single"/>
          </w:rPr>
          <w:t>formulaire d’approbation relatif à la durée de consultation et aux honoraires journaliers</w:t>
        </w:r>
      </w:hyperlink>
      <w:r w:rsidRPr="0087246C">
        <w:rPr>
          <w:rFonts w:asciiTheme="minorHAnsi" w:hAnsiTheme="minorHAnsi" w:cstheme="minorHAnsi"/>
          <w:sz w:val="22"/>
          <w:szCs w:val="22"/>
        </w:rPr>
        <w:t xml:space="preserve"> </w:t>
      </w:r>
      <w:r w:rsidR="00AC44D4" w:rsidRPr="00AC44D4">
        <w:rPr>
          <w:rFonts w:asciiTheme="minorHAnsi" w:hAnsiTheme="minorHAnsi" w:cstheme="minorHAnsi"/>
          <w:sz w:val="22"/>
          <w:szCs w:val="22"/>
        </w:rPr>
        <w:t>(en anglais)</w:t>
      </w:r>
      <w:r w:rsidR="00AC44D4">
        <w:rPr>
          <w:rFonts w:asciiTheme="minorHAnsi" w:hAnsiTheme="minorHAnsi" w:cstheme="minorHAnsi"/>
          <w:sz w:val="22"/>
          <w:szCs w:val="22"/>
        </w:rPr>
        <w:t xml:space="preserve"> </w:t>
      </w:r>
      <w:r w:rsidRPr="0087246C">
        <w:rPr>
          <w:rFonts w:asciiTheme="minorHAnsi" w:hAnsiTheme="minorHAnsi" w:cstheme="minorHAnsi"/>
          <w:sz w:val="22"/>
          <w:szCs w:val="22"/>
        </w:rPr>
        <w:t xml:space="preserve">au Directeur du Bureau régional ou au Représentant résident. Pour ce dernier, un exemplaire de l’approbation doit être soumis au Directeur du Bureau. </w:t>
      </w:r>
    </w:p>
    <w:p w14:paraId="64D3A59B" w14:textId="77777777"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sz w:val="22"/>
          <w:szCs w:val="22"/>
        </w:rPr>
      </w:pPr>
      <w:r w:rsidRPr="0087246C">
        <w:rPr>
          <w:rFonts w:asciiTheme="minorHAnsi" w:hAnsiTheme="minorHAnsi" w:cstheme="minorHAnsi"/>
          <w:sz w:val="22"/>
          <w:szCs w:val="22"/>
        </w:rPr>
        <w:t>Cette condition et la procédure d’obtention de l’approbation s’appliquent à toutes les unités administratives, indépendamment de la délégation d’autorité en matière d’achats.</w:t>
      </w:r>
    </w:p>
    <w:p w14:paraId="26850719" w14:textId="77777777" w:rsidR="00342695"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sz w:val="22"/>
          <w:szCs w:val="22"/>
        </w:rPr>
      </w:pPr>
      <w:r w:rsidRPr="0087246C">
        <w:rPr>
          <w:rFonts w:asciiTheme="minorHAnsi" w:hAnsiTheme="minorHAnsi" w:cstheme="minorHAnsi"/>
          <w:sz w:val="22"/>
          <w:szCs w:val="22"/>
        </w:rPr>
        <w:t>Un ensemble de deux contrats individuels ou plus attribués à la même personne par la même unité administrative au cours d’une période supérieure à 24 mois doit faire également l’objet d’une approbation par le Directeur du Bureau régional/Représentant résident, indépendamment des différences constatées eu égard aux termes de référence, au contexte du projet ou au processus de sélection. </w:t>
      </w:r>
    </w:p>
    <w:p w14:paraId="080DA560" w14:textId="77777777" w:rsidR="00115773" w:rsidRDefault="00115773" w:rsidP="00115773">
      <w:pPr>
        <w:shd w:val="clear" w:color="auto" w:fill="FFFFFF"/>
        <w:spacing w:after="240"/>
        <w:jc w:val="both"/>
        <w:textAlignment w:val="top"/>
        <w:rPr>
          <w:rFonts w:cstheme="minorHAnsi"/>
        </w:rPr>
      </w:pPr>
    </w:p>
    <w:p w14:paraId="586E111D" w14:textId="77777777"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sz w:val="22"/>
          <w:szCs w:val="22"/>
        </w:rPr>
      </w:pPr>
      <w:r w:rsidRPr="0087246C">
        <w:rPr>
          <w:rFonts w:asciiTheme="minorHAnsi" w:hAnsiTheme="minorHAnsi" w:cstheme="minorHAnsi"/>
          <w:sz w:val="22"/>
          <w:szCs w:val="22"/>
        </w:rPr>
        <w:lastRenderedPageBreak/>
        <w:t>L’approbation par le Directeur du Bureau régional/Représentant résident n’est PAS nécessaire dans les cas suivants :</w:t>
      </w:r>
    </w:p>
    <w:p w14:paraId="119366DF" w14:textId="77777777" w:rsidR="00342695" w:rsidRPr="0087246C" w:rsidRDefault="00342695" w:rsidP="00342695">
      <w:pPr>
        <w:pStyle w:val="ListParagraph"/>
        <w:numPr>
          <w:ilvl w:val="0"/>
          <w:numId w:val="41"/>
        </w:numPr>
        <w:spacing w:before="0" w:beforeAutospacing="0" w:after="0" w:afterAutospacing="0"/>
        <w:jc w:val="both"/>
        <w:rPr>
          <w:rFonts w:asciiTheme="minorHAnsi" w:hAnsiTheme="minorHAnsi" w:cstheme="minorHAnsi"/>
          <w:sz w:val="22"/>
          <w:szCs w:val="22"/>
        </w:rPr>
      </w:pPr>
      <w:r w:rsidRPr="0087246C">
        <w:rPr>
          <w:rFonts w:asciiTheme="minorHAnsi" w:hAnsiTheme="minorHAnsi" w:cstheme="minorHAnsi"/>
          <w:sz w:val="22"/>
          <w:szCs w:val="22"/>
        </w:rPr>
        <w:t>Si un contrat individuel est conclu pour une période supérieure à 24 mois et ne constitue pas une entente à long terme, mais comporte cinq cent vingt et un (521)</w:t>
      </w:r>
      <w:r w:rsidRPr="0087246C">
        <w:rPr>
          <w:rStyle w:val="FootnoteReference"/>
          <w:rFonts w:asciiTheme="minorHAnsi" w:hAnsiTheme="minorHAnsi" w:cstheme="minorHAnsi"/>
          <w:sz w:val="22"/>
          <w:szCs w:val="22"/>
        </w:rPr>
        <w:footnoteReference w:id="3"/>
      </w:r>
      <w:r w:rsidRPr="0087246C">
        <w:rPr>
          <w:rFonts w:asciiTheme="minorHAnsi" w:hAnsiTheme="minorHAnsi" w:cstheme="minorHAnsi"/>
          <w:sz w:val="22"/>
          <w:szCs w:val="22"/>
        </w:rPr>
        <w:t xml:space="preserve"> jours-personnes effectifs et que les périodes d’embauche intermittente sont clairement indiquées et rationalisées dans les termes de référence ; </w:t>
      </w:r>
      <w:proofErr w:type="gramStart"/>
      <w:r w:rsidRPr="0087246C">
        <w:rPr>
          <w:rFonts w:asciiTheme="minorHAnsi" w:hAnsiTheme="minorHAnsi" w:cstheme="minorHAnsi"/>
          <w:sz w:val="22"/>
          <w:szCs w:val="22"/>
        </w:rPr>
        <w:t>ou</w:t>
      </w:r>
      <w:proofErr w:type="gramEnd"/>
      <w:r w:rsidRPr="0087246C">
        <w:rPr>
          <w:rFonts w:asciiTheme="minorHAnsi" w:hAnsiTheme="minorHAnsi" w:cstheme="minorHAnsi"/>
          <w:sz w:val="22"/>
          <w:szCs w:val="22"/>
        </w:rPr>
        <w:t> </w:t>
      </w:r>
    </w:p>
    <w:p w14:paraId="5EDE2A9D" w14:textId="1E276AB8" w:rsidR="00342695" w:rsidRPr="0087246C" w:rsidRDefault="00342695" w:rsidP="00342695">
      <w:pPr>
        <w:pStyle w:val="ListParagraph"/>
        <w:numPr>
          <w:ilvl w:val="0"/>
          <w:numId w:val="41"/>
        </w:numPr>
        <w:spacing w:before="0" w:beforeAutospacing="0" w:after="0" w:afterAutospacing="0"/>
        <w:jc w:val="both"/>
        <w:rPr>
          <w:rFonts w:asciiTheme="minorHAnsi" w:hAnsiTheme="minorHAnsi" w:cstheme="minorHAnsi"/>
          <w:sz w:val="22"/>
          <w:szCs w:val="22"/>
        </w:rPr>
      </w:pPr>
      <w:r w:rsidRPr="0087246C">
        <w:rPr>
          <w:rFonts w:asciiTheme="minorHAnsi" w:hAnsiTheme="minorHAnsi" w:cstheme="minorHAnsi"/>
          <w:sz w:val="22"/>
          <w:szCs w:val="22"/>
        </w:rPr>
        <w:t>Le contrat individuel est destiné à l’embauche intermittente ponctuelle, c’est-à-dire, avec un tarif horaire ou journalier fixe ou d’autres indicateurs de prix unitaire. Par ailleurs, ladite embauche est récurrente ou s’effectue ponctuellement pendant une période définie. Il s’agit d’un contrat individuel faisant office d’accord-cadre ou d’entente à long terme, comme expliqué dans la section contrat individuel comme accord-cadre.</w:t>
      </w:r>
      <w:r w:rsidR="003A4299">
        <w:rPr>
          <w:rFonts w:asciiTheme="minorHAnsi" w:hAnsiTheme="minorHAnsi" w:cstheme="minorHAnsi"/>
          <w:sz w:val="22"/>
          <w:szCs w:val="22"/>
        </w:rPr>
        <w:t xml:space="preserve"> </w:t>
      </w:r>
    </w:p>
    <w:p w14:paraId="0C15AC52" w14:textId="77777777" w:rsidR="00342695" w:rsidRPr="0087246C" w:rsidRDefault="00342695" w:rsidP="00342695">
      <w:pPr>
        <w:jc w:val="both"/>
        <w:rPr>
          <w:rFonts w:cstheme="minorHAnsi"/>
          <w:b/>
        </w:rPr>
      </w:pPr>
    </w:p>
    <w:p w14:paraId="36806CC1" w14:textId="77777777" w:rsidR="00342695" w:rsidRPr="0087246C" w:rsidRDefault="00342695" w:rsidP="00342695">
      <w:pPr>
        <w:pStyle w:val="Calibri11SubSubSub"/>
        <w:numPr>
          <w:ilvl w:val="0"/>
          <w:numId w:val="0"/>
        </w:numPr>
        <w:spacing w:before="0"/>
        <w:jc w:val="both"/>
        <w:rPr>
          <w:rFonts w:asciiTheme="minorHAnsi" w:hAnsiTheme="minorHAnsi" w:cstheme="minorHAnsi"/>
          <w:szCs w:val="22"/>
        </w:rPr>
      </w:pPr>
      <w:r w:rsidRPr="0087246C">
        <w:rPr>
          <w:rFonts w:asciiTheme="minorHAnsi" w:hAnsiTheme="minorHAnsi" w:cstheme="minorHAnsi"/>
          <w:szCs w:val="22"/>
        </w:rPr>
        <w:t xml:space="preserve"> </w:t>
      </w:r>
      <w:bookmarkStart w:id="17" w:name="_Toc208574057"/>
      <w:r w:rsidRPr="0087246C">
        <w:rPr>
          <w:rFonts w:asciiTheme="minorHAnsi" w:hAnsiTheme="minorHAnsi" w:cstheme="minorHAnsi"/>
          <w:szCs w:val="22"/>
        </w:rPr>
        <w:t>Directives complémentaires :</w:t>
      </w:r>
      <w:bookmarkEnd w:id="17"/>
      <w:r w:rsidRPr="0087246C">
        <w:rPr>
          <w:rFonts w:asciiTheme="minorHAnsi" w:hAnsiTheme="minorHAnsi" w:cstheme="minorHAnsi"/>
          <w:szCs w:val="22"/>
        </w:rPr>
        <w:t> </w:t>
      </w:r>
    </w:p>
    <w:p w14:paraId="77D8ECF8" w14:textId="77777777"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sz w:val="22"/>
          <w:szCs w:val="22"/>
        </w:rPr>
      </w:pPr>
      <w:r w:rsidRPr="0087246C">
        <w:rPr>
          <w:rFonts w:asciiTheme="minorHAnsi" w:hAnsiTheme="minorHAnsi" w:cstheme="minorHAnsi"/>
          <w:sz w:val="22"/>
          <w:szCs w:val="22"/>
        </w:rPr>
        <w:t>À titre d’illustration, supposons qu’un contrat individuel d’une durée initiale de 20 mois nécessite une prolongation imprévue de 6 mois, entraînant ainsi une durée contractuelle totale de 26 mois. Dans ce cas, une approbation par le Directeur du Bureau régional concerné doit être obtenue de manière à autoriser ladite prolongation.  </w:t>
      </w:r>
    </w:p>
    <w:p w14:paraId="5807E386" w14:textId="77777777"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sz w:val="22"/>
          <w:szCs w:val="22"/>
        </w:rPr>
      </w:pPr>
      <w:r w:rsidRPr="0087246C">
        <w:rPr>
          <w:rFonts w:asciiTheme="minorHAnsi" w:hAnsiTheme="minorHAnsi" w:cstheme="minorHAnsi"/>
          <w:sz w:val="22"/>
          <w:szCs w:val="22"/>
        </w:rPr>
        <w:t xml:space="preserve">Si un contrat individuel d’une durée de 20 mois arrive à échéance et que l’unité administrative décide d’embaucher la même personne pour un projet différent, au titre d’un nouveau contrat individuel d’une durée de 6 mois, sur la base de nouveaux termes de référence, pour lequel un nouveau processus de sélection a été réalisé par une nouvelle équipe d’évaluation, l’approbation par le Directeur du Bureau régional/Représentant résident est toujours nécessaire. </w:t>
      </w:r>
      <w:r w:rsidRPr="0087246C">
        <w:rPr>
          <w:rStyle w:val="EndnoteReference"/>
          <w:rFonts w:asciiTheme="minorHAnsi" w:hAnsiTheme="minorHAnsi" w:cstheme="minorHAnsi"/>
          <w:sz w:val="22"/>
          <w:szCs w:val="22"/>
        </w:rPr>
        <w:endnoteReference w:id="1"/>
      </w:r>
    </w:p>
    <w:p w14:paraId="41B06837" w14:textId="77777777" w:rsidR="00342695" w:rsidRPr="0087246C" w:rsidRDefault="00342695" w:rsidP="005F68A5">
      <w:pPr>
        <w:pStyle w:val="Calibri11Sub"/>
        <w:numPr>
          <w:ilvl w:val="0"/>
          <w:numId w:val="0"/>
        </w:numPr>
        <w:jc w:val="both"/>
        <w:rPr>
          <w:rFonts w:cstheme="minorHAnsi"/>
          <w:szCs w:val="22"/>
        </w:rPr>
      </w:pPr>
      <w:bookmarkStart w:id="18" w:name="_Toc208574058"/>
      <w:r w:rsidRPr="0087246C">
        <w:rPr>
          <w:rFonts w:cstheme="minorHAnsi"/>
        </w:rPr>
        <w:t>Comités d’examen des marchés</w:t>
      </w:r>
      <w:bookmarkEnd w:id="18"/>
    </w:p>
    <w:p w14:paraId="279AEC56" w14:textId="77777777" w:rsidR="00342695" w:rsidRPr="0087246C" w:rsidRDefault="00342695" w:rsidP="00342695">
      <w:pPr>
        <w:pStyle w:val="Calibri11Sub"/>
        <w:numPr>
          <w:ilvl w:val="0"/>
          <w:numId w:val="0"/>
        </w:numPr>
        <w:ind w:left="792"/>
        <w:jc w:val="both"/>
        <w:rPr>
          <w:rFonts w:cstheme="minorHAnsi"/>
          <w:szCs w:val="22"/>
        </w:rPr>
      </w:pPr>
    </w:p>
    <w:p w14:paraId="7D69575C" w14:textId="77777777" w:rsidR="00342695" w:rsidRPr="0087246C" w:rsidRDefault="00342695" w:rsidP="00342695">
      <w:pPr>
        <w:pStyle w:val="Calibri11SubSubSub"/>
        <w:numPr>
          <w:ilvl w:val="0"/>
          <w:numId w:val="0"/>
        </w:numPr>
        <w:spacing w:before="0"/>
        <w:jc w:val="both"/>
        <w:rPr>
          <w:rFonts w:asciiTheme="minorHAnsi" w:hAnsiTheme="minorHAnsi" w:cstheme="minorHAnsi"/>
          <w:szCs w:val="22"/>
        </w:rPr>
      </w:pPr>
      <w:bookmarkStart w:id="19" w:name="_Toc208574059"/>
      <w:r w:rsidRPr="0087246C">
        <w:rPr>
          <w:rFonts w:asciiTheme="minorHAnsi" w:hAnsiTheme="minorHAnsi" w:cstheme="minorHAnsi"/>
          <w:szCs w:val="22"/>
        </w:rPr>
        <w:t>Comité des marchés, des actifs et des achats</w:t>
      </w:r>
      <w:bookmarkEnd w:id="19"/>
    </w:p>
    <w:p w14:paraId="4D49667F" w14:textId="77777777" w:rsidR="00342695" w:rsidRPr="0087246C" w:rsidRDefault="00342695" w:rsidP="00342695">
      <w:pPr>
        <w:pStyle w:val="Calibri11SubSubSub"/>
        <w:numPr>
          <w:ilvl w:val="0"/>
          <w:numId w:val="0"/>
        </w:numPr>
        <w:spacing w:before="0"/>
        <w:jc w:val="both"/>
        <w:rPr>
          <w:rFonts w:asciiTheme="minorHAnsi" w:hAnsiTheme="minorHAnsi" w:cstheme="minorHAnsi"/>
          <w:szCs w:val="22"/>
        </w:rPr>
      </w:pPr>
    </w:p>
    <w:p w14:paraId="13EDFC91" w14:textId="338111D4" w:rsidR="00342695" w:rsidRPr="0087246C" w:rsidRDefault="00342695" w:rsidP="00342695">
      <w:pPr>
        <w:pStyle w:val="ListParagraph"/>
        <w:numPr>
          <w:ilvl w:val="0"/>
          <w:numId w:val="36"/>
        </w:numPr>
        <w:shd w:val="clear" w:color="auto" w:fill="FFFFFF"/>
        <w:spacing w:before="0" w:beforeAutospacing="0" w:after="0"/>
        <w:jc w:val="both"/>
        <w:textAlignment w:val="top"/>
        <w:rPr>
          <w:rFonts w:asciiTheme="minorHAnsi" w:hAnsiTheme="minorHAnsi" w:cstheme="minorHAnsi"/>
          <w:sz w:val="22"/>
          <w:szCs w:val="22"/>
        </w:rPr>
      </w:pPr>
      <w:r w:rsidRPr="0087246C">
        <w:rPr>
          <w:rFonts w:asciiTheme="minorHAnsi" w:hAnsiTheme="minorHAnsi" w:cstheme="minorHAnsi"/>
          <w:sz w:val="22"/>
          <w:szCs w:val="22"/>
        </w:rPr>
        <w:t xml:space="preserve">Les contrats individuels ou une série de contrats de ce type attribués à la même personne et d’une valeur cumulée </w:t>
      </w:r>
      <w:r w:rsidRPr="0087246C">
        <w:rPr>
          <w:rFonts w:asciiTheme="minorHAnsi" w:hAnsiTheme="minorHAnsi" w:cstheme="minorHAnsi"/>
          <w:sz w:val="22"/>
          <w:szCs w:val="22"/>
          <w:u w:val="single"/>
        </w:rPr>
        <w:t>inférieure à 1</w:t>
      </w:r>
      <w:r w:rsidR="00445779">
        <w:rPr>
          <w:rFonts w:asciiTheme="minorHAnsi" w:hAnsiTheme="minorHAnsi" w:cstheme="minorHAnsi"/>
          <w:sz w:val="22"/>
          <w:szCs w:val="22"/>
          <w:u w:val="single"/>
        </w:rPr>
        <w:t>5</w:t>
      </w:r>
      <w:r w:rsidRPr="0087246C">
        <w:rPr>
          <w:rFonts w:asciiTheme="minorHAnsi" w:hAnsiTheme="minorHAnsi" w:cstheme="minorHAnsi"/>
          <w:sz w:val="22"/>
          <w:szCs w:val="22"/>
          <w:u w:val="single"/>
        </w:rPr>
        <w:t>0 000,00 USD</w:t>
      </w:r>
      <w:r w:rsidRPr="0087246C">
        <w:rPr>
          <w:rFonts w:asciiTheme="minorHAnsi" w:hAnsiTheme="minorHAnsi" w:cstheme="minorHAnsi"/>
          <w:sz w:val="22"/>
          <w:szCs w:val="22"/>
        </w:rPr>
        <w:t xml:space="preserve"> par unité administrative au cours d’une période de 12 mois ne nécessitent pas un examen par les comités des marchés, des actifs et des achats. Au-delà de 1</w:t>
      </w:r>
      <w:r w:rsidR="00445779">
        <w:rPr>
          <w:rFonts w:asciiTheme="minorHAnsi" w:hAnsiTheme="minorHAnsi" w:cstheme="minorHAnsi"/>
          <w:sz w:val="22"/>
          <w:szCs w:val="22"/>
        </w:rPr>
        <w:t>5</w:t>
      </w:r>
      <w:r w:rsidRPr="0087246C">
        <w:rPr>
          <w:rFonts w:asciiTheme="minorHAnsi" w:hAnsiTheme="minorHAnsi" w:cstheme="minorHAnsi"/>
          <w:sz w:val="22"/>
          <w:szCs w:val="22"/>
        </w:rPr>
        <w:t>0 000 USD et jusqu’à la délégation de pouvoirs en matière d’achats par l’unité administrative, une revue s’impose.</w:t>
      </w:r>
    </w:p>
    <w:p w14:paraId="2BFF05C4" w14:textId="77777777" w:rsidR="00342695" w:rsidRPr="0087246C" w:rsidRDefault="00342695" w:rsidP="00342695">
      <w:pPr>
        <w:pStyle w:val="Calibri11SubSubSub"/>
        <w:numPr>
          <w:ilvl w:val="0"/>
          <w:numId w:val="0"/>
        </w:numPr>
        <w:tabs>
          <w:tab w:val="clear" w:pos="900"/>
        </w:tabs>
        <w:spacing w:before="0"/>
        <w:jc w:val="both"/>
        <w:rPr>
          <w:rFonts w:asciiTheme="minorHAnsi" w:hAnsiTheme="minorHAnsi" w:cstheme="minorHAnsi"/>
          <w:szCs w:val="22"/>
        </w:rPr>
      </w:pPr>
      <w:bookmarkStart w:id="20" w:name="_Toc208574060"/>
      <w:r w:rsidRPr="0087246C">
        <w:rPr>
          <w:rFonts w:asciiTheme="minorHAnsi" w:hAnsiTheme="minorHAnsi" w:cstheme="minorHAnsi"/>
          <w:szCs w:val="22"/>
        </w:rPr>
        <w:t>Comité consultatif régional des achats et comité consultatif des achats</w:t>
      </w:r>
      <w:bookmarkEnd w:id="20"/>
    </w:p>
    <w:p w14:paraId="718D07CB" w14:textId="77777777" w:rsidR="00342695" w:rsidRPr="0087246C" w:rsidRDefault="00342695" w:rsidP="00342695">
      <w:pPr>
        <w:pStyle w:val="Calibri11SubSubSub"/>
        <w:numPr>
          <w:ilvl w:val="0"/>
          <w:numId w:val="0"/>
        </w:numPr>
        <w:tabs>
          <w:tab w:val="clear" w:pos="900"/>
        </w:tabs>
        <w:spacing w:before="0"/>
        <w:jc w:val="both"/>
        <w:rPr>
          <w:rFonts w:asciiTheme="minorHAnsi" w:hAnsiTheme="minorHAnsi" w:cstheme="minorHAnsi"/>
          <w:szCs w:val="22"/>
        </w:rPr>
      </w:pPr>
    </w:p>
    <w:p w14:paraId="4A70DD8C" w14:textId="77777777"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sz w:val="22"/>
          <w:szCs w:val="22"/>
        </w:rPr>
      </w:pPr>
      <w:r w:rsidRPr="0087246C">
        <w:rPr>
          <w:rFonts w:asciiTheme="minorHAnsi" w:hAnsiTheme="minorHAnsi" w:cstheme="minorHAnsi"/>
          <w:sz w:val="22"/>
          <w:szCs w:val="22"/>
        </w:rPr>
        <w:t>Les contrats individuels ou une série de contrats de ce type attribués à la même personne sur une période de 12 mois dont la valeur contractuelle cumulée dépasse le cadre de délégation d’autorité en matière d’achats de l’unité administrative doivent être soumis pour examen et approbation par le Comité consultatif régional des achats (RACP)ou, pour les unités au Siège et celles détachées du Siège, par le Comité consultatif des achats ( ACP). </w:t>
      </w:r>
    </w:p>
    <w:p w14:paraId="66F025CA" w14:textId="551FF0C3"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sz w:val="22"/>
          <w:szCs w:val="22"/>
        </w:rPr>
      </w:pPr>
      <w:r w:rsidRPr="0087246C">
        <w:rPr>
          <w:rFonts w:asciiTheme="minorHAnsi" w:hAnsiTheme="minorHAnsi" w:cstheme="minorHAnsi"/>
          <w:sz w:val="22"/>
          <w:szCs w:val="22"/>
        </w:rPr>
        <w:lastRenderedPageBreak/>
        <w:t xml:space="preserve">Lorsqu’une délégation d’autorité accrue en matière d’achats a été accordée à une unité administrative, à savoir supérieure à </w:t>
      </w:r>
      <w:r w:rsidR="00445779">
        <w:rPr>
          <w:rFonts w:asciiTheme="minorHAnsi" w:hAnsiTheme="minorHAnsi" w:cstheme="minorHAnsi"/>
          <w:sz w:val="22"/>
          <w:szCs w:val="22"/>
        </w:rPr>
        <w:t>300</w:t>
      </w:r>
      <w:r w:rsidRPr="0087246C">
        <w:rPr>
          <w:rFonts w:asciiTheme="minorHAnsi" w:hAnsiTheme="minorHAnsi" w:cstheme="minorHAnsi"/>
          <w:sz w:val="22"/>
          <w:szCs w:val="22"/>
        </w:rPr>
        <w:t> 000 USD, le pouvoir de ladite unité en matière de gestion des contrats individuels est identique à celui applicable à tous les autres achats de biens, services et travaux. </w:t>
      </w:r>
    </w:p>
    <w:p w14:paraId="25E69FBC" w14:textId="77777777"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sz w:val="22"/>
          <w:szCs w:val="22"/>
        </w:rPr>
      </w:pPr>
      <w:r w:rsidRPr="0087246C">
        <w:rPr>
          <w:rFonts w:asciiTheme="minorHAnsi" w:hAnsiTheme="minorHAnsi" w:cstheme="minorHAnsi"/>
          <w:sz w:val="22"/>
          <w:szCs w:val="22"/>
        </w:rPr>
        <w:t xml:space="preserve">Pour calculer le montant cumulé, la période de 12 mois commence en comptant 12 mois civils à partir de la date de début prévue du nouveau contrat. </w:t>
      </w:r>
    </w:p>
    <w:p w14:paraId="1B8AB19C" w14:textId="77777777"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sz w:val="22"/>
          <w:szCs w:val="22"/>
        </w:rPr>
      </w:pPr>
      <w:r w:rsidRPr="0087246C">
        <w:rPr>
          <w:rFonts w:asciiTheme="minorHAnsi" w:hAnsiTheme="minorHAnsi" w:cstheme="minorHAnsi"/>
          <w:sz w:val="22"/>
          <w:szCs w:val="22"/>
        </w:rPr>
        <w:t>Les seuils susmentionnés s’appliquent indépendamment des circonstances suivantes :</w:t>
      </w:r>
    </w:p>
    <w:p w14:paraId="32CC7DFF" w14:textId="77777777" w:rsidR="00342695" w:rsidRPr="0087246C" w:rsidRDefault="00342695" w:rsidP="00342695">
      <w:pPr>
        <w:pStyle w:val="ListParagraph"/>
        <w:numPr>
          <w:ilvl w:val="0"/>
          <w:numId w:val="42"/>
        </w:numPr>
        <w:spacing w:before="0" w:beforeAutospacing="0" w:after="0" w:afterAutospacing="0"/>
        <w:jc w:val="both"/>
        <w:rPr>
          <w:rFonts w:asciiTheme="minorHAnsi" w:hAnsiTheme="minorHAnsi" w:cstheme="minorHAnsi"/>
          <w:sz w:val="22"/>
          <w:szCs w:val="22"/>
        </w:rPr>
      </w:pPr>
      <w:r w:rsidRPr="0087246C">
        <w:rPr>
          <w:rFonts w:asciiTheme="minorHAnsi" w:hAnsiTheme="minorHAnsi" w:cstheme="minorHAnsi"/>
          <w:sz w:val="22"/>
          <w:szCs w:val="22"/>
        </w:rPr>
        <w:t>Que le(s) contrat(s) ait/aient été attribué(s) à l’issue d’un processus de mise en concurrence ou par passation de marchés par entente directe ; et</w:t>
      </w:r>
    </w:p>
    <w:p w14:paraId="6A0A6EAF" w14:textId="77777777" w:rsidR="00342695" w:rsidRPr="0087246C" w:rsidRDefault="00342695" w:rsidP="00342695">
      <w:pPr>
        <w:pStyle w:val="ListParagraph"/>
        <w:numPr>
          <w:ilvl w:val="0"/>
          <w:numId w:val="42"/>
        </w:numPr>
        <w:spacing w:before="0" w:beforeAutospacing="0" w:after="0" w:afterAutospacing="0"/>
        <w:jc w:val="both"/>
        <w:rPr>
          <w:rFonts w:asciiTheme="minorHAnsi" w:hAnsiTheme="minorHAnsi" w:cstheme="minorHAnsi"/>
          <w:sz w:val="22"/>
          <w:szCs w:val="22"/>
        </w:rPr>
      </w:pPr>
      <w:r w:rsidRPr="0087246C">
        <w:rPr>
          <w:rFonts w:asciiTheme="minorHAnsi" w:hAnsiTheme="minorHAnsi" w:cstheme="minorHAnsi"/>
          <w:sz w:val="22"/>
          <w:szCs w:val="22"/>
        </w:rPr>
        <w:t xml:space="preserve">Que l’embauche de la personne ait été officialisée par un contrat individuel ou un accord de prêt remboursable avec une organisation. </w:t>
      </w:r>
    </w:p>
    <w:p w14:paraId="2D45219E" w14:textId="77777777" w:rsidR="00342695" w:rsidRPr="0087246C" w:rsidRDefault="00342695" w:rsidP="00342695">
      <w:pPr>
        <w:pStyle w:val="ListParagraph"/>
        <w:spacing w:before="0" w:beforeAutospacing="0" w:after="0" w:afterAutospacing="0"/>
        <w:ind w:left="1890"/>
        <w:jc w:val="both"/>
        <w:rPr>
          <w:rFonts w:asciiTheme="minorHAnsi" w:hAnsiTheme="minorHAnsi" w:cstheme="minorHAnsi"/>
          <w:sz w:val="22"/>
          <w:szCs w:val="22"/>
        </w:rPr>
      </w:pPr>
    </w:p>
    <w:p w14:paraId="50276F68" w14:textId="77777777"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sz w:val="22"/>
          <w:szCs w:val="22"/>
        </w:rPr>
      </w:pPr>
      <w:r w:rsidRPr="0087246C">
        <w:rPr>
          <w:rFonts w:asciiTheme="minorHAnsi" w:hAnsiTheme="minorHAnsi" w:cstheme="minorHAnsi"/>
          <w:sz w:val="22"/>
          <w:szCs w:val="22"/>
        </w:rPr>
        <w:t>Toute modification apportée à un contrat individuel non préalablement soumis au Comité consultatif régional des achats ou Comité consultatif des achats doit être soumise au comité compétent aux fins d’examen, si la valeur contractuelle totale après ladite modification atteint ou dépasse le cadre de délégation de pouvoirs en matière d’achats de l’unité administrative sur une période de 12 mois.</w:t>
      </w:r>
    </w:p>
    <w:p w14:paraId="0B886C2B" w14:textId="07C75EF6" w:rsidR="00342695" w:rsidRPr="001F2EA4" w:rsidRDefault="00342695" w:rsidP="004E636D">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sz w:val="22"/>
          <w:szCs w:val="22"/>
        </w:rPr>
      </w:pPr>
      <w:r w:rsidRPr="001F2EA4">
        <w:rPr>
          <w:rFonts w:asciiTheme="minorHAnsi" w:hAnsiTheme="minorHAnsi" w:cstheme="minorHAnsi"/>
          <w:sz w:val="22"/>
          <w:szCs w:val="22"/>
        </w:rPr>
        <w:t xml:space="preserve">Si le contrat individuel soumis au Comité consultatif régional des achats ou au Comité consultatif des achats a une durée supérieure à la limite de 24 mois, le dossier de présentation doit comporter le </w:t>
      </w:r>
      <w:hyperlink r:id="rId14" w:history="1">
        <w:r w:rsidR="00A258FD" w:rsidRPr="00226566">
          <w:rPr>
            <w:rStyle w:val="Hyperlink"/>
            <w:rFonts w:asciiTheme="minorHAnsi" w:hAnsiTheme="minorHAnsi" w:cstheme="minorHAnsi"/>
            <w:color w:val="2E74B5" w:themeColor="accent1" w:themeShade="BF"/>
            <w:sz w:val="22"/>
            <w:szCs w:val="22"/>
            <w:u w:val="single"/>
          </w:rPr>
          <w:t>formulaire d’approbation relatif à la durée de consultation et aux honoraires journaliers</w:t>
        </w:r>
      </w:hyperlink>
      <w:r w:rsidR="00A258FD" w:rsidRPr="0087246C">
        <w:rPr>
          <w:rFonts w:asciiTheme="minorHAnsi" w:hAnsiTheme="minorHAnsi" w:cstheme="minorHAnsi"/>
          <w:sz w:val="22"/>
          <w:szCs w:val="22"/>
        </w:rPr>
        <w:t xml:space="preserve"> </w:t>
      </w:r>
      <w:r w:rsidR="00A258FD" w:rsidRPr="00AC44D4">
        <w:rPr>
          <w:rFonts w:asciiTheme="minorHAnsi" w:hAnsiTheme="minorHAnsi" w:cstheme="minorHAnsi"/>
          <w:sz w:val="22"/>
          <w:szCs w:val="22"/>
        </w:rPr>
        <w:t>(en anglais)</w:t>
      </w:r>
      <w:r w:rsidR="00A258FD">
        <w:rPr>
          <w:rFonts w:asciiTheme="minorHAnsi" w:hAnsiTheme="minorHAnsi" w:cstheme="minorHAnsi"/>
          <w:sz w:val="22"/>
          <w:szCs w:val="22"/>
        </w:rPr>
        <w:t xml:space="preserve"> </w:t>
      </w:r>
      <w:r w:rsidRPr="001F2EA4">
        <w:rPr>
          <w:rFonts w:asciiTheme="minorHAnsi" w:hAnsiTheme="minorHAnsi" w:cstheme="minorHAnsi"/>
          <w:sz w:val="22"/>
          <w:szCs w:val="22"/>
        </w:rPr>
        <w:t xml:space="preserve"> dûment signé par le Directeur du Bureau régional ou toute personne ayant reçu délégation d’autorité  pour approuver une telle demande au nom du Directeur. De même, si les honoraires journaliers d’un contrat individuel dépassent le montant de 1 </w:t>
      </w:r>
      <w:r w:rsidR="00445779">
        <w:rPr>
          <w:rFonts w:asciiTheme="minorHAnsi" w:hAnsiTheme="minorHAnsi" w:cstheme="minorHAnsi"/>
          <w:sz w:val="22"/>
          <w:szCs w:val="22"/>
        </w:rPr>
        <w:t>80</w:t>
      </w:r>
      <w:r w:rsidRPr="001F2EA4">
        <w:rPr>
          <w:rFonts w:asciiTheme="minorHAnsi" w:hAnsiTheme="minorHAnsi" w:cstheme="minorHAnsi"/>
          <w:sz w:val="22"/>
          <w:szCs w:val="22"/>
        </w:rPr>
        <w:t xml:space="preserve">0 USD, la justification et l’approbation par le Directeur du Bureau régional ou le Représentant résident doivent être incluses. </w:t>
      </w:r>
    </w:p>
    <w:p w14:paraId="0BAA606D" w14:textId="77777777" w:rsidR="00342695" w:rsidRPr="0087246C" w:rsidRDefault="00342695" w:rsidP="00342695">
      <w:pPr>
        <w:pStyle w:val="Calibri11SubSubSub"/>
        <w:numPr>
          <w:ilvl w:val="0"/>
          <w:numId w:val="0"/>
        </w:numPr>
        <w:spacing w:before="0"/>
        <w:jc w:val="both"/>
        <w:rPr>
          <w:rFonts w:asciiTheme="minorHAnsi" w:hAnsiTheme="minorHAnsi" w:cstheme="minorHAnsi"/>
          <w:szCs w:val="22"/>
        </w:rPr>
      </w:pPr>
      <w:bookmarkStart w:id="21" w:name="_Toc208574061"/>
      <w:r w:rsidRPr="0087246C">
        <w:rPr>
          <w:rFonts w:asciiTheme="minorHAnsi" w:hAnsiTheme="minorHAnsi" w:cstheme="minorHAnsi"/>
          <w:szCs w:val="22"/>
        </w:rPr>
        <w:t>Calcul des montants cumulés du contrat</w:t>
      </w:r>
      <w:bookmarkEnd w:id="21"/>
    </w:p>
    <w:p w14:paraId="2241EEEC" w14:textId="77777777" w:rsidR="00342695" w:rsidRPr="00876F33" w:rsidRDefault="00342695" w:rsidP="00342695">
      <w:pPr>
        <w:shd w:val="clear" w:color="auto" w:fill="FFFFFF"/>
        <w:spacing w:after="0" w:line="240" w:lineRule="auto"/>
        <w:ind w:left="810" w:hanging="270"/>
        <w:jc w:val="both"/>
        <w:textAlignment w:val="top"/>
        <w:rPr>
          <w:rFonts w:eastAsia="Times New Roman" w:cstheme="minorHAnsi"/>
          <w:color w:val="333333"/>
        </w:rPr>
      </w:pPr>
    </w:p>
    <w:p w14:paraId="5677857C" w14:textId="77777777"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sz w:val="22"/>
          <w:szCs w:val="22"/>
        </w:rPr>
      </w:pPr>
      <w:r w:rsidRPr="0087246C">
        <w:rPr>
          <w:rFonts w:asciiTheme="minorHAnsi" w:hAnsiTheme="minorHAnsi" w:cstheme="minorHAnsi"/>
          <w:sz w:val="22"/>
          <w:szCs w:val="22"/>
        </w:rPr>
        <w:t xml:space="preserve">À l’inverse de toutes les autres modalités contractuelles en matière d’achats, la valeur cumulée d’un contrat individuel n’est pas fondée sur l’année civile, mais plutôt sur </w:t>
      </w:r>
      <w:r w:rsidRPr="0087246C">
        <w:rPr>
          <w:rFonts w:asciiTheme="minorHAnsi" w:hAnsiTheme="minorHAnsi" w:cstheme="minorHAnsi"/>
          <w:b/>
          <w:sz w:val="22"/>
          <w:szCs w:val="22"/>
        </w:rPr>
        <w:t xml:space="preserve">la période des 12 mois </w:t>
      </w:r>
      <w:r w:rsidRPr="0087246C">
        <w:rPr>
          <w:rFonts w:asciiTheme="minorHAnsi" w:hAnsiTheme="minorHAnsi" w:cstheme="minorHAnsi"/>
          <w:b/>
          <w:sz w:val="22"/>
          <w:szCs w:val="22"/>
          <w:u w:val="single"/>
        </w:rPr>
        <w:t>précédents</w:t>
      </w:r>
      <w:r w:rsidRPr="0087246C">
        <w:rPr>
          <w:rFonts w:asciiTheme="minorHAnsi" w:hAnsiTheme="minorHAnsi" w:cstheme="minorHAnsi"/>
          <w:b/>
          <w:sz w:val="22"/>
          <w:szCs w:val="22"/>
        </w:rPr>
        <w:t>, laquelle valeur est comptée à partir de la date de début prévue d’un nouveau contrat individuel ou d’une modification du contrat.</w:t>
      </w:r>
      <w:r w:rsidRPr="0087246C">
        <w:rPr>
          <w:rFonts w:asciiTheme="minorHAnsi" w:hAnsiTheme="minorHAnsi" w:cstheme="minorHAnsi"/>
          <w:b/>
          <w:bCs/>
          <w:sz w:val="22"/>
          <w:szCs w:val="22"/>
        </w:rPr>
        <w:t xml:space="preserve"> </w:t>
      </w:r>
    </w:p>
    <w:p w14:paraId="4248D744" w14:textId="77777777"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sz w:val="22"/>
          <w:szCs w:val="22"/>
        </w:rPr>
      </w:pPr>
      <w:r w:rsidRPr="0087246C">
        <w:rPr>
          <w:rFonts w:asciiTheme="minorHAnsi" w:hAnsiTheme="minorHAnsi" w:cstheme="minorHAnsi"/>
          <w:sz w:val="22"/>
          <w:szCs w:val="22"/>
        </w:rPr>
        <w:t>Pour déterminer s’il y a lieu ou non de soumettre le cas au Comité consultatif régional des achats ou au Comité consultatif des achats, sur la base du montant ou des montants cumulés d’un ensemble de contrats, le personnel peut s’inspirer des éléments suivants :</w:t>
      </w:r>
    </w:p>
    <w:p w14:paraId="7F7710C9" w14:textId="77777777" w:rsidR="00342695" w:rsidRPr="0087246C" w:rsidRDefault="00342695" w:rsidP="00342695">
      <w:pPr>
        <w:pStyle w:val="ListParagraph"/>
        <w:numPr>
          <w:ilvl w:val="0"/>
          <w:numId w:val="43"/>
        </w:numPr>
        <w:spacing w:before="0" w:beforeAutospacing="0" w:after="0" w:afterAutospacing="0"/>
        <w:jc w:val="both"/>
        <w:rPr>
          <w:rFonts w:asciiTheme="minorHAnsi" w:hAnsiTheme="minorHAnsi" w:cstheme="minorHAnsi"/>
          <w:sz w:val="22"/>
          <w:szCs w:val="22"/>
        </w:rPr>
      </w:pPr>
      <w:r w:rsidRPr="0087246C">
        <w:rPr>
          <w:rFonts w:asciiTheme="minorHAnsi" w:hAnsiTheme="minorHAnsi" w:cstheme="minorHAnsi"/>
          <w:sz w:val="22"/>
          <w:szCs w:val="22"/>
        </w:rPr>
        <w:t>Si un contrat individuel est conclu pour la première fois avec une personne et que le montant total de ce contrat dépasse le cadre de la délégation de pouvoirs en matière d’achats de l’unité administrative relativement aux contrats individuels, le cas doit alors être soumis au Comité consultatif régional des achats ou au Comité consultatif des achats.</w:t>
      </w:r>
    </w:p>
    <w:p w14:paraId="15CBDAFE" w14:textId="77777777" w:rsidR="00342695" w:rsidRPr="0087246C" w:rsidRDefault="00342695" w:rsidP="00342695">
      <w:pPr>
        <w:pStyle w:val="ListParagraph"/>
        <w:numPr>
          <w:ilvl w:val="0"/>
          <w:numId w:val="43"/>
        </w:numPr>
        <w:spacing w:before="0" w:beforeAutospacing="0" w:after="0" w:afterAutospacing="0"/>
        <w:jc w:val="both"/>
        <w:rPr>
          <w:rFonts w:asciiTheme="minorHAnsi" w:hAnsiTheme="minorHAnsi" w:cstheme="minorHAnsi"/>
          <w:sz w:val="22"/>
          <w:szCs w:val="22"/>
        </w:rPr>
      </w:pPr>
      <w:r w:rsidRPr="0087246C">
        <w:rPr>
          <w:rFonts w:asciiTheme="minorHAnsi" w:hAnsiTheme="minorHAnsi" w:cstheme="minorHAnsi"/>
          <w:sz w:val="22"/>
          <w:szCs w:val="22"/>
        </w:rPr>
        <w:t>Si un contrat individuel est attribué à une personne qui a déjà eu des contrats antérieurs dans la même unité administrative, le montant à attribuer à cette personne, plus tous les montants déjà payés pendant les 12 mois précédant l’attribution du nouveau contrat, doit être combiné pour déterminer le montant total cumulé du contrat.</w:t>
      </w:r>
    </w:p>
    <w:p w14:paraId="489D125F" w14:textId="77777777" w:rsidR="00342695" w:rsidRPr="0087246C" w:rsidRDefault="00342695" w:rsidP="00342695">
      <w:pPr>
        <w:pStyle w:val="ListParagraph"/>
        <w:numPr>
          <w:ilvl w:val="0"/>
          <w:numId w:val="43"/>
        </w:numPr>
        <w:spacing w:before="0" w:beforeAutospacing="0" w:after="0" w:afterAutospacing="0"/>
        <w:jc w:val="both"/>
        <w:rPr>
          <w:rFonts w:asciiTheme="minorHAnsi" w:hAnsiTheme="minorHAnsi" w:cstheme="minorHAnsi"/>
          <w:sz w:val="22"/>
          <w:szCs w:val="22"/>
        </w:rPr>
      </w:pPr>
      <w:r w:rsidRPr="0087246C">
        <w:rPr>
          <w:rFonts w:asciiTheme="minorHAnsi" w:hAnsiTheme="minorHAnsi" w:cstheme="minorHAnsi"/>
          <w:sz w:val="22"/>
          <w:szCs w:val="22"/>
        </w:rPr>
        <w:lastRenderedPageBreak/>
        <w:t>Si, au cours de ladite opération (b), la période de 12 mois précédente comptée est comprise dans la durée d’un contrat individuel en cours au 12</w:t>
      </w:r>
      <w:r w:rsidRPr="0087246C">
        <w:rPr>
          <w:rFonts w:asciiTheme="minorHAnsi" w:hAnsiTheme="minorHAnsi" w:cstheme="minorHAnsi"/>
          <w:sz w:val="22"/>
          <w:szCs w:val="22"/>
          <w:vertAlign w:val="superscript"/>
        </w:rPr>
        <w:t>e</w:t>
      </w:r>
      <w:r w:rsidRPr="0087246C">
        <w:rPr>
          <w:rFonts w:asciiTheme="minorHAnsi" w:hAnsiTheme="minorHAnsi" w:cstheme="minorHAnsi"/>
          <w:sz w:val="22"/>
          <w:szCs w:val="22"/>
        </w:rPr>
        <w:t> mois, alors le montant total du contrat précédent doit être inclus.</w:t>
      </w:r>
    </w:p>
    <w:p w14:paraId="4CD6A705" w14:textId="77777777" w:rsidR="00342695" w:rsidRPr="0087246C" w:rsidRDefault="00342695" w:rsidP="00342695">
      <w:pPr>
        <w:pStyle w:val="ListParagraph"/>
        <w:shd w:val="clear" w:color="auto" w:fill="FFFFFF"/>
        <w:ind w:left="1080"/>
        <w:contextualSpacing/>
        <w:jc w:val="both"/>
        <w:textAlignment w:val="top"/>
        <w:rPr>
          <w:rFonts w:asciiTheme="minorHAnsi" w:hAnsiTheme="minorHAnsi" w:cstheme="minorHAnsi"/>
          <w:sz w:val="22"/>
          <w:szCs w:val="22"/>
        </w:rPr>
      </w:pPr>
      <w:r w:rsidRPr="0087246C">
        <w:rPr>
          <w:rFonts w:asciiTheme="minorHAnsi" w:hAnsiTheme="minorHAnsi" w:cstheme="minorHAnsi"/>
          <w:sz w:val="22"/>
          <w:szCs w:val="22"/>
        </w:rPr>
        <w:t> </w:t>
      </w:r>
    </w:p>
    <w:p w14:paraId="61D242DB" w14:textId="77777777"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sz w:val="22"/>
          <w:szCs w:val="22"/>
        </w:rPr>
      </w:pPr>
      <w:r w:rsidRPr="0087246C">
        <w:rPr>
          <w:rFonts w:asciiTheme="minorHAnsi" w:hAnsiTheme="minorHAnsi" w:cstheme="minorHAnsi"/>
          <w:sz w:val="22"/>
          <w:szCs w:val="22"/>
        </w:rPr>
        <w:t>Le calcul de l’ensemble des montants cumulés du contrat doit inclure tous les autres paiements versés au prestataire, en plus des honoraires professionnels (par exemple, les indemnités de subsistance, les frais de déplacement, les frais accessoires, etc.).</w:t>
      </w:r>
    </w:p>
    <w:p w14:paraId="5A5BB5CE" w14:textId="77777777"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sz w:val="22"/>
          <w:szCs w:val="22"/>
        </w:rPr>
      </w:pPr>
      <w:r w:rsidRPr="0087246C">
        <w:rPr>
          <w:rFonts w:asciiTheme="minorHAnsi" w:hAnsiTheme="minorHAnsi" w:cstheme="minorHAnsi"/>
          <w:sz w:val="22"/>
          <w:szCs w:val="22"/>
        </w:rPr>
        <w:t xml:space="preserve">Fractionner un contrat individuel afin d’éviter l’évaluation par tout Comité d’examen des marchés constitue une entorse grave aux politiques et procédures en matière d’achat du PNUD. Il est fortement recommandé aux membres du personnel du PNUD d’éviter de telles pratiques. </w:t>
      </w:r>
    </w:p>
    <w:p w14:paraId="0B5A8F68" w14:textId="77777777" w:rsidR="00342695" w:rsidRPr="0087246C" w:rsidRDefault="00342695" w:rsidP="00342695">
      <w:pPr>
        <w:pStyle w:val="Calibri11"/>
        <w:numPr>
          <w:ilvl w:val="0"/>
          <w:numId w:val="0"/>
        </w:numPr>
        <w:spacing w:before="0"/>
        <w:jc w:val="both"/>
        <w:rPr>
          <w:rFonts w:asciiTheme="minorHAnsi" w:eastAsia="Times New Roman" w:hAnsiTheme="minorHAnsi" w:cstheme="minorHAnsi"/>
          <w:szCs w:val="22"/>
        </w:rPr>
      </w:pPr>
      <w:bookmarkStart w:id="22" w:name="_Toc208574062"/>
      <w:r w:rsidRPr="0087246C">
        <w:rPr>
          <w:rFonts w:asciiTheme="minorHAnsi" w:hAnsiTheme="minorHAnsi" w:cstheme="minorHAnsi"/>
          <w:szCs w:val="22"/>
        </w:rPr>
        <w:t>Conditions préalables à la passation de marché</w:t>
      </w:r>
      <w:bookmarkEnd w:id="22"/>
    </w:p>
    <w:p w14:paraId="2089C300" w14:textId="3B7123A9" w:rsidR="00342695" w:rsidRPr="0087246C" w:rsidRDefault="00342695" w:rsidP="00342695">
      <w:pPr>
        <w:pStyle w:val="Calibri11Sub"/>
        <w:numPr>
          <w:ilvl w:val="0"/>
          <w:numId w:val="0"/>
        </w:numPr>
        <w:tabs>
          <w:tab w:val="clear" w:pos="900"/>
        </w:tabs>
        <w:jc w:val="both"/>
        <w:rPr>
          <w:rFonts w:cstheme="minorHAnsi"/>
          <w:szCs w:val="22"/>
        </w:rPr>
      </w:pPr>
      <w:bookmarkStart w:id="23" w:name="_Toc208574063"/>
      <w:r w:rsidRPr="0087246C">
        <w:rPr>
          <w:rFonts w:cstheme="minorHAnsi"/>
        </w:rPr>
        <w:t>Avant l’octroi d’un contrat</w:t>
      </w:r>
      <w:bookmarkEnd w:id="23"/>
      <w:r w:rsidR="00D16365">
        <w:rPr>
          <w:rFonts w:cstheme="minorHAnsi"/>
        </w:rPr>
        <w:t xml:space="preserve"> </w:t>
      </w:r>
    </w:p>
    <w:p w14:paraId="600A9EC8" w14:textId="77777777"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sz w:val="22"/>
          <w:szCs w:val="22"/>
        </w:rPr>
      </w:pPr>
      <w:r w:rsidRPr="0087246C">
        <w:rPr>
          <w:rFonts w:asciiTheme="minorHAnsi" w:hAnsiTheme="minorHAnsi" w:cstheme="minorHAnsi"/>
          <w:sz w:val="22"/>
          <w:szCs w:val="22"/>
        </w:rPr>
        <w:t xml:space="preserve">Les conditions préalables à l’octroi d’un contrat individuel sont les suivantes : </w:t>
      </w:r>
    </w:p>
    <w:p w14:paraId="127A38F3" w14:textId="77777777" w:rsidR="00342695" w:rsidRPr="0087246C" w:rsidRDefault="00342695" w:rsidP="00A258FD">
      <w:pPr>
        <w:pStyle w:val="ListParagraph"/>
        <w:numPr>
          <w:ilvl w:val="0"/>
          <w:numId w:val="3"/>
        </w:numPr>
        <w:shd w:val="clear" w:color="auto" w:fill="FFFFFF"/>
        <w:spacing w:before="0" w:beforeAutospacing="0" w:after="0" w:afterAutospacing="0"/>
        <w:ind w:left="1125"/>
        <w:contextualSpacing/>
        <w:jc w:val="both"/>
        <w:textAlignment w:val="top"/>
        <w:rPr>
          <w:rFonts w:asciiTheme="minorHAnsi" w:hAnsiTheme="minorHAnsi" w:cstheme="minorHAnsi"/>
          <w:color w:val="333333"/>
          <w:sz w:val="22"/>
          <w:szCs w:val="22"/>
        </w:rPr>
      </w:pPr>
      <w:r w:rsidRPr="0087246C">
        <w:rPr>
          <w:rFonts w:asciiTheme="minorHAnsi" w:hAnsiTheme="minorHAnsi" w:cstheme="minorHAnsi"/>
          <w:b/>
          <w:bCs/>
          <w:sz w:val="22"/>
          <w:szCs w:val="22"/>
        </w:rPr>
        <w:t>Crédits budgétaires :  </w:t>
      </w:r>
      <w:r w:rsidRPr="0087246C">
        <w:rPr>
          <w:rFonts w:asciiTheme="minorHAnsi" w:hAnsiTheme="minorHAnsi" w:cstheme="minorHAnsi"/>
          <w:sz w:val="22"/>
          <w:szCs w:val="22"/>
        </w:rPr>
        <w:t>Les responsables des unités requérantes doivent s’assurer que les fonds alloués aux services ou aux activités sont approuvés et pris en compte dans le(s) budget(s)/compte(s) approprié(s) avant le début du processus d’embauche.</w:t>
      </w:r>
    </w:p>
    <w:p w14:paraId="75E77108" w14:textId="77777777" w:rsidR="00342695" w:rsidRPr="0087246C" w:rsidRDefault="00342695" w:rsidP="00A258FD">
      <w:pPr>
        <w:shd w:val="clear" w:color="auto" w:fill="FFFFFF"/>
        <w:spacing w:after="0" w:line="240" w:lineRule="auto"/>
        <w:ind w:firstLine="45"/>
        <w:jc w:val="both"/>
        <w:textAlignment w:val="top"/>
        <w:rPr>
          <w:rFonts w:eastAsia="Times New Roman" w:cstheme="minorHAnsi"/>
          <w:color w:val="333333"/>
        </w:rPr>
      </w:pPr>
    </w:p>
    <w:p w14:paraId="4AE826EF" w14:textId="77777777" w:rsidR="00342695" w:rsidRPr="0087246C" w:rsidRDefault="00342695" w:rsidP="00A258FD">
      <w:pPr>
        <w:pStyle w:val="ListParagraph"/>
        <w:numPr>
          <w:ilvl w:val="0"/>
          <w:numId w:val="3"/>
        </w:numPr>
        <w:shd w:val="clear" w:color="auto" w:fill="FFFFFF"/>
        <w:spacing w:before="0" w:beforeAutospacing="0" w:after="0" w:afterAutospacing="0"/>
        <w:ind w:left="1125"/>
        <w:contextualSpacing/>
        <w:jc w:val="both"/>
        <w:textAlignment w:val="top"/>
        <w:rPr>
          <w:rFonts w:asciiTheme="minorHAnsi" w:hAnsiTheme="minorHAnsi" w:cstheme="minorHAnsi"/>
          <w:color w:val="333333"/>
          <w:sz w:val="22"/>
          <w:szCs w:val="22"/>
        </w:rPr>
      </w:pPr>
      <w:r w:rsidRPr="0087246C">
        <w:rPr>
          <w:rFonts w:asciiTheme="minorHAnsi" w:hAnsiTheme="minorHAnsi" w:cstheme="minorHAnsi"/>
          <w:b/>
          <w:bCs/>
          <w:sz w:val="22"/>
          <w:szCs w:val="22"/>
        </w:rPr>
        <w:t>Termes de référence : </w:t>
      </w:r>
      <w:r w:rsidRPr="0087246C">
        <w:rPr>
          <w:rFonts w:asciiTheme="minorHAnsi" w:hAnsiTheme="minorHAnsi" w:cstheme="minorHAnsi"/>
          <w:sz w:val="22"/>
          <w:szCs w:val="22"/>
        </w:rPr>
        <w:t xml:space="preserve">Il appartient aux responsables des unités requérantes de rédiger les termes de référence relatifs à la mission. Lesdits termes de référence sont essentiels au recrutement, à l’évaluation et à la sélection des consultants. Ils définissent clairement les produits livrables et/ou les activités, le niveau d’expertise requis ainsi que le nom et le poste du supérieur hiérarchique direct. Lors de l’élaboration des termes de référence, l’unité requérante doit examiner la question de savoir si la tâche nécessite des services intellectuels ou des services d’appui et déterminer si l’option des honoraires journaliers ou celle de </w:t>
      </w:r>
      <w:bookmarkStart w:id="24" w:name="_Hlk93075798"/>
      <w:r w:rsidRPr="0087246C">
        <w:rPr>
          <w:rFonts w:asciiTheme="minorHAnsi" w:hAnsiTheme="minorHAnsi" w:cstheme="minorHAnsi"/>
          <w:sz w:val="22"/>
          <w:szCs w:val="22"/>
        </w:rPr>
        <w:t xml:space="preserve">versement forfaitaire </w:t>
      </w:r>
      <w:bookmarkEnd w:id="24"/>
      <w:r w:rsidRPr="0087246C">
        <w:rPr>
          <w:rFonts w:asciiTheme="minorHAnsi" w:hAnsiTheme="minorHAnsi" w:cstheme="minorHAnsi"/>
          <w:sz w:val="22"/>
          <w:szCs w:val="22"/>
        </w:rPr>
        <w:t>est la plus adaptée à la situation. Les éléments suivants doivent y être clairement définis :  </w:t>
      </w:r>
    </w:p>
    <w:p w14:paraId="472A6F5F" w14:textId="77777777" w:rsidR="00342695" w:rsidRPr="0087246C" w:rsidRDefault="00342695" w:rsidP="00D16365">
      <w:pPr>
        <w:pStyle w:val="ListParagraph"/>
        <w:numPr>
          <w:ilvl w:val="0"/>
          <w:numId w:val="50"/>
        </w:numPr>
        <w:shd w:val="clear" w:color="auto" w:fill="FFFFFF"/>
        <w:spacing w:before="0" w:beforeAutospacing="0" w:after="0" w:afterAutospacing="0"/>
        <w:contextualSpacing/>
        <w:jc w:val="both"/>
        <w:textAlignment w:val="top"/>
        <w:rPr>
          <w:rFonts w:asciiTheme="minorHAnsi" w:hAnsiTheme="minorHAnsi" w:cstheme="minorHAnsi"/>
          <w:sz w:val="22"/>
          <w:szCs w:val="22"/>
        </w:rPr>
      </w:pPr>
      <w:r w:rsidRPr="0087246C">
        <w:rPr>
          <w:rFonts w:asciiTheme="minorHAnsi" w:hAnsiTheme="minorHAnsi" w:cstheme="minorHAnsi"/>
          <w:sz w:val="22"/>
          <w:szCs w:val="22"/>
        </w:rPr>
        <w:t>Les informations générales pertinentes pour la mission</w:t>
      </w:r>
    </w:p>
    <w:p w14:paraId="41FF7377" w14:textId="77777777" w:rsidR="00342695" w:rsidRPr="0087246C" w:rsidRDefault="00342695" w:rsidP="00D16365">
      <w:pPr>
        <w:pStyle w:val="ListParagraph"/>
        <w:numPr>
          <w:ilvl w:val="0"/>
          <w:numId w:val="50"/>
        </w:numPr>
        <w:shd w:val="clear" w:color="auto" w:fill="FFFFFF"/>
        <w:spacing w:before="0" w:beforeAutospacing="0" w:after="0" w:afterAutospacing="0"/>
        <w:contextualSpacing/>
        <w:jc w:val="both"/>
        <w:textAlignment w:val="top"/>
        <w:rPr>
          <w:rFonts w:asciiTheme="minorHAnsi" w:hAnsiTheme="minorHAnsi" w:cstheme="minorHAnsi"/>
          <w:sz w:val="22"/>
          <w:szCs w:val="22"/>
        </w:rPr>
      </w:pPr>
      <w:r w:rsidRPr="0087246C">
        <w:rPr>
          <w:rFonts w:asciiTheme="minorHAnsi" w:hAnsiTheme="minorHAnsi" w:cstheme="minorHAnsi"/>
          <w:sz w:val="22"/>
          <w:szCs w:val="22"/>
        </w:rPr>
        <w:t>Les objectifs de la mission</w:t>
      </w:r>
    </w:p>
    <w:p w14:paraId="7FFD81E8" w14:textId="77777777" w:rsidR="00342695" w:rsidRPr="0087246C" w:rsidRDefault="00342695" w:rsidP="00D16365">
      <w:pPr>
        <w:pStyle w:val="ListParagraph"/>
        <w:numPr>
          <w:ilvl w:val="0"/>
          <w:numId w:val="50"/>
        </w:numPr>
        <w:shd w:val="clear" w:color="auto" w:fill="FFFFFF"/>
        <w:spacing w:before="0" w:beforeAutospacing="0" w:after="0" w:afterAutospacing="0"/>
        <w:contextualSpacing/>
        <w:jc w:val="both"/>
        <w:textAlignment w:val="top"/>
        <w:rPr>
          <w:rFonts w:asciiTheme="minorHAnsi" w:hAnsiTheme="minorHAnsi" w:cstheme="minorHAnsi"/>
          <w:sz w:val="22"/>
          <w:szCs w:val="22"/>
        </w:rPr>
      </w:pPr>
      <w:r w:rsidRPr="0087246C">
        <w:rPr>
          <w:rFonts w:asciiTheme="minorHAnsi" w:hAnsiTheme="minorHAnsi" w:cstheme="minorHAnsi"/>
          <w:sz w:val="22"/>
          <w:szCs w:val="22"/>
        </w:rPr>
        <w:t xml:space="preserve">Le cahier des charges, qui doit être compatible avec le budget et contenir une description détaillée des produits livrables et des activités </w:t>
      </w:r>
    </w:p>
    <w:p w14:paraId="3B6D8DC7" w14:textId="77777777" w:rsidR="00342695" w:rsidRPr="0087246C" w:rsidRDefault="00342695" w:rsidP="00D16365">
      <w:pPr>
        <w:pStyle w:val="ListParagraph"/>
        <w:numPr>
          <w:ilvl w:val="0"/>
          <w:numId w:val="50"/>
        </w:numPr>
        <w:shd w:val="clear" w:color="auto" w:fill="FFFFFF"/>
        <w:spacing w:before="0" w:beforeAutospacing="0" w:after="0" w:afterAutospacing="0"/>
        <w:contextualSpacing/>
        <w:jc w:val="both"/>
        <w:textAlignment w:val="top"/>
        <w:rPr>
          <w:rFonts w:asciiTheme="minorHAnsi" w:hAnsiTheme="minorHAnsi" w:cstheme="minorHAnsi"/>
          <w:sz w:val="22"/>
          <w:szCs w:val="22"/>
        </w:rPr>
      </w:pPr>
      <w:r w:rsidRPr="0087246C">
        <w:rPr>
          <w:rFonts w:asciiTheme="minorHAnsi" w:hAnsiTheme="minorHAnsi" w:cstheme="minorHAnsi"/>
          <w:sz w:val="22"/>
          <w:szCs w:val="22"/>
        </w:rPr>
        <w:t>La durée de la mission</w:t>
      </w:r>
    </w:p>
    <w:p w14:paraId="74E4E5BA" w14:textId="77777777" w:rsidR="00342695" w:rsidRPr="0087246C" w:rsidRDefault="00342695" w:rsidP="00D16365">
      <w:pPr>
        <w:pStyle w:val="ListParagraph"/>
        <w:numPr>
          <w:ilvl w:val="0"/>
          <w:numId w:val="50"/>
        </w:numPr>
        <w:shd w:val="clear" w:color="auto" w:fill="FFFFFF"/>
        <w:spacing w:before="0" w:beforeAutospacing="0" w:after="0" w:afterAutospacing="0"/>
        <w:contextualSpacing/>
        <w:jc w:val="both"/>
        <w:textAlignment w:val="top"/>
        <w:rPr>
          <w:rFonts w:asciiTheme="minorHAnsi" w:hAnsiTheme="minorHAnsi" w:cstheme="minorHAnsi"/>
          <w:sz w:val="22"/>
          <w:szCs w:val="22"/>
        </w:rPr>
      </w:pPr>
      <w:r w:rsidRPr="0087246C">
        <w:rPr>
          <w:rFonts w:asciiTheme="minorHAnsi" w:hAnsiTheme="minorHAnsi" w:cstheme="minorHAnsi"/>
          <w:sz w:val="22"/>
          <w:szCs w:val="22"/>
        </w:rPr>
        <w:t xml:space="preserve">Le lieu d’affectation et les missions ou voyages éventuels, le cas échéant </w:t>
      </w:r>
    </w:p>
    <w:p w14:paraId="0C4E19FE" w14:textId="43046B59" w:rsidR="00342695" w:rsidRPr="0087246C" w:rsidRDefault="00342695" w:rsidP="00D16365">
      <w:pPr>
        <w:pStyle w:val="ListParagraph"/>
        <w:numPr>
          <w:ilvl w:val="0"/>
          <w:numId w:val="50"/>
        </w:numPr>
        <w:shd w:val="clear" w:color="auto" w:fill="FFFFFF"/>
        <w:spacing w:before="0" w:beforeAutospacing="0" w:after="0" w:afterAutospacing="0"/>
        <w:contextualSpacing/>
        <w:jc w:val="both"/>
        <w:textAlignment w:val="top"/>
        <w:rPr>
          <w:rFonts w:asciiTheme="minorHAnsi" w:hAnsiTheme="minorHAnsi" w:cstheme="minorHAnsi"/>
          <w:sz w:val="22"/>
          <w:szCs w:val="22"/>
        </w:rPr>
      </w:pPr>
      <w:r w:rsidRPr="0087246C">
        <w:rPr>
          <w:rFonts w:asciiTheme="minorHAnsi" w:hAnsiTheme="minorHAnsi" w:cstheme="minorHAnsi"/>
          <w:sz w:val="22"/>
          <w:szCs w:val="22"/>
        </w:rPr>
        <w:t xml:space="preserve">Les modalités de suivi </w:t>
      </w:r>
      <w:r w:rsidR="00715383" w:rsidRPr="0087246C">
        <w:rPr>
          <w:rFonts w:asciiTheme="minorHAnsi" w:hAnsiTheme="minorHAnsi" w:cstheme="minorHAnsi"/>
          <w:sz w:val="22"/>
          <w:szCs w:val="22"/>
        </w:rPr>
        <w:t>et de</w:t>
      </w:r>
      <w:r w:rsidRPr="0087246C">
        <w:rPr>
          <w:rFonts w:asciiTheme="minorHAnsi" w:hAnsiTheme="minorHAnsi" w:cstheme="minorHAnsi"/>
          <w:sz w:val="22"/>
          <w:szCs w:val="22"/>
        </w:rPr>
        <w:t xml:space="preserve"> contrôle des progrès, y compris les exigences en matière d’établissement de rapports, la fréquence, le format et les délais</w:t>
      </w:r>
    </w:p>
    <w:p w14:paraId="2B47DDD9" w14:textId="77777777" w:rsidR="00342695" w:rsidRPr="0087246C" w:rsidRDefault="00342695" w:rsidP="00D16365">
      <w:pPr>
        <w:pStyle w:val="ListParagraph"/>
        <w:numPr>
          <w:ilvl w:val="0"/>
          <w:numId w:val="50"/>
        </w:numPr>
        <w:shd w:val="clear" w:color="auto" w:fill="FFFFFF"/>
        <w:spacing w:before="0" w:beforeAutospacing="0" w:after="0" w:afterAutospacing="0"/>
        <w:contextualSpacing/>
        <w:jc w:val="both"/>
        <w:textAlignment w:val="top"/>
        <w:rPr>
          <w:rFonts w:asciiTheme="minorHAnsi" w:hAnsiTheme="minorHAnsi" w:cstheme="minorHAnsi"/>
          <w:sz w:val="22"/>
          <w:szCs w:val="22"/>
        </w:rPr>
      </w:pPr>
      <w:r w:rsidRPr="0087246C">
        <w:rPr>
          <w:rFonts w:asciiTheme="minorHAnsi" w:hAnsiTheme="minorHAnsi" w:cstheme="minorHAnsi"/>
          <w:sz w:val="22"/>
          <w:szCs w:val="22"/>
        </w:rPr>
        <w:t>Une définition claire et sans ambiguïté du (des) produit(s) définitif(s) ou des produits livrables (par exemple, l’enquête achevée, l’atelier organisé, les données recueillies, les rapports rédigés, etc.), le calendrier de leur réalisation et les échéances de paiement</w:t>
      </w:r>
    </w:p>
    <w:p w14:paraId="7F1686A0" w14:textId="77777777" w:rsidR="00342695" w:rsidRPr="0087246C" w:rsidRDefault="00342695" w:rsidP="00D16365">
      <w:pPr>
        <w:pStyle w:val="ListParagraph"/>
        <w:numPr>
          <w:ilvl w:val="0"/>
          <w:numId w:val="50"/>
        </w:numPr>
        <w:shd w:val="clear" w:color="auto" w:fill="FFFFFF"/>
        <w:spacing w:before="0" w:beforeAutospacing="0" w:after="0" w:afterAutospacing="0"/>
        <w:contextualSpacing/>
        <w:jc w:val="both"/>
        <w:textAlignment w:val="top"/>
        <w:rPr>
          <w:rFonts w:asciiTheme="minorHAnsi" w:hAnsiTheme="minorHAnsi" w:cstheme="minorHAnsi"/>
          <w:sz w:val="22"/>
          <w:szCs w:val="22"/>
        </w:rPr>
      </w:pPr>
      <w:r w:rsidRPr="0087246C">
        <w:rPr>
          <w:rFonts w:asciiTheme="minorHAnsi" w:hAnsiTheme="minorHAnsi" w:cstheme="minorHAnsi"/>
          <w:sz w:val="22"/>
          <w:szCs w:val="22"/>
        </w:rPr>
        <w:t>Le processus d’approbation nécessite une vérification des résultats avant l’autorisation du paiement et des échéances de paiement, le cas échéant</w:t>
      </w:r>
    </w:p>
    <w:p w14:paraId="1E379C31" w14:textId="77777777" w:rsidR="00342695" w:rsidRPr="0087246C" w:rsidRDefault="00342695" w:rsidP="00D16365">
      <w:pPr>
        <w:pStyle w:val="ListParagraph"/>
        <w:numPr>
          <w:ilvl w:val="0"/>
          <w:numId w:val="50"/>
        </w:numPr>
        <w:shd w:val="clear" w:color="auto" w:fill="FFFFFF"/>
        <w:spacing w:before="0" w:beforeAutospacing="0" w:after="0" w:afterAutospacing="0"/>
        <w:contextualSpacing/>
        <w:jc w:val="both"/>
        <w:textAlignment w:val="top"/>
        <w:rPr>
          <w:rFonts w:asciiTheme="minorHAnsi" w:hAnsiTheme="minorHAnsi" w:cstheme="minorHAnsi"/>
          <w:sz w:val="22"/>
          <w:szCs w:val="22"/>
        </w:rPr>
      </w:pPr>
      <w:r w:rsidRPr="0087246C">
        <w:rPr>
          <w:rFonts w:asciiTheme="minorHAnsi" w:hAnsiTheme="minorHAnsi" w:cstheme="minorHAnsi"/>
          <w:sz w:val="22"/>
          <w:szCs w:val="22"/>
        </w:rPr>
        <w:t xml:space="preserve">Une description claire et précise des critères de sélection, notamment le niveau d’expertise requis et les qualifications, telles que les connaissances spécialisées, les besoins linguistiques et l’expérience </w:t>
      </w:r>
    </w:p>
    <w:p w14:paraId="566FC536" w14:textId="77777777" w:rsidR="00342695" w:rsidRPr="0087246C" w:rsidRDefault="00342695" w:rsidP="00D16365">
      <w:pPr>
        <w:pStyle w:val="ListParagraph"/>
        <w:numPr>
          <w:ilvl w:val="0"/>
          <w:numId w:val="3"/>
        </w:numPr>
        <w:shd w:val="clear" w:color="auto" w:fill="FFFFFF"/>
        <w:spacing w:before="0" w:beforeAutospacing="0" w:after="0" w:afterAutospacing="0"/>
        <w:contextualSpacing/>
        <w:jc w:val="both"/>
        <w:textAlignment w:val="top"/>
        <w:rPr>
          <w:rFonts w:asciiTheme="minorHAnsi" w:hAnsiTheme="minorHAnsi" w:cstheme="minorHAnsi"/>
          <w:sz w:val="22"/>
          <w:szCs w:val="22"/>
        </w:rPr>
      </w:pPr>
      <w:r w:rsidRPr="0087246C">
        <w:rPr>
          <w:rFonts w:asciiTheme="minorHAnsi" w:hAnsiTheme="minorHAnsi" w:cstheme="minorHAnsi"/>
          <w:sz w:val="22"/>
          <w:szCs w:val="22"/>
        </w:rPr>
        <w:t>Le cas échéant, une liste détaillée de l’ensemble des ressources et services fournis par le PNUD ou les partenaires d’exécution pour exécuter le contrat</w:t>
      </w:r>
    </w:p>
    <w:p w14:paraId="18ED986A" w14:textId="77777777" w:rsidR="00342695" w:rsidRPr="0087246C" w:rsidRDefault="00342695" w:rsidP="00D16365">
      <w:pPr>
        <w:pStyle w:val="ListParagraph"/>
        <w:numPr>
          <w:ilvl w:val="0"/>
          <w:numId w:val="3"/>
        </w:numPr>
        <w:shd w:val="clear" w:color="auto" w:fill="FFFFFF"/>
        <w:spacing w:before="0" w:beforeAutospacing="0" w:after="0" w:afterAutospacing="0"/>
        <w:contextualSpacing/>
        <w:jc w:val="both"/>
        <w:textAlignment w:val="top"/>
        <w:rPr>
          <w:rFonts w:asciiTheme="minorHAnsi" w:hAnsiTheme="minorHAnsi" w:cstheme="minorHAnsi"/>
          <w:sz w:val="22"/>
          <w:szCs w:val="22"/>
        </w:rPr>
      </w:pPr>
      <w:r w:rsidRPr="0087246C">
        <w:rPr>
          <w:rFonts w:asciiTheme="minorHAnsi" w:hAnsiTheme="minorHAnsi" w:cstheme="minorHAnsi"/>
          <w:sz w:val="22"/>
          <w:szCs w:val="22"/>
        </w:rPr>
        <w:t>Toute autre information pertinente</w:t>
      </w:r>
    </w:p>
    <w:p w14:paraId="6DFCCE48" w14:textId="77777777" w:rsidR="00342695" w:rsidRPr="0087246C" w:rsidRDefault="00342695" w:rsidP="00342695">
      <w:pPr>
        <w:shd w:val="clear" w:color="auto" w:fill="FFFFFF"/>
        <w:spacing w:after="0" w:line="240" w:lineRule="auto"/>
        <w:jc w:val="both"/>
        <w:textAlignment w:val="top"/>
        <w:rPr>
          <w:rFonts w:eastAsia="Times New Roman" w:cstheme="minorHAnsi"/>
        </w:rPr>
      </w:pPr>
      <w:r w:rsidRPr="0087246C">
        <w:rPr>
          <w:rFonts w:cstheme="minorHAnsi"/>
        </w:rPr>
        <w:lastRenderedPageBreak/>
        <w:t> </w:t>
      </w:r>
    </w:p>
    <w:p w14:paraId="16828DB4" w14:textId="77777777"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sz w:val="22"/>
          <w:szCs w:val="22"/>
        </w:rPr>
      </w:pPr>
      <w:r w:rsidRPr="0087246C">
        <w:rPr>
          <w:rFonts w:asciiTheme="minorHAnsi" w:hAnsiTheme="minorHAnsi" w:cstheme="minorHAnsi"/>
          <w:sz w:val="22"/>
          <w:szCs w:val="22"/>
        </w:rPr>
        <w:t>Les termes de référence doivent également définir si la mission nécessite une présence partielle, intermittente ou permanente dans les locaux du PNUD. Si une présence permanente est requise, une justification doit être fournie. Si des services d’appui sont requis, tels que les locaux à usage de bureaux, les services d’équipement et de secrétariat, etc., les termes de référence doivent clairement définir les dispositions prises et indiquer la partie responsable.</w:t>
      </w:r>
      <w:r w:rsidRPr="0087246C">
        <w:rPr>
          <w:rFonts w:asciiTheme="minorHAnsi" w:hAnsiTheme="minorHAnsi" w:cstheme="minorHAnsi"/>
          <w:b/>
          <w:bCs/>
          <w:sz w:val="22"/>
          <w:szCs w:val="22"/>
        </w:rPr>
        <w:t> </w:t>
      </w:r>
    </w:p>
    <w:p w14:paraId="2982FB73" w14:textId="7012DF55"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sz w:val="22"/>
          <w:szCs w:val="22"/>
        </w:rPr>
      </w:pPr>
      <w:hyperlink r:id="rId15" w:history="1">
        <w:r w:rsidRPr="0087246C">
          <w:rPr>
            <w:rStyle w:val="Hyperlink"/>
            <w:rFonts w:asciiTheme="minorHAnsi" w:hAnsiTheme="minorHAnsi" w:cstheme="minorHAnsi"/>
            <w:b/>
            <w:bCs/>
            <w:sz w:val="22"/>
            <w:szCs w:val="22"/>
          </w:rPr>
          <w:t xml:space="preserve">Le manuel intitulé : </w:t>
        </w:r>
        <w:r w:rsidR="00952D56" w:rsidRPr="00952D56">
          <w:rPr>
            <w:rStyle w:val="Hyperlink"/>
            <w:rFonts w:asciiTheme="minorHAnsi" w:hAnsiTheme="minorHAnsi" w:cstheme="minorHAnsi"/>
            <w:b/>
            <w:bCs/>
            <w:sz w:val="22"/>
            <w:szCs w:val="22"/>
          </w:rPr>
          <w:t>«</w:t>
        </w:r>
        <w:r w:rsidR="00952D56">
          <w:rPr>
            <w:rStyle w:val="Hyperlink"/>
            <w:rFonts w:asciiTheme="minorHAnsi" w:hAnsiTheme="minorHAnsi" w:cstheme="minorHAnsi"/>
            <w:b/>
            <w:bCs/>
            <w:sz w:val="22"/>
            <w:szCs w:val="22"/>
          </w:rPr>
          <w:t xml:space="preserve"> </w:t>
        </w:r>
        <w:hyperlink r:id="rId16" w:history="1">
          <w:r w:rsidR="00CB6C4E" w:rsidRPr="00CB6C4E">
            <w:rPr>
              <w:rFonts w:asciiTheme="minorHAnsi" w:eastAsiaTheme="minorHAnsi" w:hAnsiTheme="minorHAnsi" w:cstheme="minorBidi"/>
              <w:color w:val="0000FF"/>
              <w:sz w:val="22"/>
              <w:szCs w:val="22"/>
              <w:u w:val="single"/>
            </w:rPr>
            <w:t>Guide to Writing the Terms of Reference for an Individual Contract</w:t>
          </w:r>
        </w:hyperlink>
        <w:r w:rsidR="00952D56">
          <w:rPr>
            <w:rFonts w:asciiTheme="minorHAnsi" w:eastAsiaTheme="minorHAnsi" w:hAnsiTheme="minorHAnsi" w:cstheme="minorBidi"/>
            <w:sz w:val="22"/>
            <w:szCs w:val="22"/>
          </w:rPr>
          <w:t xml:space="preserve"> </w:t>
        </w:r>
        <w:r w:rsidR="00952D56" w:rsidRPr="00952D56">
          <w:rPr>
            <w:rFonts w:asciiTheme="minorHAnsi" w:eastAsiaTheme="minorHAnsi" w:hAnsiTheme="minorHAnsi" w:cstheme="minorBidi"/>
            <w:sz w:val="22"/>
            <w:szCs w:val="22"/>
          </w:rPr>
          <w:t>»</w:t>
        </w:r>
        <w:r w:rsidR="00CB6C4E" w:rsidRPr="0087246C">
          <w:rPr>
            <w:rStyle w:val="Hyperlink"/>
            <w:rFonts w:asciiTheme="minorHAnsi" w:hAnsiTheme="minorHAnsi" w:cstheme="minorHAnsi"/>
            <w:b/>
            <w:bCs/>
            <w:sz w:val="22"/>
            <w:szCs w:val="22"/>
          </w:rPr>
          <w:t xml:space="preserve"> </w:t>
        </w:r>
        <w:r w:rsidRPr="0087246C">
          <w:rPr>
            <w:rStyle w:val="Hyperlink"/>
            <w:rFonts w:asciiTheme="minorHAnsi" w:hAnsiTheme="minorHAnsi" w:cstheme="minorHAnsi"/>
            <w:b/>
            <w:bCs/>
            <w:sz w:val="22"/>
            <w:szCs w:val="22"/>
          </w:rPr>
          <w:t>(manuel formation sur l’élaboration des termes de référence</w:t>
        </w:r>
        <w:r w:rsidR="00952D56" w:rsidRPr="00952D56">
          <w:t xml:space="preserve"> </w:t>
        </w:r>
        <w:r w:rsidR="00952D56" w:rsidRPr="00952D56">
          <w:rPr>
            <w:rStyle w:val="Hyperlink"/>
            <w:rFonts w:asciiTheme="minorHAnsi" w:hAnsiTheme="minorHAnsi" w:cstheme="minorHAnsi"/>
            <w:b/>
            <w:bCs/>
            <w:sz w:val="22"/>
            <w:szCs w:val="22"/>
          </w:rPr>
          <w:t>du contrat individuel</w:t>
        </w:r>
        <w:r w:rsidRPr="0087246C">
          <w:rPr>
            <w:rStyle w:val="Hyperlink"/>
            <w:rFonts w:asciiTheme="minorHAnsi" w:hAnsiTheme="minorHAnsi" w:cstheme="minorHAnsi"/>
            <w:b/>
            <w:bCs/>
            <w:sz w:val="22"/>
            <w:szCs w:val="22"/>
          </w:rPr>
          <w:t>)</w:t>
        </w:r>
      </w:hyperlink>
      <w:r w:rsidRPr="0087246C">
        <w:rPr>
          <w:rFonts w:asciiTheme="minorHAnsi" w:hAnsiTheme="minorHAnsi" w:cstheme="minorHAnsi"/>
          <w:b/>
          <w:bCs/>
          <w:sz w:val="22"/>
          <w:szCs w:val="22"/>
        </w:rPr>
        <w:t xml:space="preserve"> </w:t>
      </w:r>
      <w:r w:rsidRPr="0087246C">
        <w:rPr>
          <w:rFonts w:asciiTheme="minorHAnsi" w:hAnsiTheme="minorHAnsi" w:cstheme="minorHAnsi"/>
          <w:bCs/>
          <w:sz w:val="22"/>
          <w:szCs w:val="22"/>
        </w:rPr>
        <w:t>portant sur le contrat individuel facilite ce processus.</w:t>
      </w:r>
      <w:r w:rsidRPr="0087246C">
        <w:rPr>
          <w:rFonts w:asciiTheme="minorHAnsi" w:hAnsiTheme="minorHAnsi" w:cstheme="minorHAnsi"/>
          <w:b/>
          <w:bCs/>
          <w:sz w:val="22"/>
          <w:szCs w:val="22"/>
        </w:rPr>
        <w:t xml:space="preserve"> </w:t>
      </w:r>
    </w:p>
    <w:p w14:paraId="20F52214" w14:textId="77777777"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sz w:val="22"/>
          <w:szCs w:val="22"/>
        </w:rPr>
      </w:pPr>
      <w:r w:rsidRPr="0087246C">
        <w:rPr>
          <w:rFonts w:asciiTheme="minorHAnsi" w:hAnsiTheme="minorHAnsi" w:cstheme="minorHAnsi"/>
          <w:b/>
          <w:sz w:val="22"/>
          <w:szCs w:val="22"/>
        </w:rPr>
        <w:t xml:space="preserve">Déterminer que le contrat individuel constitue la modalité contractuelle appropriée, </w:t>
      </w:r>
      <w:r w:rsidRPr="0087246C">
        <w:rPr>
          <w:rFonts w:asciiTheme="minorHAnsi" w:hAnsiTheme="minorHAnsi" w:cstheme="minorHAnsi"/>
          <w:sz w:val="22"/>
          <w:szCs w:val="22"/>
        </w:rPr>
        <w:t xml:space="preserve">sur la base d’une évaluation de toutes les modalités disponibles en tenant compte particulièrement des critères qui justifient l’utilisation de contrats de services, de contrat d’engagement temporaire (TA) ou de contrat d’engagement à durée déterminée (FTA).   Le processus de prise de décision doit s’inspirer des sections « Objectif du contrat individuel » et « Nature des services à effectuer par un consultant » précédemment décrites.  </w:t>
      </w:r>
    </w:p>
    <w:p w14:paraId="77290EB0" w14:textId="77777777" w:rsidR="00342695" w:rsidRPr="0087246C" w:rsidRDefault="00342695" w:rsidP="00342695">
      <w:pPr>
        <w:pStyle w:val="Calibri11Sub"/>
        <w:numPr>
          <w:ilvl w:val="0"/>
          <w:numId w:val="0"/>
        </w:numPr>
        <w:tabs>
          <w:tab w:val="clear" w:pos="900"/>
        </w:tabs>
        <w:jc w:val="both"/>
        <w:rPr>
          <w:rFonts w:cstheme="minorHAnsi"/>
          <w:szCs w:val="22"/>
        </w:rPr>
      </w:pPr>
      <w:bookmarkStart w:id="25" w:name="_Toc208574064"/>
      <w:r w:rsidRPr="0087246C">
        <w:rPr>
          <w:rFonts w:cstheme="minorHAnsi"/>
        </w:rPr>
        <w:t>Déterminer les honoraires du consultant</w:t>
      </w:r>
      <w:bookmarkEnd w:id="25"/>
    </w:p>
    <w:p w14:paraId="7D256354" w14:textId="77777777" w:rsidR="00342695" w:rsidRPr="0087246C" w:rsidRDefault="00342695" w:rsidP="00342695">
      <w:pPr>
        <w:pStyle w:val="Calibri11Sub"/>
        <w:numPr>
          <w:ilvl w:val="0"/>
          <w:numId w:val="0"/>
        </w:numPr>
        <w:tabs>
          <w:tab w:val="clear" w:pos="900"/>
        </w:tabs>
        <w:jc w:val="both"/>
        <w:rPr>
          <w:rFonts w:cstheme="minorHAnsi"/>
          <w:szCs w:val="22"/>
        </w:rPr>
      </w:pPr>
    </w:p>
    <w:p w14:paraId="1E609537" w14:textId="77777777"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sz w:val="22"/>
          <w:szCs w:val="22"/>
        </w:rPr>
      </w:pPr>
      <w:r w:rsidRPr="0087246C">
        <w:rPr>
          <w:rFonts w:asciiTheme="minorHAnsi" w:hAnsiTheme="minorHAnsi" w:cstheme="minorHAnsi"/>
          <w:sz w:val="22"/>
          <w:szCs w:val="22"/>
        </w:rPr>
        <w:t xml:space="preserve">Les candidats sont tenus de soumettre une proposition financière assortie d’un montant forfaitaire ou d’honoraires journaliers (voir Section relative au processus de sélection de la procédure d’appel d’offres). Cela permet d’indiquer les prix courants sur le marché en vue de déterminer l’offre la plus compétitive. </w:t>
      </w:r>
    </w:p>
    <w:p w14:paraId="7A4910A8" w14:textId="77777777"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sz w:val="22"/>
          <w:szCs w:val="22"/>
        </w:rPr>
      </w:pPr>
      <w:r w:rsidRPr="0087246C">
        <w:rPr>
          <w:rFonts w:asciiTheme="minorHAnsi" w:hAnsiTheme="minorHAnsi" w:cstheme="minorHAnsi"/>
          <w:sz w:val="22"/>
          <w:szCs w:val="22"/>
        </w:rPr>
        <w:t>Selon la nature et la complexité de la mission, tous les soumissionnaires sont tenus de présenter leurs propositions financières en intégrant une approche axée soit sur le montant forfaitaire soit sur les honoraires journaliers.  </w:t>
      </w:r>
    </w:p>
    <w:p w14:paraId="6010E747" w14:textId="79158E74"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sz w:val="22"/>
          <w:szCs w:val="22"/>
        </w:rPr>
      </w:pPr>
      <w:r w:rsidRPr="0087246C">
        <w:rPr>
          <w:rFonts w:asciiTheme="minorHAnsi" w:hAnsiTheme="minorHAnsi" w:cstheme="minorHAnsi"/>
          <w:sz w:val="22"/>
          <w:szCs w:val="22"/>
        </w:rPr>
        <w:t xml:space="preserve">Les termes de référence doivent très clairement préciser les éléments de coût devant figurer dans la proposition financière. Indépendamment de l’approche choisie, selon le montant forfaitaire ou les honoraires journaliers, la proposition financière doit couvrir l’ensemble des dépenses financières. Un modèle de </w:t>
      </w:r>
      <w:hyperlink r:id="rId17" w:history="1">
        <w:r w:rsidR="0018791D" w:rsidRPr="0018791D">
          <w:rPr>
            <w:rStyle w:val="Hyperlink"/>
            <w:rFonts w:asciiTheme="minorHAnsi" w:hAnsiTheme="minorHAnsi" w:cstheme="minorHAnsi"/>
            <w:color w:val="0070C0"/>
            <w:sz w:val="22"/>
            <w:szCs w:val="22"/>
            <w:u w:val="single"/>
          </w:rPr>
          <w:t>Lettre de soumission au PNUD confirmant l'intérêt et la disponibilité du prestataire individuel (IC) pour la mission</w:t>
        </w:r>
      </w:hyperlink>
      <w:r w:rsidR="00B95D8A" w:rsidRPr="00B95D8A">
        <w:rPr>
          <w:rFonts w:asciiTheme="minorHAnsi" w:hAnsiTheme="minorHAnsi" w:cstheme="minorHAnsi"/>
          <w:sz w:val="22"/>
          <w:szCs w:val="22"/>
        </w:rPr>
        <w:t xml:space="preserve"> </w:t>
      </w:r>
      <w:r w:rsidRPr="0087246C">
        <w:rPr>
          <w:rFonts w:asciiTheme="minorHAnsi" w:hAnsiTheme="minorHAnsi" w:cstheme="minorHAnsi"/>
          <w:sz w:val="22"/>
          <w:szCs w:val="22"/>
        </w:rPr>
        <w:t xml:space="preserve">a été fourni à cette fin. </w:t>
      </w:r>
    </w:p>
    <w:p w14:paraId="03857E84" w14:textId="5C3A03FE" w:rsidR="00342695" w:rsidRPr="0087246C" w:rsidRDefault="00342695" w:rsidP="00342695">
      <w:pPr>
        <w:pStyle w:val="Calibri11SubSubSub"/>
        <w:numPr>
          <w:ilvl w:val="0"/>
          <w:numId w:val="0"/>
        </w:numPr>
        <w:spacing w:before="0"/>
        <w:jc w:val="both"/>
        <w:rPr>
          <w:rFonts w:asciiTheme="minorHAnsi" w:hAnsiTheme="minorHAnsi" w:cstheme="minorHAnsi"/>
          <w:szCs w:val="22"/>
        </w:rPr>
      </w:pPr>
      <w:bookmarkStart w:id="26" w:name="_Toc208574065"/>
      <w:r w:rsidRPr="0087246C">
        <w:rPr>
          <w:rFonts w:asciiTheme="minorHAnsi" w:hAnsiTheme="minorHAnsi" w:cstheme="minorHAnsi"/>
          <w:szCs w:val="22"/>
        </w:rPr>
        <w:t>Marché à prix forfaitaire</w:t>
      </w:r>
      <w:bookmarkEnd w:id="26"/>
      <w:r w:rsidR="00417849">
        <w:rPr>
          <w:rFonts w:asciiTheme="minorHAnsi" w:hAnsiTheme="minorHAnsi" w:cstheme="minorHAnsi"/>
          <w:szCs w:val="22"/>
        </w:rPr>
        <w:t xml:space="preserve"> </w:t>
      </w:r>
    </w:p>
    <w:p w14:paraId="33533AC3" w14:textId="77777777" w:rsidR="00342695" w:rsidRPr="0087246C" w:rsidRDefault="00342695" w:rsidP="00342695">
      <w:pPr>
        <w:jc w:val="both"/>
        <w:rPr>
          <w:rFonts w:cstheme="minorHAnsi"/>
        </w:rPr>
      </w:pPr>
    </w:p>
    <w:p w14:paraId="1B021625" w14:textId="77777777"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sz w:val="22"/>
          <w:szCs w:val="22"/>
        </w:rPr>
      </w:pPr>
      <w:r w:rsidRPr="0087246C">
        <w:rPr>
          <w:rFonts w:asciiTheme="minorHAnsi" w:hAnsiTheme="minorHAnsi" w:cstheme="minorHAnsi"/>
          <w:sz w:val="22"/>
          <w:szCs w:val="22"/>
        </w:rPr>
        <w:t>Au titre du versement d’une somme forfaitaire, la proposition financière fixe un montant forfaitaire total, précise les modalités de paiement selon des produits livrables particuliers et mesurables, et détermine si les paiements doivent être effectués en plusieurs tranches ou une fois la tâche accomplie. Le paiement est subordonné à la prestation des services énoncés dans les termes de référence. Le candidat doit présenter une répartition du montant forfaitaire proposé, notamment les frais de déplacement, les indemnités journalières, les besoins en sécurité personnelle et le nombre de jours de travail prévus. Cette présentation servira de référence non seulement pour déterminer le meilleur rapport qualité-prix, mais aussi pour toute modification ou prorogation de contrat impliquant un paiement supplémentaire.</w:t>
      </w:r>
    </w:p>
    <w:p w14:paraId="3A1851F9" w14:textId="77777777"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sz w:val="22"/>
          <w:szCs w:val="22"/>
        </w:rPr>
      </w:pPr>
      <w:r w:rsidRPr="0087246C">
        <w:rPr>
          <w:rFonts w:asciiTheme="minorHAnsi" w:hAnsiTheme="minorHAnsi" w:cstheme="minorHAnsi"/>
          <w:sz w:val="22"/>
          <w:szCs w:val="22"/>
        </w:rPr>
        <w:lastRenderedPageBreak/>
        <w:t>Lorsque le versement d’une somme forfaitaire est utilisé pour une mission qui nécessite un rapatriement et/ou un voyage en mission, les mesures suivantes doivent être prises en compte :</w:t>
      </w:r>
    </w:p>
    <w:p w14:paraId="520D90B4" w14:textId="77777777" w:rsidR="00342695" w:rsidRPr="0087246C" w:rsidRDefault="00342695" w:rsidP="00342695">
      <w:pPr>
        <w:pStyle w:val="ListParagraph"/>
        <w:numPr>
          <w:ilvl w:val="0"/>
          <w:numId w:val="5"/>
        </w:numPr>
        <w:shd w:val="clear" w:color="auto" w:fill="FFFFFF"/>
        <w:spacing w:before="0" w:beforeAutospacing="0" w:after="0" w:afterAutospacing="0"/>
        <w:contextualSpacing/>
        <w:jc w:val="both"/>
        <w:textAlignment w:val="top"/>
        <w:rPr>
          <w:rFonts w:asciiTheme="minorHAnsi" w:hAnsiTheme="minorHAnsi" w:cstheme="minorHAnsi"/>
          <w:sz w:val="22"/>
          <w:szCs w:val="22"/>
        </w:rPr>
      </w:pPr>
      <w:r w:rsidRPr="0087246C">
        <w:rPr>
          <w:rFonts w:asciiTheme="minorHAnsi" w:hAnsiTheme="minorHAnsi" w:cstheme="minorHAnsi"/>
          <w:sz w:val="22"/>
          <w:szCs w:val="22"/>
        </w:rPr>
        <w:t xml:space="preserve">Les consultants ne font pas partie du personnel des Nations Unies/PNUD.  Par conséquent, ils n’ont pas droit aux indemnités journalières de subsistance.  Pour établir la différence entre les prestations dues au personnel et celles dues aux personnes n’ayant pas le statut de fonctionnaire, il est préférable d’éviter d’employer le terme « indemnité journalière de subsistance » lorsqu’il s’agit de contrats individuels. Dans les propositions financières, les candidats peuvent se verser des indemnités de subsistance lorsqu’une mission nécessite un déplacement. Lesdites indemnités peuvent être inférieures ou égales aux indemnités journalières de subsistance des Nations Unies, mais elles ne doivent en aucun cas être supérieures. </w:t>
      </w:r>
    </w:p>
    <w:p w14:paraId="6D751BA9" w14:textId="77777777" w:rsidR="00342695" w:rsidRPr="0087246C" w:rsidRDefault="00342695" w:rsidP="00342695">
      <w:pPr>
        <w:pStyle w:val="ListParagraph"/>
        <w:numPr>
          <w:ilvl w:val="0"/>
          <w:numId w:val="5"/>
        </w:numPr>
        <w:shd w:val="clear" w:color="auto" w:fill="FFFFFF"/>
        <w:spacing w:before="0" w:beforeAutospacing="0" w:after="0" w:afterAutospacing="0"/>
        <w:contextualSpacing/>
        <w:jc w:val="both"/>
        <w:textAlignment w:val="top"/>
        <w:rPr>
          <w:rFonts w:asciiTheme="minorHAnsi" w:hAnsiTheme="minorHAnsi" w:cstheme="minorHAnsi"/>
          <w:sz w:val="22"/>
          <w:szCs w:val="22"/>
        </w:rPr>
      </w:pPr>
      <w:r w:rsidRPr="0087246C">
        <w:rPr>
          <w:rFonts w:asciiTheme="minorHAnsi" w:hAnsiTheme="minorHAnsi" w:cstheme="minorHAnsi"/>
          <w:sz w:val="22"/>
          <w:szCs w:val="22"/>
        </w:rPr>
        <w:t xml:space="preserve">Si nécessaire, les unités administratives peuvent informer les candidats des taux de l’indemnité journalière de subsistance en vigueur aux Nations Unies et applicables aussi bien au lieu d’affectation que dans toutes les autres villes mentionnées dans les termes de référence comme faisant partie des destinations de voyage afin de les aider à déterminer un tarif forfaitaire. </w:t>
      </w:r>
    </w:p>
    <w:p w14:paraId="40B30D2B" w14:textId="77777777" w:rsidR="00342695" w:rsidRPr="0087246C" w:rsidRDefault="00342695" w:rsidP="00342695">
      <w:pPr>
        <w:pStyle w:val="ListParagraph"/>
        <w:numPr>
          <w:ilvl w:val="0"/>
          <w:numId w:val="5"/>
        </w:numPr>
        <w:shd w:val="clear" w:color="auto" w:fill="FFFFFF"/>
        <w:spacing w:before="0" w:beforeAutospacing="0" w:afterAutospacing="0"/>
        <w:contextualSpacing/>
        <w:jc w:val="both"/>
        <w:textAlignment w:val="top"/>
        <w:rPr>
          <w:rFonts w:asciiTheme="minorHAnsi" w:hAnsiTheme="minorHAnsi" w:cstheme="minorHAnsi"/>
          <w:sz w:val="22"/>
          <w:szCs w:val="22"/>
        </w:rPr>
      </w:pPr>
      <w:r w:rsidRPr="0087246C">
        <w:rPr>
          <w:rFonts w:asciiTheme="minorHAnsi" w:hAnsiTheme="minorHAnsi" w:cstheme="minorHAnsi"/>
          <w:sz w:val="22"/>
          <w:szCs w:val="22"/>
        </w:rPr>
        <w:t>L’unité administrative peut inclure dans son paiement initial (c’est-à-dire, le paiement préalable à l’atteinte des résultats), à verser au prestataire, les frais effectifs de déplacement jusqu’au lieu d’affectation, même si ledit montant dépasse 20 pour cent de la valeur contractuelle totale. Ce coût doit être précisé comme montant exact dans la répartition de la proposition financière soumise et le paiement doit être d’un montant exact.</w:t>
      </w:r>
    </w:p>
    <w:p w14:paraId="300CFE51" w14:textId="77777777" w:rsidR="00342695" w:rsidRPr="0087246C" w:rsidRDefault="00342695" w:rsidP="00342695">
      <w:pPr>
        <w:pStyle w:val="ListParagraph"/>
        <w:shd w:val="clear" w:color="auto" w:fill="FFFFFF"/>
        <w:spacing w:before="0" w:beforeAutospacing="0" w:afterAutospacing="0"/>
        <w:ind w:left="1530"/>
        <w:contextualSpacing/>
        <w:jc w:val="both"/>
        <w:textAlignment w:val="top"/>
        <w:rPr>
          <w:rFonts w:asciiTheme="minorHAnsi" w:hAnsiTheme="minorHAnsi" w:cstheme="minorHAnsi"/>
          <w:sz w:val="22"/>
          <w:szCs w:val="22"/>
        </w:rPr>
      </w:pPr>
    </w:p>
    <w:p w14:paraId="7D853F24" w14:textId="77777777"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sz w:val="22"/>
          <w:szCs w:val="22"/>
        </w:rPr>
      </w:pPr>
      <w:r w:rsidRPr="0087246C">
        <w:rPr>
          <w:rFonts w:asciiTheme="minorHAnsi" w:hAnsiTheme="minorHAnsi" w:cstheme="minorHAnsi"/>
          <w:sz w:val="22"/>
          <w:szCs w:val="22"/>
        </w:rPr>
        <w:t>En tenant compte de l’objectif et des principes sous-tendant la formule du marché à prix forfaitaire, le montant du contrat demeurera fixe indépendamment des éléments suivants :</w:t>
      </w:r>
    </w:p>
    <w:p w14:paraId="7BD4407C" w14:textId="77777777" w:rsidR="00342695" w:rsidRPr="0087246C" w:rsidRDefault="00342695" w:rsidP="00342695">
      <w:pPr>
        <w:pStyle w:val="ListParagraph"/>
        <w:numPr>
          <w:ilvl w:val="0"/>
          <w:numId w:val="6"/>
        </w:numPr>
        <w:shd w:val="clear" w:color="auto" w:fill="FFFFFF"/>
        <w:spacing w:before="0" w:beforeAutospacing="0" w:after="0" w:afterAutospacing="0"/>
        <w:contextualSpacing/>
        <w:jc w:val="both"/>
        <w:textAlignment w:val="top"/>
        <w:rPr>
          <w:rFonts w:asciiTheme="minorHAnsi" w:hAnsiTheme="minorHAnsi" w:cstheme="minorHAnsi"/>
          <w:sz w:val="22"/>
          <w:szCs w:val="22"/>
        </w:rPr>
      </w:pPr>
      <w:r w:rsidRPr="0087246C">
        <w:rPr>
          <w:rFonts w:asciiTheme="minorHAnsi" w:hAnsiTheme="minorHAnsi" w:cstheme="minorHAnsi"/>
          <w:sz w:val="22"/>
          <w:szCs w:val="22"/>
        </w:rPr>
        <w:t>Les écarts de prix des billets d’avion entre le moment de la soumission de la proposition financière et le voyage effectif</w:t>
      </w:r>
    </w:p>
    <w:p w14:paraId="18BAD15B" w14:textId="77777777" w:rsidR="00342695" w:rsidRPr="0087246C" w:rsidRDefault="00342695" w:rsidP="00342695">
      <w:pPr>
        <w:pStyle w:val="ListParagraph"/>
        <w:numPr>
          <w:ilvl w:val="0"/>
          <w:numId w:val="6"/>
        </w:numPr>
        <w:shd w:val="clear" w:color="auto" w:fill="FFFFFF"/>
        <w:spacing w:before="0" w:beforeAutospacing="0" w:after="0" w:afterAutospacing="0"/>
        <w:contextualSpacing/>
        <w:jc w:val="both"/>
        <w:textAlignment w:val="top"/>
        <w:rPr>
          <w:rFonts w:asciiTheme="minorHAnsi" w:hAnsiTheme="minorHAnsi" w:cstheme="minorHAnsi"/>
          <w:sz w:val="22"/>
          <w:szCs w:val="22"/>
        </w:rPr>
      </w:pPr>
      <w:r w:rsidRPr="0087246C">
        <w:rPr>
          <w:rFonts w:asciiTheme="minorHAnsi" w:hAnsiTheme="minorHAnsi" w:cstheme="minorHAnsi"/>
          <w:sz w:val="22"/>
          <w:szCs w:val="22"/>
        </w:rPr>
        <w:t>Les jours supplémentaires à passer au lieu d’affectation en raison des retards accusés dans l’atteinte des résultats si de tels retards ne sont imputables qu’au prestataire</w:t>
      </w:r>
    </w:p>
    <w:p w14:paraId="51FE50B9" w14:textId="77777777" w:rsidR="00342695" w:rsidRPr="0087246C" w:rsidRDefault="00342695" w:rsidP="00342695">
      <w:pPr>
        <w:pStyle w:val="ListParagraph"/>
        <w:numPr>
          <w:ilvl w:val="0"/>
          <w:numId w:val="6"/>
        </w:numPr>
        <w:shd w:val="clear" w:color="auto" w:fill="FFFFFF"/>
        <w:spacing w:before="240" w:beforeAutospacing="0" w:after="0" w:afterAutospacing="0"/>
        <w:contextualSpacing/>
        <w:jc w:val="both"/>
        <w:textAlignment w:val="top"/>
        <w:rPr>
          <w:rFonts w:asciiTheme="minorHAnsi" w:hAnsiTheme="minorHAnsi" w:cstheme="minorHAnsi"/>
          <w:sz w:val="22"/>
          <w:szCs w:val="22"/>
        </w:rPr>
      </w:pPr>
      <w:r w:rsidRPr="0087246C">
        <w:rPr>
          <w:rFonts w:asciiTheme="minorHAnsi" w:hAnsiTheme="minorHAnsi" w:cstheme="minorHAnsi"/>
          <w:sz w:val="22"/>
          <w:szCs w:val="22"/>
        </w:rPr>
        <w:t>Tout autre facteur entraînant une augmentation de l’un des éléments de coût qui ne saurait être imputé directement au PNUD</w:t>
      </w:r>
    </w:p>
    <w:p w14:paraId="246B99AF" w14:textId="77777777" w:rsidR="00342695" w:rsidRPr="0087246C" w:rsidRDefault="00342695" w:rsidP="00342695">
      <w:pPr>
        <w:pStyle w:val="ListParagraph"/>
        <w:numPr>
          <w:ilvl w:val="0"/>
          <w:numId w:val="36"/>
        </w:numPr>
        <w:shd w:val="clear" w:color="auto" w:fill="FFFFFF"/>
        <w:spacing w:before="240" w:beforeAutospacing="0" w:after="0" w:afterAutospacing="0"/>
        <w:jc w:val="both"/>
        <w:textAlignment w:val="top"/>
        <w:rPr>
          <w:rFonts w:asciiTheme="minorHAnsi" w:hAnsiTheme="minorHAnsi" w:cstheme="minorHAnsi"/>
          <w:color w:val="333333"/>
          <w:sz w:val="22"/>
          <w:szCs w:val="22"/>
        </w:rPr>
      </w:pPr>
      <w:r w:rsidRPr="0087246C">
        <w:rPr>
          <w:rFonts w:asciiTheme="minorHAnsi" w:hAnsiTheme="minorHAnsi" w:cstheme="minorHAnsi"/>
          <w:bCs/>
          <w:sz w:val="22"/>
          <w:szCs w:val="22"/>
        </w:rPr>
        <w:t>Le marché à prix forfaitaire constitue la formule privilégiée</w:t>
      </w:r>
      <w:r w:rsidRPr="0087246C">
        <w:rPr>
          <w:rFonts w:asciiTheme="minorHAnsi" w:hAnsiTheme="minorHAnsi" w:cstheme="minorHAnsi"/>
          <w:sz w:val="22"/>
          <w:szCs w:val="22"/>
        </w:rPr>
        <w:t xml:space="preserve"> lors de l’élaboration de propositions financières, car il établit clairement le lien entre les produits livrables et le paiement, transférant ainsi au consultant tout risque imprévu lié à l’achèvement des éléments livrables, tout en réduisant au minimum les coûts de transaction pour le PNUD. Cette formule est privilégiée pour les missions nécessitant de nombreux déplacements, car elle exonère le PNUD des dépenses administratives et des coûts de transaction liés à la gestion du déplacement en question.</w:t>
      </w:r>
    </w:p>
    <w:p w14:paraId="4EF38532" w14:textId="77777777" w:rsidR="00342695" w:rsidRPr="0087246C" w:rsidRDefault="00342695" w:rsidP="00342695">
      <w:pPr>
        <w:shd w:val="clear" w:color="auto" w:fill="FFFFFF"/>
        <w:spacing w:before="240" w:after="0"/>
        <w:jc w:val="both"/>
        <w:textAlignment w:val="top"/>
        <w:rPr>
          <w:rFonts w:cstheme="minorHAnsi"/>
          <w:color w:val="333333"/>
        </w:rPr>
      </w:pPr>
    </w:p>
    <w:p w14:paraId="6F49B8F6" w14:textId="77777777" w:rsidR="00342695" w:rsidRPr="0087246C" w:rsidRDefault="00342695" w:rsidP="00342695">
      <w:pPr>
        <w:pStyle w:val="Calibri11SubSubSub"/>
        <w:numPr>
          <w:ilvl w:val="0"/>
          <w:numId w:val="0"/>
        </w:numPr>
        <w:spacing w:before="0"/>
        <w:jc w:val="both"/>
        <w:rPr>
          <w:rFonts w:asciiTheme="minorHAnsi" w:hAnsiTheme="minorHAnsi" w:cstheme="minorHAnsi"/>
          <w:szCs w:val="22"/>
        </w:rPr>
      </w:pPr>
      <w:bookmarkStart w:id="27" w:name="_Toc208574066"/>
      <w:r w:rsidRPr="0087246C">
        <w:rPr>
          <w:rFonts w:asciiTheme="minorHAnsi" w:hAnsiTheme="minorHAnsi" w:cstheme="minorHAnsi"/>
          <w:szCs w:val="22"/>
        </w:rPr>
        <w:t>Contrats fondés sur des honoraires journaliers</w:t>
      </w:r>
      <w:bookmarkEnd w:id="27"/>
    </w:p>
    <w:p w14:paraId="7A49A17C" w14:textId="77777777" w:rsidR="00342695" w:rsidRPr="0087246C" w:rsidRDefault="00342695" w:rsidP="00342695">
      <w:pPr>
        <w:shd w:val="clear" w:color="auto" w:fill="FFFFFF"/>
        <w:spacing w:after="0" w:line="240" w:lineRule="auto"/>
        <w:ind w:left="720"/>
        <w:jc w:val="both"/>
        <w:textAlignment w:val="top"/>
        <w:rPr>
          <w:rFonts w:eastAsia="Times New Roman" w:cstheme="minorHAnsi"/>
          <w:color w:val="000000"/>
        </w:rPr>
      </w:pPr>
    </w:p>
    <w:p w14:paraId="75C51671" w14:textId="77777777" w:rsidR="00342695" w:rsidRPr="0087246C" w:rsidRDefault="00342695" w:rsidP="00342695">
      <w:pPr>
        <w:pStyle w:val="ListParagraph"/>
        <w:numPr>
          <w:ilvl w:val="0"/>
          <w:numId w:val="36"/>
        </w:numPr>
        <w:shd w:val="clear" w:color="auto" w:fill="FFFFFF"/>
        <w:spacing w:before="240" w:beforeAutospacing="0" w:after="0" w:afterAutospacing="0"/>
        <w:jc w:val="both"/>
        <w:textAlignment w:val="top"/>
        <w:rPr>
          <w:rFonts w:asciiTheme="minorHAnsi" w:hAnsiTheme="minorHAnsi" w:cstheme="minorHAnsi"/>
          <w:bCs/>
          <w:color w:val="000000"/>
          <w:sz w:val="22"/>
          <w:szCs w:val="22"/>
        </w:rPr>
      </w:pPr>
      <w:r w:rsidRPr="0087246C">
        <w:rPr>
          <w:rFonts w:asciiTheme="minorHAnsi" w:hAnsiTheme="minorHAnsi" w:cstheme="minorHAnsi"/>
          <w:bCs/>
          <w:color w:val="000000"/>
          <w:sz w:val="22"/>
          <w:szCs w:val="22"/>
        </w:rPr>
        <w:t>Au titre de la formule de type « honoraires journaliers », la proposition financière précise un honoraire journalier unique. Le PNUD effectue les paiements sur la base du nombre effectif de jours travaillés. Les paiements doivent être justifiés par une feuille de temps dûment remplie.</w:t>
      </w:r>
    </w:p>
    <w:p w14:paraId="24FAEBC2" w14:textId="77777777" w:rsidR="00342695" w:rsidRPr="0087246C" w:rsidRDefault="00342695" w:rsidP="00342695">
      <w:pPr>
        <w:pStyle w:val="ListParagraph"/>
        <w:numPr>
          <w:ilvl w:val="0"/>
          <w:numId w:val="36"/>
        </w:numPr>
        <w:shd w:val="clear" w:color="auto" w:fill="FFFFFF"/>
        <w:spacing w:before="240" w:beforeAutospacing="0" w:after="0" w:afterAutospacing="0"/>
        <w:jc w:val="both"/>
        <w:textAlignment w:val="top"/>
        <w:rPr>
          <w:rFonts w:asciiTheme="minorHAnsi" w:hAnsiTheme="minorHAnsi" w:cstheme="minorHAnsi"/>
          <w:bCs/>
          <w:color w:val="000000"/>
          <w:sz w:val="22"/>
          <w:szCs w:val="22"/>
        </w:rPr>
      </w:pPr>
      <w:r w:rsidRPr="0087246C">
        <w:rPr>
          <w:rFonts w:asciiTheme="minorHAnsi" w:hAnsiTheme="minorHAnsi" w:cstheme="minorHAnsi"/>
          <w:color w:val="000000"/>
          <w:sz w:val="22"/>
          <w:szCs w:val="22"/>
          <w:u w:val="single"/>
        </w:rPr>
        <w:lastRenderedPageBreak/>
        <w:t>L’honoraire journalier</w:t>
      </w:r>
      <w:r w:rsidRPr="0087246C">
        <w:rPr>
          <w:rFonts w:asciiTheme="minorHAnsi" w:hAnsiTheme="minorHAnsi" w:cstheme="minorHAnsi"/>
          <w:color w:val="000000"/>
          <w:sz w:val="22"/>
          <w:szCs w:val="22"/>
        </w:rPr>
        <w:t xml:space="preserve"> contenu dans la proposition financière doit être </w:t>
      </w:r>
      <w:r w:rsidRPr="0087246C">
        <w:rPr>
          <w:rFonts w:asciiTheme="minorHAnsi" w:hAnsiTheme="minorHAnsi" w:cstheme="minorHAnsi"/>
          <w:color w:val="000000"/>
          <w:sz w:val="22"/>
          <w:szCs w:val="22"/>
          <w:u w:val="single"/>
        </w:rPr>
        <w:t>forfaitaire</w:t>
      </w:r>
      <w:r w:rsidRPr="0087246C">
        <w:rPr>
          <w:rFonts w:asciiTheme="minorHAnsi" w:hAnsiTheme="minorHAnsi" w:cstheme="minorHAnsi"/>
          <w:color w:val="000000"/>
          <w:sz w:val="22"/>
          <w:szCs w:val="22"/>
        </w:rPr>
        <w:t xml:space="preserve"> et tenir compte des différentes dépenses devant être engagées par le candidat pendant le contrat, à savoir : </w:t>
      </w:r>
    </w:p>
    <w:p w14:paraId="49332AF2" w14:textId="77777777" w:rsidR="00342695" w:rsidRPr="0087246C" w:rsidRDefault="00342695" w:rsidP="00342695">
      <w:pPr>
        <w:pStyle w:val="ListParagraph"/>
        <w:numPr>
          <w:ilvl w:val="0"/>
          <w:numId w:val="9"/>
        </w:numPr>
        <w:shd w:val="clear" w:color="auto" w:fill="FFFFFF"/>
        <w:spacing w:after="0"/>
        <w:contextualSpacing/>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Les honoraires journaliers professionnels</w:t>
      </w:r>
    </w:p>
    <w:p w14:paraId="4B036BF7" w14:textId="77777777" w:rsidR="00342695" w:rsidRPr="0087246C" w:rsidRDefault="00342695" w:rsidP="00342695">
      <w:pPr>
        <w:pStyle w:val="ListParagraph"/>
        <w:numPr>
          <w:ilvl w:val="0"/>
          <w:numId w:val="9"/>
        </w:numPr>
        <w:shd w:val="clear" w:color="auto" w:fill="FFFFFF"/>
        <w:spacing w:after="0"/>
        <w:contextualSpacing/>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Les frais de déplacement du lieu de résidence principale au lieu d’affectation et vice versa, le cas échéant</w:t>
      </w:r>
    </w:p>
    <w:p w14:paraId="5D51CBB4" w14:textId="77777777" w:rsidR="00342695" w:rsidRPr="0087246C" w:rsidRDefault="00342695" w:rsidP="00342695">
      <w:pPr>
        <w:pStyle w:val="ListParagraph"/>
        <w:numPr>
          <w:ilvl w:val="0"/>
          <w:numId w:val="9"/>
        </w:numPr>
        <w:shd w:val="clear" w:color="auto" w:fill="FFFFFF"/>
        <w:spacing w:after="0"/>
        <w:contextualSpacing/>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Les indemnités de subsistance nécessaires au lieu d’affectation</w:t>
      </w:r>
    </w:p>
    <w:p w14:paraId="2600A497" w14:textId="77777777" w:rsidR="00342695" w:rsidRPr="0087246C" w:rsidRDefault="00342695" w:rsidP="00342695">
      <w:pPr>
        <w:pStyle w:val="ListParagraph"/>
        <w:numPr>
          <w:ilvl w:val="0"/>
          <w:numId w:val="9"/>
        </w:numPr>
        <w:shd w:val="clear" w:color="auto" w:fill="FFFFFF"/>
        <w:spacing w:after="0"/>
        <w:contextualSpacing/>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Les communications, les équipements publics et les consommables</w:t>
      </w:r>
    </w:p>
    <w:p w14:paraId="01B6F36D" w14:textId="77777777" w:rsidR="00342695" w:rsidRPr="0087246C" w:rsidRDefault="00342695" w:rsidP="00342695">
      <w:pPr>
        <w:pStyle w:val="ListParagraph"/>
        <w:numPr>
          <w:ilvl w:val="0"/>
          <w:numId w:val="9"/>
        </w:numPr>
        <w:shd w:val="clear" w:color="auto" w:fill="FFFFFF"/>
        <w:spacing w:after="0"/>
        <w:contextualSpacing/>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L’assurance vie, l’assurance santé et toute autre assurance</w:t>
      </w:r>
    </w:p>
    <w:p w14:paraId="62A54369" w14:textId="77777777" w:rsidR="00342695" w:rsidRPr="0087246C" w:rsidRDefault="00342695" w:rsidP="00342695">
      <w:pPr>
        <w:pStyle w:val="ListParagraph"/>
        <w:numPr>
          <w:ilvl w:val="0"/>
          <w:numId w:val="9"/>
        </w:numPr>
        <w:shd w:val="clear" w:color="auto" w:fill="FFFFFF"/>
        <w:spacing w:after="0"/>
        <w:contextualSpacing/>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Les risques et inconvénients liés au travail dans des conditions pénibles et dangereuses (par ex. les besoins en sécurité personnelle, etc.), le cas échéant</w:t>
      </w:r>
    </w:p>
    <w:p w14:paraId="7917F06E" w14:textId="77777777" w:rsidR="00342695" w:rsidRPr="0087246C" w:rsidRDefault="00342695" w:rsidP="00342695">
      <w:pPr>
        <w:pStyle w:val="ListParagraph"/>
        <w:numPr>
          <w:ilvl w:val="0"/>
          <w:numId w:val="9"/>
        </w:numPr>
        <w:shd w:val="clear" w:color="auto" w:fill="FFFFFF"/>
        <w:contextualSpacing/>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Toutes les autres dépenses pertinentes connexes liées à la prestation des services au titre du contrat</w:t>
      </w:r>
    </w:p>
    <w:p w14:paraId="266FA246" w14:textId="77777777" w:rsidR="00342695" w:rsidRPr="0087246C" w:rsidRDefault="00342695" w:rsidP="00342695">
      <w:pPr>
        <w:pStyle w:val="ListParagraph"/>
        <w:shd w:val="clear" w:color="auto" w:fill="FFFFFF"/>
        <w:ind w:left="1440"/>
        <w:contextualSpacing/>
        <w:jc w:val="both"/>
        <w:textAlignment w:val="top"/>
        <w:rPr>
          <w:rFonts w:asciiTheme="minorHAnsi" w:hAnsiTheme="minorHAnsi" w:cstheme="minorHAnsi"/>
          <w:color w:val="000000"/>
          <w:sz w:val="22"/>
          <w:szCs w:val="22"/>
        </w:rPr>
      </w:pPr>
    </w:p>
    <w:p w14:paraId="23B12A14" w14:textId="77777777" w:rsidR="00342695" w:rsidRPr="0087246C" w:rsidRDefault="00342695" w:rsidP="00342695">
      <w:pPr>
        <w:pStyle w:val="ListParagraph"/>
        <w:numPr>
          <w:ilvl w:val="0"/>
          <w:numId w:val="36"/>
        </w:numPr>
        <w:shd w:val="clear" w:color="auto" w:fill="FFFFFF"/>
        <w:spacing w:before="240" w:beforeAutospacing="0" w:after="0" w:afterAutospacing="0"/>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La formule des honoraires journaliers doit uniquement être utilisée lorsque des produits livrables clairs et quantifiables sont difficiles à définir avant le début de la mission. La durée d’une embauche utilisant la formule des honoraires journaliers </w:t>
      </w:r>
      <w:r w:rsidRPr="0087246C">
        <w:rPr>
          <w:rFonts w:asciiTheme="minorHAnsi" w:hAnsiTheme="minorHAnsi" w:cstheme="minorHAnsi"/>
          <w:color w:val="000000"/>
          <w:sz w:val="22"/>
          <w:szCs w:val="22"/>
          <w:u w:val="single"/>
        </w:rPr>
        <w:t>doit être</w:t>
      </w:r>
      <w:r w:rsidRPr="0087246C">
        <w:rPr>
          <w:rFonts w:asciiTheme="minorHAnsi" w:hAnsiTheme="minorHAnsi" w:cstheme="minorHAnsi"/>
          <w:color w:val="000000"/>
          <w:sz w:val="22"/>
          <w:szCs w:val="22"/>
        </w:rPr>
        <w:t xml:space="preserve"> définitive. La possibilité d’une quelconque prorogation doit être soit improbable soit envisageable dans des délais raisonnables. </w:t>
      </w:r>
    </w:p>
    <w:p w14:paraId="5EA80227" w14:textId="77777777" w:rsidR="00342695" w:rsidRPr="0087246C" w:rsidRDefault="00342695" w:rsidP="00342695">
      <w:pPr>
        <w:pStyle w:val="ListParagraph"/>
        <w:shd w:val="clear" w:color="auto" w:fill="FFFFFF"/>
        <w:spacing w:before="240" w:beforeAutospacing="0" w:after="0" w:afterAutospacing="0"/>
        <w:ind w:left="720"/>
        <w:jc w:val="both"/>
        <w:textAlignment w:val="top"/>
        <w:rPr>
          <w:rFonts w:asciiTheme="minorHAnsi" w:hAnsiTheme="minorHAnsi" w:cstheme="minorHAnsi"/>
          <w:color w:val="000000"/>
          <w:sz w:val="22"/>
          <w:szCs w:val="22"/>
        </w:rPr>
      </w:pPr>
    </w:p>
    <w:p w14:paraId="6E67778B" w14:textId="77777777" w:rsidR="00342695" w:rsidRPr="0087246C" w:rsidRDefault="00342695" w:rsidP="00342695">
      <w:pPr>
        <w:pStyle w:val="Calibri11SubSubSub"/>
        <w:numPr>
          <w:ilvl w:val="0"/>
          <w:numId w:val="0"/>
        </w:numPr>
        <w:spacing w:before="0"/>
        <w:jc w:val="both"/>
        <w:rPr>
          <w:rFonts w:asciiTheme="minorHAnsi" w:hAnsiTheme="minorHAnsi" w:cstheme="minorHAnsi"/>
          <w:szCs w:val="22"/>
        </w:rPr>
      </w:pPr>
      <w:bookmarkStart w:id="28" w:name="_Toc208574067"/>
      <w:r w:rsidRPr="0087246C">
        <w:rPr>
          <w:rFonts w:asciiTheme="minorHAnsi" w:hAnsiTheme="minorHAnsi" w:cstheme="minorHAnsi"/>
          <w:szCs w:val="22"/>
        </w:rPr>
        <w:t>Déterminer les taux de paiement</w:t>
      </w:r>
      <w:bookmarkEnd w:id="28"/>
    </w:p>
    <w:p w14:paraId="1262067C" w14:textId="77777777" w:rsidR="00342695" w:rsidRPr="0087246C" w:rsidRDefault="00342695" w:rsidP="00342695">
      <w:pPr>
        <w:pStyle w:val="ListParagraph"/>
        <w:numPr>
          <w:ilvl w:val="0"/>
          <w:numId w:val="36"/>
        </w:numPr>
        <w:shd w:val="clear" w:color="auto" w:fill="FFFFFF"/>
        <w:spacing w:before="240" w:beforeAutospacing="0" w:after="0" w:afterAutospacing="0"/>
        <w:jc w:val="both"/>
        <w:textAlignment w:val="top"/>
        <w:rPr>
          <w:rFonts w:asciiTheme="minorHAnsi" w:hAnsiTheme="minorHAnsi" w:cstheme="minorHAnsi"/>
          <w:sz w:val="22"/>
          <w:szCs w:val="22"/>
        </w:rPr>
      </w:pPr>
      <w:r w:rsidRPr="0087246C">
        <w:rPr>
          <w:rFonts w:asciiTheme="minorHAnsi" w:hAnsiTheme="minorHAnsi" w:cstheme="minorHAnsi"/>
          <w:sz w:val="22"/>
          <w:szCs w:val="22"/>
        </w:rPr>
        <w:t xml:space="preserve">La principale considération lors de la détermination des taux doit être la nature de la tâche, y compris sa complexité, sa difficulté, l’environnement de travail et le cahier de charges, les compétences et l’expertise requises pour la réaliser, la fourniture ou la disponibilité de tels experts sur le marché et le marché dominant pour l’expertise requise. </w:t>
      </w:r>
    </w:p>
    <w:p w14:paraId="559F879B" w14:textId="77777777" w:rsidR="00342695" w:rsidRPr="0087246C" w:rsidRDefault="00342695" w:rsidP="00342695">
      <w:pPr>
        <w:pStyle w:val="ListParagraph"/>
        <w:numPr>
          <w:ilvl w:val="0"/>
          <w:numId w:val="36"/>
        </w:numPr>
        <w:shd w:val="clear" w:color="auto" w:fill="FFFFFF"/>
        <w:spacing w:before="240" w:beforeAutospacing="0" w:after="0" w:afterAutospacing="0"/>
        <w:jc w:val="both"/>
        <w:textAlignment w:val="top"/>
        <w:rPr>
          <w:rFonts w:asciiTheme="minorHAnsi" w:hAnsiTheme="minorHAnsi" w:cstheme="minorHAnsi"/>
          <w:sz w:val="22"/>
          <w:szCs w:val="22"/>
        </w:rPr>
      </w:pPr>
      <w:r w:rsidRPr="0087246C">
        <w:rPr>
          <w:rFonts w:asciiTheme="minorHAnsi" w:hAnsiTheme="minorHAnsi" w:cstheme="minorHAnsi"/>
          <w:sz w:val="22"/>
          <w:szCs w:val="22"/>
        </w:rPr>
        <w:t xml:space="preserve">En guise de principe directeur, les honoraires doivent refléter des prix du marché équitables et optimiser les économies pour le PNUD, tout en garantissant des services de qualité supérieure. </w:t>
      </w:r>
    </w:p>
    <w:p w14:paraId="642226DD" w14:textId="77777777" w:rsidR="00342695" w:rsidRPr="0087246C" w:rsidRDefault="00342695" w:rsidP="00342695">
      <w:pPr>
        <w:pStyle w:val="ListParagraph"/>
        <w:numPr>
          <w:ilvl w:val="0"/>
          <w:numId w:val="36"/>
        </w:numPr>
        <w:shd w:val="clear" w:color="auto" w:fill="FFFFFF"/>
        <w:spacing w:before="240" w:beforeAutospacing="0" w:after="0" w:afterAutospacing="0"/>
        <w:jc w:val="both"/>
        <w:textAlignment w:val="top"/>
        <w:rPr>
          <w:rFonts w:asciiTheme="minorHAnsi" w:hAnsiTheme="minorHAnsi" w:cstheme="minorHAnsi"/>
          <w:sz w:val="22"/>
          <w:szCs w:val="22"/>
        </w:rPr>
      </w:pPr>
      <w:r w:rsidRPr="0087246C">
        <w:rPr>
          <w:rFonts w:asciiTheme="minorHAnsi" w:hAnsiTheme="minorHAnsi" w:cstheme="minorHAnsi"/>
          <w:sz w:val="22"/>
          <w:szCs w:val="22"/>
        </w:rPr>
        <w:t>Indépendamment de la nationalité ou de la citoyenneté des personnes embauchées, la détermination des taux et de la devise de paiement doit être fondée sur les indications suivantes :</w:t>
      </w:r>
      <w:r w:rsidRPr="0087246C">
        <w:rPr>
          <w:rFonts w:asciiTheme="minorHAnsi" w:hAnsiTheme="minorHAnsi" w:cstheme="minorHAnsi"/>
          <w:b/>
          <w:bCs/>
          <w:i/>
          <w:iCs/>
          <w:sz w:val="22"/>
          <w:szCs w:val="22"/>
        </w:rPr>
        <w:t> </w:t>
      </w:r>
    </w:p>
    <w:p w14:paraId="0D39D929" w14:textId="77777777" w:rsidR="00342695" w:rsidRPr="0087246C" w:rsidRDefault="00342695" w:rsidP="00342695">
      <w:pPr>
        <w:pStyle w:val="ListParagraph"/>
        <w:numPr>
          <w:ilvl w:val="0"/>
          <w:numId w:val="7"/>
        </w:numPr>
        <w:shd w:val="clear" w:color="auto" w:fill="FFFFFF"/>
        <w:spacing w:before="0" w:beforeAutospacing="0" w:after="0" w:afterAutospacing="0"/>
        <w:contextualSpacing/>
        <w:jc w:val="both"/>
        <w:textAlignment w:val="top"/>
        <w:rPr>
          <w:rFonts w:asciiTheme="minorHAnsi" w:hAnsiTheme="minorHAnsi" w:cstheme="minorHAnsi"/>
          <w:sz w:val="22"/>
          <w:szCs w:val="22"/>
        </w:rPr>
      </w:pPr>
      <w:r w:rsidRPr="0087246C">
        <w:rPr>
          <w:rFonts w:asciiTheme="minorHAnsi" w:hAnsiTheme="minorHAnsi" w:cstheme="minorHAnsi"/>
          <w:sz w:val="22"/>
          <w:szCs w:val="22"/>
        </w:rPr>
        <w:t xml:space="preserve">Lorsque les termes de référence ne nécessitent pas de connaissances globales, ni de l’expérience et l’expertise acquises à l’international, et que les compétences nécessaires à la réalisation du travail ou de la tâche sont facilement disponibles sur le marché local, et ce, peu importe l’expérience personnelle, le pays de résidence ou les postes occupés en vertu des contrats antérieurs, les honoraires du consultant doivent être exprimés en devise locale et doivent s’inspirer des taux standard/en vigueur à l’échelle locale. </w:t>
      </w:r>
    </w:p>
    <w:p w14:paraId="7F4CAA72" w14:textId="77777777" w:rsidR="00342695" w:rsidRPr="0087246C" w:rsidRDefault="00342695" w:rsidP="00342695">
      <w:pPr>
        <w:pStyle w:val="ListParagraph"/>
        <w:numPr>
          <w:ilvl w:val="0"/>
          <w:numId w:val="7"/>
        </w:numPr>
        <w:shd w:val="clear" w:color="auto" w:fill="FFFFFF"/>
        <w:spacing w:before="0" w:beforeAutospacing="0" w:afterAutospacing="0"/>
        <w:contextualSpacing/>
        <w:jc w:val="both"/>
        <w:textAlignment w:val="top"/>
        <w:rPr>
          <w:rFonts w:asciiTheme="minorHAnsi" w:hAnsiTheme="minorHAnsi" w:cstheme="minorHAnsi"/>
          <w:sz w:val="22"/>
          <w:szCs w:val="22"/>
        </w:rPr>
      </w:pPr>
      <w:r w:rsidRPr="0087246C">
        <w:rPr>
          <w:rFonts w:asciiTheme="minorHAnsi" w:hAnsiTheme="minorHAnsi" w:cstheme="minorHAnsi"/>
          <w:sz w:val="22"/>
          <w:szCs w:val="22"/>
        </w:rPr>
        <w:t>Lorsque les termes de référence nécessitent une expertise mondiale et/ou des années d’expérience acquises à l’international, et que la personne est tenue de posséder des compétences et des aptitudes acquises grâce à d’excellents antécédents internationaux pour être éligible à la mission, des taux de consultation et la devise internationale doivent être utilisés. </w:t>
      </w:r>
    </w:p>
    <w:p w14:paraId="3B33CC3A" w14:textId="77777777" w:rsidR="00342695" w:rsidRPr="0087246C" w:rsidRDefault="00342695" w:rsidP="00342695">
      <w:pPr>
        <w:pStyle w:val="ListParagraph"/>
        <w:numPr>
          <w:ilvl w:val="0"/>
          <w:numId w:val="36"/>
        </w:numPr>
        <w:shd w:val="clear" w:color="auto" w:fill="FFFFFF"/>
        <w:spacing w:before="240" w:beforeAutospacing="0" w:after="0" w:afterAutospacing="0"/>
        <w:jc w:val="both"/>
        <w:textAlignment w:val="top"/>
        <w:rPr>
          <w:rFonts w:asciiTheme="minorHAnsi" w:hAnsiTheme="minorHAnsi" w:cstheme="minorHAnsi"/>
          <w:sz w:val="22"/>
          <w:szCs w:val="22"/>
        </w:rPr>
      </w:pPr>
      <w:r w:rsidRPr="0087246C">
        <w:rPr>
          <w:rFonts w:asciiTheme="minorHAnsi" w:hAnsiTheme="minorHAnsi" w:cstheme="minorHAnsi"/>
          <w:sz w:val="22"/>
          <w:szCs w:val="22"/>
        </w:rPr>
        <w:t xml:space="preserve">Dans la mesure où ladite détermination aura un impact majeur sur les honoraires, les unités administratives doivent établir ces déterminations judicieusement et en tenant dûment compte des conséquences. </w:t>
      </w:r>
    </w:p>
    <w:p w14:paraId="4D2EADCD" w14:textId="77777777" w:rsidR="00342695" w:rsidRPr="0087246C" w:rsidRDefault="00342695" w:rsidP="00342695">
      <w:pPr>
        <w:pStyle w:val="ListParagraph"/>
        <w:numPr>
          <w:ilvl w:val="0"/>
          <w:numId w:val="36"/>
        </w:numPr>
        <w:shd w:val="clear" w:color="auto" w:fill="FFFFFF"/>
        <w:spacing w:before="240" w:beforeAutospacing="0" w:after="0" w:afterAutospacing="0"/>
        <w:jc w:val="both"/>
        <w:textAlignment w:val="top"/>
        <w:rPr>
          <w:rFonts w:asciiTheme="minorHAnsi" w:hAnsiTheme="minorHAnsi" w:cstheme="minorHAnsi"/>
          <w:sz w:val="22"/>
          <w:szCs w:val="22"/>
        </w:rPr>
      </w:pPr>
      <w:r w:rsidRPr="0087246C">
        <w:rPr>
          <w:rFonts w:asciiTheme="minorHAnsi" w:hAnsiTheme="minorHAnsi" w:cstheme="minorHAnsi"/>
          <w:sz w:val="22"/>
          <w:szCs w:val="22"/>
        </w:rPr>
        <w:lastRenderedPageBreak/>
        <w:t xml:space="preserve">Les honoraires des consultants dont l’expertise acquise à l’international n’est pas nécessaire doivent être fondés sur la proposition financière comparée aux taux du marché local pour des travaux similaires de qualité, de complexité et de difficulté comparables. </w:t>
      </w:r>
    </w:p>
    <w:p w14:paraId="12CE7E6C" w14:textId="77777777" w:rsidR="00342695" w:rsidRPr="0087246C" w:rsidRDefault="00342695" w:rsidP="00342695">
      <w:pPr>
        <w:pStyle w:val="ListParagraph"/>
        <w:numPr>
          <w:ilvl w:val="0"/>
          <w:numId w:val="36"/>
        </w:numPr>
        <w:shd w:val="clear" w:color="auto" w:fill="FFFFFF"/>
        <w:spacing w:before="240" w:beforeAutospacing="0" w:after="0" w:afterAutospacing="0"/>
        <w:jc w:val="both"/>
        <w:textAlignment w:val="top"/>
        <w:rPr>
          <w:rFonts w:asciiTheme="minorHAnsi" w:hAnsiTheme="minorHAnsi" w:cstheme="minorHAnsi"/>
          <w:sz w:val="22"/>
          <w:szCs w:val="22"/>
        </w:rPr>
      </w:pPr>
      <w:r w:rsidRPr="0087246C">
        <w:rPr>
          <w:rFonts w:asciiTheme="minorHAnsi" w:hAnsiTheme="minorHAnsi" w:cstheme="minorHAnsi"/>
          <w:sz w:val="22"/>
          <w:szCs w:val="22"/>
        </w:rPr>
        <w:t>Les unités administratives peuvent élaborer et mettre en place un tableau des honoraires de consultation à utiliser comme référence par les consultants en fonction des taux en vigueur suivant leurs pays/régions. Le tableau doit être conçu sur la base d’une étude et d’une analyse du marché réelles effectuées par un expert ou une institution externe indépendante et compétente et doit servir de référence pour faciliter la détermination du rapport qualité-prix des différentes propositions financières à soumettre par les candidats.</w:t>
      </w:r>
    </w:p>
    <w:p w14:paraId="16D4ACC2" w14:textId="77777777" w:rsidR="00342695" w:rsidRPr="0087246C" w:rsidRDefault="00342695" w:rsidP="00342695">
      <w:pPr>
        <w:pStyle w:val="ListParagraph"/>
        <w:numPr>
          <w:ilvl w:val="0"/>
          <w:numId w:val="36"/>
        </w:numPr>
        <w:shd w:val="clear" w:color="auto" w:fill="FFFFFF"/>
        <w:spacing w:before="240" w:beforeAutospacing="0" w:after="0" w:afterAutospacing="0"/>
        <w:jc w:val="both"/>
        <w:textAlignment w:val="top"/>
        <w:rPr>
          <w:rFonts w:asciiTheme="minorHAnsi" w:hAnsiTheme="minorHAnsi" w:cstheme="minorHAnsi"/>
          <w:sz w:val="22"/>
          <w:szCs w:val="22"/>
        </w:rPr>
      </w:pPr>
      <w:r w:rsidRPr="0087246C">
        <w:rPr>
          <w:rFonts w:asciiTheme="minorHAnsi" w:hAnsiTheme="minorHAnsi" w:cstheme="minorHAnsi"/>
          <w:sz w:val="22"/>
          <w:szCs w:val="22"/>
        </w:rPr>
        <w:t>Dans les bureaux de pays, cette action peut être entreprise avec le concours d'autres agences résidentes des Nations Unies ou d'organisations internationales qui embauchent également des consultants individuels par le biais des mécanismes de coordination inter institutions existants (par ex. l’équipe de pays des Nations Unies, l’équipe de gestion opérationnelle, etc.).   </w:t>
      </w:r>
    </w:p>
    <w:p w14:paraId="43A4E744" w14:textId="77777777" w:rsidR="001F2EA4" w:rsidRPr="001F2EA4" w:rsidRDefault="00342695" w:rsidP="00342695">
      <w:pPr>
        <w:pStyle w:val="ListParagraph"/>
        <w:numPr>
          <w:ilvl w:val="0"/>
          <w:numId w:val="36"/>
        </w:numPr>
        <w:shd w:val="clear" w:color="auto" w:fill="FFFFFF"/>
        <w:spacing w:before="240" w:beforeAutospacing="0" w:after="0" w:afterAutospacing="0"/>
        <w:jc w:val="both"/>
        <w:textAlignment w:val="top"/>
        <w:rPr>
          <w:rFonts w:asciiTheme="minorHAnsi" w:hAnsiTheme="minorHAnsi" w:cstheme="minorHAnsi"/>
          <w:color w:val="333333"/>
          <w:sz w:val="22"/>
          <w:szCs w:val="22"/>
        </w:rPr>
      </w:pPr>
      <w:r w:rsidRPr="0087246C">
        <w:rPr>
          <w:rFonts w:asciiTheme="minorHAnsi" w:hAnsiTheme="minorHAnsi" w:cstheme="minorHAnsi"/>
          <w:sz w:val="22"/>
          <w:szCs w:val="22"/>
        </w:rPr>
        <w:t>Lorsqu’une unité administrative n’a pas créé son propre barème des prix, le tableau ci-dessous peut être utilisé :  </w:t>
      </w:r>
    </w:p>
    <w:tbl>
      <w:tblPr>
        <w:tblW w:w="4287" w:type="pct"/>
        <w:tblInd w:w="130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9"/>
        <w:gridCol w:w="3494"/>
        <w:gridCol w:w="3242"/>
      </w:tblGrid>
      <w:tr w:rsidR="00342695" w:rsidRPr="0087246C" w14:paraId="41B13435" w14:textId="77777777" w:rsidTr="001F2EA4">
        <w:tc>
          <w:tcPr>
            <w:tcW w:w="803" w:type="pct"/>
            <w:tcBorders>
              <w:top w:val="nil"/>
              <w:left w:val="nil"/>
              <w:bottom w:val="nil"/>
              <w:right w:val="nil"/>
            </w:tcBorders>
            <w:tcMar>
              <w:top w:w="15" w:type="dxa"/>
              <w:left w:w="15" w:type="dxa"/>
              <w:bottom w:w="15" w:type="dxa"/>
              <w:right w:w="15" w:type="dxa"/>
            </w:tcMar>
            <w:vAlign w:val="center"/>
            <w:hideMark/>
          </w:tcPr>
          <w:p w14:paraId="73FFB7DE" w14:textId="77777777" w:rsidR="00342695" w:rsidRPr="0087246C" w:rsidRDefault="00342695" w:rsidP="00342695">
            <w:pPr>
              <w:spacing w:before="100" w:beforeAutospacing="1" w:after="100" w:afterAutospacing="1" w:line="240" w:lineRule="auto"/>
              <w:jc w:val="both"/>
              <w:rPr>
                <w:rFonts w:eastAsia="Times New Roman" w:cstheme="minorHAnsi"/>
                <w:color w:val="333333"/>
              </w:rPr>
            </w:pPr>
            <w:r w:rsidRPr="0087246C">
              <w:rPr>
                <w:rFonts w:cstheme="minorHAnsi"/>
                <w:b/>
                <w:bCs/>
                <w:color w:val="333333"/>
              </w:rPr>
              <w:t xml:space="preserve">Niveau </w:t>
            </w:r>
          </w:p>
        </w:tc>
        <w:tc>
          <w:tcPr>
            <w:tcW w:w="2177" w:type="pct"/>
            <w:tcBorders>
              <w:top w:val="nil"/>
              <w:left w:val="nil"/>
              <w:bottom w:val="nil"/>
              <w:right w:val="nil"/>
            </w:tcBorders>
            <w:tcMar>
              <w:top w:w="15" w:type="dxa"/>
              <w:left w:w="15" w:type="dxa"/>
              <w:bottom w:w="15" w:type="dxa"/>
              <w:right w:w="15" w:type="dxa"/>
            </w:tcMar>
            <w:vAlign w:val="center"/>
            <w:hideMark/>
          </w:tcPr>
          <w:p w14:paraId="343DA22E" w14:textId="77777777" w:rsidR="00342695" w:rsidRPr="0087246C" w:rsidRDefault="00342695" w:rsidP="00342695">
            <w:pPr>
              <w:spacing w:before="100" w:beforeAutospacing="1" w:after="100" w:afterAutospacing="1" w:line="240" w:lineRule="auto"/>
              <w:jc w:val="both"/>
              <w:rPr>
                <w:rFonts w:eastAsia="Times New Roman" w:cstheme="minorHAnsi"/>
                <w:color w:val="333333"/>
              </w:rPr>
            </w:pPr>
            <w:r w:rsidRPr="0087246C">
              <w:rPr>
                <w:rFonts w:cstheme="minorHAnsi"/>
                <w:b/>
                <w:bCs/>
                <w:color w:val="333333"/>
              </w:rPr>
              <w:t>Complexité, niveau d’expertise, disponibilité</w:t>
            </w:r>
          </w:p>
        </w:tc>
        <w:tc>
          <w:tcPr>
            <w:tcW w:w="2020" w:type="pct"/>
            <w:tcBorders>
              <w:top w:val="nil"/>
              <w:left w:val="nil"/>
              <w:bottom w:val="nil"/>
              <w:right w:val="nil"/>
            </w:tcBorders>
            <w:tcMar>
              <w:top w:w="15" w:type="dxa"/>
              <w:left w:w="15" w:type="dxa"/>
              <w:bottom w:w="15" w:type="dxa"/>
              <w:right w:w="15" w:type="dxa"/>
            </w:tcMar>
            <w:vAlign w:val="center"/>
            <w:hideMark/>
          </w:tcPr>
          <w:p w14:paraId="3B839328" w14:textId="77777777" w:rsidR="00342695" w:rsidRPr="0087246C" w:rsidRDefault="00342695" w:rsidP="00342695">
            <w:pPr>
              <w:spacing w:before="100" w:beforeAutospacing="1" w:after="100" w:afterAutospacing="1" w:line="240" w:lineRule="auto"/>
              <w:jc w:val="both"/>
              <w:rPr>
                <w:rFonts w:eastAsia="Times New Roman" w:cstheme="minorHAnsi"/>
                <w:color w:val="333333"/>
              </w:rPr>
            </w:pPr>
            <w:r w:rsidRPr="0087246C">
              <w:rPr>
                <w:rFonts w:cstheme="minorHAnsi"/>
                <w:b/>
                <w:bCs/>
                <w:color w:val="333333"/>
              </w:rPr>
              <w:t>PLAGE DE TAUX JOURNALIERS EN USD</w:t>
            </w:r>
          </w:p>
        </w:tc>
      </w:tr>
      <w:tr w:rsidR="00342695" w:rsidRPr="0087246C" w14:paraId="3A4AEA47" w14:textId="77777777" w:rsidTr="001F2EA4">
        <w:tc>
          <w:tcPr>
            <w:tcW w:w="803" w:type="pct"/>
            <w:tcBorders>
              <w:top w:val="nil"/>
              <w:left w:val="nil"/>
              <w:bottom w:val="nil"/>
              <w:right w:val="nil"/>
            </w:tcBorders>
            <w:tcMar>
              <w:top w:w="15" w:type="dxa"/>
              <w:left w:w="15" w:type="dxa"/>
              <w:bottom w:w="15" w:type="dxa"/>
              <w:right w:w="15" w:type="dxa"/>
            </w:tcMar>
            <w:vAlign w:val="center"/>
            <w:hideMark/>
          </w:tcPr>
          <w:p w14:paraId="462CA474" w14:textId="77777777" w:rsidR="00342695" w:rsidRPr="0087246C" w:rsidRDefault="00342695" w:rsidP="00342695">
            <w:pPr>
              <w:spacing w:before="100" w:beforeAutospacing="1" w:after="100" w:afterAutospacing="1" w:line="240" w:lineRule="auto"/>
              <w:jc w:val="both"/>
              <w:rPr>
                <w:rFonts w:eastAsia="Times New Roman" w:cstheme="minorHAnsi"/>
                <w:color w:val="333333"/>
              </w:rPr>
            </w:pPr>
            <w:r w:rsidRPr="0087246C">
              <w:rPr>
                <w:rFonts w:cstheme="minorHAnsi"/>
                <w:color w:val="333333"/>
              </w:rPr>
              <w:t>A</w:t>
            </w:r>
          </w:p>
        </w:tc>
        <w:tc>
          <w:tcPr>
            <w:tcW w:w="2177" w:type="pct"/>
            <w:tcBorders>
              <w:top w:val="nil"/>
              <w:left w:val="nil"/>
              <w:bottom w:val="nil"/>
              <w:right w:val="nil"/>
            </w:tcBorders>
            <w:tcMar>
              <w:top w:w="15" w:type="dxa"/>
              <w:left w:w="15" w:type="dxa"/>
              <w:bottom w:w="15" w:type="dxa"/>
              <w:right w:w="15" w:type="dxa"/>
            </w:tcMar>
            <w:vAlign w:val="center"/>
            <w:hideMark/>
          </w:tcPr>
          <w:p w14:paraId="39ADCFC1" w14:textId="77777777" w:rsidR="00342695" w:rsidRPr="0087246C" w:rsidRDefault="00342695" w:rsidP="00342695">
            <w:pPr>
              <w:spacing w:before="100" w:beforeAutospacing="1" w:after="100" w:afterAutospacing="1" w:line="240" w:lineRule="auto"/>
              <w:jc w:val="both"/>
              <w:rPr>
                <w:rFonts w:eastAsia="Times New Roman" w:cstheme="minorHAnsi"/>
                <w:color w:val="333333"/>
              </w:rPr>
            </w:pPr>
            <w:r w:rsidRPr="0087246C">
              <w:rPr>
                <w:rFonts w:cstheme="minorHAnsi"/>
                <w:color w:val="333333"/>
              </w:rPr>
              <w:t>Spécialiste Junior</w:t>
            </w:r>
          </w:p>
        </w:tc>
        <w:tc>
          <w:tcPr>
            <w:tcW w:w="2020" w:type="pct"/>
            <w:tcBorders>
              <w:top w:val="nil"/>
              <w:left w:val="nil"/>
              <w:bottom w:val="nil"/>
              <w:right w:val="nil"/>
            </w:tcBorders>
            <w:tcMar>
              <w:top w:w="15" w:type="dxa"/>
              <w:left w:w="15" w:type="dxa"/>
              <w:bottom w:w="15" w:type="dxa"/>
              <w:right w:w="15" w:type="dxa"/>
            </w:tcMar>
            <w:vAlign w:val="center"/>
            <w:hideMark/>
          </w:tcPr>
          <w:p w14:paraId="5C08023E" w14:textId="66AB5A02" w:rsidR="00342695" w:rsidRPr="0087246C" w:rsidRDefault="00342695" w:rsidP="00342695">
            <w:pPr>
              <w:spacing w:before="100" w:beforeAutospacing="1" w:after="100" w:afterAutospacing="1" w:line="240" w:lineRule="auto"/>
              <w:jc w:val="both"/>
              <w:rPr>
                <w:rFonts w:eastAsia="Times New Roman" w:cstheme="minorHAnsi"/>
                <w:color w:val="333333"/>
              </w:rPr>
            </w:pPr>
            <w:r w:rsidRPr="0087246C">
              <w:rPr>
                <w:rFonts w:cstheme="minorHAnsi"/>
                <w:color w:val="333333"/>
              </w:rPr>
              <w:t xml:space="preserve">Entre 200 et </w:t>
            </w:r>
            <w:r w:rsidR="00445779">
              <w:rPr>
                <w:rFonts w:cstheme="minorHAnsi"/>
                <w:color w:val="333333"/>
              </w:rPr>
              <w:t>450</w:t>
            </w:r>
            <w:r w:rsidRPr="0087246C">
              <w:rPr>
                <w:rFonts w:cstheme="minorHAnsi"/>
                <w:color w:val="333333"/>
              </w:rPr>
              <w:t> USD</w:t>
            </w:r>
          </w:p>
        </w:tc>
      </w:tr>
      <w:tr w:rsidR="00342695" w:rsidRPr="0087246C" w14:paraId="26F1074C" w14:textId="77777777" w:rsidTr="001F2EA4">
        <w:tc>
          <w:tcPr>
            <w:tcW w:w="803" w:type="pct"/>
            <w:tcBorders>
              <w:top w:val="nil"/>
              <w:left w:val="nil"/>
              <w:bottom w:val="nil"/>
              <w:right w:val="nil"/>
            </w:tcBorders>
            <w:tcMar>
              <w:top w:w="15" w:type="dxa"/>
              <w:left w:w="15" w:type="dxa"/>
              <w:bottom w:w="15" w:type="dxa"/>
              <w:right w:w="15" w:type="dxa"/>
            </w:tcMar>
            <w:vAlign w:val="center"/>
            <w:hideMark/>
          </w:tcPr>
          <w:p w14:paraId="670A72E4" w14:textId="77777777" w:rsidR="00342695" w:rsidRPr="0087246C" w:rsidRDefault="00342695" w:rsidP="00342695">
            <w:pPr>
              <w:spacing w:before="100" w:beforeAutospacing="1" w:after="100" w:afterAutospacing="1" w:line="240" w:lineRule="auto"/>
              <w:jc w:val="both"/>
              <w:rPr>
                <w:rFonts w:eastAsia="Times New Roman" w:cstheme="minorHAnsi"/>
                <w:color w:val="333333"/>
              </w:rPr>
            </w:pPr>
            <w:r w:rsidRPr="0087246C">
              <w:rPr>
                <w:rFonts w:cstheme="minorHAnsi"/>
                <w:color w:val="333333"/>
              </w:rPr>
              <w:t>B</w:t>
            </w:r>
          </w:p>
        </w:tc>
        <w:tc>
          <w:tcPr>
            <w:tcW w:w="2177" w:type="pct"/>
            <w:tcBorders>
              <w:top w:val="nil"/>
              <w:left w:val="nil"/>
              <w:bottom w:val="nil"/>
              <w:right w:val="nil"/>
            </w:tcBorders>
            <w:tcMar>
              <w:top w:w="15" w:type="dxa"/>
              <w:left w:w="15" w:type="dxa"/>
              <w:bottom w:w="15" w:type="dxa"/>
              <w:right w:w="15" w:type="dxa"/>
            </w:tcMar>
            <w:vAlign w:val="center"/>
            <w:hideMark/>
          </w:tcPr>
          <w:p w14:paraId="16E69183" w14:textId="77777777" w:rsidR="00342695" w:rsidRPr="0087246C" w:rsidRDefault="00342695" w:rsidP="00342695">
            <w:pPr>
              <w:spacing w:before="100" w:beforeAutospacing="1" w:after="100" w:afterAutospacing="1" w:line="240" w:lineRule="auto"/>
              <w:jc w:val="both"/>
              <w:rPr>
                <w:rFonts w:eastAsia="Times New Roman" w:cstheme="minorHAnsi"/>
                <w:color w:val="333333"/>
              </w:rPr>
            </w:pPr>
            <w:r w:rsidRPr="0087246C">
              <w:rPr>
                <w:rFonts w:cstheme="minorHAnsi"/>
                <w:color w:val="333333"/>
              </w:rPr>
              <w:t>Spécialiste</w:t>
            </w:r>
          </w:p>
        </w:tc>
        <w:tc>
          <w:tcPr>
            <w:tcW w:w="2020" w:type="pct"/>
            <w:tcBorders>
              <w:top w:val="nil"/>
              <w:left w:val="nil"/>
              <w:bottom w:val="nil"/>
              <w:right w:val="nil"/>
            </w:tcBorders>
            <w:tcMar>
              <w:top w:w="15" w:type="dxa"/>
              <w:left w:w="15" w:type="dxa"/>
              <w:bottom w:w="15" w:type="dxa"/>
              <w:right w:w="15" w:type="dxa"/>
            </w:tcMar>
            <w:vAlign w:val="center"/>
            <w:hideMark/>
          </w:tcPr>
          <w:p w14:paraId="26690BA9" w14:textId="296043A1" w:rsidR="00342695" w:rsidRPr="0087246C" w:rsidRDefault="00342695" w:rsidP="00342695">
            <w:pPr>
              <w:spacing w:before="100" w:beforeAutospacing="1" w:after="100" w:afterAutospacing="1" w:line="240" w:lineRule="auto"/>
              <w:jc w:val="both"/>
              <w:rPr>
                <w:rFonts w:eastAsia="Times New Roman" w:cstheme="minorHAnsi"/>
                <w:color w:val="333333"/>
              </w:rPr>
            </w:pPr>
            <w:r w:rsidRPr="0087246C">
              <w:rPr>
                <w:rFonts w:cstheme="minorHAnsi"/>
                <w:color w:val="333333"/>
              </w:rPr>
              <w:t xml:space="preserve">Entre </w:t>
            </w:r>
            <w:r w:rsidR="00445779">
              <w:rPr>
                <w:rFonts w:cstheme="minorHAnsi"/>
                <w:color w:val="333333"/>
              </w:rPr>
              <w:t>450</w:t>
            </w:r>
            <w:r w:rsidRPr="0087246C">
              <w:rPr>
                <w:rFonts w:cstheme="minorHAnsi"/>
                <w:color w:val="333333"/>
              </w:rPr>
              <w:t xml:space="preserve"> et </w:t>
            </w:r>
            <w:r w:rsidR="00445779">
              <w:rPr>
                <w:rFonts w:cstheme="minorHAnsi"/>
                <w:color w:val="333333"/>
              </w:rPr>
              <w:t>900</w:t>
            </w:r>
            <w:r w:rsidRPr="0087246C">
              <w:rPr>
                <w:rFonts w:cstheme="minorHAnsi"/>
                <w:color w:val="333333"/>
              </w:rPr>
              <w:t> USD</w:t>
            </w:r>
          </w:p>
        </w:tc>
      </w:tr>
      <w:tr w:rsidR="00342695" w:rsidRPr="0087246C" w14:paraId="75C6CEC4" w14:textId="77777777" w:rsidTr="001F2EA4">
        <w:tc>
          <w:tcPr>
            <w:tcW w:w="803" w:type="pct"/>
            <w:tcBorders>
              <w:top w:val="nil"/>
              <w:left w:val="nil"/>
              <w:bottom w:val="nil"/>
              <w:right w:val="nil"/>
            </w:tcBorders>
            <w:tcMar>
              <w:top w:w="15" w:type="dxa"/>
              <w:left w:w="15" w:type="dxa"/>
              <w:bottom w:w="15" w:type="dxa"/>
              <w:right w:w="15" w:type="dxa"/>
            </w:tcMar>
            <w:vAlign w:val="center"/>
            <w:hideMark/>
          </w:tcPr>
          <w:p w14:paraId="07B1AB3B" w14:textId="77777777" w:rsidR="00342695" w:rsidRPr="0087246C" w:rsidRDefault="00342695" w:rsidP="00342695">
            <w:pPr>
              <w:spacing w:before="100" w:beforeAutospacing="1" w:after="100" w:afterAutospacing="1" w:line="240" w:lineRule="auto"/>
              <w:jc w:val="both"/>
              <w:rPr>
                <w:rFonts w:eastAsia="Times New Roman" w:cstheme="minorHAnsi"/>
                <w:color w:val="333333"/>
              </w:rPr>
            </w:pPr>
            <w:r w:rsidRPr="0087246C">
              <w:rPr>
                <w:rFonts w:cstheme="minorHAnsi"/>
                <w:color w:val="333333"/>
              </w:rPr>
              <w:t>C</w:t>
            </w:r>
          </w:p>
        </w:tc>
        <w:tc>
          <w:tcPr>
            <w:tcW w:w="2177" w:type="pct"/>
            <w:tcBorders>
              <w:top w:val="nil"/>
              <w:left w:val="nil"/>
              <w:bottom w:val="nil"/>
              <w:right w:val="nil"/>
            </w:tcBorders>
            <w:tcMar>
              <w:top w:w="15" w:type="dxa"/>
              <w:left w:w="15" w:type="dxa"/>
              <w:bottom w:w="15" w:type="dxa"/>
              <w:right w:w="15" w:type="dxa"/>
            </w:tcMar>
            <w:vAlign w:val="center"/>
            <w:hideMark/>
          </w:tcPr>
          <w:p w14:paraId="4602A7E3" w14:textId="77777777" w:rsidR="00342695" w:rsidRPr="0087246C" w:rsidRDefault="00342695" w:rsidP="00342695">
            <w:pPr>
              <w:spacing w:before="100" w:beforeAutospacing="1" w:after="100" w:afterAutospacing="1" w:line="240" w:lineRule="auto"/>
              <w:jc w:val="both"/>
              <w:rPr>
                <w:rFonts w:eastAsia="Times New Roman" w:cstheme="minorHAnsi"/>
                <w:color w:val="333333"/>
              </w:rPr>
            </w:pPr>
            <w:r w:rsidRPr="0087246C">
              <w:rPr>
                <w:rFonts w:cstheme="minorHAnsi"/>
                <w:color w:val="333333"/>
              </w:rPr>
              <w:t>Spécialiste Senior</w:t>
            </w:r>
          </w:p>
        </w:tc>
        <w:tc>
          <w:tcPr>
            <w:tcW w:w="2020" w:type="pct"/>
            <w:tcBorders>
              <w:top w:val="nil"/>
              <w:left w:val="nil"/>
              <w:bottom w:val="nil"/>
              <w:right w:val="nil"/>
            </w:tcBorders>
            <w:tcMar>
              <w:top w:w="15" w:type="dxa"/>
              <w:left w:w="15" w:type="dxa"/>
              <w:bottom w:w="15" w:type="dxa"/>
              <w:right w:w="15" w:type="dxa"/>
            </w:tcMar>
            <w:vAlign w:val="center"/>
            <w:hideMark/>
          </w:tcPr>
          <w:p w14:paraId="6EEF84CE" w14:textId="7E9901BB" w:rsidR="00342695" w:rsidRPr="0087246C" w:rsidRDefault="00342695" w:rsidP="00342695">
            <w:pPr>
              <w:spacing w:before="100" w:beforeAutospacing="1" w:after="100" w:afterAutospacing="1" w:line="240" w:lineRule="auto"/>
              <w:jc w:val="both"/>
              <w:rPr>
                <w:rFonts w:eastAsia="Times New Roman" w:cstheme="minorHAnsi"/>
                <w:color w:val="333333"/>
              </w:rPr>
            </w:pPr>
            <w:r w:rsidRPr="0087246C">
              <w:rPr>
                <w:rFonts w:cstheme="minorHAnsi"/>
                <w:color w:val="333333"/>
              </w:rPr>
              <w:t xml:space="preserve">Entre </w:t>
            </w:r>
            <w:r w:rsidR="00445779">
              <w:rPr>
                <w:rFonts w:cstheme="minorHAnsi"/>
                <w:color w:val="333333"/>
              </w:rPr>
              <w:t>900</w:t>
            </w:r>
            <w:r w:rsidRPr="0087246C">
              <w:rPr>
                <w:rFonts w:cstheme="minorHAnsi"/>
                <w:color w:val="333333"/>
              </w:rPr>
              <w:t xml:space="preserve"> et 1 </w:t>
            </w:r>
            <w:r w:rsidR="00445779">
              <w:rPr>
                <w:rFonts w:cstheme="minorHAnsi"/>
                <w:color w:val="333333"/>
              </w:rPr>
              <w:t>800</w:t>
            </w:r>
            <w:r w:rsidRPr="0087246C">
              <w:rPr>
                <w:rFonts w:cstheme="minorHAnsi"/>
                <w:color w:val="333333"/>
              </w:rPr>
              <w:t> USD</w:t>
            </w:r>
          </w:p>
        </w:tc>
      </w:tr>
    </w:tbl>
    <w:p w14:paraId="66F71FD3" w14:textId="77777777" w:rsidR="00342695" w:rsidRPr="0087246C" w:rsidRDefault="00342695" w:rsidP="00342695">
      <w:pPr>
        <w:shd w:val="clear" w:color="auto" w:fill="FFFFFF"/>
        <w:spacing w:after="0"/>
        <w:jc w:val="both"/>
        <w:textAlignment w:val="top"/>
        <w:rPr>
          <w:rFonts w:cstheme="minorHAnsi"/>
          <w:color w:val="000000"/>
        </w:rPr>
      </w:pPr>
    </w:p>
    <w:p w14:paraId="318CCDC6" w14:textId="77777777" w:rsidR="00342695" w:rsidRPr="0087246C" w:rsidRDefault="00342695" w:rsidP="00342695">
      <w:pPr>
        <w:pStyle w:val="Calibri11SubSubSub"/>
        <w:numPr>
          <w:ilvl w:val="0"/>
          <w:numId w:val="0"/>
        </w:numPr>
        <w:spacing w:before="0"/>
        <w:jc w:val="both"/>
        <w:rPr>
          <w:rFonts w:asciiTheme="minorHAnsi" w:hAnsiTheme="minorHAnsi" w:cstheme="minorHAnsi"/>
          <w:szCs w:val="22"/>
        </w:rPr>
      </w:pPr>
      <w:bookmarkStart w:id="29" w:name="_Toc208574068"/>
      <w:r w:rsidRPr="0087246C">
        <w:rPr>
          <w:rFonts w:asciiTheme="minorHAnsi" w:hAnsiTheme="minorHAnsi" w:cstheme="minorHAnsi"/>
          <w:szCs w:val="22"/>
        </w:rPr>
        <w:t>Taux de paiement mensuels fixes</w:t>
      </w:r>
      <w:bookmarkEnd w:id="29"/>
    </w:p>
    <w:p w14:paraId="01BF02E5" w14:textId="77777777" w:rsidR="00342695" w:rsidRPr="0087246C" w:rsidRDefault="00342695" w:rsidP="00342695">
      <w:pPr>
        <w:pStyle w:val="ListParagraph"/>
        <w:numPr>
          <w:ilvl w:val="0"/>
          <w:numId w:val="36"/>
        </w:numPr>
        <w:shd w:val="clear" w:color="auto" w:fill="FFFFFF"/>
        <w:spacing w:before="240" w:beforeAutospacing="0" w:after="0" w:afterAutospacing="0"/>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Le contrat individuel est spécialement conçu pour embaucher des individus payés selon les résultats qu’ils produisent pour le compte du PNUD. Le montant à payer pour chaque produit livrable varie généralement en fonction de sa complexité. À ce titre, les consultants ne peuvent pas recevoir un salaire fixe et identique à chaque mois calendaire. Les contrats d’engagement à durée déterminée, les contrats d’engagement temporaire et les contrats de services représentent les modalités contractuelles appropriées pour de telles exigences. Lorsque des circonstances exceptionnelles requièrent un système de paiement mensuel équitable, une explication/justification écrite doit être donnée et approuvée par le Chef de l’unité administrative. </w:t>
      </w:r>
    </w:p>
    <w:p w14:paraId="17DEB621" w14:textId="77777777" w:rsidR="00342695" w:rsidRPr="0087246C" w:rsidRDefault="00342695" w:rsidP="00342695">
      <w:pPr>
        <w:pStyle w:val="Calibri11"/>
        <w:numPr>
          <w:ilvl w:val="0"/>
          <w:numId w:val="0"/>
        </w:numPr>
        <w:spacing w:before="0"/>
        <w:jc w:val="both"/>
        <w:rPr>
          <w:rFonts w:asciiTheme="minorHAnsi" w:hAnsiTheme="minorHAnsi" w:cstheme="minorHAnsi"/>
          <w:szCs w:val="22"/>
        </w:rPr>
      </w:pPr>
    </w:p>
    <w:p w14:paraId="55FDC68A" w14:textId="4DD6D2EA" w:rsidR="00342695" w:rsidRPr="0087246C" w:rsidRDefault="00342695" w:rsidP="00342695">
      <w:pPr>
        <w:pStyle w:val="Calibri11"/>
        <w:numPr>
          <w:ilvl w:val="0"/>
          <w:numId w:val="0"/>
        </w:numPr>
        <w:spacing w:before="0"/>
        <w:jc w:val="both"/>
        <w:rPr>
          <w:rFonts w:asciiTheme="minorHAnsi" w:eastAsia="Times New Roman" w:hAnsiTheme="minorHAnsi" w:cstheme="minorHAnsi"/>
          <w:szCs w:val="22"/>
        </w:rPr>
      </w:pPr>
      <w:bookmarkStart w:id="30" w:name="_Toc208574069"/>
      <w:r w:rsidRPr="0087246C">
        <w:rPr>
          <w:rFonts w:asciiTheme="minorHAnsi" w:hAnsiTheme="minorHAnsi" w:cstheme="minorHAnsi"/>
          <w:szCs w:val="22"/>
        </w:rPr>
        <w:t>Sélection et embauche d’un consultant</w:t>
      </w:r>
      <w:bookmarkEnd w:id="30"/>
      <w:r w:rsidR="006F763E">
        <w:rPr>
          <w:rFonts w:asciiTheme="minorHAnsi" w:hAnsiTheme="minorHAnsi" w:cstheme="minorHAnsi"/>
          <w:szCs w:val="22"/>
        </w:rPr>
        <w:t xml:space="preserve"> </w:t>
      </w:r>
      <w:r w:rsidRPr="0087246C">
        <w:rPr>
          <w:rFonts w:asciiTheme="minorHAnsi" w:hAnsiTheme="minorHAnsi" w:cstheme="minorHAnsi"/>
          <w:vanish/>
          <w:szCs w:val="22"/>
        </w:rPr>
        <w:t>Structure Element - Relevant Policies</w:t>
      </w:r>
    </w:p>
    <w:p w14:paraId="03B66F9B" w14:textId="77777777" w:rsidR="00342695" w:rsidRPr="0087246C" w:rsidRDefault="00342695" w:rsidP="00342695">
      <w:pPr>
        <w:pStyle w:val="Calibri11Sub"/>
        <w:numPr>
          <w:ilvl w:val="0"/>
          <w:numId w:val="0"/>
        </w:numPr>
        <w:tabs>
          <w:tab w:val="clear" w:pos="900"/>
        </w:tabs>
        <w:spacing w:before="0"/>
        <w:jc w:val="both"/>
        <w:rPr>
          <w:rFonts w:cstheme="minorHAnsi"/>
          <w:szCs w:val="22"/>
        </w:rPr>
      </w:pPr>
      <w:bookmarkStart w:id="31" w:name="_Toc208574070"/>
      <w:r w:rsidRPr="0087246C">
        <w:rPr>
          <w:rFonts w:cstheme="minorHAnsi"/>
        </w:rPr>
        <w:t>Présentation du processus de sélection fondé sur les montants contractuels</w:t>
      </w:r>
      <w:bookmarkEnd w:id="31"/>
    </w:p>
    <w:p w14:paraId="08E44E20" w14:textId="77777777" w:rsidR="00342695" w:rsidRPr="0087246C" w:rsidRDefault="00342695" w:rsidP="00342695">
      <w:pPr>
        <w:pStyle w:val="ListParagraph"/>
        <w:numPr>
          <w:ilvl w:val="0"/>
          <w:numId w:val="36"/>
        </w:numPr>
        <w:shd w:val="clear" w:color="auto" w:fill="FFFFFF"/>
        <w:spacing w:before="240" w:beforeAutospacing="0" w:after="0" w:afterAutospacing="0"/>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Sauf indication contraire au titre de la présente politique, tous les consultants doivent être sélectionnés par le biais d’un processus de mise en concurrence établi par le titulaire d’une délégation d’autorité en matière d’achats.</w:t>
      </w:r>
      <w:r w:rsidRPr="0087246C">
        <w:rPr>
          <w:rFonts w:asciiTheme="minorHAnsi" w:hAnsiTheme="minorHAnsi" w:cstheme="minorHAnsi"/>
          <w:sz w:val="22"/>
          <w:szCs w:val="22"/>
        </w:rPr>
        <w:t> </w:t>
      </w:r>
    </w:p>
    <w:p w14:paraId="3995D9AC" w14:textId="77777777" w:rsidR="00342695" w:rsidRPr="0087246C" w:rsidRDefault="00342695" w:rsidP="00342695">
      <w:pPr>
        <w:pStyle w:val="ListParagraph"/>
        <w:numPr>
          <w:ilvl w:val="0"/>
          <w:numId w:val="36"/>
        </w:numPr>
        <w:shd w:val="clear" w:color="auto" w:fill="FFFFFF"/>
        <w:spacing w:before="240" w:beforeAutospacing="0" w:after="0" w:afterAutospacing="0"/>
        <w:jc w:val="both"/>
        <w:textAlignment w:val="top"/>
        <w:rPr>
          <w:rFonts w:asciiTheme="minorHAnsi" w:hAnsiTheme="minorHAnsi" w:cstheme="minorHAnsi"/>
          <w:color w:val="000000"/>
          <w:sz w:val="22"/>
          <w:szCs w:val="22"/>
        </w:rPr>
      </w:pPr>
      <w:r w:rsidRPr="0087246C">
        <w:rPr>
          <w:rFonts w:asciiTheme="minorHAnsi" w:hAnsiTheme="minorHAnsi" w:cstheme="minorHAnsi"/>
          <w:sz w:val="22"/>
          <w:szCs w:val="22"/>
        </w:rPr>
        <w:t>En initiant le processus de sélection, l’unité requérante doit d’abord déterminer si des services intellectuels ou d’appui sont requis. Cette distinction doit se traduire dans les termes de références, la méthode d’évaluation et les modalités de paiement. Les exigences minimales varient, en fonction de la valeur du contrat, comme le résume le tableau suivant :</w:t>
      </w:r>
    </w:p>
    <w:p w14:paraId="44CC703A" w14:textId="77777777" w:rsidR="00342695" w:rsidRPr="0087246C" w:rsidRDefault="00342695" w:rsidP="00342695">
      <w:pPr>
        <w:pStyle w:val="ListParagraph"/>
        <w:shd w:val="clear" w:color="auto" w:fill="FFFFFF"/>
        <w:spacing w:before="240" w:beforeAutospacing="0" w:after="0" w:afterAutospacing="0"/>
        <w:ind w:left="1080"/>
        <w:jc w:val="both"/>
        <w:textAlignment w:val="top"/>
        <w:rPr>
          <w:rFonts w:asciiTheme="minorHAnsi" w:hAnsiTheme="minorHAnsi" w:cstheme="minorHAnsi"/>
          <w:color w:val="000000"/>
          <w:sz w:val="22"/>
          <w:szCs w:val="22"/>
        </w:rPr>
      </w:pPr>
    </w:p>
    <w:tbl>
      <w:tblPr>
        <w:tblW w:w="10080" w:type="dxa"/>
        <w:tblInd w:w="-252" w:type="dxa"/>
        <w:tblCellMar>
          <w:left w:w="0" w:type="dxa"/>
          <w:right w:w="0" w:type="dxa"/>
        </w:tblCellMar>
        <w:tblLook w:val="04A0" w:firstRow="1" w:lastRow="0" w:firstColumn="1" w:lastColumn="0" w:noHBand="0" w:noVBand="1"/>
      </w:tblPr>
      <w:tblGrid>
        <w:gridCol w:w="1471"/>
        <w:gridCol w:w="1907"/>
        <w:gridCol w:w="1301"/>
        <w:gridCol w:w="1496"/>
        <w:gridCol w:w="1538"/>
        <w:gridCol w:w="2367"/>
      </w:tblGrid>
      <w:tr w:rsidR="00342695" w:rsidRPr="0087246C" w14:paraId="21E152D1" w14:textId="77777777" w:rsidTr="00342695">
        <w:trPr>
          <w:trHeight w:val="554"/>
        </w:trPr>
        <w:tc>
          <w:tcPr>
            <w:tcW w:w="1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1FA4B9E" w14:textId="77777777" w:rsidR="00342695" w:rsidRPr="0087246C" w:rsidRDefault="00342695" w:rsidP="00342695">
            <w:pPr>
              <w:spacing w:before="100" w:beforeAutospacing="1" w:after="100" w:afterAutospacing="1" w:line="240" w:lineRule="auto"/>
              <w:jc w:val="both"/>
              <w:rPr>
                <w:rFonts w:eastAsia="Times New Roman" w:cstheme="minorHAnsi"/>
                <w:color w:val="333333"/>
              </w:rPr>
            </w:pPr>
            <w:r w:rsidRPr="0087246C">
              <w:rPr>
                <w:rFonts w:cstheme="minorHAnsi"/>
                <w:b/>
                <w:bCs/>
                <w:color w:val="333333"/>
              </w:rPr>
              <w:lastRenderedPageBreak/>
              <w:t>Montant en USD</w:t>
            </w:r>
          </w:p>
        </w:tc>
        <w:tc>
          <w:tcPr>
            <w:tcW w:w="198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A33D17A" w14:textId="77777777" w:rsidR="00342695" w:rsidRPr="0087246C" w:rsidRDefault="00342695" w:rsidP="00342695">
            <w:pPr>
              <w:spacing w:before="100" w:beforeAutospacing="1" w:after="100" w:afterAutospacing="1" w:line="240" w:lineRule="auto"/>
              <w:jc w:val="both"/>
              <w:rPr>
                <w:rFonts w:eastAsia="Times New Roman" w:cstheme="minorHAnsi"/>
                <w:color w:val="333333"/>
              </w:rPr>
            </w:pPr>
            <w:r w:rsidRPr="0087246C">
              <w:rPr>
                <w:rFonts w:cstheme="minorHAnsi"/>
                <w:b/>
                <w:bCs/>
                <w:color w:val="333333"/>
              </w:rPr>
              <w:t>Recrutement</w:t>
            </w:r>
          </w:p>
        </w:tc>
        <w:tc>
          <w:tcPr>
            <w:tcW w:w="117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0F81083" w14:textId="77777777" w:rsidR="00342695" w:rsidRPr="0087246C" w:rsidRDefault="00342695" w:rsidP="00342695">
            <w:pPr>
              <w:spacing w:before="100" w:beforeAutospacing="1" w:after="100" w:afterAutospacing="1" w:line="240" w:lineRule="auto"/>
              <w:jc w:val="both"/>
              <w:rPr>
                <w:rFonts w:eastAsia="Times New Roman" w:cstheme="minorHAnsi"/>
                <w:color w:val="333333"/>
              </w:rPr>
            </w:pPr>
            <w:r w:rsidRPr="0087246C">
              <w:rPr>
                <w:rFonts w:cstheme="minorHAnsi"/>
                <w:b/>
                <w:bCs/>
                <w:color w:val="333333"/>
              </w:rPr>
              <w:t>Réception des offres, notamment financières</w:t>
            </w:r>
          </w:p>
        </w:tc>
        <w:tc>
          <w:tcPr>
            <w:tcW w:w="151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79E273D" w14:textId="77777777" w:rsidR="00342695" w:rsidRPr="0087246C" w:rsidRDefault="00342695" w:rsidP="00342695">
            <w:pPr>
              <w:spacing w:before="100" w:beforeAutospacing="1" w:after="100" w:afterAutospacing="1" w:line="240" w:lineRule="auto"/>
              <w:jc w:val="both"/>
              <w:rPr>
                <w:rFonts w:eastAsia="Times New Roman" w:cstheme="minorHAnsi"/>
                <w:color w:val="333333"/>
              </w:rPr>
            </w:pPr>
            <w:r w:rsidRPr="0087246C">
              <w:rPr>
                <w:rFonts w:cstheme="minorHAnsi"/>
                <w:b/>
                <w:bCs/>
                <w:color w:val="333333"/>
              </w:rPr>
              <w:t>Évaluation</w:t>
            </w:r>
          </w:p>
        </w:tc>
        <w:tc>
          <w:tcPr>
            <w:tcW w:w="154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39542B19" w14:textId="77777777" w:rsidR="00342695" w:rsidRPr="0087246C" w:rsidRDefault="00342695" w:rsidP="00342695">
            <w:pPr>
              <w:spacing w:before="100" w:beforeAutospacing="1" w:after="100" w:afterAutospacing="1" w:line="240" w:lineRule="auto"/>
              <w:jc w:val="both"/>
              <w:rPr>
                <w:rFonts w:eastAsia="Times New Roman" w:cstheme="minorHAnsi"/>
                <w:color w:val="333333"/>
              </w:rPr>
            </w:pPr>
            <w:r w:rsidRPr="0087246C">
              <w:rPr>
                <w:rFonts w:cstheme="minorHAnsi"/>
                <w:b/>
                <w:bCs/>
                <w:color w:val="333333"/>
              </w:rPr>
              <w:t>Vérification des références des candidats sélectionnés</w:t>
            </w:r>
          </w:p>
        </w:tc>
        <w:tc>
          <w:tcPr>
            <w:tcW w:w="252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D06330C" w14:textId="77777777" w:rsidR="00342695" w:rsidRPr="0087246C" w:rsidRDefault="00342695" w:rsidP="00342695">
            <w:pPr>
              <w:spacing w:before="100" w:beforeAutospacing="1" w:after="100" w:afterAutospacing="1" w:line="240" w:lineRule="auto"/>
              <w:jc w:val="both"/>
              <w:rPr>
                <w:rFonts w:eastAsia="Times New Roman" w:cstheme="minorHAnsi"/>
                <w:color w:val="333333"/>
              </w:rPr>
            </w:pPr>
            <w:r w:rsidRPr="0087246C">
              <w:rPr>
                <w:rFonts w:cstheme="minorHAnsi"/>
                <w:b/>
                <w:bCs/>
                <w:color w:val="333333"/>
              </w:rPr>
              <w:t>Examen et approbation de l’attribution de contrats</w:t>
            </w:r>
          </w:p>
        </w:tc>
      </w:tr>
      <w:tr w:rsidR="00342695" w:rsidRPr="0087246C" w14:paraId="18468A0D" w14:textId="77777777" w:rsidTr="00342695">
        <w:trPr>
          <w:trHeight w:val="1520"/>
        </w:trPr>
        <w:tc>
          <w:tcPr>
            <w:tcW w:w="135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C32CE5A" w14:textId="77777777" w:rsidR="00342695" w:rsidRPr="0087246C" w:rsidRDefault="00342695" w:rsidP="00342695">
            <w:pPr>
              <w:spacing w:before="100" w:beforeAutospacing="1" w:after="100" w:afterAutospacing="1" w:line="240" w:lineRule="auto"/>
              <w:jc w:val="both"/>
              <w:rPr>
                <w:rFonts w:eastAsia="Times New Roman" w:cstheme="minorHAnsi"/>
                <w:color w:val="333333"/>
              </w:rPr>
            </w:pPr>
          </w:p>
          <w:p w14:paraId="242335E7" w14:textId="4EE44C82" w:rsidR="00342695" w:rsidRPr="0087246C" w:rsidRDefault="00342695" w:rsidP="00342695">
            <w:pPr>
              <w:spacing w:before="100" w:beforeAutospacing="1" w:after="100" w:afterAutospacing="1" w:line="240" w:lineRule="auto"/>
              <w:jc w:val="both"/>
              <w:rPr>
                <w:rFonts w:eastAsia="Times New Roman" w:cstheme="minorHAnsi"/>
                <w:color w:val="333333"/>
              </w:rPr>
            </w:pPr>
            <w:r w:rsidRPr="0087246C">
              <w:rPr>
                <w:rFonts w:cstheme="minorHAnsi"/>
                <w:b/>
                <w:bCs/>
                <w:color w:val="333333"/>
              </w:rPr>
              <w:t xml:space="preserve">Inférieur à </w:t>
            </w:r>
            <w:r w:rsidR="00445779">
              <w:rPr>
                <w:rFonts w:cstheme="minorHAnsi"/>
                <w:b/>
                <w:bCs/>
                <w:color w:val="333333"/>
              </w:rPr>
              <w:t>7</w:t>
            </w:r>
            <w:r w:rsidRPr="0087246C">
              <w:rPr>
                <w:rFonts w:cstheme="minorHAnsi"/>
                <w:b/>
                <w:bCs/>
                <w:color w:val="333333"/>
              </w:rPr>
              <w:t> 000 USD</w:t>
            </w:r>
          </w:p>
        </w:tc>
        <w:tc>
          <w:tcPr>
            <w:tcW w:w="198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5D7A546" w14:textId="77777777" w:rsidR="00342695" w:rsidRPr="0087246C" w:rsidRDefault="00342695" w:rsidP="00342695">
            <w:pPr>
              <w:spacing w:before="100" w:beforeAutospacing="1" w:after="100" w:afterAutospacing="1" w:line="240" w:lineRule="auto"/>
              <w:jc w:val="both"/>
              <w:rPr>
                <w:rFonts w:eastAsia="Times New Roman" w:cstheme="minorHAnsi"/>
                <w:color w:val="333333"/>
              </w:rPr>
            </w:pPr>
            <w:r w:rsidRPr="0087246C">
              <w:rPr>
                <w:rFonts w:cstheme="minorHAnsi"/>
                <w:color w:val="333333"/>
              </w:rPr>
              <w:t> Aucun processus de mise en concurrence n’est nécessaire, l’examen des performances antérieures et la note au dossier suffisent</w:t>
            </w:r>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CEC5DC5" w14:textId="77777777" w:rsidR="00342695" w:rsidRPr="0087246C" w:rsidRDefault="00342695" w:rsidP="00342695">
            <w:pPr>
              <w:spacing w:before="100" w:beforeAutospacing="1" w:after="100" w:afterAutospacing="1" w:line="240" w:lineRule="auto"/>
              <w:jc w:val="both"/>
              <w:rPr>
                <w:rFonts w:eastAsia="Times New Roman" w:cstheme="minorHAnsi"/>
                <w:color w:val="333333"/>
              </w:rPr>
            </w:pPr>
            <w:r w:rsidRPr="0087246C">
              <w:rPr>
                <w:rFonts w:cstheme="minorHAnsi"/>
                <w:color w:val="333333"/>
              </w:rPr>
              <w:t>Oui, même s’il ne s’agit que d’un candidat</w:t>
            </w:r>
          </w:p>
          <w:p w14:paraId="42D64BC6" w14:textId="77777777" w:rsidR="00342695" w:rsidRPr="0087246C" w:rsidRDefault="00342695" w:rsidP="00342695">
            <w:pPr>
              <w:spacing w:before="100" w:beforeAutospacing="1" w:after="100" w:afterAutospacing="1" w:line="240" w:lineRule="auto"/>
              <w:jc w:val="both"/>
              <w:rPr>
                <w:rFonts w:eastAsia="Times New Roman" w:cstheme="minorHAnsi"/>
                <w:color w:val="333333"/>
              </w:rPr>
            </w:pPr>
          </w:p>
        </w:tc>
        <w:tc>
          <w:tcPr>
            <w:tcW w:w="151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225B27D" w14:textId="77777777" w:rsidR="00342695" w:rsidRPr="0087246C" w:rsidRDefault="00342695" w:rsidP="00342695">
            <w:pPr>
              <w:spacing w:before="100" w:beforeAutospacing="1" w:after="100" w:afterAutospacing="1" w:line="240" w:lineRule="auto"/>
              <w:jc w:val="both"/>
              <w:rPr>
                <w:rFonts w:eastAsia="Times New Roman" w:cstheme="minorHAnsi"/>
                <w:color w:val="333333"/>
              </w:rPr>
            </w:pPr>
            <w:r w:rsidRPr="0087246C">
              <w:rPr>
                <w:rFonts w:cstheme="minorHAnsi"/>
                <w:color w:val="333333"/>
              </w:rPr>
              <w:t>Examen par rapport aux critères établis et présentation d’une note au dossier</w:t>
            </w:r>
          </w:p>
        </w:tc>
        <w:tc>
          <w:tcPr>
            <w:tcW w:w="154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B3D2ACB" w14:textId="77777777" w:rsidR="00342695" w:rsidRPr="0087246C" w:rsidRDefault="00342695" w:rsidP="00342695">
            <w:pPr>
              <w:spacing w:before="100" w:beforeAutospacing="1" w:after="100" w:afterAutospacing="1" w:line="240" w:lineRule="auto"/>
              <w:jc w:val="both"/>
              <w:rPr>
                <w:rFonts w:eastAsia="Times New Roman" w:cstheme="minorHAnsi"/>
                <w:color w:val="333333"/>
              </w:rPr>
            </w:pPr>
            <w:r w:rsidRPr="0087246C">
              <w:rPr>
                <w:rFonts w:cstheme="minorHAnsi"/>
                <w:color w:val="333333"/>
              </w:rPr>
              <w:t>À déterminer par l’unité administrative en fonction de la nature de la tâche</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49F8F3B" w14:textId="77777777" w:rsidR="00342695" w:rsidRPr="0087246C" w:rsidRDefault="00342695" w:rsidP="00342695">
            <w:pPr>
              <w:spacing w:before="100" w:beforeAutospacing="1" w:after="100" w:afterAutospacing="1" w:line="240" w:lineRule="auto"/>
              <w:jc w:val="both"/>
              <w:rPr>
                <w:rFonts w:eastAsia="Times New Roman" w:cstheme="minorHAnsi"/>
                <w:color w:val="333333"/>
              </w:rPr>
            </w:pPr>
            <w:r w:rsidRPr="0087246C">
              <w:rPr>
                <w:rFonts w:cstheme="minorHAnsi"/>
                <w:color w:val="333333"/>
              </w:rPr>
              <w:t>L’équipe d’évaluation prépare et signe la note au dossier pour soumettre à l’approbation de l’autorité en matière d’achats</w:t>
            </w:r>
          </w:p>
        </w:tc>
      </w:tr>
      <w:tr w:rsidR="00342695" w:rsidRPr="0087246C" w14:paraId="1466F736" w14:textId="77777777" w:rsidTr="00342695">
        <w:trPr>
          <w:trHeight w:val="350"/>
        </w:trPr>
        <w:tc>
          <w:tcPr>
            <w:tcW w:w="135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52AD05D" w14:textId="73662F3E" w:rsidR="00342695" w:rsidRPr="0087246C" w:rsidRDefault="00342695" w:rsidP="00342695">
            <w:pPr>
              <w:spacing w:before="100" w:beforeAutospacing="1" w:after="100" w:afterAutospacing="1" w:line="240" w:lineRule="auto"/>
              <w:jc w:val="both"/>
              <w:rPr>
                <w:rFonts w:eastAsia="Times New Roman" w:cstheme="minorHAnsi"/>
                <w:color w:val="333333"/>
              </w:rPr>
            </w:pPr>
            <w:r w:rsidRPr="0087246C">
              <w:rPr>
                <w:rFonts w:cstheme="minorHAnsi"/>
                <w:b/>
                <w:bCs/>
                <w:color w:val="333333"/>
              </w:rPr>
              <w:t xml:space="preserve">Entre </w:t>
            </w:r>
            <w:r w:rsidR="00445779">
              <w:rPr>
                <w:rFonts w:cstheme="minorHAnsi"/>
                <w:b/>
                <w:bCs/>
                <w:color w:val="333333"/>
              </w:rPr>
              <w:t>7</w:t>
            </w:r>
            <w:r w:rsidRPr="0087246C">
              <w:rPr>
                <w:rFonts w:cstheme="minorHAnsi"/>
                <w:b/>
                <w:bCs/>
                <w:color w:val="333333"/>
              </w:rPr>
              <w:t> 000 USD et 1</w:t>
            </w:r>
            <w:r w:rsidR="00445779">
              <w:rPr>
                <w:rFonts w:cstheme="minorHAnsi"/>
                <w:b/>
                <w:bCs/>
                <w:color w:val="333333"/>
              </w:rPr>
              <w:t>5</w:t>
            </w:r>
            <w:r w:rsidRPr="0087246C">
              <w:rPr>
                <w:rFonts w:cstheme="minorHAnsi"/>
                <w:b/>
                <w:bCs/>
                <w:color w:val="333333"/>
              </w:rPr>
              <w:t xml:space="preserve">0 000 USD   </w:t>
            </w:r>
          </w:p>
        </w:tc>
        <w:tc>
          <w:tcPr>
            <w:tcW w:w="198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688701B" w14:textId="77777777" w:rsidR="00342695" w:rsidRPr="0087246C" w:rsidRDefault="00342695" w:rsidP="00342695">
            <w:pPr>
              <w:spacing w:before="100" w:beforeAutospacing="1" w:after="100" w:afterAutospacing="1" w:line="240" w:lineRule="auto"/>
              <w:jc w:val="both"/>
              <w:rPr>
                <w:rFonts w:eastAsia="Times New Roman" w:cstheme="minorHAnsi"/>
                <w:color w:val="333333"/>
              </w:rPr>
            </w:pPr>
            <w:r w:rsidRPr="0087246C">
              <w:rPr>
                <w:rFonts w:cstheme="minorHAnsi"/>
                <w:color w:val="333333"/>
              </w:rPr>
              <w:t>Au moins trois candidatures éligibles à considérer</w:t>
            </w:r>
          </w:p>
          <w:p w14:paraId="2B417A00" w14:textId="77777777" w:rsidR="00342695" w:rsidRPr="0087246C" w:rsidRDefault="00342695" w:rsidP="00342695">
            <w:pPr>
              <w:spacing w:before="100" w:beforeAutospacing="1" w:after="100" w:afterAutospacing="1" w:line="240" w:lineRule="auto"/>
              <w:jc w:val="both"/>
              <w:rPr>
                <w:rFonts w:eastAsia="Times New Roman" w:cstheme="minorHAnsi"/>
                <w:color w:val="333333"/>
              </w:rPr>
            </w:pPr>
            <w:r w:rsidRPr="0087246C">
              <w:rPr>
                <w:rFonts w:cstheme="minorHAnsi"/>
                <w:color w:val="333333"/>
              </w:rPr>
              <w:t>Publicité facultative</w:t>
            </w:r>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9F222B4" w14:textId="77777777" w:rsidR="00342695" w:rsidRPr="0087246C" w:rsidRDefault="00342695" w:rsidP="00342695">
            <w:pPr>
              <w:spacing w:before="100" w:beforeAutospacing="1" w:after="100" w:afterAutospacing="1" w:line="240" w:lineRule="auto"/>
              <w:jc w:val="both"/>
              <w:rPr>
                <w:rFonts w:eastAsia="Times New Roman" w:cstheme="minorHAnsi"/>
                <w:color w:val="333333"/>
              </w:rPr>
            </w:pPr>
            <w:r w:rsidRPr="0087246C">
              <w:rPr>
                <w:rFonts w:cstheme="minorHAnsi"/>
                <w:color w:val="333333"/>
              </w:rPr>
              <w:t>Oui</w:t>
            </w:r>
          </w:p>
        </w:tc>
        <w:tc>
          <w:tcPr>
            <w:tcW w:w="151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929F88F" w14:textId="77777777" w:rsidR="00342695" w:rsidRPr="0087246C" w:rsidRDefault="00342695" w:rsidP="00342695">
            <w:pPr>
              <w:spacing w:before="100" w:beforeAutospacing="1" w:after="100" w:afterAutospacing="1" w:line="240" w:lineRule="auto"/>
              <w:jc w:val="both"/>
              <w:rPr>
                <w:rFonts w:eastAsia="Times New Roman" w:cstheme="minorHAnsi"/>
                <w:color w:val="333333"/>
              </w:rPr>
            </w:pPr>
            <w:r w:rsidRPr="0087246C">
              <w:rPr>
                <w:rFonts w:cstheme="minorHAnsi"/>
                <w:color w:val="333333"/>
              </w:rPr>
              <w:t>Examen sur dossier par rapport aux critères, l’entretien est facultatif</w:t>
            </w:r>
          </w:p>
        </w:tc>
        <w:tc>
          <w:tcPr>
            <w:tcW w:w="154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A313D05" w14:textId="77777777" w:rsidR="00342695" w:rsidRPr="0087246C" w:rsidRDefault="00342695" w:rsidP="00342695">
            <w:pPr>
              <w:spacing w:before="100" w:beforeAutospacing="1" w:after="100" w:afterAutospacing="1" w:line="240" w:lineRule="auto"/>
              <w:jc w:val="both"/>
              <w:rPr>
                <w:rFonts w:eastAsia="Times New Roman" w:cstheme="minorHAnsi"/>
                <w:color w:val="333333"/>
              </w:rPr>
            </w:pPr>
            <w:r w:rsidRPr="0087246C">
              <w:rPr>
                <w:rFonts w:cstheme="minorHAnsi"/>
                <w:color w:val="333333"/>
              </w:rPr>
              <w:t>Oui</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DFED60F" w14:textId="77777777" w:rsidR="00342695" w:rsidRPr="0087246C" w:rsidRDefault="00342695" w:rsidP="00342695">
            <w:pPr>
              <w:spacing w:before="100" w:beforeAutospacing="1" w:after="100" w:afterAutospacing="1" w:line="240" w:lineRule="auto"/>
              <w:jc w:val="both"/>
              <w:rPr>
                <w:rFonts w:eastAsia="Times New Roman" w:cstheme="minorHAnsi"/>
                <w:color w:val="333333"/>
              </w:rPr>
            </w:pPr>
            <w:r w:rsidRPr="0087246C">
              <w:rPr>
                <w:rFonts w:cstheme="minorHAnsi"/>
                <w:color w:val="333333"/>
              </w:rPr>
              <w:t xml:space="preserve">Approbation de la délégation d’autorité en matière d’achats </w:t>
            </w:r>
          </w:p>
        </w:tc>
      </w:tr>
      <w:tr w:rsidR="00342695" w:rsidRPr="0087246C" w14:paraId="64FB500A" w14:textId="77777777" w:rsidTr="00342695">
        <w:trPr>
          <w:trHeight w:val="350"/>
        </w:trPr>
        <w:tc>
          <w:tcPr>
            <w:tcW w:w="135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D268C76" w14:textId="322F4FF1" w:rsidR="00342695" w:rsidRPr="0087246C" w:rsidRDefault="00342695" w:rsidP="00342695">
            <w:pPr>
              <w:spacing w:before="100" w:beforeAutospacing="1" w:after="100" w:afterAutospacing="1" w:line="240" w:lineRule="auto"/>
              <w:jc w:val="both"/>
              <w:rPr>
                <w:rFonts w:eastAsia="Times New Roman" w:cstheme="minorHAnsi"/>
                <w:color w:val="333333"/>
              </w:rPr>
            </w:pPr>
            <w:r w:rsidRPr="0087246C">
              <w:rPr>
                <w:rFonts w:cstheme="minorHAnsi"/>
                <w:b/>
                <w:bCs/>
                <w:color w:val="333333"/>
              </w:rPr>
              <w:t>Supérieur à 1</w:t>
            </w:r>
            <w:r w:rsidR="00445779">
              <w:rPr>
                <w:rFonts w:cstheme="minorHAnsi"/>
                <w:b/>
                <w:bCs/>
                <w:color w:val="333333"/>
              </w:rPr>
              <w:t>5</w:t>
            </w:r>
            <w:r w:rsidRPr="0087246C">
              <w:rPr>
                <w:rFonts w:cstheme="minorHAnsi"/>
                <w:b/>
                <w:bCs/>
                <w:color w:val="333333"/>
              </w:rPr>
              <w:t xml:space="preserve">0 000 USD   </w:t>
            </w:r>
          </w:p>
        </w:tc>
        <w:tc>
          <w:tcPr>
            <w:tcW w:w="198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AE76D66" w14:textId="77777777" w:rsidR="00342695" w:rsidRPr="0087246C" w:rsidRDefault="00342695" w:rsidP="00342695">
            <w:pPr>
              <w:spacing w:before="100" w:beforeAutospacing="1" w:after="100" w:afterAutospacing="1" w:line="240" w:lineRule="auto"/>
              <w:jc w:val="both"/>
              <w:rPr>
                <w:rFonts w:eastAsia="Times New Roman" w:cstheme="minorHAnsi"/>
                <w:color w:val="333333"/>
              </w:rPr>
            </w:pPr>
            <w:r w:rsidRPr="0087246C">
              <w:rPr>
                <w:rFonts w:cstheme="minorHAnsi"/>
                <w:color w:val="333333"/>
              </w:rPr>
              <w:t>International</w:t>
            </w:r>
          </w:p>
          <w:p w14:paraId="7B5CB66C" w14:textId="77777777" w:rsidR="00342695" w:rsidRPr="0087246C" w:rsidRDefault="00342695" w:rsidP="00342695">
            <w:pPr>
              <w:spacing w:before="100" w:beforeAutospacing="1" w:after="100" w:afterAutospacing="1" w:line="240" w:lineRule="auto"/>
              <w:jc w:val="both"/>
              <w:rPr>
                <w:rFonts w:eastAsia="Times New Roman" w:cstheme="minorHAnsi"/>
                <w:color w:val="333333"/>
              </w:rPr>
            </w:pPr>
            <w:r w:rsidRPr="0087246C">
              <w:rPr>
                <w:rFonts w:cstheme="minorHAnsi"/>
                <w:color w:val="333333"/>
              </w:rPr>
              <w:t>Publicité obligatoire*</w:t>
            </w:r>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ECF3B4E" w14:textId="77777777" w:rsidR="00342695" w:rsidRPr="0087246C" w:rsidRDefault="00342695" w:rsidP="00342695">
            <w:pPr>
              <w:spacing w:before="100" w:beforeAutospacing="1" w:after="100" w:afterAutospacing="1" w:line="240" w:lineRule="auto"/>
              <w:jc w:val="both"/>
              <w:rPr>
                <w:rFonts w:eastAsia="Times New Roman" w:cstheme="minorHAnsi"/>
                <w:color w:val="333333"/>
              </w:rPr>
            </w:pPr>
            <w:r w:rsidRPr="0087246C">
              <w:rPr>
                <w:rFonts w:cstheme="minorHAnsi"/>
                <w:color w:val="333333"/>
              </w:rPr>
              <w:t>Oui</w:t>
            </w:r>
          </w:p>
        </w:tc>
        <w:tc>
          <w:tcPr>
            <w:tcW w:w="151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F22F2BB" w14:textId="77777777" w:rsidR="00342695" w:rsidRPr="0087246C" w:rsidRDefault="00342695" w:rsidP="00342695">
            <w:pPr>
              <w:spacing w:before="100" w:beforeAutospacing="1" w:after="100" w:afterAutospacing="1" w:line="240" w:lineRule="auto"/>
              <w:jc w:val="both"/>
              <w:rPr>
                <w:rFonts w:eastAsia="Times New Roman" w:cstheme="minorHAnsi"/>
                <w:color w:val="333333"/>
              </w:rPr>
            </w:pPr>
            <w:r w:rsidRPr="0087246C">
              <w:rPr>
                <w:rFonts w:cstheme="minorHAnsi"/>
                <w:color w:val="333333"/>
              </w:rPr>
              <w:t>Entretien obligatoire</w:t>
            </w:r>
          </w:p>
        </w:tc>
        <w:tc>
          <w:tcPr>
            <w:tcW w:w="154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AC6D024" w14:textId="77777777" w:rsidR="00342695" w:rsidRPr="0087246C" w:rsidRDefault="00342695" w:rsidP="00342695">
            <w:pPr>
              <w:spacing w:before="100" w:beforeAutospacing="1" w:after="100" w:afterAutospacing="1" w:line="240" w:lineRule="auto"/>
              <w:jc w:val="both"/>
              <w:rPr>
                <w:rFonts w:eastAsia="Times New Roman" w:cstheme="minorHAnsi"/>
                <w:color w:val="333333"/>
              </w:rPr>
            </w:pPr>
            <w:r w:rsidRPr="0087246C">
              <w:rPr>
                <w:rFonts w:cstheme="minorHAnsi"/>
                <w:color w:val="333333"/>
              </w:rPr>
              <w:t>Oui</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82BD79D" w14:textId="0F3BE4FE" w:rsidR="00342695" w:rsidRPr="0087246C" w:rsidRDefault="00342695" w:rsidP="00342695">
            <w:pPr>
              <w:spacing w:before="100" w:beforeAutospacing="1" w:after="100" w:afterAutospacing="1" w:line="240" w:lineRule="auto"/>
              <w:jc w:val="both"/>
              <w:rPr>
                <w:rFonts w:eastAsia="Times New Roman" w:cstheme="minorHAnsi"/>
                <w:color w:val="333333"/>
              </w:rPr>
            </w:pPr>
            <w:r w:rsidRPr="0087246C">
              <w:rPr>
                <w:rFonts w:cstheme="minorHAnsi"/>
                <w:color w:val="333333"/>
              </w:rPr>
              <w:t xml:space="preserve">Approbation du Comité des marchés </w:t>
            </w:r>
            <w:proofErr w:type="spellStart"/>
            <w:r w:rsidRPr="0087246C">
              <w:rPr>
                <w:rFonts w:cstheme="minorHAnsi"/>
                <w:color w:val="333333"/>
              </w:rPr>
              <w:t>spécifques</w:t>
            </w:r>
            <w:proofErr w:type="spellEnd"/>
            <w:r w:rsidRPr="0087246C">
              <w:rPr>
                <w:rFonts w:cstheme="minorHAnsi"/>
                <w:color w:val="333333"/>
              </w:rPr>
              <w:t xml:space="preserve"> aux délégations d’autorité </w:t>
            </w:r>
            <w:r w:rsidR="00715383" w:rsidRPr="0087246C">
              <w:rPr>
                <w:rFonts w:cstheme="minorHAnsi"/>
                <w:color w:val="333333"/>
              </w:rPr>
              <w:t>en en</w:t>
            </w:r>
            <w:r w:rsidRPr="0087246C">
              <w:rPr>
                <w:rFonts w:cstheme="minorHAnsi"/>
                <w:color w:val="333333"/>
              </w:rPr>
              <w:t xml:space="preserve"> matière d’achats</w:t>
            </w:r>
          </w:p>
        </w:tc>
      </w:tr>
    </w:tbl>
    <w:p w14:paraId="183A7DB5" w14:textId="77777777" w:rsidR="00342695" w:rsidRPr="0087246C" w:rsidRDefault="00342695" w:rsidP="00342695">
      <w:pPr>
        <w:pStyle w:val="ListParagraph"/>
        <w:shd w:val="clear" w:color="auto" w:fill="FFFFFF"/>
        <w:spacing w:after="0"/>
        <w:ind w:left="720"/>
        <w:jc w:val="both"/>
        <w:textAlignment w:val="top"/>
        <w:rPr>
          <w:rFonts w:asciiTheme="minorHAnsi" w:hAnsiTheme="minorHAnsi" w:cstheme="minorHAnsi"/>
          <w:i/>
          <w:iCs/>
          <w:color w:val="333333"/>
          <w:sz w:val="22"/>
          <w:szCs w:val="22"/>
        </w:rPr>
      </w:pPr>
      <w:r w:rsidRPr="0087246C">
        <w:rPr>
          <w:rFonts w:asciiTheme="minorHAnsi" w:hAnsiTheme="minorHAnsi" w:cstheme="minorHAnsi"/>
          <w:color w:val="333333"/>
          <w:sz w:val="22"/>
          <w:szCs w:val="22"/>
        </w:rPr>
        <w:t xml:space="preserve">*La </w:t>
      </w:r>
      <w:r w:rsidRPr="0087246C">
        <w:rPr>
          <w:rFonts w:asciiTheme="minorHAnsi" w:hAnsiTheme="minorHAnsi" w:cstheme="minorHAnsi"/>
          <w:i/>
          <w:iCs/>
          <w:color w:val="333333"/>
          <w:sz w:val="22"/>
          <w:szCs w:val="22"/>
        </w:rPr>
        <w:t>publicité internationale renvoie à la publication diffusée dans tout média (imprimé, électronique/numérique) qui est visible et accessible à l’échelle internationale. Le site Web mondial du PNUD est la plateforme indiquée.</w:t>
      </w:r>
    </w:p>
    <w:p w14:paraId="16F535B7" w14:textId="2E375940" w:rsidR="00342695" w:rsidRPr="0087246C" w:rsidRDefault="00342695" w:rsidP="00342695">
      <w:pPr>
        <w:pStyle w:val="ListParagraph"/>
        <w:shd w:val="clear" w:color="auto" w:fill="FFFFFF"/>
        <w:spacing w:after="0"/>
        <w:jc w:val="both"/>
        <w:textAlignment w:val="top"/>
        <w:rPr>
          <w:rFonts w:asciiTheme="minorHAnsi" w:hAnsiTheme="minorHAnsi" w:cstheme="minorHAnsi"/>
          <w:i/>
          <w:iCs/>
          <w:color w:val="333333"/>
          <w:sz w:val="22"/>
          <w:szCs w:val="22"/>
        </w:rPr>
      </w:pPr>
      <w:r w:rsidRPr="0087246C">
        <w:rPr>
          <w:rFonts w:asciiTheme="minorHAnsi" w:hAnsiTheme="minorHAnsi" w:cstheme="minorHAnsi"/>
          <w:color w:val="333333"/>
          <w:sz w:val="22"/>
          <w:szCs w:val="22"/>
        </w:rPr>
        <w:t xml:space="preserve">           69</w:t>
      </w:r>
      <w:r w:rsidR="00687B15">
        <w:rPr>
          <w:rFonts w:asciiTheme="minorHAnsi" w:hAnsiTheme="minorHAnsi" w:cstheme="minorHAnsi"/>
          <w:color w:val="333333"/>
          <w:sz w:val="22"/>
          <w:szCs w:val="22"/>
        </w:rPr>
        <w:t>a</w:t>
      </w:r>
      <w:r w:rsidRPr="0087246C">
        <w:rPr>
          <w:rFonts w:asciiTheme="minorHAnsi" w:hAnsiTheme="minorHAnsi" w:cstheme="minorHAnsi"/>
          <w:color w:val="333333"/>
          <w:sz w:val="22"/>
          <w:szCs w:val="22"/>
        </w:rPr>
        <w:t xml:space="preserve">. Le seuil de non-mise en concurrence pour </w:t>
      </w:r>
      <w:proofErr w:type="gramStart"/>
      <w:r w:rsidRPr="0087246C">
        <w:rPr>
          <w:rFonts w:asciiTheme="minorHAnsi" w:hAnsiTheme="minorHAnsi" w:cstheme="minorHAnsi"/>
          <w:color w:val="333333"/>
          <w:sz w:val="22"/>
          <w:szCs w:val="22"/>
        </w:rPr>
        <w:t>les consultants accru</w:t>
      </w:r>
      <w:proofErr w:type="gramEnd"/>
      <w:r w:rsidRPr="0087246C">
        <w:rPr>
          <w:rFonts w:asciiTheme="minorHAnsi" w:hAnsiTheme="minorHAnsi" w:cstheme="minorHAnsi"/>
          <w:color w:val="333333"/>
          <w:sz w:val="22"/>
          <w:szCs w:val="22"/>
        </w:rPr>
        <w:t xml:space="preserve"> à 1</w:t>
      </w:r>
      <w:r w:rsidR="00445779">
        <w:rPr>
          <w:rFonts w:asciiTheme="minorHAnsi" w:hAnsiTheme="minorHAnsi" w:cstheme="minorHAnsi"/>
          <w:color w:val="333333"/>
          <w:sz w:val="22"/>
          <w:szCs w:val="22"/>
        </w:rPr>
        <w:t>5</w:t>
      </w:r>
      <w:r w:rsidRPr="0087246C">
        <w:rPr>
          <w:rFonts w:asciiTheme="minorHAnsi" w:hAnsiTheme="minorHAnsi" w:cstheme="minorHAnsi"/>
          <w:color w:val="333333"/>
          <w:sz w:val="22"/>
          <w:szCs w:val="22"/>
        </w:rPr>
        <w:t> 000 USD.</w:t>
      </w:r>
    </w:p>
    <w:p w14:paraId="581A605B" w14:textId="77777777" w:rsidR="00342695" w:rsidRPr="0087246C" w:rsidRDefault="00342695" w:rsidP="00342695">
      <w:pPr>
        <w:ind w:left="708"/>
        <w:jc w:val="both"/>
        <w:rPr>
          <w:rFonts w:cstheme="minorHAnsi"/>
        </w:rPr>
      </w:pPr>
      <w:bookmarkStart w:id="32" w:name="_Hlk520719624"/>
      <w:r w:rsidRPr="0087246C">
        <w:rPr>
          <w:rFonts w:cstheme="minorHAnsi"/>
        </w:rPr>
        <w:t>L’examen du seuil de non-mise en concurrence pour les consultants doit être effectué dans le cadre de la demande d’augmentation de la délégation d’autorité en matière d’achats. Les unités administratives peuvent également demander le relèvement du seuil de non-mise en concurrence pour les consultants à titre de mesure isolée. Les Chefs régionaux de la section des achats (</w:t>
      </w:r>
      <w:proofErr w:type="spellStart"/>
      <w:r w:rsidRPr="0087246C">
        <w:rPr>
          <w:rFonts w:cstheme="minorHAnsi"/>
        </w:rPr>
        <w:t>Regional</w:t>
      </w:r>
      <w:proofErr w:type="spellEnd"/>
      <w:r w:rsidRPr="0087246C">
        <w:rPr>
          <w:rFonts w:cstheme="minorHAnsi"/>
        </w:rPr>
        <w:t xml:space="preserve"> Chief Procurement Officers, RCPO) doivent autoriser une telle augmentation, lorsque cela relève de l’intérêt supérieur de l’organisation et ils doivent s’assurer que ladite approbation est documentée de façon appropriée.</w:t>
      </w:r>
    </w:p>
    <w:bookmarkEnd w:id="32"/>
    <w:p w14:paraId="06EF69B7" w14:textId="77777777" w:rsidR="00342695" w:rsidRPr="0087246C" w:rsidRDefault="00342695" w:rsidP="00342695">
      <w:pPr>
        <w:pStyle w:val="Calibri11Sub"/>
        <w:numPr>
          <w:ilvl w:val="0"/>
          <w:numId w:val="0"/>
        </w:numPr>
        <w:tabs>
          <w:tab w:val="clear" w:pos="900"/>
        </w:tabs>
        <w:spacing w:before="0"/>
        <w:ind w:left="-360"/>
        <w:jc w:val="both"/>
        <w:rPr>
          <w:rFonts w:cstheme="minorHAnsi"/>
          <w:szCs w:val="22"/>
        </w:rPr>
      </w:pPr>
      <w:r w:rsidRPr="0087246C">
        <w:rPr>
          <w:rFonts w:cstheme="minorHAnsi"/>
        </w:rPr>
        <w:t xml:space="preserve">       </w:t>
      </w:r>
      <w:bookmarkStart w:id="33" w:name="_Toc208574071"/>
      <w:r w:rsidRPr="0087246C">
        <w:rPr>
          <w:rFonts w:cstheme="minorHAnsi"/>
        </w:rPr>
        <w:t>Processus de sélection</w:t>
      </w:r>
      <w:bookmarkEnd w:id="33"/>
    </w:p>
    <w:p w14:paraId="29B73F1D" w14:textId="77777777" w:rsidR="00342695" w:rsidRPr="0087246C" w:rsidRDefault="00342695" w:rsidP="00342695">
      <w:pPr>
        <w:pStyle w:val="Calibri11SubSubSub"/>
        <w:numPr>
          <w:ilvl w:val="0"/>
          <w:numId w:val="0"/>
        </w:numPr>
        <w:spacing w:before="0"/>
        <w:jc w:val="both"/>
        <w:rPr>
          <w:rFonts w:asciiTheme="minorHAnsi" w:hAnsiTheme="minorHAnsi" w:cstheme="minorHAnsi"/>
          <w:szCs w:val="22"/>
        </w:rPr>
      </w:pPr>
      <w:bookmarkStart w:id="34" w:name="_Toc208574072"/>
      <w:r w:rsidRPr="0087246C">
        <w:rPr>
          <w:rFonts w:asciiTheme="minorHAnsi" w:hAnsiTheme="minorHAnsi" w:cstheme="minorHAnsi"/>
          <w:szCs w:val="22"/>
        </w:rPr>
        <w:t>Recrutement des candidats</w:t>
      </w:r>
      <w:bookmarkEnd w:id="34"/>
    </w:p>
    <w:p w14:paraId="75FD06C3" w14:textId="77777777" w:rsidR="00342695" w:rsidRPr="0087246C" w:rsidRDefault="00342695" w:rsidP="00342695">
      <w:pPr>
        <w:pStyle w:val="Calibri11SubSubSub"/>
        <w:numPr>
          <w:ilvl w:val="0"/>
          <w:numId w:val="0"/>
        </w:numPr>
        <w:spacing w:before="0"/>
        <w:jc w:val="both"/>
        <w:rPr>
          <w:rFonts w:asciiTheme="minorHAnsi" w:hAnsiTheme="minorHAnsi" w:cstheme="minorHAnsi"/>
          <w:szCs w:val="22"/>
        </w:rPr>
      </w:pPr>
    </w:p>
    <w:p w14:paraId="06F94EC5" w14:textId="1B2E7EF3"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Lorsqu’un processus de mise en concurrence est requis, les candidats</w:t>
      </w:r>
      <w:r w:rsidRPr="0087246C">
        <w:rPr>
          <w:rFonts w:asciiTheme="minorHAnsi" w:hAnsiTheme="minorHAnsi" w:cstheme="minorHAnsi"/>
          <w:color w:val="333333"/>
          <w:sz w:val="22"/>
          <w:szCs w:val="22"/>
        </w:rPr>
        <w:t xml:space="preserve"> </w:t>
      </w:r>
      <w:r w:rsidRPr="0087246C">
        <w:rPr>
          <w:rFonts w:asciiTheme="minorHAnsi" w:hAnsiTheme="minorHAnsi" w:cstheme="minorHAnsi"/>
          <w:color w:val="000000"/>
          <w:sz w:val="22"/>
          <w:szCs w:val="22"/>
        </w:rPr>
        <w:t xml:space="preserve">éligibles doivent être identifiés soit grâce à une publicité internationale, soit par recrutement à partir d’une base de données établie ou par </w:t>
      </w:r>
      <w:r w:rsidR="00E8383C">
        <w:rPr>
          <w:rFonts w:asciiTheme="minorHAnsi" w:hAnsiTheme="minorHAnsi" w:cstheme="minorHAnsi"/>
          <w:color w:val="000000"/>
          <w:sz w:val="22"/>
          <w:szCs w:val="22"/>
        </w:rPr>
        <w:t>l’</w:t>
      </w:r>
      <w:r w:rsidR="00E8383C" w:rsidRPr="0087246C">
        <w:rPr>
          <w:rFonts w:asciiTheme="minorHAnsi" w:hAnsiTheme="minorHAnsi" w:cstheme="minorHAnsi"/>
          <w:color w:val="000000"/>
          <w:sz w:val="22"/>
          <w:szCs w:val="22"/>
        </w:rPr>
        <w:t>identification</w:t>
      </w:r>
      <w:r w:rsidRPr="0087246C">
        <w:rPr>
          <w:rFonts w:asciiTheme="minorHAnsi" w:hAnsiTheme="minorHAnsi" w:cstheme="minorHAnsi"/>
          <w:color w:val="000000"/>
          <w:sz w:val="22"/>
          <w:szCs w:val="22"/>
        </w:rPr>
        <w:t xml:space="preserve"> préalable d’individus qui sont réputés posséder de bonnes </w:t>
      </w:r>
      <w:r w:rsidRPr="0087246C">
        <w:rPr>
          <w:rFonts w:asciiTheme="minorHAnsi" w:hAnsiTheme="minorHAnsi" w:cstheme="minorHAnsi"/>
          <w:color w:val="000000"/>
          <w:sz w:val="22"/>
          <w:szCs w:val="22"/>
        </w:rPr>
        <w:lastRenderedPageBreak/>
        <w:t>qualifications et des performances pertinentes pour le type de tâche concernée. Les candidats éligibles satisfont aux exigences minimales établies pour le processus de sélection.</w:t>
      </w:r>
      <w:r w:rsidRPr="0087246C">
        <w:rPr>
          <w:rFonts w:asciiTheme="minorHAnsi" w:hAnsiTheme="minorHAnsi" w:cstheme="minorHAnsi"/>
          <w:color w:val="4472C4"/>
          <w:shd w:val="clear" w:color="auto" w:fill="FFFFFF"/>
        </w:rPr>
        <w:t xml:space="preserve"> </w:t>
      </w:r>
    </w:p>
    <w:p w14:paraId="254F8CA5" w14:textId="77777777" w:rsidR="00342695" w:rsidRPr="0087246C" w:rsidRDefault="00342695" w:rsidP="00687B15">
      <w:pPr>
        <w:pStyle w:val="ListParagraph"/>
        <w:shd w:val="clear" w:color="auto" w:fill="FFFFFF"/>
        <w:spacing w:before="0" w:beforeAutospacing="0" w:after="240" w:afterAutospacing="0"/>
        <w:ind w:left="720"/>
        <w:jc w:val="both"/>
        <w:textAlignment w:val="top"/>
        <w:rPr>
          <w:rFonts w:asciiTheme="minorHAnsi" w:hAnsiTheme="minorHAnsi" w:cstheme="minorHAnsi"/>
          <w:color w:val="000000" w:themeColor="text1"/>
          <w:sz w:val="22"/>
          <w:szCs w:val="22"/>
        </w:rPr>
      </w:pPr>
      <w:r w:rsidRPr="0087246C">
        <w:rPr>
          <w:rFonts w:asciiTheme="minorHAnsi" w:hAnsiTheme="minorHAnsi" w:cstheme="minorHAnsi"/>
          <w:color w:val="000000" w:themeColor="text1"/>
          <w:sz w:val="22"/>
          <w:szCs w:val="22"/>
          <w:shd w:val="clear" w:color="auto" w:fill="FFFFFF"/>
        </w:rPr>
        <w:t xml:space="preserve">a. Le processus de sélection d’un consultant est considéré comme compétitif, même s’il en résulte moins de trois offres conformes. Une attribution peut toujours être faite, mais l’approbation dépend de la diligence raisonnable visant à s’assurer que le recrutement a été effectué correctement et que la réponse limitée du marché n’était pas la conséquence d’une liste </w:t>
      </w:r>
      <w:proofErr w:type="spellStart"/>
      <w:r w:rsidRPr="0087246C">
        <w:rPr>
          <w:rFonts w:asciiTheme="minorHAnsi" w:hAnsiTheme="minorHAnsi" w:cstheme="minorHAnsi"/>
          <w:color w:val="000000" w:themeColor="text1"/>
          <w:sz w:val="22"/>
          <w:szCs w:val="22"/>
          <w:shd w:val="clear" w:color="auto" w:fill="FFFFFF"/>
        </w:rPr>
        <w:t>pré-sélectionnée</w:t>
      </w:r>
      <w:proofErr w:type="spellEnd"/>
      <w:r w:rsidRPr="0087246C">
        <w:rPr>
          <w:rFonts w:asciiTheme="minorHAnsi" w:hAnsiTheme="minorHAnsi" w:cstheme="minorHAnsi"/>
          <w:color w:val="000000" w:themeColor="text1"/>
          <w:sz w:val="22"/>
          <w:szCs w:val="22"/>
          <w:shd w:val="clear" w:color="auto" w:fill="FFFFFF"/>
        </w:rPr>
        <w:t xml:space="preserve"> restreinte ou d’une stratégie de recrutement inappropriée.</w:t>
      </w:r>
    </w:p>
    <w:p w14:paraId="77D36ECE" w14:textId="77777777"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Le processus de sélection des candidats se déroule comme suit.</w:t>
      </w:r>
    </w:p>
    <w:p w14:paraId="054EBF03" w14:textId="77777777"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color w:val="000000"/>
          <w:sz w:val="22"/>
          <w:szCs w:val="22"/>
        </w:rPr>
      </w:pPr>
      <w:r w:rsidRPr="0087246C">
        <w:rPr>
          <w:rFonts w:asciiTheme="minorHAnsi" w:hAnsiTheme="minorHAnsi" w:cstheme="minorHAnsi"/>
          <w:b/>
          <w:i/>
          <w:iCs/>
          <w:color w:val="000000"/>
          <w:sz w:val="22"/>
          <w:szCs w:val="22"/>
        </w:rPr>
        <w:t xml:space="preserve">Si les candidats sont identifiés au moyen d’une base de données établie, de plusieurs bases de </w:t>
      </w:r>
      <w:proofErr w:type="spellStart"/>
      <w:r w:rsidRPr="0087246C">
        <w:rPr>
          <w:rFonts w:asciiTheme="minorHAnsi" w:hAnsiTheme="minorHAnsi" w:cstheme="minorHAnsi"/>
          <w:b/>
          <w:i/>
          <w:iCs/>
          <w:color w:val="000000"/>
          <w:sz w:val="22"/>
          <w:szCs w:val="22"/>
        </w:rPr>
        <w:t>donnéesou</w:t>
      </w:r>
      <w:proofErr w:type="spellEnd"/>
      <w:r w:rsidRPr="0087246C">
        <w:rPr>
          <w:rFonts w:asciiTheme="minorHAnsi" w:hAnsiTheme="minorHAnsi" w:cstheme="minorHAnsi"/>
          <w:b/>
          <w:i/>
          <w:iCs/>
          <w:color w:val="000000"/>
          <w:sz w:val="22"/>
          <w:szCs w:val="22"/>
        </w:rPr>
        <w:t xml:space="preserve"> des sources différentes </w:t>
      </w:r>
    </w:p>
    <w:p w14:paraId="39029867" w14:textId="02870B87" w:rsidR="00342695" w:rsidRPr="0087246C" w:rsidRDefault="0020366C"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color w:val="000000"/>
          <w:sz w:val="22"/>
          <w:szCs w:val="22"/>
        </w:rPr>
      </w:pPr>
      <w:hyperlink r:id="rId18" w:tgtFrame="_blank" w:history="1">
        <w:r>
          <w:rPr>
            <w:rFonts w:asciiTheme="minorHAnsi" w:hAnsiTheme="minorHAnsi" w:cstheme="minorHAnsi"/>
            <w:color w:val="0072BC"/>
            <w:sz w:val="22"/>
            <w:szCs w:val="22"/>
            <w:u w:val="single"/>
          </w:rPr>
          <w:t>Invitation à soumettre une offre pour [indiquer le titre de la mission]</w:t>
        </w:r>
      </w:hyperlink>
      <w:r w:rsidR="00342695" w:rsidRPr="0087246C">
        <w:rPr>
          <w:rFonts w:asciiTheme="minorHAnsi" w:hAnsiTheme="minorHAnsi" w:cstheme="minorHAnsi"/>
        </w:rPr>
        <w:t xml:space="preserve">, </w:t>
      </w:r>
      <w:r w:rsidR="00342695" w:rsidRPr="0087246C">
        <w:rPr>
          <w:rFonts w:asciiTheme="minorHAnsi" w:hAnsiTheme="minorHAnsi" w:cstheme="minorHAnsi"/>
          <w:color w:val="000000"/>
          <w:sz w:val="22"/>
          <w:szCs w:val="22"/>
        </w:rPr>
        <w:t>les termes de référence ainsi que d’autres modèles pertinents doivent être adressés à au moins trois candidats éligibles pour la mission. L’avis doit clairement exiger que les offres contiennent :</w:t>
      </w:r>
    </w:p>
    <w:p w14:paraId="339D77BE" w14:textId="589650B4" w:rsidR="00342695" w:rsidRPr="0087246C" w:rsidRDefault="002D57AF"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color w:val="000000"/>
          <w:sz w:val="22"/>
          <w:szCs w:val="22"/>
        </w:rPr>
      </w:pPr>
      <w:hyperlink r:id="rId19" w:tgtFrame="_blank" w:history="1">
        <w:r>
          <w:rPr>
            <w:rFonts w:asciiTheme="minorHAnsi" w:hAnsiTheme="minorHAnsi" w:cstheme="minorHAnsi"/>
            <w:iCs/>
            <w:color w:val="0072BC"/>
            <w:sz w:val="22"/>
            <w:szCs w:val="22"/>
            <w:u w:val="single"/>
          </w:rPr>
          <w:t>Lettre de soumission au PNUD confirmant l'intérêt et la disponibilité du prestataire individuel (IC) pour la mission</w:t>
        </w:r>
      </w:hyperlink>
      <w:r>
        <w:t>.</w:t>
      </w:r>
      <w:r w:rsidR="00342695" w:rsidRPr="0087246C">
        <w:rPr>
          <w:rFonts w:asciiTheme="minorHAnsi" w:hAnsiTheme="minorHAnsi" w:cstheme="minorHAnsi"/>
          <w:iCs/>
          <w:color w:val="0072BC"/>
          <w:sz w:val="22"/>
          <w:szCs w:val="22"/>
        </w:rPr>
        <w:t xml:space="preserve"> </w:t>
      </w:r>
      <w:r w:rsidR="00342695" w:rsidRPr="0087246C">
        <w:rPr>
          <w:rFonts w:asciiTheme="minorHAnsi" w:hAnsiTheme="minorHAnsi" w:cstheme="minorHAnsi"/>
          <w:color w:val="000000"/>
          <w:sz w:val="22"/>
          <w:szCs w:val="22"/>
        </w:rPr>
        <w:t xml:space="preserve">Cette lettre peut être complétée par les éléments suivants, si cela est requis par l’unité administrative :    </w:t>
      </w:r>
    </w:p>
    <w:p w14:paraId="3B078313" w14:textId="77777777" w:rsidR="00342695" w:rsidRPr="0087246C" w:rsidRDefault="00342695" w:rsidP="00342695">
      <w:pPr>
        <w:pStyle w:val="ListParagraph"/>
        <w:numPr>
          <w:ilvl w:val="0"/>
          <w:numId w:val="10"/>
        </w:numPr>
        <w:shd w:val="clear" w:color="auto" w:fill="FFFFFF"/>
        <w:spacing w:after="240"/>
        <w:contextualSpacing/>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Explication des raisons pour lesquelles le candidat pense être le mieux indiqué pour accomplir la tâche</w:t>
      </w:r>
    </w:p>
    <w:p w14:paraId="2A3C3B95" w14:textId="77777777" w:rsidR="00342695" w:rsidRPr="0087246C" w:rsidRDefault="00342695" w:rsidP="00342695">
      <w:pPr>
        <w:pStyle w:val="ListParagraph"/>
        <w:numPr>
          <w:ilvl w:val="0"/>
          <w:numId w:val="10"/>
        </w:numPr>
        <w:shd w:val="clear" w:color="auto" w:fill="FFFFFF"/>
        <w:spacing w:after="240"/>
        <w:contextualSpacing/>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Un aperçu de la méthodologie, le cas échéant, quant à la manière dont il compte procéder pour accomplir la tâche  </w:t>
      </w:r>
    </w:p>
    <w:p w14:paraId="63C68823" w14:textId="77777777" w:rsidR="00342695" w:rsidRPr="0087246C" w:rsidRDefault="00342695" w:rsidP="00342695">
      <w:pPr>
        <w:pStyle w:val="ListParagraph"/>
        <w:shd w:val="clear" w:color="auto" w:fill="FFFFFF"/>
        <w:spacing w:after="240"/>
        <w:ind w:left="1440"/>
        <w:contextualSpacing/>
        <w:jc w:val="both"/>
        <w:textAlignment w:val="top"/>
        <w:rPr>
          <w:rFonts w:asciiTheme="minorHAnsi" w:hAnsiTheme="minorHAnsi" w:cstheme="minorHAnsi"/>
          <w:color w:val="000000"/>
          <w:sz w:val="22"/>
          <w:szCs w:val="22"/>
        </w:rPr>
      </w:pPr>
    </w:p>
    <w:p w14:paraId="52618BB8" w14:textId="77777777"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 Ces documents sont recommandés à la fois pour les services d’appui et les services intellectuels : </w:t>
      </w:r>
    </w:p>
    <w:p w14:paraId="0339E5FE" w14:textId="05379CF2" w:rsidR="00342695" w:rsidRPr="0087246C" w:rsidRDefault="00342695" w:rsidP="00342695">
      <w:pPr>
        <w:pStyle w:val="ListParagraph"/>
        <w:numPr>
          <w:ilvl w:val="0"/>
          <w:numId w:val="11"/>
        </w:numPr>
        <w:shd w:val="clear" w:color="auto" w:fill="FFFFFF"/>
        <w:spacing w:after="240"/>
        <w:contextualSpacing/>
        <w:jc w:val="both"/>
        <w:textAlignment w:val="top"/>
        <w:rPr>
          <w:rFonts w:asciiTheme="minorHAnsi" w:hAnsiTheme="minorHAnsi" w:cstheme="minorHAnsi"/>
          <w:color w:val="333333"/>
          <w:sz w:val="22"/>
          <w:szCs w:val="22"/>
        </w:rPr>
      </w:pPr>
      <w:r w:rsidRPr="0087246C">
        <w:rPr>
          <w:rFonts w:asciiTheme="minorHAnsi" w:hAnsiTheme="minorHAnsi" w:cstheme="minorHAnsi"/>
          <w:color w:val="000000"/>
          <w:sz w:val="22"/>
          <w:szCs w:val="22"/>
        </w:rPr>
        <w:t xml:space="preserve">CV personnel le plus récent, comprenant des expériences antérieures </w:t>
      </w:r>
      <w:r w:rsidR="00715383" w:rsidRPr="0087246C">
        <w:rPr>
          <w:rFonts w:asciiTheme="minorHAnsi" w:hAnsiTheme="minorHAnsi" w:cstheme="minorHAnsi"/>
          <w:color w:val="000000"/>
          <w:sz w:val="22"/>
          <w:szCs w:val="22"/>
        </w:rPr>
        <w:t>dans des</w:t>
      </w:r>
      <w:r w:rsidRPr="0087246C">
        <w:rPr>
          <w:rFonts w:asciiTheme="minorHAnsi" w:hAnsiTheme="minorHAnsi" w:cstheme="minorHAnsi"/>
          <w:color w:val="000000"/>
          <w:sz w:val="22"/>
          <w:szCs w:val="22"/>
        </w:rPr>
        <w:t xml:space="preserve"> projets similaires, l’adresse </w:t>
      </w:r>
      <w:proofErr w:type="gramStart"/>
      <w:r w:rsidRPr="0087246C">
        <w:rPr>
          <w:rFonts w:asciiTheme="minorHAnsi" w:hAnsiTheme="minorHAnsi" w:cstheme="minorHAnsi"/>
          <w:color w:val="000000"/>
          <w:sz w:val="22"/>
          <w:szCs w:val="22"/>
        </w:rPr>
        <w:t>e-mail</w:t>
      </w:r>
      <w:proofErr w:type="gramEnd"/>
      <w:r w:rsidRPr="0087246C">
        <w:rPr>
          <w:rFonts w:asciiTheme="minorHAnsi" w:hAnsiTheme="minorHAnsi" w:cstheme="minorHAnsi"/>
          <w:color w:val="000000"/>
          <w:sz w:val="22"/>
          <w:szCs w:val="22"/>
        </w:rPr>
        <w:t xml:space="preserve">, le numéro de téléphone ou toutes les autres coordonnées pour référence. </w:t>
      </w:r>
    </w:p>
    <w:p w14:paraId="5F38F413" w14:textId="77777777" w:rsidR="00342695" w:rsidRPr="0087246C" w:rsidRDefault="00342695" w:rsidP="00342695">
      <w:pPr>
        <w:pStyle w:val="ListParagraph"/>
        <w:numPr>
          <w:ilvl w:val="0"/>
          <w:numId w:val="11"/>
        </w:numPr>
        <w:shd w:val="clear" w:color="auto" w:fill="FFFFFF"/>
        <w:spacing w:after="240"/>
        <w:contextualSpacing/>
        <w:jc w:val="both"/>
        <w:textAlignment w:val="top"/>
        <w:rPr>
          <w:rFonts w:asciiTheme="minorHAnsi" w:hAnsiTheme="minorHAnsi" w:cstheme="minorHAnsi"/>
          <w:color w:val="333333"/>
          <w:sz w:val="22"/>
          <w:szCs w:val="22"/>
        </w:rPr>
      </w:pPr>
      <w:r w:rsidRPr="0087246C">
        <w:rPr>
          <w:rFonts w:asciiTheme="minorHAnsi" w:hAnsiTheme="minorHAnsi" w:cstheme="minorHAnsi"/>
          <w:color w:val="000000"/>
          <w:sz w:val="22"/>
          <w:szCs w:val="22"/>
        </w:rPr>
        <w:t>La proposition financière qui contient désormais les aspects de l’auto certification du P-11 précédent.</w:t>
      </w:r>
    </w:p>
    <w:p w14:paraId="26F85C97" w14:textId="77777777" w:rsidR="00342695" w:rsidRPr="0087246C" w:rsidRDefault="00342695" w:rsidP="00342695">
      <w:pPr>
        <w:pStyle w:val="ListParagraph"/>
        <w:shd w:val="clear" w:color="auto" w:fill="FFFFFF"/>
        <w:spacing w:before="0" w:beforeAutospacing="0" w:after="240" w:afterAutospacing="0"/>
        <w:ind w:left="1440" w:hanging="360"/>
        <w:contextualSpacing/>
        <w:jc w:val="both"/>
        <w:textAlignment w:val="top"/>
        <w:rPr>
          <w:rFonts w:asciiTheme="minorHAnsi" w:hAnsiTheme="minorHAnsi" w:cstheme="minorHAnsi"/>
          <w:color w:val="333333"/>
          <w:sz w:val="22"/>
          <w:szCs w:val="22"/>
        </w:rPr>
      </w:pPr>
    </w:p>
    <w:p w14:paraId="2104D59D" w14:textId="77777777"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Afin de clarifier les attentes, particulièrement en ce qui concerne les coûts et les produits livrables, l’exigence susmentionnée sera appliquée, quels que soient le montant contractuel et la méthode de passation des marchés. </w:t>
      </w:r>
    </w:p>
    <w:p w14:paraId="5183A9D2" w14:textId="4DE60829"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Si un candidat est employé par une organisation/entreprise/institution et qu’il attend de son employeur qu’il facture des </w:t>
      </w:r>
      <w:r w:rsidR="00715383" w:rsidRPr="0087246C">
        <w:rPr>
          <w:rFonts w:asciiTheme="minorHAnsi" w:hAnsiTheme="minorHAnsi" w:cstheme="minorHAnsi"/>
          <w:color w:val="000000"/>
          <w:sz w:val="22"/>
          <w:szCs w:val="22"/>
        </w:rPr>
        <w:t>frais de</w:t>
      </w:r>
      <w:r w:rsidRPr="0087246C">
        <w:rPr>
          <w:rFonts w:asciiTheme="minorHAnsi" w:hAnsiTheme="minorHAnsi" w:cstheme="minorHAnsi"/>
          <w:color w:val="000000"/>
          <w:sz w:val="22"/>
          <w:szCs w:val="22"/>
        </w:rPr>
        <w:t xml:space="preserve"> gestion afin de le libérer au profit du PNUD, et ce, en vertu d’un accord de prêt remboursable, le candidat doit garantir que tous ces coûts sont dûment incorporés dans la proposition financière. </w:t>
      </w:r>
    </w:p>
    <w:p w14:paraId="4316C990" w14:textId="77777777" w:rsidR="00342695" w:rsidRPr="0087246C" w:rsidRDefault="00342695" w:rsidP="00342695">
      <w:pPr>
        <w:pStyle w:val="Calibri11SubSubSub"/>
        <w:numPr>
          <w:ilvl w:val="0"/>
          <w:numId w:val="0"/>
        </w:numPr>
        <w:spacing w:before="0"/>
        <w:jc w:val="both"/>
        <w:rPr>
          <w:rFonts w:asciiTheme="minorHAnsi" w:hAnsiTheme="minorHAnsi" w:cstheme="minorHAnsi"/>
          <w:szCs w:val="22"/>
        </w:rPr>
      </w:pPr>
      <w:bookmarkStart w:id="35" w:name="_Toc208574073"/>
      <w:r w:rsidRPr="0087246C">
        <w:rPr>
          <w:rFonts w:asciiTheme="minorHAnsi" w:hAnsiTheme="minorHAnsi" w:cstheme="minorHAnsi"/>
          <w:szCs w:val="22"/>
        </w:rPr>
        <w:t>Directives complémentaires :</w:t>
      </w:r>
      <w:bookmarkEnd w:id="35"/>
    </w:p>
    <w:p w14:paraId="5C3F5ED8" w14:textId="7FB9973B"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sz w:val="22"/>
          <w:szCs w:val="22"/>
        </w:rPr>
      </w:pPr>
      <w:r w:rsidRPr="0087246C">
        <w:rPr>
          <w:rFonts w:asciiTheme="minorHAnsi" w:hAnsiTheme="minorHAnsi" w:cstheme="minorHAnsi"/>
          <w:sz w:val="22"/>
          <w:szCs w:val="22"/>
        </w:rPr>
        <w:t xml:space="preserve">L’obligation pour les personnes d’accepter que les fausses déclarations et les omissions importantes puissent aboutir à la résiliation de leurs contrats sans préavis a désormais été intégrée au </w:t>
      </w:r>
      <w:hyperlink r:id="rId20" w:history="1">
        <w:r w:rsidR="00881671">
          <w:rPr>
            <w:rStyle w:val="Hyperlink"/>
            <w:rFonts w:asciiTheme="minorHAnsi" w:hAnsiTheme="minorHAnsi" w:cstheme="minorHAnsi"/>
            <w:color w:val="2E74B5" w:themeColor="accent1" w:themeShade="BF"/>
            <w:sz w:val="22"/>
            <w:szCs w:val="22"/>
            <w:u w:val="single"/>
          </w:rPr>
          <w:t xml:space="preserve">Lettre de soumission au PNUD confirmant l'intérêt et la disponibilité du prestataire </w:t>
        </w:r>
        <w:r w:rsidR="00881671">
          <w:rPr>
            <w:rStyle w:val="Hyperlink"/>
            <w:rFonts w:asciiTheme="minorHAnsi" w:hAnsiTheme="minorHAnsi" w:cstheme="minorHAnsi"/>
            <w:color w:val="2E74B5" w:themeColor="accent1" w:themeShade="BF"/>
            <w:sz w:val="22"/>
            <w:szCs w:val="22"/>
            <w:u w:val="single"/>
          </w:rPr>
          <w:lastRenderedPageBreak/>
          <w:t>individuel (IC) pour la mission</w:t>
        </w:r>
      </w:hyperlink>
      <w:r w:rsidRPr="0087246C">
        <w:rPr>
          <w:rFonts w:asciiTheme="minorHAnsi" w:hAnsiTheme="minorHAnsi" w:cstheme="minorHAnsi"/>
          <w:sz w:val="22"/>
          <w:szCs w:val="22"/>
        </w:rPr>
        <w:t xml:space="preserve"> qui doit être signé et soumis par les consultants. Cela s’applique même si l’individu signera un accord de prêt remboursable.</w:t>
      </w:r>
    </w:p>
    <w:p w14:paraId="062673E4" w14:textId="77777777"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sz w:val="22"/>
          <w:szCs w:val="22"/>
        </w:rPr>
      </w:pPr>
      <w:r w:rsidRPr="0087246C">
        <w:rPr>
          <w:rFonts w:asciiTheme="minorHAnsi" w:hAnsiTheme="minorHAnsi" w:cstheme="minorHAnsi"/>
          <w:sz w:val="22"/>
          <w:szCs w:val="22"/>
        </w:rPr>
        <w:t xml:space="preserve">Certaines unités administratives ne sollicitent que des propositions financières provenant de personnes ayant fait l’objet d’une présélection. Bien que cette approche semble faciliter le processus d’évaluation, elle conduit presque toujours à des honoraires élevés, car les candidats savent qu’ils sont éligibles et qu’ils possèdent le profil recherché. Le pouvoir de négociation du PNUD baisse. Le fait </w:t>
      </w:r>
      <w:r w:rsidRPr="0087246C">
        <w:rPr>
          <w:rFonts w:asciiTheme="minorHAnsi" w:hAnsiTheme="minorHAnsi" w:cstheme="minorHAnsi"/>
          <w:sz w:val="22"/>
          <w:szCs w:val="22"/>
          <w:u w:val="single"/>
        </w:rPr>
        <w:t>de solliciter des propositions financières lorsque les CV sont exigés représente la meilleure pratique qui soit.</w:t>
      </w:r>
    </w:p>
    <w:p w14:paraId="74BD0C69" w14:textId="77777777" w:rsidR="00342695" w:rsidRPr="0087246C" w:rsidRDefault="00342695" w:rsidP="00342695">
      <w:pPr>
        <w:shd w:val="clear" w:color="auto" w:fill="FFFFFF"/>
        <w:spacing w:after="0" w:line="240" w:lineRule="auto"/>
        <w:jc w:val="both"/>
        <w:textAlignment w:val="top"/>
        <w:rPr>
          <w:rFonts w:eastAsia="Times New Roman" w:cstheme="minorHAnsi"/>
          <w:color w:val="000000"/>
        </w:rPr>
      </w:pPr>
    </w:p>
    <w:p w14:paraId="1392058B" w14:textId="77777777" w:rsidR="00342695" w:rsidRPr="0087246C" w:rsidRDefault="00342695" w:rsidP="00342695">
      <w:pPr>
        <w:pStyle w:val="Calibri11SubSubSub"/>
        <w:numPr>
          <w:ilvl w:val="0"/>
          <w:numId w:val="0"/>
        </w:numPr>
        <w:spacing w:before="0"/>
        <w:jc w:val="both"/>
        <w:rPr>
          <w:rFonts w:asciiTheme="minorHAnsi" w:hAnsiTheme="minorHAnsi" w:cstheme="minorHAnsi"/>
          <w:szCs w:val="22"/>
        </w:rPr>
      </w:pPr>
      <w:bookmarkStart w:id="36" w:name="_Toc208574074"/>
      <w:r w:rsidRPr="0087246C">
        <w:rPr>
          <w:rFonts w:asciiTheme="minorHAnsi" w:hAnsiTheme="minorHAnsi" w:cstheme="minorHAnsi"/>
          <w:szCs w:val="22"/>
        </w:rPr>
        <w:t>Si la tâche est publiée</w:t>
      </w:r>
      <w:bookmarkEnd w:id="36"/>
      <w:r w:rsidRPr="0087246C">
        <w:rPr>
          <w:rFonts w:asciiTheme="minorHAnsi" w:hAnsiTheme="minorHAnsi" w:cstheme="minorHAnsi"/>
          <w:szCs w:val="22"/>
        </w:rPr>
        <w:t xml:space="preserve"> </w:t>
      </w:r>
    </w:p>
    <w:p w14:paraId="63EB6076" w14:textId="77777777" w:rsidR="00342695" w:rsidRPr="0087246C" w:rsidRDefault="00342695" w:rsidP="00342695">
      <w:pPr>
        <w:shd w:val="clear" w:color="auto" w:fill="FFFFFF"/>
        <w:spacing w:after="0" w:line="240" w:lineRule="auto"/>
        <w:jc w:val="both"/>
        <w:textAlignment w:val="top"/>
        <w:rPr>
          <w:rFonts w:eastAsia="Times New Roman" w:cstheme="minorHAnsi"/>
          <w:b/>
          <w:color w:val="000000"/>
        </w:rPr>
      </w:pPr>
    </w:p>
    <w:p w14:paraId="57E08D32" w14:textId="77777777"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color w:val="333333"/>
          <w:sz w:val="22"/>
          <w:szCs w:val="22"/>
        </w:rPr>
      </w:pPr>
      <w:r w:rsidRPr="0087246C">
        <w:rPr>
          <w:rFonts w:asciiTheme="minorHAnsi" w:hAnsiTheme="minorHAnsi" w:cstheme="minorHAnsi"/>
          <w:color w:val="000000"/>
          <w:sz w:val="22"/>
          <w:szCs w:val="22"/>
        </w:rPr>
        <w:t>Un</w:t>
      </w:r>
      <w:r w:rsidRPr="0087246C">
        <w:rPr>
          <w:rFonts w:asciiTheme="minorHAnsi" w:hAnsiTheme="minorHAnsi" w:cstheme="minorHAnsi"/>
          <w:color w:val="333333"/>
          <w:sz w:val="22"/>
          <w:szCs w:val="22"/>
        </w:rPr>
        <w:t xml:space="preserve"> </w:t>
      </w:r>
      <w:hyperlink r:id="rId21" w:tgtFrame="_blank" w:history="1">
        <w:r w:rsidRPr="00902656">
          <w:rPr>
            <w:rFonts w:asciiTheme="minorHAnsi" w:hAnsiTheme="minorHAnsi" w:cstheme="minorHAnsi"/>
            <w:color w:val="0072BC"/>
            <w:sz w:val="22"/>
            <w:szCs w:val="22"/>
            <w:u w:val="single"/>
          </w:rPr>
          <w:t>avis d'appel d'offres</w:t>
        </w:r>
        <w:r w:rsidRPr="0087246C">
          <w:rPr>
            <w:rFonts w:asciiTheme="minorHAnsi" w:hAnsiTheme="minorHAnsi" w:cstheme="minorHAnsi"/>
            <w:color w:val="0072BC"/>
            <w:sz w:val="22"/>
            <w:szCs w:val="22"/>
          </w:rPr>
          <w:t xml:space="preserve"> </w:t>
        </w:r>
      </w:hyperlink>
      <w:r w:rsidRPr="0087246C">
        <w:rPr>
          <w:rFonts w:asciiTheme="minorHAnsi" w:hAnsiTheme="minorHAnsi" w:cstheme="minorHAnsi"/>
          <w:color w:val="000000"/>
          <w:sz w:val="22"/>
          <w:szCs w:val="22"/>
        </w:rPr>
        <w:t xml:space="preserve">est publié sur le site Web du PNUD et sur tout autre média ou par d’autres moyens réputés stratégiques et susceptibles de produire de bons résultats (par ex., dans des magazines spécialisés, sur les sites Web ou grâce aux sites d’autres organisations ou clients). </w:t>
      </w:r>
    </w:p>
    <w:p w14:paraId="5C959A71" w14:textId="77777777"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color w:val="333333"/>
          <w:sz w:val="22"/>
          <w:szCs w:val="22"/>
        </w:rPr>
      </w:pPr>
      <w:r w:rsidRPr="0087246C">
        <w:rPr>
          <w:rFonts w:asciiTheme="minorHAnsi" w:hAnsiTheme="minorHAnsi" w:cstheme="minorHAnsi"/>
          <w:color w:val="000000"/>
          <w:sz w:val="22"/>
          <w:szCs w:val="22"/>
        </w:rPr>
        <w:t>L'avis sera fondé sur</w:t>
      </w:r>
      <w:r w:rsidRPr="0087246C">
        <w:rPr>
          <w:rFonts w:asciiTheme="minorHAnsi" w:hAnsiTheme="minorHAnsi" w:cstheme="minorHAnsi"/>
          <w:color w:val="2F5496" w:themeColor="accent5" w:themeShade="BF"/>
          <w:sz w:val="22"/>
          <w:szCs w:val="22"/>
        </w:rPr>
        <w:t xml:space="preserve"> </w:t>
      </w:r>
      <w:r w:rsidRPr="00902656">
        <w:rPr>
          <w:rFonts w:asciiTheme="minorHAnsi" w:hAnsiTheme="minorHAnsi" w:cstheme="minorHAnsi"/>
          <w:color w:val="2F5496" w:themeColor="accent5" w:themeShade="BF"/>
          <w:sz w:val="22"/>
          <w:szCs w:val="22"/>
          <w:u w:val="single"/>
        </w:rPr>
        <w:t xml:space="preserve">le </w:t>
      </w:r>
      <w:hyperlink r:id="rId22" w:history="1">
        <w:r w:rsidRPr="00902656">
          <w:rPr>
            <w:rStyle w:val="Hyperlink"/>
            <w:rFonts w:asciiTheme="minorHAnsi" w:hAnsiTheme="minorHAnsi" w:cstheme="minorHAnsi"/>
            <w:color w:val="2F5496" w:themeColor="accent5" w:themeShade="BF"/>
            <w:sz w:val="22"/>
            <w:szCs w:val="22"/>
            <w:u w:val="single"/>
          </w:rPr>
          <w:t>modèle d'avis d'appel d'offres pour contrat individuel</w:t>
        </w:r>
        <w:r w:rsidRPr="0087246C">
          <w:rPr>
            <w:rStyle w:val="Hyperlink"/>
            <w:rFonts w:asciiTheme="minorHAnsi" w:hAnsiTheme="minorHAnsi" w:cstheme="minorHAnsi"/>
            <w:color w:val="2F5496" w:themeColor="accent5" w:themeShade="BF"/>
            <w:sz w:val="22"/>
            <w:szCs w:val="22"/>
          </w:rPr>
          <w:t> </w:t>
        </w:r>
      </w:hyperlink>
      <w:r w:rsidRPr="0087246C">
        <w:rPr>
          <w:rFonts w:asciiTheme="minorHAnsi" w:hAnsiTheme="minorHAnsi" w:cstheme="minorHAnsi"/>
          <w:color w:val="000000"/>
          <w:sz w:val="22"/>
          <w:szCs w:val="22"/>
        </w:rPr>
        <w:t>et contiendra des informations sur le contexte de la mission et les compétences requises, dont les connaissances et les qualifications académiques, l’expérience et la langue. Les termes de références doivent y être joints. La méthode d’évaluation doit être choisie à ce niveau et mentionnée dans l’avis d’appel d’offres. L’avis d’appel d’offres doit demeurer visible pendant 10 jours ouvrables après son annonce.</w:t>
      </w:r>
    </w:p>
    <w:p w14:paraId="7252D4BD" w14:textId="77777777"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color w:val="333333"/>
          <w:sz w:val="22"/>
          <w:szCs w:val="22"/>
        </w:rPr>
      </w:pPr>
      <w:r w:rsidRPr="0087246C">
        <w:rPr>
          <w:rFonts w:asciiTheme="minorHAnsi" w:hAnsiTheme="minorHAnsi" w:cstheme="minorHAnsi"/>
          <w:color w:val="000000"/>
          <w:sz w:val="22"/>
          <w:szCs w:val="22"/>
        </w:rPr>
        <w:t>Indépendamment de la méthode de recrutement utilisée dans le processus d’</w:t>
      </w:r>
      <w:proofErr w:type="spellStart"/>
      <w:r w:rsidRPr="0087246C">
        <w:rPr>
          <w:rFonts w:asciiTheme="minorHAnsi" w:hAnsiTheme="minorHAnsi" w:cstheme="minorHAnsi"/>
          <w:color w:val="000000"/>
          <w:sz w:val="22"/>
          <w:szCs w:val="22"/>
        </w:rPr>
        <w:t>obtemption</w:t>
      </w:r>
      <w:proofErr w:type="spellEnd"/>
      <w:r w:rsidRPr="0087246C">
        <w:rPr>
          <w:rFonts w:asciiTheme="minorHAnsi" w:hAnsiTheme="minorHAnsi" w:cstheme="minorHAnsi"/>
          <w:color w:val="000000"/>
          <w:sz w:val="22"/>
          <w:szCs w:val="22"/>
        </w:rPr>
        <w:t xml:space="preserve"> des offres, il est important de respecter les aspects suivants :</w:t>
      </w:r>
    </w:p>
    <w:p w14:paraId="6EB841E1" w14:textId="77777777" w:rsidR="00342695" w:rsidRPr="0087246C" w:rsidRDefault="00342695" w:rsidP="00342695">
      <w:pPr>
        <w:pStyle w:val="ListParagraph"/>
        <w:numPr>
          <w:ilvl w:val="0"/>
          <w:numId w:val="12"/>
        </w:numPr>
        <w:shd w:val="clear" w:color="auto" w:fill="FFFFFF"/>
        <w:spacing w:after="0"/>
        <w:contextualSpacing/>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Tous les documents requis doivent être présentés dans une enveloppe, un </w:t>
      </w:r>
      <w:proofErr w:type="gramStart"/>
      <w:r w:rsidRPr="0087246C">
        <w:rPr>
          <w:rFonts w:asciiTheme="minorHAnsi" w:hAnsiTheme="minorHAnsi" w:cstheme="minorHAnsi"/>
          <w:color w:val="000000"/>
          <w:sz w:val="22"/>
          <w:szCs w:val="22"/>
        </w:rPr>
        <w:t>email</w:t>
      </w:r>
      <w:proofErr w:type="gramEnd"/>
      <w:r w:rsidRPr="0087246C">
        <w:rPr>
          <w:rFonts w:asciiTheme="minorHAnsi" w:hAnsiTheme="minorHAnsi" w:cstheme="minorHAnsi"/>
          <w:color w:val="000000"/>
          <w:sz w:val="22"/>
          <w:szCs w:val="22"/>
        </w:rPr>
        <w:t xml:space="preserve"> ou en pièce jointe vers une application en ligne. </w:t>
      </w:r>
    </w:p>
    <w:p w14:paraId="2DC4523F" w14:textId="026439E8" w:rsidR="00342695" w:rsidRPr="0087246C" w:rsidRDefault="00342695" w:rsidP="00342695">
      <w:pPr>
        <w:pStyle w:val="ListParagraph"/>
        <w:numPr>
          <w:ilvl w:val="0"/>
          <w:numId w:val="12"/>
        </w:numPr>
        <w:shd w:val="clear" w:color="auto" w:fill="FFFFFF"/>
        <w:spacing w:after="0"/>
        <w:contextualSpacing/>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Si l’unité administrative préfère séparer les propositions financières, elle doit mettre en œuvre un mécanisme approprié à cette fin, mais ne doit appliquer la séparation des enveloppes que pour les contrats d’un montant supérieur à 1</w:t>
      </w:r>
      <w:r w:rsidR="00445779">
        <w:rPr>
          <w:rFonts w:asciiTheme="minorHAnsi" w:hAnsiTheme="minorHAnsi" w:cstheme="minorHAnsi"/>
          <w:color w:val="000000"/>
          <w:sz w:val="22"/>
          <w:szCs w:val="22"/>
        </w:rPr>
        <w:t>5</w:t>
      </w:r>
      <w:r w:rsidRPr="0087246C">
        <w:rPr>
          <w:rFonts w:asciiTheme="minorHAnsi" w:hAnsiTheme="minorHAnsi" w:cstheme="minorHAnsi"/>
          <w:color w:val="000000"/>
          <w:sz w:val="22"/>
          <w:szCs w:val="22"/>
        </w:rPr>
        <w:t>0 000 USD.</w:t>
      </w:r>
    </w:p>
    <w:p w14:paraId="5F93F7F4" w14:textId="77777777" w:rsidR="00342695" w:rsidRPr="0087246C" w:rsidRDefault="00342695" w:rsidP="00342695">
      <w:pPr>
        <w:pStyle w:val="ListParagraph"/>
        <w:numPr>
          <w:ilvl w:val="0"/>
          <w:numId w:val="12"/>
        </w:numPr>
        <w:shd w:val="clear" w:color="auto" w:fill="FFFFFF"/>
        <w:spacing w:after="0"/>
        <w:contextualSpacing/>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Seules </w:t>
      </w:r>
      <w:r w:rsidRPr="0087246C">
        <w:rPr>
          <w:rFonts w:asciiTheme="minorHAnsi" w:hAnsiTheme="minorHAnsi" w:cstheme="minorHAnsi"/>
          <w:color w:val="000000"/>
          <w:sz w:val="22"/>
          <w:szCs w:val="22"/>
          <w:u w:val="single"/>
        </w:rPr>
        <w:t>les personnes</w:t>
      </w:r>
      <w:r w:rsidRPr="0087246C">
        <w:rPr>
          <w:rFonts w:asciiTheme="minorHAnsi" w:hAnsiTheme="minorHAnsi" w:cstheme="minorHAnsi"/>
          <w:color w:val="000000"/>
          <w:sz w:val="22"/>
          <w:szCs w:val="22"/>
        </w:rPr>
        <w:t xml:space="preserve"> sont autorisées à soumettre une offre, et non leurs employeurs, même si un accord de prêt remboursable est prévu. Le processus de sélection doit privilégier les personnes et c’est la politique en matière de contrat individuel qui s’applique aux RLA.  Si l’unité administrative souhaite se concentrer sur les références de l’entreprise, elle doit plutôt utiliser un processus de demande de proposition.</w:t>
      </w:r>
    </w:p>
    <w:p w14:paraId="0A9B2DDE" w14:textId="77777777" w:rsidR="001F2EA4" w:rsidRDefault="00342695" w:rsidP="00342695">
      <w:pPr>
        <w:pStyle w:val="ListParagraph"/>
        <w:numPr>
          <w:ilvl w:val="0"/>
          <w:numId w:val="12"/>
        </w:numPr>
        <w:shd w:val="clear" w:color="auto" w:fill="FFFFFF"/>
        <w:spacing w:after="0"/>
        <w:contextualSpacing/>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Les personnes employées par une entreprise ou une institution souhaitant soumettre une offre en réponse à un avis d’appel d’offres pour contrat individuel </w:t>
      </w:r>
      <w:r w:rsidRPr="0087246C">
        <w:rPr>
          <w:rFonts w:asciiTheme="minorHAnsi" w:hAnsiTheme="minorHAnsi" w:cstheme="minorHAnsi"/>
          <w:color w:val="000000"/>
          <w:sz w:val="22"/>
          <w:szCs w:val="22"/>
          <w:u w:val="single"/>
        </w:rPr>
        <w:t>doivent le faire en leur nom propre</w:t>
      </w:r>
      <w:r w:rsidRPr="0087246C">
        <w:rPr>
          <w:rFonts w:asciiTheme="minorHAnsi" w:hAnsiTheme="minorHAnsi" w:cstheme="minorHAnsi"/>
          <w:color w:val="000000"/>
          <w:sz w:val="22"/>
          <w:szCs w:val="22"/>
        </w:rPr>
        <w:t>, même si elles s’attendent à ce que leurs employeurs signent un accord de prêt remboursable avec le PNUD. </w:t>
      </w:r>
    </w:p>
    <w:p w14:paraId="6B1ACA79" w14:textId="77777777" w:rsidR="001F2EA4" w:rsidRDefault="001F2EA4" w:rsidP="001F2EA4">
      <w:pPr>
        <w:shd w:val="clear" w:color="auto" w:fill="FFFFFF"/>
        <w:spacing w:after="0"/>
        <w:contextualSpacing/>
        <w:jc w:val="both"/>
        <w:textAlignment w:val="top"/>
        <w:rPr>
          <w:rFonts w:cstheme="minorHAnsi"/>
          <w:color w:val="000000"/>
        </w:rPr>
      </w:pPr>
    </w:p>
    <w:p w14:paraId="4A9C26E7" w14:textId="44AAE4DD" w:rsidR="00342695" w:rsidRDefault="00342695" w:rsidP="001F2EA4">
      <w:pPr>
        <w:shd w:val="clear" w:color="auto" w:fill="FFFFFF"/>
        <w:spacing w:after="0"/>
        <w:contextualSpacing/>
        <w:jc w:val="both"/>
        <w:textAlignment w:val="top"/>
        <w:rPr>
          <w:rFonts w:cstheme="minorHAnsi"/>
          <w:color w:val="000000"/>
        </w:rPr>
      </w:pPr>
      <w:r w:rsidRPr="001F2EA4">
        <w:rPr>
          <w:rFonts w:cstheme="minorHAnsi"/>
          <w:color w:val="000000"/>
        </w:rPr>
        <w:t>  </w:t>
      </w:r>
    </w:p>
    <w:p w14:paraId="70914FEF" w14:textId="77777777" w:rsidR="00C453B2" w:rsidRDefault="00C453B2" w:rsidP="001F2EA4">
      <w:pPr>
        <w:shd w:val="clear" w:color="auto" w:fill="FFFFFF"/>
        <w:spacing w:after="0"/>
        <w:contextualSpacing/>
        <w:jc w:val="both"/>
        <w:textAlignment w:val="top"/>
        <w:rPr>
          <w:rFonts w:cstheme="minorHAnsi"/>
          <w:color w:val="000000"/>
        </w:rPr>
      </w:pPr>
    </w:p>
    <w:p w14:paraId="54879A4F" w14:textId="77777777" w:rsidR="00C453B2" w:rsidRPr="001F2EA4" w:rsidRDefault="00C453B2" w:rsidP="001F2EA4">
      <w:pPr>
        <w:shd w:val="clear" w:color="auto" w:fill="FFFFFF"/>
        <w:spacing w:after="0"/>
        <w:contextualSpacing/>
        <w:jc w:val="both"/>
        <w:textAlignment w:val="top"/>
        <w:rPr>
          <w:rFonts w:cstheme="minorHAnsi"/>
          <w:color w:val="000000"/>
        </w:rPr>
      </w:pPr>
    </w:p>
    <w:p w14:paraId="638D4EE5" w14:textId="77777777" w:rsidR="00342695" w:rsidRPr="0087246C" w:rsidRDefault="00342695" w:rsidP="00342695">
      <w:pPr>
        <w:shd w:val="clear" w:color="auto" w:fill="FFFFFF"/>
        <w:spacing w:after="0"/>
        <w:ind w:left="720"/>
        <w:jc w:val="both"/>
        <w:textAlignment w:val="top"/>
        <w:rPr>
          <w:rFonts w:cstheme="minorHAnsi"/>
          <w:color w:val="000000"/>
        </w:rPr>
      </w:pPr>
    </w:p>
    <w:p w14:paraId="3F18A55F" w14:textId="77777777" w:rsidR="00342695" w:rsidRPr="0087246C" w:rsidRDefault="00342695" w:rsidP="00342695">
      <w:pPr>
        <w:pStyle w:val="Calibri11SubSubSub"/>
        <w:numPr>
          <w:ilvl w:val="0"/>
          <w:numId w:val="0"/>
        </w:numPr>
        <w:tabs>
          <w:tab w:val="clear" w:pos="900"/>
        </w:tabs>
        <w:spacing w:before="0"/>
        <w:jc w:val="both"/>
        <w:rPr>
          <w:rFonts w:asciiTheme="minorHAnsi" w:hAnsiTheme="minorHAnsi" w:cstheme="minorHAnsi"/>
          <w:szCs w:val="22"/>
        </w:rPr>
      </w:pPr>
      <w:bookmarkStart w:id="37" w:name="_Toc208574075"/>
      <w:r w:rsidRPr="0087246C">
        <w:rPr>
          <w:rFonts w:asciiTheme="minorHAnsi" w:hAnsiTheme="minorHAnsi" w:cstheme="minorHAnsi"/>
          <w:szCs w:val="22"/>
        </w:rPr>
        <w:lastRenderedPageBreak/>
        <w:t>Réception des offres</w:t>
      </w:r>
      <w:bookmarkEnd w:id="37"/>
    </w:p>
    <w:p w14:paraId="2F8D02DB" w14:textId="77777777" w:rsidR="00342695" w:rsidRPr="0087246C" w:rsidRDefault="00342695" w:rsidP="00342695">
      <w:pPr>
        <w:shd w:val="clear" w:color="auto" w:fill="FFFFFF"/>
        <w:spacing w:after="0" w:line="240" w:lineRule="auto"/>
        <w:ind w:left="720"/>
        <w:jc w:val="both"/>
        <w:textAlignment w:val="top"/>
        <w:rPr>
          <w:rFonts w:eastAsia="Times New Roman" w:cstheme="minorHAnsi"/>
          <w:color w:val="000000"/>
          <w:lang w:val="en-PH"/>
        </w:rPr>
      </w:pPr>
    </w:p>
    <w:p w14:paraId="4FB36120" w14:textId="77777777"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Les offres soumises en réponse à l’avis d’appel d’offres doivent être reçues par l’unité d’achat dans les délais impartis. Les offres peuvent être reçues en main propre, par fax ou par courrier électronique. Pour les deux derniers cas, un numéro de fax ou une adresse </w:t>
      </w:r>
      <w:proofErr w:type="gramStart"/>
      <w:r w:rsidRPr="0087246C">
        <w:rPr>
          <w:rFonts w:asciiTheme="minorHAnsi" w:hAnsiTheme="minorHAnsi" w:cstheme="minorHAnsi"/>
          <w:color w:val="000000"/>
          <w:sz w:val="22"/>
          <w:szCs w:val="22"/>
        </w:rPr>
        <w:t>e-mail</w:t>
      </w:r>
      <w:proofErr w:type="gramEnd"/>
      <w:r w:rsidRPr="0087246C">
        <w:rPr>
          <w:rFonts w:asciiTheme="minorHAnsi" w:hAnsiTheme="minorHAnsi" w:cstheme="minorHAnsi"/>
          <w:color w:val="000000"/>
          <w:sz w:val="22"/>
          <w:szCs w:val="22"/>
        </w:rPr>
        <w:t xml:space="preserve"> consacré doit être utilisé pour garantir la confidentialité. </w:t>
      </w:r>
    </w:p>
    <w:p w14:paraId="2FA1F319" w14:textId="77777777" w:rsidR="00342695" w:rsidRPr="0087246C" w:rsidRDefault="00342695" w:rsidP="00342695">
      <w:pPr>
        <w:pStyle w:val="Calibri11SubSubSub"/>
        <w:numPr>
          <w:ilvl w:val="0"/>
          <w:numId w:val="0"/>
        </w:numPr>
        <w:spacing w:before="0"/>
        <w:jc w:val="both"/>
        <w:rPr>
          <w:rFonts w:asciiTheme="minorHAnsi" w:hAnsiTheme="minorHAnsi" w:cstheme="minorHAnsi"/>
          <w:szCs w:val="22"/>
        </w:rPr>
      </w:pPr>
      <w:bookmarkStart w:id="38" w:name="_Toc208574076"/>
      <w:r w:rsidRPr="0087246C">
        <w:rPr>
          <w:rFonts w:asciiTheme="minorHAnsi" w:hAnsiTheme="minorHAnsi" w:cstheme="minorHAnsi"/>
          <w:szCs w:val="22"/>
        </w:rPr>
        <w:t>Méthode d’évaluation</w:t>
      </w:r>
      <w:bookmarkEnd w:id="38"/>
    </w:p>
    <w:p w14:paraId="72F7E430" w14:textId="77777777" w:rsidR="00342695" w:rsidRPr="0087246C" w:rsidRDefault="00342695" w:rsidP="00342695">
      <w:pPr>
        <w:shd w:val="clear" w:color="auto" w:fill="FFFFFF"/>
        <w:spacing w:after="0" w:line="240" w:lineRule="auto"/>
        <w:jc w:val="both"/>
        <w:textAlignment w:val="top"/>
        <w:rPr>
          <w:rFonts w:eastAsia="Times New Roman" w:cstheme="minorHAnsi"/>
          <w:color w:val="000000"/>
        </w:rPr>
      </w:pPr>
      <w:r w:rsidRPr="0087246C">
        <w:rPr>
          <w:rFonts w:cstheme="minorHAnsi"/>
          <w:color w:val="000000"/>
        </w:rPr>
        <w:t> </w:t>
      </w:r>
    </w:p>
    <w:p w14:paraId="2AFA0B09" w14:textId="77777777"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L’unité requérante doit établir une équipe d’évaluation ad hoc constituée de trois membres pour effectuer l’évaluation et l’entretien, le cas échéant. Le nombre de membres peut varier selon la complexité des termes de référence, mais il ne doit jamais être inférieur à deux. Au moins un membre doit venir d’une unité autre que l’unité requérante. Au moins un membre doit faire partie du personnel du PNUD et il doit assumer la fonction de responsable de ladite équipe. L’équipe effectuera la présélection, évaluera et classera les candidats présélectionnés sur la base des documents soumis, et examinera les résultats issus des vérifications de référence jusqu’à la sélection d’un candidat final à qui le contrat individuel sera attribué.</w:t>
      </w:r>
    </w:p>
    <w:p w14:paraId="55862D03" w14:textId="77777777"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Le personnel titulaire d’un contrat avec le PNUD, mais n’ayant pas le statut de fonctionnaire (c.-à-d., un consultant ou une personne détenant un contrat de service) peut être membre votant de l’équipe d’évaluation dans les conditions suivantes :  </w:t>
      </w:r>
    </w:p>
    <w:p w14:paraId="1779B6A4" w14:textId="77777777" w:rsidR="00342695" w:rsidRPr="0087246C" w:rsidRDefault="00342695" w:rsidP="00342695">
      <w:pPr>
        <w:pStyle w:val="ListParagraph"/>
        <w:numPr>
          <w:ilvl w:val="0"/>
          <w:numId w:val="13"/>
        </w:numPr>
        <w:shd w:val="clear" w:color="auto" w:fill="FFFFFF"/>
        <w:spacing w:after="0"/>
        <w:contextualSpacing/>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La majorité de l’équipe d’évaluation comprend le personnel du PNUD ou des Nations Unies ; </w:t>
      </w:r>
    </w:p>
    <w:p w14:paraId="3360704B" w14:textId="77777777" w:rsidR="00342695" w:rsidRPr="0087246C" w:rsidRDefault="00342695" w:rsidP="00342695">
      <w:pPr>
        <w:pStyle w:val="ListParagraph"/>
        <w:numPr>
          <w:ilvl w:val="0"/>
          <w:numId w:val="13"/>
        </w:numPr>
        <w:shd w:val="clear" w:color="auto" w:fill="FFFFFF"/>
        <w:spacing w:after="0"/>
        <w:contextualSpacing/>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L’inclusion d’une personne n’ayant pas le statut de fonctionnaire est nécessaire pour des raisons stratégiques (par ex., les connaissances ou l’expertise essentielle relativement aux services requis, etc.) et pas uniquement aux fins d’atteindre le nombre minimal de membres ; et </w:t>
      </w:r>
    </w:p>
    <w:p w14:paraId="15C0C85D" w14:textId="77777777" w:rsidR="00342695" w:rsidRPr="0087246C" w:rsidRDefault="00342695" w:rsidP="00342695">
      <w:pPr>
        <w:pStyle w:val="ListParagraph"/>
        <w:numPr>
          <w:ilvl w:val="0"/>
          <w:numId w:val="13"/>
        </w:numPr>
        <w:shd w:val="clear" w:color="auto" w:fill="FFFFFF"/>
        <w:spacing w:after="0"/>
        <w:contextualSpacing/>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La personne n’ayant pas le statut de fonctionnaire a signé une déclaration d’impartialité. </w:t>
      </w:r>
    </w:p>
    <w:p w14:paraId="1FD34678" w14:textId="77777777" w:rsidR="00342695" w:rsidRPr="0087246C" w:rsidRDefault="00342695" w:rsidP="00342695">
      <w:pPr>
        <w:shd w:val="clear" w:color="auto" w:fill="FFFFFF"/>
        <w:spacing w:after="0" w:line="240" w:lineRule="auto"/>
        <w:jc w:val="both"/>
        <w:textAlignment w:val="top"/>
        <w:rPr>
          <w:rFonts w:eastAsia="Times New Roman" w:cstheme="minorHAnsi"/>
          <w:color w:val="000000"/>
        </w:rPr>
      </w:pPr>
      <w:r w:rsidRPr="0087246C">
        <w:rPr>
          <w:rFonts w:cstheme="minorHAnsi"/>
          <w:color w:val="000000"/>
        </w:rPr>
        <w:t> </w:t>
      </w:r>
    </w:p>
    <w:p w14:paraId="0743234B" w14:textId="77777777"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Le personnel chargé de la passation des marchés impliqué dans le processus de sélection doit assumer la fonction de secrétaire de l’équipe d’évaluation et devra :</w:t>
      </w:r>
    </w:p>
    <w:p w14:paraId="35ADA27A" w14:textId="77777777" w:rsidR="00342695" w:rsidRPr="0087246C" w:rsidRDefault="00342695" w:rsidP="00342695">
      <w:pPr>
        <w:pStyle w:val="ListParagraph"/>
        <w:numPr>
          <w:ilvl w:val="0"/>
          <w:numId w:val="14"/>
        </w:numPr>
        <w:shd w:val="clear" w:color="auto" w:fill="FFFFFF"/>
        <w:spacing w:after="0"/>
        <w:contextualSpacing/>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Donner des directives aux membres de l’équipe sur les questions de procédures ; et </w:t>
      </w:r>
    </w:p>
    <w:p w14:paraId="613EFEEE" w14:textId="77777777" w:rsidR="00342695" w:rsidRPr="0087246C" w:rsidRDefault="00342695" w:rsidP="00342695">
      <w:pPr>
        <w:pStyle w:val="ListParagraph"/>
        <w:numPr>
          <w:ilvl w:val="0"/>
          <w:numId w:val="14"/>
        </w:numPr>
        <w:shd w:val="clear" w:color="auto" w:fill="FFFFFF"/>
        <w:spacing w:after="0"/>
        <w:contextualSpacing/>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Élaborer le rapport d’évaluation étayé par les tableaux de notation, les notes et les procès-verbaux du processus d’évaluation. </w:t>
      </w:r>
    </w:p>
    <w:p w14:paraId="48C6DDC8" w14:textId="77777777" w:rsidR="00342695" w:rsidRPr="0087246C" w:rsidRDefault="00342695" w:rsidP="00342695">
      <w:pPr>
        <w:pStyle w:val="ListParagraph"/>
        <w:shd w:val="clear" w:color="auto" w:fill="FFFFFF"/>
        <w:spacing w:after="0"/>
        <w:ind w:left="1440"/>
        <w:contextualSpacing/>
        <w:jc w:val="both"/>
        <w:textAlignment w:val="top"/>
        <w:rPr>
          <w:rFonts w:asciiTheme="minorHAnsi" w:hAnsiTheme="minorHAnsi" w:cstheme="minorHAnsi"/>
          <w:color w:val="000000"/>
          <w:sz w:val="22"/>
          <w:szCs w:val="22"/>
        </w:rPr>
      </w:pPr>
    </w:p>
    <w:p w14:paraId="10371C06" w14:textId="77777777"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Un membre du personnel chargé de la passation des marchés ne doit pas être un membre votant de l’équipe d’évaluation à moins qu’il n’ait pas été impliqué aux étapes antérieures du processus de sélection </w:t>
      </w:r>
      <w:r w:rsidRPr="0087246C">
        <w:rPr>
          <w:rFonts w:asciiTheme="minorHAnsi" w:hAnsiTheme="minorHAnsi" w:cstheme="minorHAnsi"/>
          <w:color w:val="000000"/>
          <w:sz w:val="22"/>
          <w:szCs w:val="22"/>
          <w:u w:val="single"/>
        </w:rPr>
        <w:t>et</w:t>
      </w:r>
      <w:r w:rsidRPr="0087246C">
        <w:rPr>
          <w:rFonts w:asciiTheme="minorHAnsi" w:hAnsiTheme="minorHAnsi" w:cstheme="minorHAnsi"/>
          <w:color w:val="000000"/>
          <w:sz w:val="22"/>
          <w:szCs w:val="22"/>
        </w:rPr>
        <w:t xml:space="preserve"> qu’il soit l’un des quelques membres du personnel possédant la compétence technique pour déterminer les aptitudes des candidats. </w:t>
      </w:r>
    </w:p>
    <w:p w14:paraId="2D3AC7E8" w14:textId="77777777" w:rsidR="00342695" w:rsidRPr="0087246C" w:rsidRDefault="00342695" w:rsidP="00342695">
      <w:pPr>
        <w:shd w:val="clear" w:color="auto" w:fill="FFFFFF"/>
        <w:spacing w:after="0" w:line="240" w:lineRule="auto"/>
        <w:jc w:val="both"/>
        <w:textAlignment w:val="top"/>
        <w:rPr>
          <w:rFonts w:eastAsia="Times New Roman" w:cstheme="minorHAnsi"/>
          <w:color w:val="000000"/>
        </w:rPr>
      </w:pPr>
      <w:r w:rsidRPr="0087246C">
        <w:rPr>
          <w:rFonts w:cstheme="minorHAnsi"/>
          <w:color w:val="000000"/>
        </w:rPr>
        <w:t> </w:t>
      </w:r>
    </w:p>
    <w:p w14:paraId="4313CBD3" w14:textId="77777777" w:rsidR="00342695" w:rsidRPr="0087246C" w:rsidRDefault="00342695" w:rsidP="00342695">
      <w:pPr>
        <w:pStyle w:val="Calibri11SubSubSub"/>
        <w:numPr>
          <w:ilvl w:val="0"/>
          <w:numId w:val="0"/>
        </w:numPr>
        <w:spacing w:before="0"/>
        <w:jc w:val="both"/>
        <w:rPr>
          <w:rFonts w:asciiTheme="minorHAnsi" w:hAnsiTheme="minorHAnsi" w:cstheme="minorHAnsi"/>
          <w:iCs/>
          <w:color w:val="000000"/>
          <w:szCs w:val="22"/>
        </w:rPr>
      </w:pPr>
      <w:bookmarkStart w:id="39" w:name="_Toc208574077"/>
      <w:r w:rsidRPr="0087246C">
        <w:rPr>
          <w:rFonts w:asciiTheme="minorHAnsi" w:hAnsiTheme="minorHAnsi" w:cstheme="minorHAnsi"/>
          <w:iCs/>
          <w:color w:val="000000"/>
          <w:szCs w:val="22"/>
        </w:rPr>
        <w:t>Étape préalable à l’évaluation</w:t>
      </w:r>
      <w:bookmarkEnd w:id="39"/>
    </w:p>
    <w:p w14:paraId="697F2E7F" w14:textId="77777777" w:rsidR="00342695" w:rsidRPr="0087246C" w:rsidRDefault="00342695" w:rsidP="00342695">
      <w:pPr>
        <w:shd w:val="clear" w:color="auto" w:fill="FFFFFF"/>
        <w:spacing w:after="0" w:line="240" w:lineRule="auto"/>
        <w:ind w:firstLine="720"/>
        <w:jc w:val="both"/>
        <w:textAlignment w:val="top"/>
        <w:rPr>
          <w:rFonts w:eastAsia="Times New Roman" w:cstheme="minorHAnsi"/>
          <w:color w:val="000000"/>
        </w:rPr>
      </w:pPr>
    </w:p>
    <w:p w14:paraId="4F27BDF7" w14:textId="77777777"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Si les offres ont été obtenues à partir d’un appel d’offres ouvert et qu’une présélection s’impose, l’équipe d’évaluation se chargera du processus de présélection. Elle </w:t>
      </w:r>
      <w:r w:rsidRPr="0087246C">
        <w:rPr>
          <w:rFonts w:asciiTheme="minorHAnsi" w:hAnsiTheme="minorHAnsi" w:cstheme="minorHAnsi"/>
          <w:color w:val="000000"/>
          <w:sz w:val="22"/>
          <w:szCs w:val="22"/>
          <w:u w:val="single"/>
        </w:rPr>
        <w:t>doit</w:t>
      </w:r>
      <w:r w:rsidRPr="0087246C">
        <w:rPr>
          <w:rFonts w:asciiTheme="minorHAnsi" w:hAnsiTheme="minorHAnsi" w:cstheme="minorHAnsi"/>
          <w:color w:val="000000"/>
          <w:sz w:val="22"/>
          <w:szCs w:val="22"/>
        </w:rPr>
        <w:t xml:space="preserve"> s’assurer que tous les candidats présélectionnés ont satisfait aux exigences suivantes : </w:t>
      </w:r>
    </w:p>
    <w:p w14:paraId="42AF81ED" w14:textId="77777777" w:rsidR="00342695" w:rsidRPr="0087246C" w:rsidRDefault="00342695" w:rsidP="00342695">
      <w:pPr>
        <w:pStyle w:val="ListParagraph"/>
        <w:numPr>
          <w:ilvl w:val="0"/>
          <w:numId w:val="15"/>
        </w:numPr>
        <w:shd w:val="clear" w:color="auto" w:fill="FFFFFF"/>
        <w:spacing w:after="0"/>
        <w:contextualSpacing/>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lastRenderedPageBreak/>
        <w:t>Les candidats doivent posséder des qualifications comparables qui répondent suffisamment, sinon complètement, aux exigences des termes de référence ; et</w:t>
      </w:r>
    </w:p>
    <w:p w14:paraId="0487904B" w14:textId="77777777" w:rsidR="00190DF3" w:rsidRPr="00190DF3" w:rsidRDefault="00342695" w:rsidP="00342695">
      <w:pPr>
        <w:pStyle w:val="ListParagraph"/>
        <w:numPr>
          <w:ilvl w:val="0"/>
          <w:numId w:val="15"/>
        </w:numPr>
        <w:shd w:val="clear" w:color="auto" w:fill="FFFFFF"/>
        <w:contextualSpacing/>
        <w:jc w:val="both"/>
        <w:textAlignment w:val="top"/>
        <w:rPr>
          <w:rFonts w:asciiTheme="minorHAnsi" w:hAnsiTheme="minorHAnsi" w:cstheme="minorHAnsi"/>
          <w:color w:val="333333"/>
          <w:sz w:val="22"/>
          <w:szCs w:val="22"/>
        </w:rPr>
      </w:pPr>
      <w:r w:rsidRPr="0087246C">
        <w:rPr>
          <w:rFonts w:asciiTheme="minorHAnsi" w:hAnsiTheme="minorHAnsi" w:cstheme="minorHAnsi"/>
          <w:color w:val="000000"/>
          <w:sz w:val="22"/>
          <w:szCs w:val="22"/>
        </w:rPr>
        <w:t>Ils ont tous soumis une</w:t>
      </w:r>
      <w:r w:rsidRPr="0087246C">
        <w:rPr>
          <w:rFonts w:asciiTheme="minorHAnsi" w:hAnsiTheme="minorHAnsi" w:cstheme="minorHAnsi"/>
          <w:color w:val="333333"/>
          <w:sz w:val="22"/>
          <w:szCs w:val="22"/>
        </w:rPr>
        <w:t xml:space="preserve"> </w:t>
      </w:r>
      <w:hyperlink r:id="rId23" w:history="1">
        <w:r w:rsidR="00190DF3">
          <w:rPr>
            <w:rStyle w:val="Hyperlink"/>
            <w:rFonts w:asciiTheme="minorHAnsi" w:hAnsiTheme="minorHAnsi" w:cstheme="minorHAnsi"/>
            <w:color w:val="0070C0"/>
            <w:sz w:val="22"/>
            <w:szCs w:val="22"/>
            <w:u w:val="single"/>
          </w:rPr>
          <w:t>Lettre de soumission au PNUD confirmant l'intérêt et la disponibilité du prestataire individuel (IC) pour la mission</w:t>
        </w:r>
      </w:hyperlink>
      <w:r w:rsidRPr="0087246C">
        <w:rPr>
          <w:rFonts w:asciiTheme="minorHAnsi" w:hAnsiTheme="minorHAnsi" w:cstheme="minorHAnsi"/>
          <w:color w:val="000000"/>
          <w:sz w:val="22"/>
          <w:szCs w:val="22"/>
        </w:rPr>
        <w:t xml:space="preserve"> </w:t>
      </w:r>
      <w:r w:rsidR="00190DF3">
        <w:rPr>
          <w:rFonts w:asciiTheme="minorHAnsi" w:hAnsiTheme="minorHAnsi" w:cstheme="minorHAnsi"/>
          <w:color w:val="000000"/>
          <w:sz w:val="22"/>
          <w:szCs w:val="22"/>
        </w:rPr>
        <w:t xml:space="preserve">et </w:t>
      </w:r>
      <w:r w:rsidRPr="0087246C">
        <w:rPr>
          <w:rFonts w:asciiTheme="minorHAnsi" w:hAnsiTheme="minorHAnsi" w:cstheme="minorHAnsi"/>
          <w:color w:val="000000"/>
          <w:sz w:val="22"/>
          <w:szCs w:val="22"/>
        </w:rPr>
        <w:t>ont fourni toutes les informations requises de manière satisfaisante</w:t>
      </w:r>
      <w:r w:rsidRPr="0087246C">
        <w:rPr>
          <w:rFonts w:asciiTheme="minorHAnsi" w:hAnsiTheme="minorHAnsi" w:cstheme="minorHAnsi"/>
          <w:iCs/>
          <w:color w:val="000000"/>
          <w:sz w:val="22"/>
          <w:szCs w:val="22"/>
        </w:rPr>
        <w:t>.</w:t>
      </w:r>
    </w:p>
    <w:p w14:paraId="621828BA" w14:textId="115AEBFD" w:rsidR="00342695" w:rsidRPr="0087246C" w:rsidRDefault="00342695" w:rsidP="00190DF3">
      <w:pPr>
        <w:pStyle w:val="ListParagraph"/>
        <w:shd w:val="clear" w:color="auto" w:fill="FFFFFF"/>
        <w:ind w:left="1440"/>
        <w:contextualSpacing/>
        <w:jc w:val="both"/>
        <w:textAlignment w:val="top"/>
        <w:rPr>
          <w:rFonts w:asciiTheme="minorHAnsi" w:hAnsiTheme="minorHAnsi" w:cstheme="minorHAnsi"/>
          <w:color w:val="333333"/>
          <w:sz w:val="22"/>
          <w:szCs w:val="22"/>
        </w:rPr>
      </w:pPr>
    </w:p>
    <w:p w14:paraId="53DF5A49" w14:textId="77777777"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Si aucune présélection n’est requise, l’équipe d’évaluation doit également s’assurer du respect des conditions susmentionnées. Le personnel chargé de la passation des marchés informera l’équipe d’évaluation de toutes les mesures prises avant l’évaluation, notamment, mais sans s’y limiter, le lieu et la durée de l’appel d’offres ou la provenance des offres (par ex., le fichier à partir duquel elles proviennent, etc.) s’il ne s’agit pas d’un appel d’offres.</w:t>
      </w:r>
    </w:p>
    <w:p w14:paraId="3A977FE1" w14:textId="77777777" w:rsidR="00342695" w:rsidRPr="0087246C" w:rsidRDefault="00342695" w:rsidP="00342695">
      <w:pPr>
        <w:pStyle w:val="Calibri11SubSubSub"/>
        <w:numPr>
          <w:ilvl w:val="0"/>
          <w:numId w:val="0"/>
        </w:numPr>
        <w:spacing w:before="0"/>
        <w:jc w:val="both"/>
        <w:rPr>
          <w:rFonts w:asciiTheme="minorHAnsi" w:hAnsiTheme="minorHAnsi" w:cstheme="minorHAnsi"/>
          <w:iCs/>
          <w:color w:val="000000"/>
          <w:szCs w:val="22"/>
        </w:rPr>
      </w:pPr>
      <w:r w:rsidRPr="0087246C">
        <w:rPr>
          <w:rFonts w:asciiTheme="minorHAnsi" w:hAnsiTheme="minorHAnsi" w:cstheme="minorHAnsi"/>
          <w:iCs/>
          <w:color w:val="000000"/>
          <w:szCs w:val="22"/>
        </w:rPr>
        <w:t> </w:t>
      </w:r>
    </w:p>
    <w:p w14:paraId="6111C104" w14:textId="77777777" w:rsidR="00342695" w:rsidRPr="0087246C" w:rsidRDefault="00342695" w:rsidP="00342695">
      <w:pPr>
        <w:pStyle w:val="Calibri11SubSubSub"/>
        <w:numPr>
          <w:ilvl w:val="0"/>
          <w:numId w:val="0"/>
        </w:numPr>
        <w:spacing w:before="0"/>
        <w:jc w:val="both"/>
        <w:rPr>
          <w:rFonts w:asciiTheme="minorHAnsi" w:hAnsiTheme="minorHAnsi" w:cstheme="minorHAnsi"/>
          <w:iCs/>
          <w:color w:val="000000"/>
          <w:szCs w:val="22"/>
        </w:rPr>
      </w:pPr>
      <w:bookmarkStart w:id="40" w:name="_Toc208574078"/>
      <w:r w:rsidRPr="0087246C">
        <w:rPr>
          <w:rFonts w:asciiTheme="minorHAnsi" w:hAnsiTheme="minorHAnsi" w:cstheme="minorHAnsi"/>
          <w:iCs/>
          <w:color w:val="000000"/>
          <w:szCs w:val="22"/>
        </w:rPr>
        <w:t>Méthode d’évaluation</w:t>
      </w:r>
      <w:bookmarkEnd w:id="40"/>
    </w:p>
    <w:p w14:paraId="01268DF9" w14:textId="77777777" w:rsidR="00342695" w:rsidRPr="0087246C" w:rsidRDefault="00342695" w:rsidP="00342695">
      <w:pPr>
        <w:shd w:val="clear" w:color="auto" w:fill="FFFFFF"/>
        <w:spacing w:after="0" w:line="240" w:lineRule="auto"/>
        <w:jc w:val="both"/>
        <w:textAlignment w:val="top"/>
        <w:rPr>
          <w:rFonts w:eastAsia="Times New Roman" w:cstheme="minorHAnsi"/>
          <w:color w:val="000000"/>
        </w:rPr>
      </w:pPr>
      <w:r w:rsidRPr="0087246C">
        <w:rPr>
          <w:rFonts w:cstheme="minorHAnsi"/>
          <w:color w:val="000000"/>
        </w:rPr>
        <w:t> </w:t>
      </w:r>
    </w:p>
    <w:p w14:paraId="3F2142ED" w14:textId="77777777"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L’équipe d’évaluation examine toutes les demandes. Une liste de tous les candidats, indiquant ceux qui possèdent les qualifications et qui remplissent les exigences minimales, doit être dressée. L’équipe d’évaluation est censée présélectionner au moins trois candidats.</w:t>
      </w:r>
    </w:p>
    <w:p w14:paraId="7A116426" w14:textId="77777777" w:rsidR="00342695" w:rsidRPr="0087246C" w:rsidRDefault="00342695" w:rsidP="00342695">
      <w:pPr>
        <w:shd w:val="clear" w:color="auto" w:fill="FFFFFF"/>
        <w:spacing w:after="0" w:line="240" w:lineRule="auto"/>
        <w:ind w:left="1440" w:hanging="270"/>
        <w:jc w:val="both"/>
        <w:textAlignment w:val="top"/>
        <w:rPr>
          <w:rFonts w:eastAsia="Times New Roman" w:cstheme="minorHAnsi"/>
          <w:color w:val="000000"/>
        </w:rPr>
      </w:pPr>
      <w:r w:rsidRPr="0087246C">
        <w:rPr>
          <w:rFonts w:cstheme="minorHAnsi"/>
          <w:color w:val="000000"/>
        </w:rPr>
        <w:t> </w:t>
      </w:r>
    </w:p>
    <w:p w14:paraId="083BFA3F" w14:textId="77777777"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L’équipe d’évaluation doit dresser une grille énumérant les critères d’évaluation décrits dans l’avis d’appel d’offres, la pondération (score) allouée à chaque critère et un seuil minimal, ainsi qu’une brève indication de la raison pour laquelle ces scores ont été attribués. La pondération doit refléter l’importance de chaque critère, et le seuil minimal doit indiquer le score total minimum auquel le candidat répondrait aux exigences contenues dans les termes de référence. </w:t>
      </w:r>
    </w:p>
    <w:p w14:paraId="7FFC00D9" w14:textId="77777777" w:rsidR="00342695" w:rsidRPr="0087246C" w:rsidRDefault="00342695" w:rsidP="00342695">
      <w:pPr>
        <w:shd w:val="clear" w:color="auto" w:fill="FFFFFF"/>
        <w:spacing w:after="0" w:line="240" w:lineRule="auto"/>
        <w:ind w:left="1440" w:hanging="270"/>
        <w:jc w:val="both"/>
        <w:textAlignment w:val="top"/>
        <w:rPr>
          <w:rFonts w:eastAsia="Times New Roman" w:cstheme="minorHAnsi"/>
          <w:color w:val="000000"/>
        </w:rPr>
      </w:pPr>
      <w:r w:rsidRPr="0087246C">
        <w:rPr>
          <w:rFonts w:cstheme="minorHAnsi"/>
          <w:color w:val="000000"/>
        </w:rPr>
        <w:t> </w:t>
      </w:r>
    </w:p>
    <w:p w14:paraId="01B98D5B" w14:textId="30D07B88"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color w:val="333333"/>
          <w:sz w:val="22"/>
          <w:szCs w:val="22"/>
        </w:rPr>
      </w:pPr>
      <w:r w:rsidRPr="0087246C">
        <w:rPr>
          <w:rFonts w:asciiTheme="minorHAnsi" w:hAnsiTheme="minorHAnsi" w:cstheme="minorHAnsi"/>
          <w:color w:val="000000"/>
          <w:sz w:val="22"/>
          <w:szCs w:val="22"/>
        </w:rPr>
        <w:t>Une façon possible de présélectionner et de noter les candidats est présentée dans un</w:t>
      </w:r>
      <w:r w:rsidRPr="0087246C">
        <w:rPr>
          <w:rFonts w:asciiTheme="minorHAnsi" w:hAnsiTheme="minorHAnsi" w:cstheme="minorHAnsi"/>
          <w:color w:val="333333"/>
          <w:sz w:val="22"/>
          <w:szCs w:val="22"/>
        </w:rPr>
        <w:t xml:space="preserve"> </w:t>
      </w:r>
      <w:hyperlink r:id="rId24" w:tgtFrame="_blank" w:history="1">
        <w:r w:rsidRPr="00C453B2">
          <w:rPr>
            <w:rFonts w:asciiTheme="minorHAnsi" w:hAnsiTheme="minorHAnsi" w:cstheme="minorHAnsi"/>
            <w:color w:val="0072BC"/>
            <w:sz w:val="22"/>
            <w:szCs w:val="22"/>
            <w:u w:val="single"/>
          </w:rPr>
          <w:t>modèle</w:t>
        </w:r>
        <w:r w:rsidRPr="0087246C">
          <w:rPr>
            <w:rFonts w:asciiTheme="minorHAnsi" w:hAnsiTheme="minorHAnsi" w:cstheme="minorHAnsi"/>
            <w:color w:val="0072BC"/>
            <w:sz w:val="22"/>
            <w:szCs w:val="22"/>
          </w:rPr>
          <w:t xml:space="preserve"> </w:t>
        </w:r>
      </w:hyperlink>
      <w:r w:rsidR="000A7D3A" w:rsidRPr="000A7D3A">
        <w:rPr>
          <w:rFonts w:asciiTheme="minorHAnsi" w:hAnsiTheme="minorHAnsi" w:cstheme="minorHAnsi"/>
          <w:color w:val="000000"/>
          <w:sz w:val="22"/>
          <w:szCs w:val="22"/>
        </w:rPr>
        <w:t>(en anglais)</w:t>
      </w:r>
      <w:r w:rsidR="000A7D3A">
        <w:t xml:space="preserve"> </w:t>
      </w:r>
      <w:r w:rsidRPr="0087246C">
        <w:rPr>
          <w:rFonts w:asciiTheme="minorHAnsi" w:hAnsiTheme="minorHAnsi" w:cstheme="minorHAnsi"/>
          <w:color w:val="000000"/>
          <w:sz w:val="22"/>
          <w:szCs w:val="22"/>
        </w:rPr>
        <w:t>élaboré à cette fin. Les utilisateurs peuvent modifier ledit modèle au besoin.</w:t>
      </w:r>
      <w:r w:rsidR="004F68D4" w:rsidRPr="004F68D4">
        <w:t xml:space="preserve"> </w:t>
      </w:r>
      <w:r w:rsidR="004F68D4" w:rsidRPr="004F68D4">
        <w:rPr>
          <w:rFonts w:asciiTheme="minorHAnsi" w:hAnsiTheme="minorHAnsi" w:cstheme="minorHAnsi"/>
          <w:color w:val="000000"/>
          <w:sz w:val="22"/>
          <w:szCs w:val="22"/>
        </w:rPr>
        <w:t>Lorsque l'appel d'offres est utilisé, l'équipe d'évaluation procède à l'évaluation et à la notation des offres directement dans le système et génère le rapport tabulé à partir des données de l'appel d'offres.</w:t>
      </w:r>
    </w:p>
    <w:p w14:paraId="46708DBC" w14:textId="77777777"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color w:val="333333"/>
          <w:sz w:val="22"/>
          <w:szCs w:val="22"/>
        </w:rPr>
      </w:pPr>
      <w:r w:rsidRPr="0087246C">
        <w:rPr>
          <w:rFonts w:asciiTheme="minorHAnsi" w:hAnsiTheme="minorHAnsi" w:cstheme="minorHAnsi"/>
          <w:color w:val="000000"/>
          <w:sz w:val="22"/>
          <w:szCs w:val="22"/>
        </w:rPr>
        <w:t>Toutes les offres doivent être évaluées selon les critères détaillés dans l’avis d’appel d’offres, et formulées sur la base des termes de références, en prenant en considération ce qui suit :</w:t>
      </w:r>
    </w:p>
    <w:p w14:paraId="66FA4F8C" w14:textId="77777777" w:rsidR="00342695" w:rsidRPr="0087246C" w:rsidRDefault="00342695" w:rsidP="00342695">
      <w:pPr>
        <w:pStyle w:val="ListParagraph"/>
        <w:numPr>
          <w:ilvl w:val="0"/>
          <w:numId w:val="16"/>
        </w:numPr>
        <w:shd w:val="clear" w:color="auto" w:fill="FFFFFF"/>
        <w:spacing w:after="0"/>
        <w:contextualSpacing/>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Le respect des exigences minimales, par ex., les qualifications académiques et le nombre d’années d’expérience</w:t>
      </w:r>
    </w:p>
    <w:p w14:paraId="2BCA8E12" w14:textId="77777777" w:rsidR="00342695" w:rsidRPr="0087246C" w:rsidRDefault="00342695" w:rsidP="00342695">
      <w:pPr>
        <w:pStyle w:val="ListParagraph"/>
        <w:numPr>
          <w:ilvl w:val="0"/>
          <w:numId w:val="16"/>
        </w:numPr>
        <w:shd w:val="clear" w:color="auto" w:fill="FFFFFF"/>
        <w:spacing w:after="0"/>
        <w:contextualSpacing/>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Les compétences techniques et personnelles démontrées, par ex., la compréhension de l’objet, les techniques analytiques et les aptitudes à la communication. </w:t>
      </w:r>
      <w:r w:rsidRPr="0087246C">
        <w:rPr>
          <w:rFonts w:asciiTheme="minorHAnsi" w:hAnsiTheme="minorHAnsi" w:cstheme="minorHAnsi"/>
          <w:color w:val="000000"/>
          <w:sz w:val="22"/>
          <w:szCs w:val="22"/>
        </w:rPr>
        <w:br/>
      </w:r>
    </w:p>
    <w:p w14:paraId="14B904B6" w14:textId="77777777"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sz w:val="22"/>
          <w:szCs w:val="22"/>
        </w:rPr>
      </w:pPr>
      <w:r w:rsidRPr="0087246C">
        <w:rPr>
          <w:rFonts w:asciiTheme="minorHAnsi" w:hAnsiTheme="minorHAnsi" w:cstheme="minorHAnsi"/>
          <w:sz w:val="22"/>
          <w:szCs w:val="22"/>
        </w:rPr>
        <w:t>La méthode d’évaluation sera déterminée selon que la mission nécessite des services intellectuels ou d’appui et doit être mentionnée dans l’avis d’appel d’offres. L’unité administrative dispose de deux possibilités :  </w:t>
      </w:r>
    </w:p>
    <w:p w14:paraId="18F66820" w14:textId="77777777" w:rsidR="00342695" w:rsidRPr="0087246C" w:rsidRDefault="00342695" w:rsidP="00342695">
      <w:pPr>
        <w:pStyle w:val="ListParagraph"/>
        <w:numPr>
          <w:ilvl w:val="0"/>
          <w:numId w:val="17"/>
        </w:numPr>
        <w:shd w:val="clear" w:color="auto" w:fill="FFFFFF"/>
        <w:spacing w:after="0"/>
        <w:contextualSpacing/>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La formule du meilleur rapport qualité-prix, qui est généralement utilisé pour les tâches d’ordre intellectuel et qui tiennent compte de l’association des qualifications des candidats et de leurs propositions financières. La proposition financière doit compter pour au moins 30 pour cent du score total. </w:t>
      </w:r>
    </w:p>
    <w:p w14:paraId="40055B55" w14:textId="77777777" w:rsidR="00342695" w:rsidRPr="0087246C" w:rsidRDefault="00342695" w:rsidP="00342695">
      <w:pPr>
        <w:pStyle w:val="ListParagraph"/>
        <w:numPr>
          <w:ilvl w:val="0"/>
          <w:numId w:val="17"/>
        </w:numPr>
        <w:shd w:val="clear" w:color="auto" w:fill="FFFFFF"/>
        <w:spacing w:after="0"/>
        <w:contextualSpacing/>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lastRenderedPageBreak/>
        <w:t>L’offre évaluée la plus basse de candidats éligibles du point de vue technique, généralement utilisée pour les consultants fournissant des services d’appui. </w:t>
      </w:r>
    </w:p>
    <w:p w14:paraId="288D9F33" w14:textId="77777777" w:rsidR="00342695" w:rsidRPr="0087246C" w:rsidRDefault="00342695" w:rsidP="00342695">
      <w:pPr>
        <w:pStyle w:val="Calibri11SubSubSub"/>
        <w:numPr>
          <w:ilvl w:val="0"/>
          <w:numId w:val="0"/>
        </w:numPr>
        <w:spacing w:before="0"/>
        <w:jc w:val="both"/>
        <w:rPr>
          <w:rFonts w:asciiTheme="minorHAnsi" w:hAnsiTheme="minorHAnsi" w:cstheme="minorHAnsi"/>
          <w:iCs/>
          <w:color w:val="000000"/>
          <w:szCs w:val="22"/>
        </w:rPr>
      </w:pPr>
    </w:p>
    <w:p w14:paraId="5C2140C4" w14:textId="77777777" w:rsidR="00342695" w:rsidRPr="0087246C" w:rsidRDefault="00342695" w:rsidP="00342695">
      <w:pPr>
        <w:pStyle w:val="Calibri11SubSubSub"/>
        <w:numPr>
          <w:ilvl w:val="0"/>
          <w:numId w:val="0"/>
        </w:numPr>
        <w:spacing w:before="0"/>
        <w:jc w:val="both"/>
        <w:rPr>
          <w:rFonts w:asciiTheme="minorHAnsi" w:hAnsiTheme="minorHAnsi" w:cstheme="minorHAnsi"/>
          <w:iCs/>
          <w:color w:val="000000"/>
          <w:szCs w:val="22"/>
        </w:rPr>
      </w:pPr>
      <w:bookmarkStart w:id="41" w:name="_Toc208574079"/>
      <w:r w:rsidRPr="0087246C">
        <w:rPr>
          <w:rFonts w:asciiTheme="minorHAnsi" w:hAnsiTheme="minorHAnsi" w:cstheme="minorHAnsi"/>
          <w:iCs/>
          <w:color w:val="000000"/>
          <w:szCs w:val="22"/>
        </w:rPr>
        <w:t>Étape de l’entretien (le cas échéant)</w:t>
      </w:r>
      <w:bookmarkEnd w:id="41"/>
    </w:p>
    <w:p w14:paraId="02BE85DC" w14:textId="77777777" w:rsidR="00342695" w:rsidRPr="0087246C" w:rsidRDefault="00342695" w:rsidP="00342695">
      <w:pPr>
        <w:shd w:val="clear" w:color="auto" w:fill="FFFFFF"/>
        <w:spacing w:after="0" w:line="240" w:lineRule="auto"/>
        <w:jc w:val="both"/>
        <w:textAlignment w:val="top"/>
        <w:rPr>
          <w:rFonts w:eastAsia="Times New Roman" w:cstheme="minorHAnsi"/>
          <w:color w:val="000000"/>
        </w:rPr>
      </w:pPr>
      <w:r w:rsidRPr="0087246C">
        <w:rPr>
          <w:rFonts w:cstheme="minorHAnsi"/>
          <w:color w:val="000000"/>
        </w:rPr>
        <w:t> </w:t>
      </w:r>
    </w:p>
    <w:p w14:paraId="6221F68D" w14:textId="5A0E24D0"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Les entretiens sont obligatoires si les montants contractuels devraient dépasser 1</w:t>
      </w:r>
      <w:r w:rsidR="00445779">
        <w:rPr>
          <w:rFonts w:asciiTheme="minorHAnsi" w:hAnsiTheme="minorHAnsi" w:cstheme="minorHAnsi"/>
          <w:color w:val="000000"/>
          <w:sz w:val="22"/>
          <w:szCs w:val="22"/>
        </w:rPr>
        <w:t>5</w:t>
      </w:r>
      <w:r w:rsidRPr="0087246C">
        <w:rPr>
          <w:rFonts w:asciiTheme="minorHAnsi" w:hAnsiTheme="minorHAnsi" w:cstheme="minorHAnsi"/>
          <w:color w:val="000000"/>
          <w:sz w:val="22"/>
          <w:szCs w:val="22"/>
        </w:rPr>
        <w:t xml:space="preserve">0 000 USD. En deçà de ce montant, les entretiens sont facultatifs, en fonction de ce que l’unité administrative juge le plus avantageux. En cas d'entretiens, la même équipe d’évaluation doit les mener. Les membres de cette équipe doivent s’accorder, avant les entretiens, sur les questions à poser, ainsi que les compétences et connaissances à démontrer par les candidats dans les réponses. Les questions doivent clairement être liées aux critères d’évaluation établis. Pour assurer l’équité, les candidats doivent répondre aux mêmes questions lors de chaque entretien. Toutefois, aucun membre de l’équipe d’évaluation ne doit être empêché de poser d’autres questions pertinentes et de suivi. L’équipe d’évaluation doit évaluer et noter les candidats présélectionnés sur la base des documents qu’ils ont soumis et de leurs résultats lors de l’entretien. </w:t>
      </w:r>
    </w:p>
    <w:p w14:paraId="4BFC70D1" w14:textId="77777777"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Les candidats présélectionnés pour l’entretien doivent en être informés au moins 24 heures à l’avance. Lorsqu’un candidat retire son offre, l’unité requérante peut inclure le candidat classé suivant pour un entretien.</w:t>
      </w:r>
    </w:p>
    <w:p w14:paraId="2E80DA7E" w14:textId="77777777" w:rsidR="00342695" w:rsidRPr="0087246C" w:rsidRDefault="00342695" w:rsidP="00342695">
      <w:pPr>
        <w:pStyle w:val="Calibri11SubSubSub"/>
        <w:numPr>
          <w:ilvl w:val="0"/>
          <w:numId w:val="0"/>
        </w:numPr>
        <w:spacing w:before="0"/>
        <w:jc w:val="both"/>
        <w:rPr>
          <w:rFonts w:asciiTheme="minorHAnsi" w:hAnsiTheme="minorHAnsi" w:cstheme="minorHAnsi"/>
          <w:iCs/>
          <w:color w:val="000000"/>
          <w:szCs w:val="22"/>
        </w:rPr>
      </w:pPr>
      <w:bookmarkStart w:id="42" w:name="_Toc208574080"/>
      <w:r w:rsidRPr="0087246C">
        <w:rPr>
          <w:rFonts w:asciiTheme="minorHAnsi" w:hAnsiTheme="minorHAnsi" w:cstheme="minorHAnsi"/>
          <w:iCs/>
          <w:color w:val="000000"/>
          <w:szCs w:val="22"/>
        </w:rPr>
        <w:t>Directives complémentaires :</w:t>
      </w:r>
      <w:bookmarkEnd w:id="42"/>
    </w:p>
    <w:p w14:paraId="204AE213" w14:textId="77777777" w:rsidR="00342695" w:rsidRPr="0087246C" w:rsidRDefault="00342695" w:rsidP="00342695">
      <w:pPr>
        <w:shd w:val="clear" w:color="auto" w:fill="FFFFFF"/>
        <w:spacing w:after="0" w:line="240" w:lineRule="auto"/>
        <w:jc w:val="both"/>
        <w:textAlignment w:val="top"/>
        <w:rPr>
          <w:rFonts w:eastAsia="Times New Roman" w:cstheme="minorHAnsi"/>
          <w:color w:val="000000"/>
        </w:rPr>
      </w:pPr>
      <w:r w:rsidRPr="0087246C">
        <w:rPr>
          <w:rFonts w:cstheme="minorHAnsi"/>
          <w:color w:val="000000"/>
        </w:rPr>
        <w:t> </w:t>
      </w:r>
    </w:p>
    <w:p w14:paraId="73CFC59F" w14:textId="77777777"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L’équipe d’évaluation ayant effectué l’examen sur dossier peut également conduire les entretiens. Le processus d’entretien n’a pas besoin d’être très formel comme celui entrepris pour le recrutement du personnel du PNUD. Ledit entretien vise principalement à vérifier les compétences et le profil déclarés dans l’offre. Les entretiens peuvent se dérouler en personne ou par téléphone, mais la même méthode doit s'appliquer de manière uniforme à tous les candidats, indépendamment de leur position géographique. </w:t>
      </w:r>
    </w:p>
    <w:p w14:paraId="04DD52FC" w14:textId="77777777"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Tous les frais découlant de l’entretien, tels que les frais de communication et de déplacement, sont à la charge de l’unité requérante.</w:t>
      </w:r>
    </w:p>
    <w:p w14:paraId="39C54884" w14:textId="77777777"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Au terme de l’examen sur dossier/de l’entretien, l’équipe d’évaluation doit discuter des forces et des faiblesses de tous les candidats et s’accorder sur celui qui convient le mieux, c’est-à-dire, la personne ayant obtenu le score cumulé le plus élevé ou l’offre évaluée la plus basse, tout en satisfaisant à toutes les exigences et compétences minimales. </w:t>
      </w:r>
    </w:p>
    <w:p w14:paraId="607BC7EB" w14:textId="77777777" w:rsidR="00342695" w:rsidRPr="0087246C" w:rsidRDefault="00342695" w:rsidP="00342695">
      <w:pPr>
        <w:pStyle w:val="ListParagraph"/>
        <w:numPr>
          <w:ilvl w:val="0"/>
          <w:numId w:val="36"/>
        </w:numPr>
        <w:shd w:val="clear" w:color="auto" w:fill="FFFFFF"/>
        <w:spacing w:before="0" w:beforeAutospacing="0" w:after="240" w:afterAutospacing="0"/>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Les résultats du processus, de la présélection à l’entretien, doivent être présentés dans un rapport unique comprenant les éléments suivants : </w:t>
      </w:r>
    </w:p>
    <w:p w14:paraId="07B165A8" w14:textId="77777777" w:rsidR="00342695" w:rsidRPr="0087246C" w:rsidRDefault="00342695" w:rsidP="00342695">
      <w:pPr>
        <w:pStyle w:val="ListParagraph"/>
        <w:numPr>
          <w:ilvl w:val="0"/>
          <w:numId w:val="18"/>
        </w:numPr>
        <w:shd w:val="clear" w:color="auto" w:fill="FFFFFF"/>
        <w:spacing w:after="0"/>
        <w:contextualSpacing/>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La notation de chaque candidat (du point de vue technique et financier)</w:t>
      </w:r>
    </w:p>
    <w:p w14:paraId="3B9584FF" w14:textId="77777777" w:rsidR="00342695" w:rsidRPr="0087246C" w:rsidRDefault="00342695" w:rsidP="00342695">
      <w:pPr>
        <w:pStyle w:val="ListParagraph"/>
        <w:numPr>
          <w:ilvl w:val="0"/>
          <w:numId w:val="18"/>
        </w:numPr>
        <w:shd w:val="clear" w:color="auto" w:fill="FFFFFF"/>
        <w:spacing w:after="0"/>
        <w:contextualSpacing/>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Les forces et les faiblesses de chacun </w:t>
      </w:r>
    </w:p>
    <w:p w14:paraId="721BEF7E" w14:textId="77777777" w:rsidR="00342695" w:rsidRPr="0087246C" w:rsidRDefault="00342695" w:rsidP="00342695">
      <w:pPr>
        <w:pStyle w:val="ListParagraph"/>
        <w:numPr>
          <w:ilvl w:val="0"/>
          <w:numId w:val="18"/>
        </w:numPr>
        <w:shd w:val="clear" w:color="auto" w:fill="FFFFFF"/>
        <w:spacing w:after="0"/>
        <w:contextualSpacing/>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Les résultats de l’examen sur dossier/de l’entretien</w:t>
      </w:r>
    </w:p>
    <w:p w14:paraId="34BFB234" w14:textId="77777777" w:rsidR="00342695" w:rsidRPr="0087246C" w:rsidRDefault="00342695" w:rsidP="00342695">
      <w:pPr>
        <w:pStyle w:val="ListParagraph"/>
        <w:numPr>
          <w:ilvl w:val="0"/>
          <w:numId w:val="18"/>
        </w:numPr>
        <w:shd w:val="clear" w:color="auto" w:fill="FFFFFF"/>
        <w:spacing w:after="0"/>
        <w:contextualSpacing/>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Toute décision découlant de l’acceptation ou du rejet d’une vérification de référence négative </w:t>
      </w:r>
    </w:p>
    <w:p w14:paraId="3924516E" w14:textId="77777777" w:rsidR="00342695" w:rsidRPr="0087246C" w:rsidRDefault="00342695" w:rsidP="00342695">
      <w:pPr>
        <w:pStyle w:val="ListParagraph"/>
        <w:numPr>
          <w:ilvl w:val="0"/>
          <w:numId w:val="18"/>
        </w:numPr>
        <w:shd w:val="clear" w:color="auto" w:fill="FFFFFF"/>
        <w:contextualSpacing/>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Le meilleur soumissionnaire sélectionné pour la passation de marchés </w:t>
      </w:r>
    </w:p>
    <w:p w14:paraId="4154A8F3" w14:textId="77777777" w:rsidR="00342695" w:rsidRPr="0087246C" w:rsidRDefault="00342695" w:rsidP="00342695">
      <w:pPr>
        <w:pStyle w:val="ListParagraph"/>
        <w:numPr>
          <w:ilvl w:val="0"/>
          <w:numId w:val="18"/>
        </w:numPr>
        <w:shd w:val="clear" w:color="auto" w:fill="FFFFFF"/>
        <w:contextualSpacing/>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Les principales raisons expliquant le rejet des autres offres</w:t>
      </w:r>
    </w:p>
    <w:p w14:paraId="67E250C3" w14:textId="77777777" w:rsidR="00342695" w:rsidRPr="0087246C" w:rsidRDefault="00342695" w:rsidP="00342695">
      <w:pPr>
        <w:pStyle w:val="ListParagraph"/>
        <w:shd w:val="clear" w:color="auto" w:fill="FFFFFF"/>
        <w:spacing w:before="0" w:beforeAutospacing="0" w:afterAutospacing="0"/>
        <w:ind w:left="1710"/>
        <w:contextualSpacing/>
        <w:jc w:val="both"/>
        <w:textAlignment w:val="top"/>
        <w:rPr>
          <w:rFonts w:asciiTheme="minorHAnsi" w:hAnsiTheme="minorHAnsi" w:cstheme="minorHAnsi"/>
          <w:color w:val="000000"/>
          <w:sz w:val="22"/>
          <w:szCs w:val="22"/>
        </w:rPr>
      </w:pPr>
    </w:p>
    <w:p w14:paraId="1A4594D6" w14:textId="30435089" w:rsidR="00342695" w:rsidRPr="00EE7BEE" w:rsidRDefault="00342695" w:rsidP="00257188">
      <w:pPr>
        <w:pStyle w:val="ListParagraph"/>
        <w:numPr>
          <w:ilvl w:val="0"/>
          <w:numId w:val="36"/>
        </w:numPr>
        <w:shd w:val="clear" w:color="auto" w:fill="FFFFFF"/>
        <w:spacing w:after="0"/>
        <w:jc w:val="both"/>
        <w:textAlignment w:val="top"/>
        <w:rPr>
          <w:rFonts w:cstheme="minorHAnsi"/>
          <w:color w:val="000000"/>
        </w:rPr>
      </w:pPr>
      <w:r w:rsidRPr="00EE7BEE">
        <w:rPr>
          <w:rFonts w:asciiTheme="minorHAnsi" w:hAnsiTheme="minorHAnsi" w:cstheme="minorHAnsi"/>
          <w:color w:val="000000"/>
        </w:rPr>
        <w:lastRenderedPageBreak/>
        <w:t>Ce rapport doit être rédigé et signé par l’équipe d’évaluation. </w:t>
      </w:r>
      <w:r w:rsidRPr="00EE7BEE">
        <w:rPr>
          <w:rFonts w:cstheme="minorHAnsi"/>
          <w:color w:val="000000"/>
        </w:rPr>
        <w:t> </w:t>
      </w:r>
    </w:p>
    <w:p w14:paraId="7A6B8DEF" w14:textId="77777777" w:rsidR="00342695" w:rsidRPr="0087246C" w:rsidRDefault="00342695" w:rsidP="00342695">
      <w:pPr>
        <w:pStyle w:val="Calibri11SubSubSub"/>
        <w:numPr>
          <w:ilvl w:val="0"/>
          <w:numId w:val="0"/>
        </w:numPr>
        <w:spacing w:before="0"/>
        <w:jc w:val="both"/>
        <w:rPr>
          <w:rFonts w:asciiTheme="minorHAnsi" w:hAnsiTheme="minorHAnsi" w:cstheme="minorHAnsi"/>
          <w:iCs/>
          <w:color w:val="000000"/>
          <w:szCs w:val="22"/>
        </w:rPr>
      </w:pPr>
      <w:bookmarkStart w:id="43" w:name="_Toc208574081"/>
      <w:r w:rsidRPr="0087246C">
        <w:rPr>
          <w:rFonts w:asciiTheme="minorHAnsi" w:hAnsiTheme="minorHAnsi" w:cstheme="minorHAnsi"/>
          <w:iCs/>
          <w:color w:val="000000"/>
          <w:szCs w:val="22"/>
        </w:rPr>
        <w:t>Vérification des références</w:t>
      </w:r>
      <w:bookmarkEnd w:id="43"/>
    </w:p>
    <w:p w14:paraId="0B3112DF" w14:textId="77777777" w:rsidR="00342695" w:rsidRPr="0087246C" w:rsidRDefault="00342695" w:rsidP="00342695">
      <w:pPr>
        <w:shd w:val="clear" w:color="auto" w:fill="FFFFFF"/>
        <w:spacing w:after="0" w:line="240" w:lineRule="auto"/>
        <w:jc w:val="both"/>
        <w:textAlignment w:val="top"/>
        <w:rPr>
          <w:rFonts w:eastAsia="Times New Roman" w:cstheme="minorHAnsi"/>
          <w:color w:val="000000"/>
        </w:rPr>
      </w:pPr>
      <w:r w:rsidRPr="0087246C">
        <w:rPr>
          <w:rFonts w:cstheme="minorHAnsi"/>
          <w:color w:val="000000"/>
        </w:rPr>
        <w:t> </w:t>
      </w:r>
    </w:p>
    <w:p w14:paraId="74ADB107" w14:textId="14C87056"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color w:val="333333"/>
          <w:sz w:val="22"/>
          <w:szCs w:val="22"/>
        </w:rPr>
      </w:pPr>
      <w:r w:rsidRPr="0087246C">
        <w:rPr>
          <w:rFonts w:asciiTheme="minorHAnsi" w:hAnsiTheme="minorHAnsi" w:cstheme="minorHAnsi"/>
          <w:color w:val="000000"/>
          <w:sz w:val="22"/>
          <w:szCs w:val="22"/>
        </w:rPr>
        <w:t>Les vérifications de référence constituent un aspect important du processus de sélection. Elles doivent être utilisées pour le candidat qui convient le mieux et donner lieu à au moins deux références positives. Une vérification positive des références dans le dossier de l’unité administrative demeure valide pour une durée de deux ans, après quoi une nouvelle série de vérification des références doit être effectuée. Un</w:t>
      </w:r>
      <w:r w:rsidRPr="0087246C">
        <w:rPr>
          <w:rFonts w:asciiTheme="minorHAnsi" w:hAnsiTheme="minorHAnsi" w:cstheme="minorHAnsi"/>
          <w:color w:val="333333"/>
          <w:sz w:val="22"/>
          <w:szCs w:val="22"/>
        </w:rPr>
        <w:t xml:space="preserve"> </w:t>
      </w:r>
      <w:hyperlink r:id="rId25" w:tgtFrame="_blank" w:history="1">
        <w:r w:rsidRPr="0087246C">
          <w:rPr>
            <w:rFonts w:asciiTheme="minorHAnsi" w:hAnsiTheme="minorHAnsi" w:cstheme="minorHAnsi"/>
            <w:color w:val="0072BC"/>
            <w:sz w:val="22"/>
            <w:szCs w:val="22"/>
            <w:u w:val="single"/>
          </w:rPr>
          <w:t xml:space="preserve">Reference Check </w:t>
        </w:r>
        <w:r w:rsidR="00B13A01">
          <w:rPr>
            <w:rFonts w:asciiTheme="minorHAnsi" w:hAnsiTheme="minorHAnsi" w:cstheme="minorHAnsi"/>
            <w:color w:val="0072BC"/>
            <w:sz w:val="22"/>
            <w:szCs w:val="22"/>
            <w:u w:val="single"/>
          </w:rPr>
          <w:t>T</w:t>
        </w:r>
        <w:r w:rsidRPr="0087246C">
          <w:rPr>
            <w:rFonts w:asciiTheme="minorHAnsi" w:hAnsiTheme="minorHAnsi" w:cstheme="minorHAnsi"/>
            <w:color w:val="0072BC"/>
            <w:sz w:val="22"/>
            <w:szCs w:val="22"/>
            <w:u w:val="single"/>
          </w:rPr>
          <w:t>emplate</w:t>
        </w:r>
      </w:hyperlink>
      <w:r w:rsidR="00715383" w:rsidRPr="00715383">
        <w:rPr>
          <w:rFonts w:asciiTheme="minorHAnsi" w:hAnsiTheme="minorHAnsi" w:cstheme="minorHAnsi"/>
          <w:color w:val="0072BC"/>
          <w:sz w:val="22"/>
          <w:szCs w:val="22"/>
        </w:rPr>
        <w:t xml:space="preserve"> </w:t>
      </w:r>
      <w:r w:rsidRPr="0087246C">
        <w:rPr>
          <w:rFonts w:asciiTheme="minorHAnsi" w:hAnsiTheme="minorHAnsi" w:cstheme="minorHAnsi"/>
          <w:color w:val="000000"/>
          <w:sz w:val="22"/>
          <w:szCs w:val="22"/>
        </w:rPr>
        <w:t>(modèle de vérification des références) a été créé. Lorsqu’un consultant a effectué des missions précédentes pour le compte du PNUD, l’évaluation des résultats effectuée sur les contrats(s) précédent(s) servira de référence pour les nouveaux contrats.</w:t>
      </w:r>
    </w:p>
    <w:p w14:paraId="466D4657" w14:textId="77777777"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color w:val="333333"/>
          <w:sz w:val="22"/>
          <w:szCs w:val="22"/>
        </w:rPr>
      </w:pPr>
      <w:r w:rsidRPr="0087246C">
        <w:rPr>
          <w:rFonts w:asciiTheme="minorHAnsi" w:hAnsiTheme="minorHAnsi" w:cstheme="minorHAnsi"/>
          <w:color w:val="000000"/>
          <w:sz w:val="22"/>
          <w:szCs w:val="22"/>
        </w:rPr>
        <w:t xml:space="preserve">L’éligibilité du candidat qui convient le mieux sera vérifiée conformément aux règles, règlements et politiques du PNUD. L’unité administrative doit au moins vérifier la liste d’inéligibilité du Portail mondial pour les fournisseurs des organismes des Nations Unies ainsi que la liste établie par le conseil de sécurité (voir les résolutions 1267/1989 et autres, notamment leurs versions à jour, le cas échéant). </w:t>
      </w:r>
    </w:p>
    <w:p w14:paraId="6930478D" w14:textId="77777777"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color w:val="333333"/>
          <w:sz w:val="22"/>
          <w:szCs w:val="22"/>
        </w:rPr>
      </w:pPr>
      <w:r w:rsidRPr="0087246C">
        <w:rPr>
          <w:rFonts w:asciiTheme="minorHAnsi" w:hAnsiTheme="minorHAnsi" w:cstheme="minorHAnsi"/>
          <w:color w:val="000000"/>
          <w:sz w:val="22"/>
          <w:szCs w:val="22"/>
        </w:rPr>
        <w:t xml:space="preserve">Lors de la vérification des références, l’unité administrative peut : a) utiliser uniquement le téléphone ; b) utiliser le modèle fourni ; ou c) combiner les deux.   La vérification des références par téléphone doit impliquer au moins deux membres du personnel écoutant les commentaires ; les échanges doivent être documentés avec précision, en indiquant l’heure exacte à laquelle l’appel a été effectué, les coordonnées de la personne fournissant les commentaires et les noms des membres du personnel du PNUD présents à l’appel. </w:t>
      </w:r>
    </w:p>
    <w:p w14:paraId="7C35E527" w14:textId="77777777"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color w:val="333333"/>
          <w:sz w:val="22"/>
          <w:szCs w:val="22"/>
        </w:rPr>
      </w:pPr>
      <w:r w:rsidRPr="0087246C">
        <w:rPr>
          <w:rFonts w:asciiTheme="minorHAnsi" w:hAnsiTheme="minorHAnsi" w:cstheme="minorHAnsi"/>
          <w:color w:val="000000"/>
          <w:sz w:val="22"/>
          <w:szCs w:val="22"/>
        </w:rPr>
        <w:t>Si la personne faisant l’objet d’une vérification des références est un ancien membre du personnel des Nations Unies qui n’est plus en fonction en raison de la retraite, de l’expiration de contrat ou de la démission, l’unité requérante doit inclure dans ses vérifications des références la raison de la cessation de service, qui peut être obtenue par les voies suivantes : </w:t>
      </w:r>
    </w:p>
    <w:p w14:paraId="3AA50FD1" w14:textId="77777777" w:rsidR="00342695" w:rsidRPr="0087246C" w:rsidRDefault="00342695" w:rsidP="00342695">
      <w:pPr>
        <w:pStyle w:val="ListParagraph"/>
        <w:numPr>
          <w:ilvl w:val="0"/>
          <w:numId w:val="19"/>
        </w:numPr>
        <w:shd w:val="clear" w:color="auto" w:fill="FFFFFF"/>
        <w:spacing w:after="0"/>
        <w:contextualSpacing/>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Le spécialiste des ressources humaines du Bureau des ressources humaines du PNUD à Copenhague, si la personne était un ancien membre du personnel recruté à l’international ; où </w:t>
      </w:r>
    </w:p>
    <w:p w14:paraId="695C8822" w14:textId="77777777" w:rsidR="00342695" w:rsidRPr="0087246C" w:rsidRDefault="00342695" w:rsidP="00342695">
      <w:pPr>
        <w:pStyle w:val="ListParagraph"/>
        <w:numPr>
          <w:ilvl w:val="0"/>
          <w:numId w:val="19"/>
        </w:numPr>
        <w:shd w:val="clear" w:color="auto" w:fill="FFFFFF"/>
        <w:contextualSpacing/>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Le Directeur des ressources humaines/des opérations du Bureau de pays ou du Bureau dans lequel il a travaillé avant la cessation de services, si la personne était un ancien membre du personnel recruté au niveau local. </w:t>
      </w:r>
    </w:p>
    <w:p w14:paraId="1DDF7DEF" w14:textId="77777777" w:rsidR="00342695" w:rsidRPr="0087246C" w:rsidRDefault="00342695" w:rsidP="00342695">
      <w:pPr>
        <w:pStyle w:val="ListParagraph"/>
        <w:shd w:val="clear" w:color="auto" w:fill="FFFFFF"/>
        <w:spacing w:before="0" w:beforeAutospacing="0" w:afterAutospacing="0"/>
        <w:ind w:left="1800"/>
        <w:contextualSpacing/>
        <w:jc w:val="both"/>
        <w:textAlignment w:val="top"/>
        <w:rPr>
          <w:rFonts w:asciiTheme="minorHAnsi" w:hAnsiTheme="minorHAnsi" w:cstheme="minorHAnsi"/>
          <w:color w:val="000000"/>
          <w:sz w:val="22"/>
          <w:szCs w:val="22"/>
        </w:rPr>
      </w:pPr>
    </w:p>
    <w:p w14:paraId="21EEFDC9" w14:textId="77777777" w:rsidR="00342695" w:rsidRPr="0087246C" w:rsidRDefault="00342695" w:rsidP="00342695">
      <w:pPr>
        <w:pStyle w:val="Calibri11SubSubSub"/>
        <w:numPr>
          <w:ilvl w:val="0"/>
          <w:numId w:val="0"/>
        </w:numPr>
        <w:spacing w:before="0"/>
        <w:jc w:val="both"/>
        <w:rPr>
          <w:rFonts w:asciiTheme="minorHAnsi" w:hAnsiTheme="minorHAnsi" w:cstheme="minorHAnsi"/>
          <w:szCs w:val="22"/>
        </w:rPr>
      </w:pPr>
      <w:bookmarkStart w:id="44" w:name="_Toc208574082"/>
      <w:r w:rsidRPr="0087246C">
        <w:rPr>
          <w:rFonts w:asciiTheme="minorHAnsi" w:hAnsiTheme="minorHAnsi" w:cstheme="minorHAnsi"/>
          <w:szCs w:val="22"/>
        </w:rPr>
        <w:t>Négociations et clarifications</w:t>
      </w:r>
      <w:bookmarkEnd w:id="44"/>
    </w:p>
    <w:p w14:paraId="688AD831" w14:textId="77777777" w:rsidR="00342695" w:rsidRPr="0087246C" w:rsidRDefault="00342695" w:rsidP="00342695">
      <w:pPr>
        <w:shd w:val="clear" w:color="auto" w:fill="FFFFFF"/>
        <w:spacing w:after="0" w:line="240" w:lineRule="auto"/>
        <w:ind w:left="720"/>
        <w:jc w:val="both"/>
        <w:textAlignment w:val="top"/>
        <w:rPr>
          <w:rFonts w:eastAsia="Times New Roman" w:cstheme="minorHAnsi"/>
          <w:color w:val="000000"/>
        </w:rPr>
      </w:pPr>
    </w:p>
    <w:p w14:paraId="3194B747" w14:textId="77777777"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Les négociations sont souvent accompagnées de risques. Elles peuvent remettre en question l’équité, la transparence et l’intégrité des processus de passation de marchés et miner la confiance du marché envers le PNUD. Cette activité doit toujours être gérée de façon convenable, professionnelle et conformément aux directives de politique générale du PNUD.</w:t>
      </w:r>
    </w:p>
    <w:p w14:paraId="3147F2B7" w14:textId="77777777"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La négociation n’est pas obligatoire dans un processus de sélection. Si tout est en ordre et clairement convenu entre le PNUD et le candidat, aucune négociation n’est nécessaire. </w:t>
      </w:r>
    </w:p>
    <w:p w14:paraId="30371ABE" w14:textId="21579F88"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lastRenderedPageBreak/>
        <w:t xml:space="preserve">La négociation dans un processus de mise en concurrence ne doit </w:t>
      </w:r>
      <w:r w:rsidR="00715383" w:rsidRPr="0087246C">
        <w:rPr>
          <w:rFonts w:asciiTheme="minorHAnsi" w:hAnsiTheme="minorHAnsi" w:cstheme="minorHAnsi"/>
          <w:color w:val="000000"/>
          <w:sz w:val="22"/>
          <w:szCs w:val="22"/>
        </w:rPr>
        <w:t xml:space="preserve">ni </w:t>
      </w:r>
      <w:proofErr w:type="gramStart"/>
      <w:r w:rsidR="00715383" w:rsidRPr="0087246C">
        <w:rPr>
          <w:rFonts w:asciiTheme="minorHAnsi" w:hAnsiTheme="minorHAnsi" w:cstheme="minorHAnsi"/>
          <w:color w:val="000000"/>
          <w:sz w:val="22"/>
          <w:szCs w:val="22"/>
        </w:rPr>
        <w:t>ne être</w:t>
      </w:r>
      <w:proofErr w:type="gramEnd"/>
      <w:r w:rsidR="00715383" w:rsidRPr="0087246C">
        <w:rPr>
          <w:rFonts w:asciiTheme="minorHAnsi" w:hAnsiTheme="minorHAnsi" w:cstheme="minorHAnsi"/>
          <w:color w:val="000000"/>
          <w:sz w:val="22"/>
          <w:szCs w:val="22"/>
        </w:rPr>
        <w:t xml:space="preserve"> comprise</w:t>
      </w:r>
      <w:r w:rsidRPr="0087246C">
        <w:rPr>
          <w:rFonts w:asciiTheme="minorHAnsi" w:hAnsiTheme="minorHAnsi" w:cstheme="minorHAnsi"/>
          <w:color w:val="000000"/>
          <w:sz w:val="22"/>
          <w:szCs w:val="22"/>
        </w:rPr>
        <w:t xml:space="preserve"> ni interprétée à tort comme un moyen de marchander avec le candidat répondant de façon satisfaisante aux exigences de l’évaluation technique et financière. La négociation ne doit pas laisser entendre que le candidat est tenu d’accepter une réduction de prix ou un cahier des charges supplémentaire non initialement exigé dans les termes de référence comme condition d’attribution d’un contrat. Elle ne doit pas être utilisée pour priver le candidat qui convient le mieux de l’attribution du contrat. </w:t>
      </w:r>
    </w:p>
    <w:p w14:paraId="4D09B0B5" w14:textId="77777777"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Une fois le candidat le plus qualifié identifié, et certains éléments de la proposition financière précisés ou corrigés, ledit candidat peut être convié à un échange. Au moins deux membres du personnel du PNUD (dans l’idéal, l’une de l’unité requérante et l’autre du personnel chargé de la passation des marchés) doivent prendre part à ce processus.</w:t>
      </w:r>
    </w:p>
    <w:p w14:paraId="07CCE6C0" w14:textId="77777777"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L’unité requérante </w:t>
      </w:r>
      <w:r w:rsidRPr="0087246C">
        <w:rPr>
          <w:rFonts w:asciiTheme="minorHAnsi" w:hAnsiTheme="minorHAnsi" w:cstheme="minorHAnsi"/>
          <w:b/>
          <w:color w:val="000000"/>
          <w:sz w:val="22"/>
          <w:szCs w:val="22"/>
        </w:rPr>
        <w:t>ne prend aucun engagement à l’égard du candidat qui convient le mieux avant l’attribution du contrat.</w:t>
      </w:r>
      <w:r w:rsidRPr="0087246C">
        <w:rPr>
          <w:rFonts w:asciiTheme="minorHAnsi" w:hAnsiTheme="minorHAnsi" w:cstheme="minorHAnsi"/>
          <w:color w:val="000000"/>
          <w:sz w:val="22"/>
          <w:szCs w:val="22"/>
        </w:rPr>
        <w:t xml:space="preserve"> Le candidat doit être informé que les résultats de l’évaluation et les négociations restent soumis à l’approbation du titulaire compétent du pouvoir en matière d’achats avant l’attribution du contrat. L’accord final négocié doit être formalisé dans une note au dossier préparée et signée par l’équipe de négociation, et conservé dans les rapports internes de l’unité administrative. </w:t>
      </w:r>
    </w:p>
    <w:p w14:paraId="5ABD02CE" w14:textId="77777777" w:rsidR="00342695" w:rsidRPr="0087246C" w:rsidRDefault="00342695" w:rsidP="00342695">
      <w:pPr>
        <w:pStyle w:val="Calibri11SubSubSub"/>
        <w:numPr>
          <w:ilvl w:val="0"/>
          <w:numId w:val="0"/>
        </w:numPr>
        <w:jc w:val="both"/>
        <w:rPr>
          <w:rFonts w:asciiTheme="minorHAnsi" w:hAnsiTheme="minorHAnsi" w:cstheme="minorHAnsi"/>
          <w:szCs w:val="22"/>
        </w:rPr>
      </w:pPr>
      <w:bookmarkStart w:id="45" w:name="_Toc208574083"/>
      <w:r w:rsidRPr="0087246C">
        <w:rPr>
          <w:rFonts w:asciiTheme="minorHAnsi" w:hAnsiTheme="minorHAnsi" w:cstheme="minorHAnsi"/>
          <w:szCs w:val="22"/>
        </w:rPr>
        <w:t>Attribution</w:t>
      </w:r>
      <w:bookmarkEnd w:id="45"/>
    </w:p>
    <w:p w14:paraId="20217560" w14:textId="77777777" w:rsidR="00342695" w:rsidRPr="0087246C" w:rsidRDefault="00342695" w:rsidP="00342695">
      <w:pPr>
        <w:shd w:val="clear" w:color="auto" w:fill="FFFFFF"/>
        <w:spacing w:after="0" w:line="240" w:lineRule="auto"/>
        <w:ind w:left="720"/>
        <w:jc w:val="both"/>
        <w:textAlignment w:val="top"/>
        <w:rPr>
          <w:rFonts w:eastAsia="Times New Roman" w:cstheme="minorHAnsi"/>
          <w:color w:val="000000"/>
          <w:lang w:val="en-PH"/>
        </w:rPr>
      </w:pPr>
    </w:p>
    <w:p w14:paraId="3EA0A3DD" w14:textId="77777777"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Après la sélection d’un candidat, l’attribution du contrat doit faire l’objet d’un nouvel examen en fonction de sa durée et de son montant total. Veuillez consulter les informations relatives à la délégation d’autorité en matière d’achats et à ses limites. </w:t>
      </w:r>
    </w:p>
    <w:p w14:paraId="33BB33C5" w14:textId="77777777" w:rsidR="00342695" w:rsidRPr="0087246C" w:rsidRDefault="00342695" w:rsidP="00342695">
      <w:pPr>
        <w:pStyle w:val="Calibri11Sub"/>
        <w:numPr>
          <w:ilvl w:val="0"/>
          <w:numId w:val="0"/>
        </w:numPr>
        <w:tabs>
          <w:tab w:val="clear" w:pos="900"/>
        </w:tabs>
        <w:ind w:left="-360"/>
        <w:jc w:val="both"/>
        <w:rPr>
          <w:rFonts w:cstheme="minorHAnsi"/>
          <w:szCs w:val="22"/>
        </w:rPr>
      </w:pPr>
      <w:r w:rsidRPr="0087246C">
        <w:rPr>
          <w:rFonts w:cstheme="minorHAnsi"/>
        </w:rPr>
        <w:t xml:space="preserve">        </w:t>
      </w:r>
      <w:bookmarkStart w:id="46" w:name="_Toc208574084"/>
      <w:r w:rsidRPr="0087246C">
        <w:rPr>
          <w:rFonts w:cstheme="minorHAnsi"/>
        </w:rPr>
        <w:t>Passation de marchés par entente directe</w:t>
      </w:r>
      <w:bookmarkEnd w:id="46"/>
    </w:p>
    <w:p w14:paraId="2FBDE848" w14:textId="77777777" w:rsidR="00342695" w:rsidRPr="0087246C" w:rsidRDefault="00342695" w:rsidP="00342695">
      <w:pPr>
        <w:shd w:val="clear" w:color="auto" w:fill="FFFFFF"/>
        <w:spacing w:after="0" w:line="240" w:lineRule="auto"/>
        <w:ind w:firstLine="360"/>
        <w:jc w:val="both"/>
        <w:textAlignment w:val="top"/>
        <w:rPr>
          <w:rFonts w:eastAsia="Times New Roman" w:cstheme="minorHAnsi"/>
          <w:color w:val="000000"/>
        </w:rPr>
      </w:pPr>
    </w:p>
    <w:p w14:paraId="2384D239" w14:textId="77777777" w:rsidR="00342695" w:rsidRPr="0087246C" w:rsidRDefault="00342695" w:rsidP="00342695">
      <w:pPr>
        <w:pStyle w:val="ListParagraph"/>
        <w:numPr>
          <w:ilvl w:val="0"/>
          <w:numId w:val="36"/>
        </w:numPr>
        <w:shd w:val="clear" w:color="auto" w:fill="FFFFFF"/>
        <w:spacing w:after="0"/>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Dans certains cas et sous réserve d’une justification valable, il peut s'avérer approprié de considérer un seul candidat pour un marché. La justification d’une passation de marché par entente directe doit être formulée conformément au Règlement 121.05 du Règlement financier et des règles du PNUD. Dans de tels cas, les aspects suivants doivent être pris en compte :</w:t>
      </w:r>
    </w:p>
    <w:p w14:paraId="398193CC" w14:textId="261564C9" w:rsidR="00342695" w:rsidRPr="0087246C" w:rsidRDefault="00342695" w:rsidP="00342695">
      <w:pPr>
        <w:pStyle w:val="ListParagraph"/>
        <w:numPr>
          <w:ilvl w:val="0"/>
          <w:numId w:val="20"/>
        </w:numPr>
        <w:shd w:val="clear" w:color="auto" w:fill="FFFFFF"/>
        <w:spacing w:after="0"/>
        <w:contextualSpacing/>
        <w:jc w:val="both"/>
        <w:textAlignment w:val="top"/>
        <w:rPr>
          <w:rFonts w:asciiTheme="minorHAnsi" w:hAnsiTheme="minorHAnsi" w:cstheme="minorHAnsi"/>
          <w:color w:val="333333"/>
          <w:sz w:val="22"/>
          <w:szCs w:val="22"/>
        </w:rPr>
      </w:pPr>
      <w:r w:rsidRPr="0087246C">
        <w:rPr>
          <w:rFonts w:asciiTheme="minorHAnsi" w:hAnsiTheme="minorHAnsi" w:cstheme="minorHAnsi"/>
          <w:color w:val="000000"/>
          <w:sz w:val="22"/>
          <w:szCs w:val="22"/>
        </w:rPr>
        <w:t xml:space="preserve">Les marchés par entente directe d’une valeur ou valeur cumulative comprise entre </w:t>
      </w:r>
      <w:r w:rsidR="00445779">
        <w:rPr>
          <w:rFonts w:asciiTheme="minorHAnsi" w:hAnsiTheme="minorHAnsi" w:cstheme="minorHAnsi"/>
          <w:color w:val="000000"/>
          <w:sz w:val="22"/>
          <w:szCs w:val="22"/>
          <w:u w:val="single"/>
        </w:rPr>
        <w:t>7</w:t>
      </w:r>
      <w:r w:rsidRPr="0087246C">
        <w:rPr>
          <w:rFonts w:asciiTheme="minorHAnsi" w:hAnsiTheme="minorHAnsi" w:cstheme="minorHAnsi"/>
          <w:color w:val="000000"/>
          <w:sz w:val="22"/>
          <w:szCs w:val="22"/>
          <w:u w:val="single"/>
        </w:rPr>
        <w:t> 000 USD (1</w:t>
      </w:r>
      <w:r w:rsidR="00445779">
        <w:rPr>
          <w:rFonts w:asciiTheme="minorHAnsi" w:hAnsiTheme="minorHAnsi" w:cstheme="minorHAnsi"/>
          <w:color w:val="000000"/>
          <w:sz w:val="22"/>
          <w:szCs w:val="22"/>
          <w:u w:val="single"/>
        </w:rPr>
        <w:t>5</w:t>
      </w:r>
      <w:r w:rsidRPr="0087246C">
        <w:rPr>
          <w:rFonts w:asciiTheme="minorHAnsi" w:hAnsiTheme="minorHAnsi" w:cstheme="minorHAnsi"/>
          <w:color w:val="000000"/>
          <w:sz w:val="22"/>
          <w:szCs w:val="22"/>
          <w:u w:val="single"/>
        </w:rPr>
        <w:t> 000 USD si le bureau y consent) et 1</w:t>
      </w:r>
      <w:r w:rsidR="00445779">
        <w:rPr>
          <w:rFonts w:asciiTheme="minorHAnsi" w:hAnsiTheme="minorHAnsi" w:cstheme="minorHAnsi"/>
          <w:color w:val="000000"/>
          <w:sz w:val="22"/>
          <w:szCs w:val="22"/>
          <w:u w:val="single"/>
        </w:rPr>
        <w:t>5</w:t>
      </w:r>
      <w:r w:rsidRPr="0087246C">
        <w:rPr>
          <w:rFonts w:asciiTheme="minorHAnsi" w:hAnsiTheme="minorHAnsi" w:cstheme="minorHAnsi"/>
          <w:color w:val="000000"/>
          <w:sz w:val="22"/>
          <w:szCs w:val="22"/>
          <w:u w:val="single"/>
        </w:rPr>
        <w:t>0 000 USD</w:t>
      </w:r>
      <w:r w:rsidRPr="0087246C">
        <w:rPr>
          <w:rFonts w:asciiTheme="minorHAnsi" w:hAnsiTheme="minorHAnsi" w:cstheme="minorHAnsi"/>
          <w:color w:val="000000"/>
          <w:sz w:val="22"/>
          <w:szCs w:val="22"/>
        </w:rPr>
        <w:t xml:space="preserve"> doivent être justifiés auprès du Représentant résident/Chef de l’unité administrative dont l’approbation est requise, ou auprès d’un membre du personnel du PNUD disposant de pouvoirs délégués en matière d’achats jusqu’à concurrence d’un tel montant. Il peut s’agir du Directeur de pays, du Représentant résident adjoint </w:t>
      </w:r>
      <w:proofErr w:type="gramStart"/>
      <w:r w:rsidRPr="0087246C">
        <w:rPr>
          <w:rFonts w:asciiTheme="minorHAnsi" w:hAnsiTheme="minorHAnsi" w:cstheme="minorHAnsi"/>
          <w:color w:val="000000"/>
          <w:sz w:val="22"/>
          <w:szCs w:val="22"/>
        </w:rPr>
        <w:t>chargé</w:t>
      </w:r>
      <w:proofErr w:type="gramEnd"/>
      <w:r w:rsidRPr="0087246C">
        <w:rPr>
          <w:rFonts w:asciiTheme="minorHAnsi" w:hAnsiTheme="minorHAnsi" w:cstheme="minorHAnsi"/>
          <w:color w:val="000000"/>
          <w:sz w:val="22"/>
          <w:szCs w:val="22"/>
        </w:rPr>
        <w:t xml:space="preserve"> des opérations, du Directeur pays adjoint chargé des opérations, du Chef des opérations, du Chef de l’unité des achats, du président du comité des marchés, des actifs et des achats ou de toute autre personne disposant d’une connaissance parfaite des politiques du PNUD pertinentes quant aux contrats individuels et aux normes en matière de passation des marchés. Un</w:t>
      </w:r>
      <w:r w:rsidRPr="0087246C">
        <w:rPr>
          <w:rFonts w:asciiTheme="minorHAnsi" w:hAnsiTheme="minorHAnsi" w:cstheme="minorHAnsi"/>
          <w:color w:val="333333"/>
          <w:sz w:val="22"/>
          <w:szCs w:val="22"/>
        </w:rPr>
        <w:t xml:space="preserve"> </w:t>
      </w:r>
      <w:hyperlink r:id="rId26" w:history="1">
        <w:r w:rsidRPr="0087246C">
          <w:rPr>
            <w:rFonts w:asciiTheme="minorHAnsi" w:hAnsiTheme="minorHAnsi" w:cstheme="minorHAnsi"/>
            <w:color w:val="0072BC"/>
            <w:sz w:val="22"/>
            <w:szCs w:val="22"/>
            <w:u w:val="single"/>
          </w:rPr>
          <w:t>modèle</w:t>
        </w:r>
      </w:hyperlink>
      <w:r w:rsidRPr="0087246C">
        <w:rPr>
          <w:rFonts w:asciiTheme="minorHAnsi" w:hAnsiTheme="minorHAnsi" w:cstheme="minorHAnsi"/>
          <w:color w:val="333333"/>
          <w:sz w:val="22"/>
          <w:szCs w:val="22"/>
        </w:rPr>
        <w:t xml:space="preserve"> </w:t>
      </w:r>
      <w:r w:rsidR="003F49DD">
        <w:rPr>
          <w:rFonts w:asciiTheme="minorHAnsi" w:hAnsiTheme="minorHAnsi" w:cstheme="minorHAnsi"/>
          <w:color w:val="333333"/>
          <w:sz w:val="22"/>
          <w:szCs w:val="22"/>
        </w:rPr>
        <w:t xml:space="preserve">(en anglais) </w:t>
      </w:r>
      <w:r w:rsidRPr="0087246C">
        <w:rPr>
          <w:rFonts w:asciiTheme="minorHAnsi" w:hAnsiTheme="minorHAnsi" w:cstheme="minorHAnsi"/>
          <w:color w:val="000000"/>
          <w:sz w:val="22"/>
          <w:szCs w:val="22"/>
        </w:rPr>
        <w:t>a été élaboré pour ce processus. </w:t>
      </w:r>
    </w:p>
    <w:p w14:paraId="3B0FD0B4" w14:textId="0300B668" w:rsidR="00342695" w:rsidRPr="0087246C" w:rsidRDefault="00342695" w:rsidP="00342695">
      <w:pPr>
        <w:pStyle w:val="ListParagraph"/>
        <w:numPr>
          <w:ilvl w:val="0"/>
          <w:numId w:val="20"/>
        </w:numPr>
        <w:shd w:val="clear" w:color="auto" w:fill="FFFFFF"/>
        <w:spacing w:after="0"/>
        <w:contextualSpacing/>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Les marchés par entente directe </w:t>
      </w:r>
      <w:r w:rsidRPr="0087246C">
        <w:rPr>
          <w:rFonts w:asciiTheme="minorHAnsi" w:hAnsiTheme="minorHAnsi" w:cstheme="minorHAnsi"/>
          <w:color w:val="000000"/>
          <w:sz w:val="22"/>
          <w:szCs w:val="22"/>
          <w:u w:val="single"/>
        </w:rPr>
        <w:t>d’un montant égal ou supérieur à 1</w:t>
      </w:r>
      <w:r w:rsidR="00445779">
        <w:rPr>
          <w:rFonts w:asciiTheme="minorHAnsi" w:hAnsiTheme="minorHAnsi" w:cstheme="minorHAnsi"/>
          <w:color w:val="000000"/>
          <w:sz w:val="22"/>
          <w:szCs w:val="22"/>
          <w:u w:val="single"/>
        </w:rPr>
        <w:t>5</w:t>
      </w:r>
      <w:r w:rsidRPr="0087246C">
        <w:rPr>
          <w:rFonts w:asciiTheme="minorHAnsi" w:hAnsiTheme="minorHAnsi" w:cstheme="minorHAnsi"/>
          <w:color w:val="000000"/>
          <w:sz w:val="22"/>
          <w:szCs w:val="22"/>
          <w:u w:val="single"/>
        </w:rPr>
        <w:t>0 000 USD</w:t>
      </w:r>
      <w:r w:rsidRPr="0087246C">
        <w:rPr>
          <w:rFonts w:asciiTheme="minorHAnsi" w:hAnsiTheme="minorHAnsi" w:cstheme="minorHAnsi"/>
          <w:color w:val="000000"/>
          <w:sz w:val="22"/>
          <w:szCs w:val="22"/>
        </w:rPr>
        <w:t>, selon les pouvoirs délégués à l’unité administrative en matière d’achats, doivent être examinés et approuvés par le Comité d’examen des marchés approprié.</w:t>
      </w:r>
    </w:p>
    <w:p w14:paraId="68C649D4" w14:textId="77777777" w:rsidR="00342695" w:rsidRPr="0087246C" w:rsidRDefault="00342695" w:rsidP="00342695">
      <w:pPr>
        <w:pStyle w:val="ListParagraph"/>
        <w:shd w:val="clear" w:color="auto" w:fill="FFFFFF"/>
        <w:spacing w:before="0" w:beforeAutospacing="0" w:after="0" w:afterAutospacing="0"/>
        <w:ind w:left="1800"/>
        <w:contextualSpacing/>
        <w:jc w:val="both"/>
        <w:textAlignment w:val="top"/>
        <w:rPr>
          <w:rFonts w:asciiTheme="minorHAnsi" w:hAnsiTheme="minorHAnsi" w:cstheme="minorHAnsi"/>
          <w:color w:val="000000"/>
          <w:sz w:val="22"/>
          <w:szCs w:val="22"/>
        </w:rPr>
      </w:pPr>
    </w:p>
    <w:p w14:paraId="1A0B2BF3" w14:textId="3FD589AC" w:rsidR="00342695" w:rsidRPr="0087246C" w:rsidRDefault="00342695" w:rsidP="00342695">
      <w:pPr>
        <w:pStyle w:val="Calibri11"/>
        <w:numPr>
          <w:ilvl w:val="0"/>
          <w:numId w:val="0"/>
        </w:numPr>
        <w:spacing w:before="0"/>
        <w:jc w:val="both"/>
        <w:rPr>
          <w:rFonts w:asciiTheme="minorHAnsi" w:eastAsia="Times New Roman" w:hAnsiTheme="minorHAnsi" w:cstheme="minorHAnsi"/>
          <w:szCs w:val="22"/>
        </w:rPr>
      </w:pPr>
      <w:bookmarkStart w:id="47" w:name="_Toc208574085"/>
      <w:r w:rsidRPr="0087246C">
        <w:rPr>
          <w:rFonts w:asciiTheme="minorHAnsi" w:hAnsiTheme="minorHAnsi" w:cstheme="minorHAnsi"/>
          <w:szCs w:val="22"/>
        </w:rPr>
        <w:lastRenderedPageBreak/>
        <w:t>Engagement de fonctionnaires, d’anciens membres du personnel de l’Organisation des Nations Unies et des proches parents des membres du personnel de l’Organisation des Nations Unies</w:t>
      </w:r>
      <w:bookmarkEnd w:id="47"/>
      <w:r w:rsidR="006E6456" w:rsidRPr="0087246C">
        <w:rPr>
          <w:rFonts w:asciiTheme="minorHAnsi" w:hAnsiTheme="minorHAnsi" w:cstheme="minorHAnsi"/>
          <w:vanish/>
          <w:color w:val="333333"/>
          <w:szCs w:val="22"/>
        </w:rPr>
        <w:t xml:space="preserve"> </w:t>
      </w:r>
      <w:r w:rsidRPr="0087246C">
        <w:rPr>
          <w:rFonts w:asciiTheme="minorHAnsi" w:hAnsiTheme="minorHAnsi" w:cstheme="minorHAnsi"/>
          <w:vanish/>
          <w:color w:val="333333"/>
          <w:szCs w:val="22"/>
        </w:rPr>
        <w:t>Structure Element - Relevant Policies</w:t>
      </w:r>
    </w:p>
    <w:p w14:paraId="39A1CC44" w14:textId="77777777" w:rsidR="00342695" w:rsidRPr="0087246C" w:rsidRDefault="00342695" w:rsidP="00342695">
      <w:pPr>
        <w:pStyle w:val="Calibri11Sub"/>
        <w:numPr>
          <w:ilvl w:val="0"/>
          <w:numId w:val="0"/>
        </w:numPr>
        <w:tabs>
          <w:tab w:val="clear" w:pos="900"/>
        </w:tabs>
        <w:spacing w:before="0"/>
        <w:jc w:val="both"/>
        <w:rPr>
          <w:rFonts w:cstheme="minorHAnsi"/>
          <w:szCs w:val="22"/>
        </w:rPr>
      </w:pPr>
      <w:bookmarkStart w:id="48" w:name="_Toc208574086"/>
      <w:r w:rsidRPr="0087246C">
        <w:rPr>
          <w:rFonts w:cstheme="minorHAnsi"/>
        </w:rPr>
        <w:t>Embauche de fonctionnaires et d’employés du Gouvernement</w:t>
      </w:r>
      <w:bookmarkEnd w:id="48"/>
    </w:p>
    <w:p w14:paraId="0F260F05" w14:textId="77777777" w:rsidR="00342695" w:rsidRPr="0087246C" w:rsidRDefault="00342695" w:rsidP="00342695">
      <w:pPr>
        <w:pStyle w:val="ListParagraph"/>
        <w:numPr>
          <w:ilvl w:val="0"/>
          <w:numId w:val="36"/>
        </w:numPr>
        <w:shd w:val="clear" w:color="auto" w:fill="FFFFFF"/>
        <w:spacing w:after="0"/>
        <w:jc w:val="both"/>
        <w:textAlignment w:val="top"/>
        <w:rPr>
          <w:rFonts w:asciiTheme="minorHAnsi" w:hAnsiTheme="minorHAnsi" w:cstheme="minorHAnsi"/>
          <w:sz w:val="22"/>
          <w:szCs w:val="22"/>
        </w:rPr>
      </w:pPr>
      <w:r w:rsidRPr="0087246C">
        <w:rPr>
          <w:rFonts w:asciiTheme="minorHAnsi" w:hAnsiTheme="minorHAnsi" w:cstheme="minorHAnsi"/>
          <w:sz w:val="22"/>
          <w:szCs w:val="22"/>
        </w:rPr>
        <w:t xml:space="preserve">Les fonctionnaires ou les employés du Gouvernement sont des agents administratifs des États membres des Nations Unies. Pour que le PNUD les embauche en vertu d’un contrat individuel qu’ils devront signer à titre individuel, les conditions suivantes doivent être remplies : </w:t>
      </w:r>
    </w:p>
    <w:p w14:paraId="421ADCC7" w14:textId="77777777" w:rsidR="00342695" w:rsidRPr="0087246C" w:rsidRDefault="00342695" w:rsidP="00342695">
      <w:pPr>
        <w:pStyle w:val="ListParagraph"/>
        <w:numPr>
          <w:ilvl w:val="0"/>
          <w:numId w:val="21"/>
        </w:numPr>
        <w:shd w:val="clear" w:color="auto" w:fill="FFFFFF"/>
        <w:spacing w:after="0"/>
        <w:contextualSpacing/>
        <w:jc w:val="both"/>
        <w:textAlignment w:val="top"/>
        <w:rPr>
          <w:rFonts w:asciiTheme="minorHAnsi" w:hAnsiTheme="minorHAnsi" w:cstheme="minorHAnsi"/>
          <w:sz w:val="22"/>
          <w:szCs w:val="22"/>
        </w:rPr>
      </w:pPr>
      <w:r w:rsidRPr="0087246C">
        <w:rPr>
          <w:rFonts w:asciiTheme="minorHAnsi" w:hAnsiTheme="minorHAnsi" w:cstheme="minorHAnsi"/>
          <w:sz w:val="22"/>
          <w:szCs w:val="22"/>
        </w:rPr>
        <w:t xml:space="preserve">Une lettre de « non-objection » doit être émise par le gouvernement employeur ; </w:t>
      </w:r>
      <w:r w:rsidRPr="0087246C">
        <w:rPr>
          <w:rFonts w:asciiTheme="minorHAnsi" w:hAnsiTheme="minorHAnsi" w:cstheme="minorHAnsi"/>
          <w:sz w:val="22"/>
          <w:szCs w:val="22"/>
          <w:u w:val="single"/>
        </w:rPr>
        <w:t>et</w:t>
      </w:r>
      <w:r w:rsidRPr="0087246C">
        <w:rPr>
          <w:rFonts w:asciiTheme="minorHAnsi" w:hAnsiTheme="minorHAnsi" w:cstheme="minorHAnsi"/>
          <w:sz w:val="22"/>
          <w:szCs w:val="22"/>
        </w:rPr>
        <w:t xml:space="preserve"> </w:t>
      </w:r>
    </w:p>
    <w:p w14:paraId="1B948D58" w14:textId="77777777" w:rsidR="00342695" w:rsidRPr="0087246C" w:rsidRDefault="00342695" w:rsidP="00342695">
      <w:pPr>
        <w:pStyle w:val="ListParagraph"/>
        <w:numPr>
          <w:ilvl w:val="0"/>
          <w:numId w:val="21"/>
        </w:numPr>
        <w:shd w:val="clear" w:color="auto" w:fill="FFFFFF"/>
        <w:spacing w:after="0"/>
        <w:contextualSpacing/>
        <w:jc w:val="both"/>
        <w:textAlignment w:val="top"/>
        <w:rPr>
          <w:rFonts w:asciiTheme="minorHAnsi" w:hAnsiTheme="minorHAnsi" w:cstheme="minorHAnsi"/>
          <w:sz w:val="22"/>
          <w:szCs w:val="22"/>
        </w:rPr>
      </w:pPr>
      <w:r w:rsidRPr="0087246C">
        <w:rPr>
          <w:rFonts w:asciiTheme="minorHAnsi" w:hAnsiTheme="minorHAnsi" w:cstheme="minorHAnsi"/>
          <w:sz w:val="22"/>
          <w:szCs w:val="22"/>
        </w:rPr>
        <w:t xml:space="preserve">La personne concernée doit fournir un document officiel provenant de son employeur, attestant officiellement son statut d’employé en « congé officiel sans traitement » pendant la durée du contrat. </w:t>
      </w:r>
    </w:p>
    <w:p w14:paraId="2CFF34A6" w14:textId="77777777" w:rsidR="00342695" w:rsidRPr="0087246C" w:rsidRDefault="00342695" w:rsidP="00342695">
      <w:pPr>
        <w:pStyle w:val="ListParagraph"/>
        <w:shd w:val="clear" w:color="auto" w:fill="FFFFFF"/>
        <w:spacing w:after="0"/>
        <w:ind w:left="1440"/>
        <w:contextualSpacing/>
        <w:jc w:val="both"/>
        <w:textAlignment w:val="top"/>
        <w:rPr>
          <w:rFonts w:asciiTheme="minorHAnsi" w:hAnsiTheme="minorHAnsi" w:cstheme="minorHAnsi"/>
          <w:sz w:val="22"/>
          <w:szCs w:val="22"/>
        </w:rPr>
      </w:pPr>
    </w:p>
    <w:p w14:paraId="55938950" w14:textId="77777777" w:rsidR="00342695" w:rsidRPr="0087246C" w:rsidRDefault="00342695" w:rsidP="00342695">
      <w:pPr>
        <w:pStyle w:val="ListParagraph"/>
        <w:numPr>
          <w:ilvl w:val="0"/>
          <w:numId w:val="36"/>
        </w:numPr>
        <w:shd w:val="clear" w:color="auto" w:fill="FFFFFF"/>
        <w:spacing w:after="240" w:afterAutospacing="0"/>
        <w:jc w:val="both"/>
        <w:textAlignment w:val="top"/>
        <w:rPr>
          <w:rFonts w:asciiTheme="minorHAnsi" w:hAnsiTheme="minorHAnsi" w:cstheme="minorHAnsi"/>
          <w:sz w:val="22"/>
          <w:szCs w:val="22"/>
        </w:rPr>
      </w:pPr>
      <w:r w:rsidRPr="0087246C">
        <w:rPr>
          <w:rFonts w:asciiTheme="minorHAnsi" w:hAnsiTheme="minorHAnsi" w:cstheme="minorHAnsi"/>
          <w:sz w:val="22"/>
          <w:szCs w:val="22"/>
        </w:rPr>
        <w:t xml:space="preserve">Les exigences ci-dessus sont également applicables aux entreprises appartenant et contrôlées par le gouvernement et/ou partiellement détenues par des entités gouvernementales, que la participation de l’État ait ou non un statut majoritaire ou minoritaire. </w:t>
      </w:r>
    </w:p>
    <w:p w14:paraId="1807A712" w14:textId="77777777" w:rsidR="00342695" w:rsidRPr="0087246C" w:rsidRDefault="00342695" w:rsidP="00342695">
      <w:pPr>
        <w:pStyle w:val="ListParagraph"/>
        <w:numPr>
          <w:ilvl w:val="0"/>
          <w:numId w:val="36"/>
        </w:numPr>
        <w:shd w:val="clear" w:color="auto" w:fill="FFFFFF"/>
        <w:spacing w:after="240" w:afterAutospacing="0"/>
        <w:jc w:val="both"/>
        <w:textAlignment w:val="top"/>
        <w:rPr>
          <w:rFonts w:asciiTheme="minorHAnsi" w:hAnsiTheme="minorHAnsi" w:cstheme="minorHAnsi"/>
          <w:sz w:val="22"/>
          <w:szCs w:val="22"/>
        </w:rPr>
      </w:pPr>
      <w:r w:rsidRPr="0087246C">
        <w:rPr>
          <w:rFonts w:asciiTheme="minorHAnsi" w:hAnsiTheme="minorHAnsi" w:cstheme="minorHAnsi"/>
          <w:sz w:val="22"/>
          <w:szCs w:val="22"/>
        </w:rPr>
        <w:t>Le PNUD reconnaît qu’il existe des situations dans lesquelles l’entité gouvernementale qui emploie la personne que le PNUD souhaite embaucher permet que ses employés effectuent des consultations externes à court terme, notamment dans des établissements de recherche, des écoles/universités publiques, etc. Dans de telles circonstances, il n’est pas nécessaire d’être « en congé sans traitement ». Ces employés doivent néanmoins fournir une lettre de « non-objection » émise par le gouvernement. Cette lettre doit indiquer que l’employeur atteste officiellement que ses employés peuvent mener à bien des consultances à court terme pour une autre entité, sans pour autant avoir le statut d’employés « en congé sans traitement », et doit inclure toutes les conditions et restrictions relatives à l’octroi d’une telle autorisation. Ce document doit être inclus dans les dossiers du PNUD en lieu et place du document « congé officiel sans traitement ».</w:t>
      </w:r>
    </w:p>
    <w:p w14:paraId="78A10B51" w14:textId="77777777" w:rsidR="00342695" w:rsidRPr="0087246C" w:rsidRDefault="00342695" w:rsidP="00342695">
      <w:pPr>
        <w:pStyle w:val="ListParagraph"/>
        <w:numPr>
          <w:ilvl w:val="0"/>
          <w:numId w:val="36"/>
        </w:numPr>
        <w:shd w:val="clear" w:color="auto" w:fill="FFFFFF"/>
        <w:spacing w:after="240" w:afterAutospacing="0"/>
        <w:jc w:val="both"/>
        <w:textAlignment w:val="top"/>
        <w:rPr>
          <w:rFonts w:asciiTheme="minorHAnsi" w:hAnsiTheme="minorHAnsi" w:cstheme="minorHAnsi"/>
          <w:sz w:val="22"/>
          <w:szCs w:val="22"/>
        </w:rPr>
      </w:pPr>
      <w:r w:rsidRPr="0087246C">
        <w:rPr>
          <w:rFonts w:asciiTheme="minorHAnsi" w:hAnsiTheme="minorHAnsi" w:cstheme="minorHAnsi"/>
          <w:sz w:val="22"/>
          <w:szCs w:val="22"/>
        </w:rPr>
        <w:t>Un fonctionnaire ou un employé du gouvernement ayant quitté ses fonctions ou retraité n’est pas considéré comme fonctionnaire ou employé d’un gouvernement, et peut donc être embauché sans avoir rempli les conditions ci-dessus. La personne concernée doit s’assurer et confirmer qu’elle a respecté la législation nationale régissant son départ à la retraite.</w:t>
      </w:r>
    </w:p>
    <w:p w14:paraId="553C21F4" w14:textId="77777777" w:rsidR="00342695" w:rsidRPr="0087246C" w:rsidRDefault="00342695" w:rsidP="00342695">
      <w:pPr>
        <w:pStyle w:val="Calibri11Sub"/>
        <w:numPr>
          <w:ilvl w:val="0"/>
          <w:numId w:val="0"/>
        </w:numPr>
        <w:tabs>
          <w:tab w:val="clear" w:pos="900"/>
        </w:tabs>
        <w:jc w:val="both"/>
        <w:rPr>
          <w:rFonts w:cstheme="minorHAnsi"/>
          <w:szCs w:val="22"/>
        </w:rPr>
      </w:pPr>
      <w:bookmarkStart w:id="49" w:name="_Toc208574087"/>
      <w:r w:rsidRPr="0087246C">
        <w:rPr>
          <w:rFonts w:cstheme="minorHAnsi"/>
        </w:rPr>
        <w:t>Engagement d’anciens membres du personnel de l’Organisation des Nations Unies ou de membres retraités</w:t>
      </w:r>
      <w:bookmarkEnd w:id="49"/>
    </w:p>
    <w:p w14:paraId="7EEF6D78" w14:textId="77777777" w:rsidR="00342695" w:rsidRPr="0087246C" w:rsidRDefault="00342695" w:rsidP="00342695">
      <w:pPr>
        <w:pStyle w:val="Calibri11SubSubSub"/>
        <w:numPr>
          <w:ilvl w:val="0"/>
          <w:numId w:val="0"/>
        </w:numPr>
        <w:spacing w:before="0"/>
        <w:jc w:val="both"/>
        <w:rPr>
          <w:rFonts w:asciiTheme="minorHAnsi" w:hAnsiTheme="minorHAnsi" w:cstheme="minorHAnsi"/>
          <w:szCs w:val="22"/>
        </w:rPr>
      </w:pPr>
      <w:bookmarkStart w:id="50" w:name="_Toc208574088"/>
      <w:r w:rsidRPr="0087246C">
        <w:rPr>
          <w:rFonts w:asciiTheme="minorHAnsi" w:hAnsiTheme="minorHAnsi" w:cstheme="minorHAnsi"/>
          <w:szCs w:val="22"/>
        </w:rPr>
        <w:t>Conditions d’engagement d'anciens membres du personnel de l’Organisation des Nations Unies ou des membres retraités</w:t>
      </w:r>
      <w:bookmarkEnd w:id="50"/>
    </w:p>
    <w:p w14:paraId="4247A102" w14:textId="77777777" w:rsidR="00342695" w:rsidRPr="0087246C" w:rsidRDefault="00342695" w:rsidP="00342695">
      <w:pPr>
        <w:pStyle w:val="ListParagraph"/>
        <w:numPr>
          <w:ilvl w:val="0"/>
          <w:numId w:val="36"/>
        </w:numPr>
        <w:shd w:val="clear" w:color="auto" w:fill="FFFFFF"/>
        <w:spacing w:after="240" w:afterAutospacing="0"/>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Les anciens membres du personnel et les membres retraités peuvent être embauchés en vertu d’un contrat individuel à condition qu’il y ait eu une interruption minimale d’une durée :</w:t>
      </w:r>
    </w:p>
    <w:p w14:paraId="50F8B2DA" w14:textId="77777777" w:rsidR="00342695" w:rsidRPr="0087246C" w:rsidRDefault="00342695" w:rsidP="00342695">
      <w:pPr>
        <w:pStyle w:val="ListParagraph"/>
        <w:numPr>
          <w:ilvl w:val="0"/>
          <w:numId w:val="22"/>
        </w:numPr>
        <w:shd w:val="clear" w:color="auto" w:fill="FFFFFF"/>
        <w:spacing w:after="0"/>
        <w:contextualSpacing/>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Aucune interruption si le contrat précédent était un engagement temporaire </w:t>
      </w:r>
    </w:p>
    <w:p w14:paraId="6FF228F6" w14:textId="77777777" w:rsidR="00342695" w:rsidRPr="0087246C" w:rsidRDefault="00342695" w:rsidP="00342695">
      <w:pPr>
        <w:pStyle w:val="ListParagraph"/>
        <w:numPr>
          <w:ilvl w:val="0"/>
          <w:numId w:val="22"/>
        </w:numPr>
        <w:shd w:val="clear" w:color="auto" w:fill="FFFFFF"/>
        <w:spacing w:after="0"/>
        <w:contextualSpacing/>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D’un mois après la date officielle de départ de l’Organisation des Nations Unies, si la nature de la séparation n’était pas un départ à la retraite </w:t>
      </w:r>
    </w:p>
    <w:p w14:paraId="381A686B" w14:textId="77777777" w:rsidR="00342695" w:rsidRPr="0087246C" w:rsidRDefault="00342695" w:rsidP="00342695">
      <w:pPr>
        <w:pStyle w:val="ListParagraph"/>
        <w:numPr>
          <w:ilvl w:val="0"/>
          <w:numId w:val="22"/>
        </w:numPr>
        <w:shd w:val="clear" w:color="auto" w:fill="FFFFFF"/>
        <w:contextualSpacing/>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De trois mois après la date officielle de départ à la retraite de l’Organisation des Nations Unies</w:t>
      </w:r>
    </w:p>
    <w:p w14:paraId="68249EDF" w14:textId="77777777" w:rsidR="00342695" w:rsidRPr="0087246C" w:rsidRDefault="00342695" w:rsidP="00342695">
      <w:pPr>
        <w:pStyle w:val="ListParagraph"/>
        <w:numPr>
          <w:ilvl w:val="0"/>
          <w:numId w:val="22"/>
        </w:numPr>
        <w:shd w:val="clear" w:color="auto" w:fill="FFFFFF"/>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Toutefois, </w:t>
      </w:r>
      <w:r w:rsidRPr="0087246C">
        <w:rPr>
          <w:rFonts w:asciiTheme="minorHAnsi" w:hAnsiTheme="minorHAnsi" w:cstheme="minorHAnsi"/>
          <w:b/>
          <w:bCs/>
          <w:color w:val="000000"/>
          <w:sz w:val="22"/>
          <w:szCs w:val="22"/>
          <w:u w:val="single"/>
        </w:rPr>
        <w:t>tous</w:t>
      </w:r>
      <w:r w:rsidRPr="0087246C">
        <w:rPr>
          <w:rFonts w:asciiTheme="minorHAnsi" w:hAnsiTheme="minorHAnsi" w:cstheme="minorHAnsi"/>
          <w:color w:val="000000"/>
          <w:sz w:val="22"/>
          <w:szCs w:val="22"/>
        </w:rPr>
        <w:t xml:space="preserve"> ces cas d’espèce sont soumis à </w:t>
      </w:r>
      <w:r w:rsidRPr="0087246C">
        <w:rPr>
          <w:rFonts w:asciiTheme="minorHAnsi" w:hAnsiTheme="minorHAnsi" w:cstheme="minorHAnsi"/>
          <w:b/>
          <w:bCs/>
          <w:color w:val="000000"/>
          <w:sz w:val="22"/>
          <w:szCs w:val="22"/>
          <w:u w:val="single"/>
        </w:rPr>
        <w:t>toutes</w:t>
      </w:r>
      <w:r w:rsidRPr="0087246C">
        <w:rPr>
          <w:rFonts w:asciiTheme="minorHAnsi" w:hAnsiTheme="minorHAnsi" w:cstheme="minorHAnsi"/>
          <w:color w:val="000000"/>
          <w:sz w:val="22"/>
          <w:szCs w:val="22"/>
        </w:rPr>
        <w:t xml:space="preserve"> les conditions suivantes :</w:t>
      </w:r>
    </w:p>
    <w:p w14:paraId="5FEFAE39" w14:textId="2F64E255" w:rsidR="00342695" w:rsidRPr="0087246C" w:rsidRDefault="00342695" w:rsidP="00342695">
      <w:pPr>
        <w:pStyle w:val="ListParagraph"/>
        <w:numPr>
          <w:ilvl w:val="0"/>
          <w:numId w:val="22"/>
        </w:numPr>
        <w:shd w:val="clear" w:color="auto" w:fill="FFFFFF"/>
        <w:spacing w:after="0"/>
        <w:contextualSpacing/>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La personne intéressée ne fait pas acte de candidature au poste qu’elle</w:t>
      </w:r>
      <w:r w:rsidR="0087246C">
        <w:rPr>
          <w:rFonts w:asciiTheme="minorHAnsi" w:hAnsiTheme="minorHAnsi" w:cstheme="minorHAnsi"/>
          <w:color w:val="000000"/>
          <w:sz w:val="22"/>
          <w:szCs w:val="22"/>
        </w:rPr>
        <w:t xml:space="preserve"> </w:t>
      </w:r>
      <w:r w:rsidRPr="0087246C">
        <w:rPr>
          <w:rFonts w:asciiTheme="minorHAnsi" w:hAnsiTheme="minorHAnsi" w:cstheme="minorHAnsi"/>
          <w:color w:val="000000"/>
          <w:sz w:val="22"/>
          <w:szCs w:val="22"/>
        </w:rPr>
        <w:t xml:space="preserve">occupait au moment de sa retraite ou qu’elle a quitté ; </w:t>
      </w:r>
    </w:p>
    <w:p w14:paraId="08FB990D" w14:textId="77777777" w:rsidR="00342695" w:rsidRPr="0087246C" w:rsidRDefault="00342695" w:rsidP="00342695">
      <w:pPr>
        <w:pStyle w:val="ListParagraph"/>
        <w:numPr>
          <w:ilvl w:val="0"/>
          <w:numId w:val="22"/>
        </w:numPr>
        <w:shd w:val="clear" w:color="auto" w:fill="FFFFFF"/>
        <w:spacing w:after="0"/>
        <w:contextualSpacing/>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lastRenderedPageBreak/>
        <w:t>Elle ne fait pas acte de candidature à un poste dont elle a assuré la supervision au moment où elle était engagée en vertu d’un contrat de personnel ;</w:t>
      </w:r>
    </w:p>
    <w:p w14:paraId="372B411E" w14:textId="77777777" w:rsidR="00342695" w:rsidRPr="0087246C" w:rsidRDefault="00342695" w:rsidP="00342695">
      <w:pPr>
        <w:pStyle w:val="ListParagraph"/>
        <w:numPr>
          <w:ilvl w:val="0"/>
          <w:numId w:val="22"/>
        </w:numPr>
        <w:shd w:val="clear" w:color="auto" w:fill="FFFFFF"/>
        <w:spacing w:after="0"/>
        <w:contextualSpacing/>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Elle ne fait pas acte de candidature à un poste pour lequel elle a participé à l’élaboration des termes de référence ; et</w:t>
      </w:r>
    </w:p>
    <w:p w14:paraId="43425C48" w14:textId="4DFBCACD" w:rsidR="00342695" w:rsidRPr="00B13A01" w:rsidRDefault="00342695" w:rsidP="00D36826">
      <w:pPr>
        <w:pStyle w:val="ListParagraph"/>
        <w:numPr>
          <w:ilvl w:val="0"/>
          <w:numId w:val="22"/>
        </w:numPr>
        <w:shd w:val="clear" w:color="auto" w:fill="FFFFFF"/>
        <w:contextualSpacing/>
        <w:jc w:val="both"/>
        <w:textAlignment w:val="top"/>
        <w:rPr>
          <w:rFonts w:cstheme="minorHAnsi"/>
          <w:color w:val="000000"/>
        </w:rPr>
      </w:pPr>
      <w:r w:rsidRPr="00B13A01">
        <w:rPr>
          <w:rFonts w:asciiTheme="minorHAnsi" w:hAnsiTheme="minorHAnsi" w:cstheme="minorHAnsi"/>
          <w:color w:val="000000"/>
          <w:sz w:val="22"/>
          <w:szCs w:val="22"/>
        </w:rPr>
        <w:t xml:space="preserve">Elle n’a pas quitté le PNUD ou un autre organisme du système des Nations Unies pour l’un des motifs suivants : </w:t>
      </w:r>
      <w:r w:rsidRPr="00B13A01">
        <w:rPr>
          <w:rFonts w:asciiTheme="minorHAnsi" w:hAnsiTheme="minorHAnsi" w:cstheme="minorHAnsi"/>
          <w:sz w:val="22"/>
          <w:szCs w:val="22"/>
        </w:rPr>
        <w:t>abandon de poste, licenciement pour inconduite, non-renouvellement d’engagement pour services insatisfaisants, résiliation de l’engagement pour services insatisfaisants ou démission en guise de sanction disciplinaire. </w:t>
      </w:r>
      <w:r w:rsidRPr="00B13A01">
        <w:rPr>
          <w:rFonts w:cstheme="minorHAnsi"/>
          <w:color w:val="000000"/>
        </w:rPr>
        <w:t> </w:t>
      </w:r>
    </w:p>
    <w:p w14:paraId="63DAFB9D" w14:textId="77777777" w:rsidR="00342695" w:rsidRPr="0087246C" w:rsidRDefault="00342695" w:rsidP="00342695">
      <w:pPr>
        <w:pStyle w:val="Calibri11SubSubSub"/>
        <w:numPr>
          <w:ilvl w:val="0"/>
          <w:numId w:val="0"/>
        </w:numPr>
        <w:spacing w:before="0"/>
        <w:jc w:val="both"/>
        <w:rPr>
          <w:rFonts w:asciiTheme="minorHAnsi" w:hAnsiTheme="minorHAnsi" w:cstheme="minorHAnsi"/>
          <w:szCs w:val="22"/>
        </w:rPr>
      </w:pPr>
      <w:bookmarkStart w:id="51" w:name="_Toc208574089"/>
      <w:r w:rsidRPr="0087246C">
        <w:rPr>
          <w:rFonts w:asciiTheme="minorHAnsi" w:hAnsiTheme="minorHAnsi" w:cstheme="minorHAnsi"/>
          <w:szCs w:val="22"/>
        </w:rPr>
        <w:t>Directives complémentaires :</w:t>
      </w:r>
      <w:bookmarkEnd w:id="51"/>
      <w:r w:rsidRPr="0087246C">
        <w:rPr>
          <w:rFonts w:asciiTheme="minorHAnsi" w:hAnsiTheme="minorHAnsi" w:cstheme="minorHAnsi"/>
          <w:szCs w:val="22"/>
        </w:rPr>
        <w:t xml:space="preserve"> </w:t>
      </w:r>
    </w:p>
    <w:p w14:paraId="62F39E7C" w14:textId="3742F964" w:rsidR="00342695" w:rsidRPr="0087246C" w:rsidRDefault="00342695" w:rsidP="00342695">
      <w:pPr>
        <w:pStyle w:val="ListParagraph"/>
        <w:numPr>
          <w:ilvl w:val="0"/>
          <w:numId w:val="36"/>
        </w:numPr>
        <w:shd w:val="clear" w:color="auto" w:fill="FFFFFF"/>
        <w:spacing w:after="240" w:afterAutospacing="0"/>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Un ancien membre du personnel qui devient consultant représente un </w:t>
      </w:r>
      <w:proofErr w:type="gramStart"/>
      <w:r w:rsidRPr="0087246C">
        <w:rPr>
          <w:rFonts w:asciiTheme="minorHAnsi" w:hAnsiTheme="minorHAnsi" w:cstheme="minorHAnsi"/>
          <w:color w:val="000000"/>
          <w:sz w:val="22"/>
          <w:szCs w:val="22"/>
        </w:rPr>
        <w:t>risque potentiel</w:t>
      </w:r>
      <w:proofErr w:type="gramEnd"/>
      <w:r w:rsidRPr="0087246C">
        <w:rPr>
          <w:rFonts w:asciiTheme="minorHAnsi" w:hAnsiTheme="minorHAnsi" w:cstheme="minorHAnsi"/>
          <w:color w:val="000000"/>
          <w:sz w:val="22"/>
          <w:szCs w:val="22"/>
        </w:rPr>
        <w:t xml:space="preserve"> pour l’organisation. En conséquence, l’interruption de service doit être appliquée systématiquement. Il convient de prendre des mesures claires pour s’assurer que les dossiers démontrent que l’individu a librement choisi de changer de statut et qu’il comprend qu’en vertu des modalités du contrat individuel, il n’existe et ne devrait exister aucune attente ni aucun droit de réembauche en qualité de membre du personnel. Pour plus d'informations sur les politiques de cessation, veuillez cliquer sur</w:t>
      </w:r>
      <w:hyperlink r:id="rId27" w:history="1">
        <w:r w:rsidRPr="0087246C">
          <w:rPr>
            <w:rFonts w:asciiTheme="minorHAnsi" w:hAnsiTheme="minorHAnsi" w:cstheme="minorHAnsi"/>
            <w:color w:val="000000"/>
            <w:sz w:val="22"/>
            <w:szCs w:val="22"/>
          </w:rPr>
          <w:t xml:space="preserve"> </w:t>
        </w:r>
      </w:hyperlink>
      <w:hyperlink r:id="rId28" w:history="1">
        <w:r w:rsidR="009E10D3">
          <w:rPr>
            <w:rFonts w:asciiTheme="minorHAnsi" w:hAnsiTheme="minorHAnsi" w:cstheme="minorHAnsi"/>
            <w:color w:val="0070C0"/>
            <w:sz w:val="22"/>
            <w:szCs w:val="22"/>
            <w:u w:val="single"/>
          </w:rPr>
          <w:t>Séparation des service</w:t>
        </w:r>
        <w:r w:rsidR="004E3502">
          <w:rPr>
            <w:rFonts w:asciiTheme="minorHAnsi" w:hAnsiTheme="minorHAnsi" w:cstheme="minorHAnsi"/>
            <w:color w:val="0070C0"/>
            <w:sz w:val="22"/>
            <w:szCs w:val="22"/>
            <w:u w:val="single"/>
          </w:rPr>
          <w:t xml:space="preserve">s des </w:t>
        </w:r>
        <w:r w:rsidR="00827B1E">
          <w:rPr>
            <w:rFonts w:asciiTheme="minorHAnsi" w:hAnsiTheme="minorHAnsi" w:cstheme="minorHAnsi"/>
            <w:color w:val="0070C0"/>
            <w:sz w:val="22"/>
            <w:szCs w:val="22"/>
            <w:u w:val="single"/>
          </w:rPr>
          <w:t>Ressources Humaine</w:t>
        </w:r>
        <w:r w:rsidR="009E10D3">
          <w:rPr>
            <w:rFonts w:asciiTheme="minorHAnsi" w:hAnsiTheme="minorHAnsi" w:cstheme="minorHAnsi"/>
            <w:color w:val="0070C0"/>
            <w:sz w:val="22"/>
            <w:szCs w:val="22"/>
            <w:u w:val="single"/>
          </w:rPr>
          <w:t>s</w:t>
        </w:r>
      </w:hyperlink>
      <w:r w:rsidRPr="0087246C">
        <w:rPr>
          <w:rFonts w:asciiTheme="minorHAnsi" w:hAnsiTheme="minorHAnsi" w:cstheme="minorHAnsi"/>
          <w:color w:val="000000"/>
          <w:sz w:val="22"/>
          <w:szCs w:val="22"/>
        </w:rPr>
        <w:t xml:space="preserve">.      </w:t>
      </w:r>
    </w:p>
    <w:p w14:paraId="3713DCD4" w14:textId="77777777" w:rsidR="00342695" w:rsidRPr="0087246C" w:rsidRDefault="00342695" w:rsidP="00342695">
      <w:pPr>
        <w:pStyle w:val="Calibri11SubSubSub"/>
        <w:numPr>
          <w:ilvl w:val="0"/>
          <w:numId w:val="0"/>
        </w:numPr>
        <w:jc w:val="both"/>
        <w:rPr>
          <w:rFonts w:asciiTheme="minorHAnsi" w:hAnsiTheme="minorHAnsi" w:cstheme="minorHAnsi"/>
          <w:szCs w:val="22"/>
        </w:rPr>
      </w:pPr>
      <w:bookmarkStart w:id="52" w:name="_Toc208574090"/>
      <w:r w:rsidRPr="0087246C">
        <w:rPr>
          <w:rFonts w:asciiTheme="minorHAnsi" w:hAnsiTheme="minorHAnsi" w:cstheme="minorHAnsi"/>
          <w:szCs w:val="22"/>
        </w:rPr>
        <w:t>Détermination des honoraires des anciens fonctionnaires</w:t>
      </w:r>
      <w:bookmarkEnd w:id="52"/>
    </w:p>
    <w:p w14:paraId="100B8C6E" w14:textId="2A8AEB25" w:rsidR="00342695" w:rsidRPr="0087246C" w:rsidRDefault="00342695" w:rsidP="00342695">
      <w:pPr>
        <w:pStyle w:val="ListParagraph"/>
        <w:numPr>
          <w:ilvl w:val="0"/>
          <w:numId w:val="36"/>
        </w:numPr>
        <w:shd w:val="clear" w:color="auto" w:fill="FFFFFF"/>
        <w:spacing w:after="240" w:afterAutospacing="0"/>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Les honoraires de contrats individuels sont calculés en fonction de la nature et de la complexité de la tâche à exécuter. Les honoraires </w:t>
      </w:r>
      <w:proofErr w:type="spellStart"/>
      <w:r w:rsidRPr="0087246C">
        <w:rPr>
          <w:rFonts w:asciiTheme="minorHAnsi" w:hAnsiTheme="minorHAnsi" w:cstheme="minorHAnsi"/>
          <w:color w:val="000000"/>
          <w:sz w:val="22"/>
          <w:szCs w:val="22"/>
        </w:rPr>
        <w:t>dûs</w:t>
      </w:r>
      <w:proofErr w:type="spellEnd"/>
      <w:r w:rsidRPr="0087246C">
        <w:rPr>
          <w:rFonts w:asciiTheme="minorHAnsi" w:hAnsiTheme="minorHAnsi" w:cstheme="minorHAnsi"/>
          <w:color w:val="000000"/>
          <w:sz w:val="22"/>
          <w:szCs w:val="22"/>
        </w:rPr>
        <w:t xml:space="preserve"> aux anciens membres du personnel embauchés en vertu de contrats individuels ne doivent pas être calculés en fonction de leur niveau de rémunération avant leur départ de l’Organisation des Nations Unies. </w:t>
      </w:r>
    </w:p>
    <w:p w14:paraId="26172284" w14:textId="77777777" w:rsidR="00342695" w:rsidRPr="0087246C" w:rsidRDefault="00342695" w:rsidP="00342695">
      <w:pPr>
        <w:pStyle w:val="Calibri11SubSubSub"/>
        <w:numPr>
          <w:ilvl w:val="0"/>
          <w:numId w:val="0"/>
        </w:numPr>
        <w:jc w:val="both"/>
        <w:rPr>
          <w:rFonts w:asciiTheme="minorHAnsi" w:hAnsiTheme="minorHAnsi" w:cstheme="minorHAnsi"/>
          <w:szCs w:val="22"/>
        </w:rPr>
      </w:pPr>
      <w:bookmarkStart w:id="53" w:name="_Toc208574091"/>
      <w:r w:rsidRPr="0087246C">
        <w:rPr>
          <w:rFonts w:asciiTheme="minorHAnsi" w:hAnsiTheme="minorHAnsi" w:cstheme="minorHAnsi"/>
          <w:szCs w:val="22"/>
        </w:rPr>
        <w:t>Restrictions applicables aux anciens membres du personnel percevant une pension de retraite</w:t>
      </w:r>
      <w:bookmarkEnd w:id="53"/>
    </w:p>
    <w:p w14:paraId="6093F186" w14:textId="77777777" w:rsidR="00342695" w:rsidRPr="0087246C" w:rsidRDefault="00342695" w:rsidP="00342695">
      <w:pPr>
        <w:pStyle w:val="ListParagraph"/>
        <w:numPr>
          <w:ilvl w:val="0"/>
          <w:numId w:val="36"/>
        </w:numPr>
        <w:shd w:val="clear" w:color="auto" w:fill="FFFFFF"/>
        <w:spacing w:after="240" w:afterAutospacing="0"/>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Le recrutement d’anciens membres du personnel percevant une pension de retraite de la CCPPNU doit être soumis aux restrictions suivantes :</w:t>
      </w:r>
    </w:p>
    <w:p w14:paraId="26A59E23" w14:textId="77777777" w:rsidR="00342695" w:rsidRPr="0087246C" w:rsidRDefault="00342695" w:rsidP="004F06F4">
      <w:pPr>
        <w:pStyle w:val="ListParagraph"/>
        <w:numPr>
          <w:ilvl w:val="0"/>
          <w:numId w:val="51"/>
        </w:numPr>
        <w:shd w:val="clear" w:color="auto" w:fill="FFFFFF"/>
        <w:spacing w:after="240"/>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Les anciens membres du personnel ne peuvent pas recevoir une rémunération supérieure à 50 000 USD pour une période allant jusqu’à six mois de travail ou d’embauche sans suspension de leur pension de retraite de la CCPPNU.</w:t>
      </w:r>
    </w:p>
    <w:p w14:paraId="3AB0733E" w14:textId="77777777" w:rsidR="00342695" w:rsidRPr="0087246C" w:rsidRDefault="00342695" w:rsidP="004F06F4">
      <w:pPr>
        <w:pStyle w:val="ListParagraph"/>
        <w:numPr>
          <w:ilvl w:val="0"/>
          <w:numId w:val="51"/>
        </w:numPr>
        <w:shd w:val="clear" w:color="auto" w:fill="FFFFFF"/>
        <w:spacing w:after="240"/>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Dans tous les cas, les anciens membres du personnel ne peuvent pas être réengagés à un rang supérieur à celui auquel ils étaient lorsqu’ils ont quitté l’organisation ou supérieur à celui auquel les membres réguliers du personnel sont rémunérés pour la même fonction et au même lieu d’affectation.</w:t>
      </w:r>
    </w:p>
    <w:p w14:paraId="1E41D2CA" w14:textId="77777777" w:rsidR="00342695" w:rsidRPr="0087246C" w:rsidRDefault="00342695" w:rsidP="00342695">
      <w:pPr>
        <w:pStyle w:val="ListParagraph"/>
        <w:numPr>
          <w:ilvl w:val="0"/>
          <w:numId w:val="36"/>
        </w:numPr>
        <w:shd w:val="clear" w:color="auto" w:fill="FFFFFF"/>
        <w:spacing w:after="240" w:afterAutospacing="0"/>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Ces dispositions s’appliquent lorsque le retraité est embauché à titre individuel, mais </w:t>
      </w:r>
      <w:r w:rsidRPr="0087246C">
        <w:rPr>
          <w:rFonts w:asciiTheme="minorHAnsi" w:hAnsiTheme="minorHAnsi" w:cstheme="minorHAnsi"/>
          <w:b/>
          <w:bCs/>
          <w:color w:val="000000"/>
          <w:sz w:val="22"/>
          <w:szCs w:val="22"/>
          <w:u w:val="single"/>
        </w:rPr>
        <w:t>pas</w:t>
      </w:r>
      <w:r w:rsidRPr="0087246C">
        <w:rPr>
          <w:rFonts w:asciiTheme="minorHAnsi" w:hAnsiTheme="minorHAnsi" w:cstheme="minorHAnsi"/>
          <w:b/>
          <w:bCs/>
          <w:color w:val="000000"/>
          <w:sz w:val="22"/>
          <w:szCs w:val="22"/>
        </w:rPr>
        <w:t xml:space="preserve"> </w:t>
      </w:r>
      <w:r w:rsidRPr="0087246C">
        <w:rPr>
          <w:rFonts w:asciiTheme="minorHAnsi" w:hAnsiTheme="minorHAnsi" w:cstheme="minorHAnsi"/>
          <w:color w:val="000000"/>
          <w:sz w:val="22"/>
          <w:szCs w:val="22"/>
        </w:rPr>
        <w:t xml:space="preserve">dans les cas où il est embauché en vertu d’un </w:t>
      </w:r>
      <w:r w:rsidRPr="0087246C">
        <w:rPr>
          <w:rFonts w:asciiTheme="minorHAnsi" w:hAnsiTheme="minorHAnsi" w:cstheme="minorHAnsi"/>
          <w:color w:val="333333"/>
          <w:sz w:val="22"/>
          <w:szCs w:val="22"/>
        </w:rPr>
        <w:t>accord de prêt remboursable</w:t>
      </w:r>
      <w:r w:rsidRPr="0087246C">
        <w:rPr>
          <w:rFonts w:asciiTheme="minorHAnsi" w:hAnsiTheme="minorHAnsi" w:cstheme="minorHAnsi"/>
          <w:color w:val="000000"/>
          <w:sz w:val="22"/>
          <w:szCs w:val="22"/>
        </w:rPr>
        <w:t xml:space="preserve"> signé avec une entité qui l’emploie.</w:t>
      </w:r>
    </w:p>
    <w:p w14:paraId="5E404AE0" w14:textId="77777777" w:rsidR="00342695" w:rsidRPr="0087246C" w:rsidRDefault="00342695" w:rsidP="00342695">
      <w:pPr>
        <w:pStyle w:val="Calibri11Sub"/>
        <w:numPr>
          <w:ilvl w:val="0"/>
          <w:numId w:val="0"/>
        </w:numPr>
        <w:tabs>
          <w:tab w:val="clear" w:pos="900"/>
        </w:tabs>
        <w:jc w:val="both"/>
        <w:rPr>
          <w:rFonts w:cstheme="minorHAnsi"/>
          <w:szCs w:val="22"/>
        </w:rPr>
      </w:pPr>
      <w:bookmarkStart w:id="54" w:name="_Toc208574092"/>
      <w:r w:rsidRPr="0087246C">
        <w:rPr>
          <w:rFonts w:cstheme="minorHAnsi"/>
        </w:rPr>
        <w:t>Engagement de proches parents des membres du personnel de l’Organisation des Nations Unies</w:t>
      </w:r>
      <w:bookmarkEnd w:id="54"/>
    </w:p>
    <w:p w14:paraId="638555C1" w14:textId="77777777" w:rsidR="00342695" w:rsidRPr="0087246C" w:rsidRDefault="00342695" w:rsidP="00342695">
      <w:pPr>
        <w:pStyle w:val="ListParagraph"/>
        <w:numPr>
          <w:ilvl w:val="0"/>
          <w:numId w:val="36"/>
        </w:numPr>
        <w:shd w:val="clear" w:color="auto" w:fill="FFFFFF"/>
        <w:spacing w:after="240" w:afterAutospacing="0"/>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Afin d’éviter toute influence réelle ou supposée de la famille ou tout conflit d’intérêts, les règlements et statuts du personnel des Nations Unies disposent que : </w:t>
      </w:r>
      <w:r w:rsidRPr="0087246C">
        <w:rPr>
          <w:rFonts w:asciiTheme="minorHAnsi" w:hAnsiTheme="minorHAnsi" w:cstheme="minorHAnsi"/>
          <w:i/>
          <w:iCs/>
          <w:color w:val="000000"/>
          <w:sz w:val="22"/>
          <w:szCs w:val="22"/>
        </w:rPr>
        <w:t xml:space="preserve">« L’organisation n’engage ni le père ni la mère, encore moins le fils, la fille, le frère ou la sœur d’un membre du personnel, à </w:t>
      </w:r>
      <w:r w:rsidRPr="0087246C">
        <w:rPr>
          <w:rFonts w:asciiTheme="minorHAnsi" w:hAnsiTheme="minorHAnsi" w:cstheme="minorHAnsi"/>
          <w:i/>
          <w:iCs/>
          <w:color w:val="000000"/>
          <w:sz w:val="22"/>
          <w:szCs w:val="22"/>
        </w:rPr>
        <w:lastRenderedPageBreak/>
        <w:t xml:space="preserve">moins qu’une autre personne tout aussi qualifiée ne puisse être recrutée » </w:t>
      </w:r>
      <w:r w:rsidRPr="0087246C">
        <w:rPr>
          <w:rFonts w:asciiTheme="minorHAnsi" w:hAnsiTheme="minorHAnsi" w:cstheme="minorHAnsi"/>
          <w:color w:val="000000"/>
          <w:sz w:val="22"/>
          <w:szCs w:val="22"/>
        </w:rPr>
        <w:t>(voir statut 4.7(a) du personnel)</w:t>
      </w:r>
      <w:r w:rsidRPr="0087246C">
        <w:rPr>
          <w:rFonts w:asciiTheme="minorHAnsi" w:hAnsiTheme="minorHAnsi" w:cstheme="minorHAnsi"/>
          <w:i/>
          <w:iCs/>
          <w:color w:val="000000"/>
          <w:sz w:val="22"/>
          <w:szCs w:val="22"/>
        </w:rPr>
        <w:t>.</w:t>
      </w:r>
      <w:r w:rsidRPr="0087246C">
        <w:rPr>
          <w:rFonts w:asciiTheme="minorHAnsi" w:hAnsiTheme="minorHAnsi" w:cstheme="minorHAnsi"/>
          <w:color w:val="000000"/>
          <w:sz w:val="22"/>
          <w:szCs w:val="22"/>
        </w:rPr>
        <w:t xml:space="preserve"> Cette interdiction s’applique également aux personnes embauchées par le biais de contrats individuels.</w:t>
      </w:r>
    </w:p>
    <w:p w14:paraId="0D37B9EA" w14:textId="77777777" w:rsidR="00342695" w:rsidRPr="0087246C" w:rsidRDefault="00342695" w:rsidP="00342695">
      <w:pPr>
        <w:pStyle w:val="ListParagraph"/>
        <w:numPr>
          <w:ilvl w:val="0"/>
          <w:numId w:val="36"/>
        </w:numPr>
        <w:shd w:val="clear" w:color="auto" w:fill="FFFFFF"/>
        <w:spacing w:after="240" w:afterAutospacing="0"/>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Les Volontaires des Nations Unies (VNU) ne sont pas concernés par cette interdiction, mais tout lien familial entre un membre du personnel ou un employé du PNUD et un VNU doit être divulgué dès qu’il est connu. Cette interdiction ne s’applique pas à un candidat qui fait acte de candidature à un poste auprès du PNUD en vertu d’un type de modalité contractuelle quelconque, et qui a un lien avec un membre du personnel d’un autre organisme des Nations Unies.  </w:t>
      </w:r>
    </w:p>
    <w:p w14:paraId="2DE3EF98" w14:textId="77777777" w:rsidR="00342695" w:rsidRPr="0087246C" w:rsidRDefault="00342695" w:rsidP="00342695">
      <w:pPr>
        <w:pStyle w:val="ListParagraph"/>
        <w:numPr>
          <w:ilvl w:val="0"/>
          <w:numId w:val="36"/>
        </w:numPr>
        <w:shd w:val="clear" w:color="auto" w:fill="FFFFFF"/>
        <w:spacing w:after="240" w:afterAutospacing="0"/>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Le/la conjoint(e) ou le/la partenaire reconnu(e) d’un membre du personnel du PNUD peut être embauché(e) en vertu d’un contrat individuel : </w:t>
      </w:r>
    </w:p>
    <w:p w14:paraId="1C6B6CCB" w14:textId="77777777" w:rsidR="00342695" w:rsidRPr="0087246C" w:rsidRDefault="00342695" w:rsidP="00342695">
      <w:pPr>
        <w:pStyle w:val="ListParagraph"/>
        <w:numPr>
          <w:ilvl w:val="0"/>
          <w:numId w:val="23"/>
        </w:numPr>
        <w:shd w:val="clear" w:color="auto" w:fill="FFFFFF"/>
        <w:spacing w:after="0"/>
        <w:contextualSpacing/>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S’il/si elle est pleinement </w:t>
      </w:r>
      <w:proofErr w:type="gramStart"/>
      <w:r w:rsidRPr="0087246C">
        <w:rPr>
          <w:rFonts w:asciiTheme="minorHAnsi" w:hAnsiTheme="minorHAnsi" w:cstheme="minorHAnsi"/>
          <w:color w:val="000000"/>
          <w:sz w:val="22"/>
          <w:szCs w:val="22"/>
        </w:rPr>
        <w:t>qualifié</w:t>
      </w:r>
      <w:proofErr w:type="gramEnd"/>
      <w:r w:rsidRPr="0087246C">
        <w:rPr>
          <w:rFonts w:asciiTheme="minorHAnsi" w:hAnsiTheme="minorHAnsi" w:cstheme="minorHAnsi"/>
          <w:color w:val="000000"/>
          <w:sz w:val="22"/>
          <w:szCs w:val="22"/>
        </w:rPr>
        <w:t>(e) pour le poste</w:t>
      </w:r>
    </w:p>
    <w:p w14:paraId="603961AA" w14:textId="77777777" w:rsidR="00342695" w:rsidRPr="0087246C" w:rsidRDefault="00342695" w:rsidP="00342695">
      <w:pPr>
        <w:pStyle w:val="ListParagraph"/>
        <w:numPr>
          <w:ilvl w:val="0"/>
          <w:numId w:val="23"/>
        </w:numPr>
        <w:shd w:val="clear" w:color="auto" w:fill="FFFFFF"/>
        <w:spacing w:after="0"/>
        <w:contextualSpacing/>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S’il/si elle a été </w:t>
      </w:r>
      <w:proofErr w:type="gramStart"/>
      <w:r w:rsidRPr="0087246C">
        <w:rPr>
          <w:rFonts w:asciiTheme="minorHAnsi" w:hAnsiTheme="minorHAnsi" w:cstheme="minorHAnsi"/>
          <w:color w:val="000000"/>
          <w:sz w:val="22"/>
          <w:szCs w:val="22"/>
        </w:rPr>
        <w:t>sélectionné</w:t>
      </w:r>
      <w:proofErr w:type="gramEnd"/>
      <w:r w:rsidRPr="0087246C">
        <w:rPr>
          <w:rFonts w:asciiTheme="minorHAnsi" w:hAnsiTheme="minorHAnsi" w:cstheme="minorHAnsi"/>
          <w:color w:val="000000"/>
          <w:sz w:val="22"/>
          <w:szCs w:val="22"/>
        </w:rPr>
        <w:t>(e) à l’issue d’un processus complet, transparent et ouvert de sélection par mise en concurrence, sans l’implication du/de la conjoint(e) ou du/de la partenaire reconnu(e) membre du personnel du PNUD, et si d’autres candidats qualifiés ont fait l’objet d’un examen et d’une présélection</w:t>
      </w:r>
    </w:p>
    <w:p w14:paraId="1464A043" w14:textId="77777777" w:rsidR="00342695" w:rsidRPr="0087246C" w:rsidRDefault="00342695" w:rsidP="00342695">
      <w:pPr>
        <w:pStyle w:val="ListParagraph"/>
        <w:numPr>
          <w:ilvl w:val="0"/>
          <w:numId w:val="23"/>
        </w:numPr>
        <w:shd w:val="clear" w:color="auto" w:fill="FFFFFF"/>
        <w:spacing w:after="0"/>
        <w:contextualSpacing/>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S’il/si elle ne bénéficie pas d’une préférence indue en raison de son mariage ou de son union de fait</w:t>
      </w:r>
    </w:p>
    <w:p w14:paraId="7364D439" w14:textId="77777777" w:rsidR="00342695" w:rsidRPr="0087246C" w:rsidRDefault="00342695" w:rsidP="00342695">
      <w:pPr>
        <w:pStyle w:val="ListParagraph"/>
        <w:numPr>
          <w:ilvl w:val="0"/>
          <w:numId w:val="23"/>
        </w:numPr>
        <w:shd w:val="clear" w:color="auto" w:fill="FFFFFF"/>
        <w:contextualSpacing/>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S’il/si elle n’est pas au même échelon de la hiérarchie que le/la conjoint(e)/partenaire membre du personnel du PNUD</w:t>
      </w:r>
    </w:p>
    <w:p w14:paraId="7E2E7D26" w14:textId="77777777" w:rsidR="00342695" w:rsidRPr="0087246C" w:rsidRDefault="00342695" w:rsidP="00342695">
      <w:pPr>
        <w:pStyle w:val="ListParagraph"/>
        <w:shd w:val="clear" w:color="auto" w:fill="FFFFFF"/>
        <w:ind w:left="1440"/>
        <w:contextualSpacing/>
        <w:jc w:val="both"/>
        <w:textAlignment w:val="top"/>
        <w:rPr>
          <w:rFonts w:asciiTheme="minorHAnsi" w:hAnsiTheme="minorHAnsi" w:cstheme="minorHAnsi"/>
          <w:color w:val="000000"/>
          <w:sz w:val="22"/>
          <w:szCs w:val="22"/>
        </w:rPr>
      </w:pPr>
    </w:p>
    <w:p w14:paraId="5884111E" w14:textId="316C4DBE" w:rsidR="00342695" w:rsidRPr="0087246C" w:rsidRDefault="00342695" w:rsidP="00342695">
      <w:pPr>
        <w:pStyle w:val="ListParagraph"/>
        <w:numPr>
          <w:ilvl w:val="0"/>
          <w:numId w:val="36"/>
        </w:numPr>
        <w:shd w:val="clear" w:color="auto" w:fill="FFFFFF"/>
        <w:spacing w:after="240" w:afterAutospacing="0"/>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Pour en savoir plus, veuillez consulter la </w:t>
      </w:r>
      <w:hyperlink r:id="rId29" w:history="1">
        <w:r w:rsidR="004F65CC" w:rsidRPr="004F65CC">
          <w:rPr>
            <w:rFonts w:asciiTheme="minorHAnsi" w:hAnsiTheme="minorHAnsi" w:cstheme="minorHAnsi"/>
            <w:color w:val="0070C0"/>
            <w:sz w:val="22"/>
            <w:szCs w:val="22"/>
            <w:u w:val="single"/>
          </w:rPr>
          <w:t>Politique en matière de liens de parenté.</w:t>
        </w:r>
        <w:r w:rsidR="004F65CC">
          <w:rPr>
            <w:rFonts w:asciiTheme="minorHAnsi" w:hAnsiTheme="minorHAnsi" w:cstheme="minorHAnsi"/>
            <w:color w:val="000000"/>
            <w:sz w:val="22"/>
            <w:szCs w:val="22"/>
            <w:u w:val="single"/>
          </w:rPr>
          <w:t xml:space="preserve"> </w:t>
        </w:r>
      </w:hyperlink>
      <w:r w:rsidRPr="0087246C">
        <w:rPr>
          <w:rFonts w:asciiTheme="minorHAnsi" w:hAnsiTheme="minorHAnsi" w:cstheme="minorHAnsi"/>
          <w:color w:val="000000"/>
          <w:sz w:val="22"/>
          <w:szCs w:val="22"/>
        </w:rPr>
        <w:t xml:space="preserve">  </w:t>
      </w:r>
    </w:p>
    <w:p w14:paraId="5D917E8B" w14:textId="77777777" w:rsidR="00342695" w:rsidRPr="0087246C" w:rsidRDefault="00342695" w:rsidP="00342695">
      <w:pPr>
        <w:pStyle w:val="Calibri11Sub"/>
        <w:numPr>
          <w:ilvl w:val="0"/>
          <w:numId w:val="0"/>
        </w:numPr>
        <w:tabs>
          <w:tab w:val="clear" w:pos="900"/>
        </w:tabs>
        <w:jc w:val="both"/>
        <w:rPr>
          <w:rFonts w:cstheme="minorHAnsi"/>
          <w:szCs w:val="22"/>
        </w:rPr>
      </w:pPr>
      <w:bookmarkStart w:id="55" w:name="_Toc208574093"/>
      <w:r w:rsidRPr="0087246C">
        <w:rPr>
          <w:rFonts w:cstheme="minorHAnsi"/>
        </w:rPr>
        <w:t>Engagement de consultants contractés par d’ autres unités administratives du PNUD</w:t>
      </w:r>
      <w:bookmarkEnd w:id="55"/>
    </w:p>
    <w:p w14:paraId="31B081C0" w14:textId="77777777" w:rsidR="00342695" w:rsidRPr="0087246C" w:rsidRDefault="00342695" w:rsidP="00342695">
      <w:pPr>
        <w:shd w:val="clear" w:color="auto" w:fill="FFFFFF"/>
        <w:spacing w:after="0" w:line="240" w:lineRule="auto"/>
        <w:ind w:firstLine="360"/>
        <w:jc w:val="both"/>
        <w:textAlignment w:val="top"/>
        <w:rPr>
          <w:rFonts w:eastAsia="Times New Roman" w:cstheme="minorHAnsi"/>
          <w:iCs/>
          <w:color w:val="000000"/>
        </w:rPr>
      </w:pPr>
    </w:p>
    <w:p w14:paraId="5B6E61C3" w14:textId="77777777"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iCs/>
          <w:color w:val="000000"/>
          <w:sz w:val="22"/>
          <w:szCs w:val="22"/>
        </w:rPr>
      </w:pPr>
      <w:r w:rsidRPr="0087246C">
        <w:rPr>
          <w:rFonts w:asciiTheme="minorHAnsi" w:hAnsiTheme="minorHAnsi" w:cstheme="minorHAnsi"/>
          <w:iCs/>
          <w:color w:val="000000"/>
          <w:sz w:val="22"/>
          <w:szCs w:val="22"/>
        </w:rPr>
        <w:t xml:space="preserve">Les contrats individuels visent à fournir des produits particuliers et n’imposent généralement pas aux consultants de se présenter au travail quotidiennement. Par conséquent, une seule personne pourrait détenir plusieurs contrats conclus avec différentes unités administratives au sein du PNUD, sans que cela n’entraîne des conflits en termes de temps et/ou de gestion de la charge de travail. </w:t>
      </w:r>
    </w:p>
    <w:p w14:paraId="34A96CD4" w14:textId="77777777"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iCs/>
          <w:color w:val="000000"/>
          <w:sz w:val="22"/>
          <w:szCs w:val="22"/>
        </w:rPr>
      </w:pPr>
      <w:r w:rsidRPr="0087246C">
        <w:rPr>
          <w:rFonts w:asciiTheme="minorHAnsi" w:hAnsiTheme="minorHAnsi" w:cstheme="minorHAnsi"/>
          <w:iCs/>
          <w:color w:val="000000"/>
          <w:sz w:val="22"/>
          <w:szCs w:val="22"/>
        </w:rPr>
        <w:t xml:space="preserve">En cas d’embauche d'une personne disposant d’un contrat individuel en cours d’exécution d’une autre unité administrative, il est essentiel que le consultant et l’unité requérante évaluent la situation et fassent preuve de discernement. Il est recommandé de suivre les étapes suivantes : </w:t>
      </w:r>
    </w:p>
    <w:p w14:paraId="62C0C593" w14:textId="77777777" w:rsidR="00342695" w:rsidRPr="0087246C" w:rsidRDefault="00342695" w:rsidP="00342695">
      <w:pPr>
        <w:pStyle w:val="ListParagraph"/>
        <w:numPr>
          <w:ilvl w:val="0"/>
          <w:numId w:val="24"/>
        </w:numPr>
        <w:shd w:val="clear" w:color="auto" w:fill="FFFFFF"/>
        <w:spacing w:after="240"/>
        <w:contextualSpacing/>
        <w:jc w:val="both"/>
        <w:textAlignment w:val="top"/>
        <w:rPr>
          <w:rFonts w:asciiTheme="minorHAnsi" w:hAnsiTheme="minorHAnsi" w:cstheme="minorHAnsi"/>
          <w:iCs/>
          <w:color w:val="000000"/>
          <w:sz w:val="22"/>
          <w:szCs w:val="22"/>
        </w:rPr>
      </w:pPr>
      <w:r w:rsidRPr="0087246C">
        <w:rPr>
          <w:rFonts w:asciiTheme="minorHAnsi" w:hAnsiTheme="minorHAnsi" w:cstheme="minorHAnsi"/>
          <w:iCs/>
          <w:color w:val="000000"/>
          <w:sz w:val="22"/>
          <w:szCs w:val="22"/>
        </w:rPr>
        <w:t>Communiquer avec l’unité administrative qui a établi le contrat en cours d’exécution ;</w:t>
      </w:r>
    </w:p>
    <w:p w14:paraId="186879F6" w14:textId="77777777" w:rsidR="00342695" w:rsidRPr="0087246C" w:rsidRDefault="00342695" w:rsidP="00342695">
      <w:pPr>
        <w:pStyle w:val="ListParagraph"/>
        <w:numPr>
          <w:ilvl w:val="0"/>
          <w:numId w:val="24"/>
        </w:numPr>
        <w:shd w:val="clear" w:color="auto" w:fill="FFFFFF"/>
        <w:spacing w:after="240"/>
        <w:contextualSpacing/>
        <w:jc w:val="both"/>
        <w:textAlignment w:val="top"/>
        <w:rPr>
          <w:rFonts w:asciiTheme="minorHAnsi" w:hAnsiTheme="minorHAnsi" w:cstheme="minorHAnsi"/>
          <w:iCs/>
          <w:color w:val="000000"/>
          <w:sz w:val="22"/>
          <w:szCs w:val="22"/>
        </w:rPr>
      </w:pPr>
      <w:r w:rsidRPr="0087246C">
        <w:rPr>
          <w:rFonts w:asciiTheme="minorHAnsi" w:hAnsiTheme="minorHAnsi" w:cstheme="minorHAnsi"/>
          <w:iCs/>
          <w:color w:val="000000"/>
          <w:sz w:val="22"/>
          <w:szCs w:val="22"/>
        </w:rPr>
        <w:t>Concilier les échéances du nouveau contrat avec celles du contrat en cours d’exécution, en évitant toute possibilité de conflit ;</w:t>
      </w:r>
    </w:p>
    <w:p w14:paraId="7B1B98DF" w14:textId="77777777" w:rsidR="00342695" w:rsidRPr="0087246C" w:rsidRDefault="00342695" w:rsidP="00342695">
      <w:pPr>
        <w:pStyle w:val="ListParagraph"/>
        <w:numPr>
          <w:ilvl w:val="0"/>
          <w:numId w:val="24"/>
        </w:numPr>
        <w:shd w:val="clear" w:color="auto" w:fill="FFFFFF"/>
        <w:spacing w:after="240"/>
        <w:contextualSpacing/>
        <w:jc w:val="both"/>
        <w:textAlignment w:val="top"/>
        <w:rPr>
          <w:rFonts w:asciiTheme="minorHAnsi" w:hAnsiTheme="minorHAnsi" w:cstheme="minorHAnsi"/>
          <w:iCs/>
          <w:color w:val="000000"/>
          <w:sz w:val="22"/>
          <w:szCs w:val="22"/>
        </w:rPr>
      </w:pPr>
      <w:r w:rsidRPr="0087246C">
        <w:rPr>
          <w:rFonts w:asciiTheme="minorHAnsi" w:hAnsiTheme="minorHAnsi" w:cstheme="minorHAnsi"/>
          <w:iCs/>
          <w:color w:val="000000"/>
          <w:sz w:val="22"/>
          <w:szCs w:val="22"/>
        </w:rPr>
        <w:t>Divulguer à l’unité administrative qui a établi le contrat actuel l’intention d’établir un nouveau contrat et en discuter avec elle, puis discuter d’un arrangement mutuellement acceptable, en assumant la responsabilité partagée des conséquences possibles ;</w:t>
      </w:r>
    </w:p>
    <w:p w14:paraId="6CC4A04A" w14:textId="77777777" w:rsidR="00342695" w:rsidRPr="0087246C" w:rsidRDefault="00342695" w:rsidP="00342695">
      <w:pPr>
        <w:pStyle w:val="ListParagraph"/>
        <w:numPr>
          <w:ilvl w:val="0"/>
          <w:numId w:val="24"/>
        </w:numPr>
        <w:shd w:val="clear" w:color="auto" w:fill="FFFFFF"/>
        <w:spacing w:after="240"/>
        <w:contextualSpacing/>
        <w:jc w:val="both"/>
        <w:textAlignment w:val="top"/>
        <w:rPr>
          <w:rFonts w:asciiTheme="minorHAnsi" w:hAnsiTheme="minorHAnsi" w:cstheme="minorHAnsi"/>
          <w:iCs/>
          <w:color w:val="000000"/>
          <w:sz w:val="22"/>
          <w:szCs w:val="22"/>
        </w:rPr>
      </w:pPr>
      <w:r w:rsidRPr="0087246C">
        <w:rPr>
          <w:rFonts w:asciiTheme="minorHAnsi" w:hAnsiTheme="minorHAnsi" w:cstheme="minorHAnsi"/>
          <w:iCs/>
          <w:color w:val="000000"/>
          <w:sz w:val="22"/>
          <w:szCs w:val="22"/>
        </w:rPr>
        <w:t xml:space="preserve">Informer le consultant de l’arrangement conclu entre les unités administratives du PNUD ; et </w:t>
      </w:r>
    </w:p>
    <w:p w14:paraId="4E462BB2" w14:textId="77777777" w:rsidR="00342695" w:rsidRPr="0087246C" w:rsidRDefault="00342695" w:rsidP="00342695">
      <w:pPr>
        <w:pStyle w:val="ListParagraph"/>
        <w:numPr>
          <w:ilvl w:val="0"/>
          <w:numId w:val="24"/>
        </w:numPr>
        <w:shd w:val="clear" w:color="auto" w:fill="FFFFFF"/>
        <w:spacing w:after="240"/>
        <w:contextualSpacing/>
        <w:jc w:val="both"/>
        <w:textAlignment w:val="top"/>
        <w:rPr>
          <w:rFonts w:asciiTheme="minorHAnsi" w:hAnsiTheme="minorHAnsi" w:cstheme="minorHAnsi"/>
          <w:iCs/>
          <w:color w:val="000000"/>
          <w:sz w:val="22"/>
          <w:szCs w:val="22"/>
        </w:rPr>
      </w:pPr>
      <w:r w:rsidRPr="0087246C">
        <w:rPr>
          <w:rFonts w:asciiTheme="minorHAnsi" w:hAnsiTheme="minorHAnsi" w:cstheme="minorHAnsi"/>
          <w:iCs/>
          <w:color w:val="000000"/>
          <w:sz w:val="22"/>
          <w:szCs w:val="22"/>
        </w:rPr>
        <w:t>Obtenir une déclaration écrite du consultant, adressée aux deux unités administratives, indiquant qu’aucun des deux contrats ne sera compromis en termes de qualité et de respect des délais de réalisation des produits livrables et des résultats.</w:t>
      </w:r>
    </w:p>
    <w:p w14:paraId="75072C65" w14:textId="3B3178BA" w:rsidR="00342695" w:rsidRPr="0087246C" w:rsidRDefault="00342695" w:rsidP="00342695">
      <w:pPr>
        <w:pStyle w:val="Calibri11Sub"/>
        <w:numPr>
          <w:ilvl w:val="0"/>
          <w:numId w:val="0"/>
        </w:numPr>
        <w:tabs>
          <w:tab w:val="clear" w:pos="900"/>
        </w:tabs>
        <w:jc w:val="both"/>
        <w:rPr>
          <w:rFonts w:cstheme="minorHAnsi"/>
          <w:bCs/>
          <w:iCs/>
          <w:color w:val="000000"/>
          <w:szCs w:val="22"/>
        </w:rPr>
      </w:pPr>
      <w:r w:rsidRPr="0087246C">
        <w:rPr>
          <w:rFonts w:cstheme="minorHAnsi"/>
          <w:iCs/>
          <w:color w:val="000000"/>
          <w:szCs w:val="22"/>
        </w:rPr>
        <w:lastRenderedPageBreak/>
        <w:t> </w:t>
      </w:r>
      <w:bookmarkStart w:id="56" w:name="_Toc208574094"/>
      <w:r w:rsidRPr="0087246C">
        <w:rPr>
          <w:rFonts w:cstheme="minorHAnsi"/>
          <w:bCs/>
          <w:iCs/>
          <w:color w:val="000000"/>
          <w:szCs w:val="22"/>
        </w:rPr>
        <w:t>Directives</w:t>
      </w:r>
      <w:r w:rsidR="0087246C">
        <w:rPr>
          <w:rFonts w:cstheme="minorHAnsi"/>
          <w:bCs/>
          <w:iCs/>
          <w:color w:val="000000"/>
          <w:szCs w:val="22"/>
        </w:rPr>
        <w:t xml:space="preserve"> </w:t>
      </w:r>
      <w:r w:rsidRPr="0087246C">
        <w:rPr>
          <w:rFonts w:cstheme="minorHAnsi"/>
          <w:bCs/>
          <w:iCs/>
          <w:color w:val="000000"/>
          <w:szCs w:val="22"/>
        </w:rPr>
        <w:t>complémentaires :</w:t>
      </w:r>
      <w:bookmarkEnd w:id="56"/>
    </w:p>
    <w:p w14:paraId="2F3F0BA3" w14:textId="77777777" w:rsidR="00342695" w:rsidRPr="0087246C" w:rsidRDefault="00342695" w:rsidP="00342695">
      <w:pPr>
        <w:pStyle w:val="Calibri11Sub"/>
        <w:numPr>
          <w:ilvl w:val="0"/>
          <w:numId w:val="0"/>
        </w:numPr>
        <w:tabs>
          <w:tab w:val="clear" w:pos="900"/>
        </w:tabs>
        <w:jc w:val="both"/>
        <w:rPr>
          <w:rFonts w:cstheme="minorHAnsi"/>
          <w:iCs/>
          <w:color w:val="000000"/>
          <w:szCs w:val="22"/>
        </w:rPr>
      </w:pPr>
    </w:p>
    <w:p w14:paraId="20AE4A41" w14:textId="77777777"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iCs/>
          <w:color w:val="000000"/>
          <w:sz w:val="22"/>
          <w:szCs w:val="22"/>
        </w:rPr>
      </w:pPr>
      <w:r w:rsidRPr="0087246C">
        <w:rPr>
          <w:rFonts w:asciiTheme="minorHAnsi" w:hAnsiTheme="minorHAnsi" w:cstheme="minorHAnsi"/>
          <w:iCs/>
          <w:color w:val="000000"/>
          <w:sz w:val="22"/>
          <w:szCs w:val="22"/>
        </w:rPr>
        <w:t>Compte tenu des limites humaines et du fait qu’un jour ne compte que 24 heures, il est possible que les délais et la qualité des produits relatifs à l’un des contrats ou aux deux en soient affectés, d’où le risque inhérent à établir plusieurs contrats avec une même personne. Dans certains cas, il est impossible pour la personne qui offre les services d’assurer une efficacité et une efficience optimales, par exemple lorsqu’un contrat exige un déplacement alors que l’autre exige à la personne de se présenter quotidiennement à un autre endroit. Certaines tâches pourraient être mutuellement exclusives en termes d’allocation de temps par le consultant.</w:t>
      </w:r>
    </w:p>
    <w:p w14:paraId="59635184" w14:textId="77777777" w:rsidR="00342695" w:rsidRPr="0087246C" w:rsidRDefault="00342695" w:rsidP="00342695">
      <w:pPr>
        <w:pStyle w:val="Calibri11Sub"/>
        <w:numPr>
          <w:ilvl w:val="0"/>
          <w:numId w:val="0"/>
        </w:numPr>
        <w:tabs>
          <w:tab w:val="clear" w:pos="900"/>
        </w:tabs>
        <w:jc w:val="both"/>
        <w:rPr>
          <w:rFonts w:cstheme="minorHAnsi"/>
        </w:rPr>
      </w:pPr>
      <w:bookmarkStart w:id="57" w:name="_Toc208574095"/>
      <w:r w:rsidRPr="0087246C">
        <w:rPr>
          <w:rFonts w:cstheme="minorHAnsi"/>
        </w:rPr>
        <w:t>Interdiction d’engager le personnel des Nations Unies/du PNUD :</w:t>
      </w:r>
      <w:bookmarkEnd w:id="57"/>
    </w:p>
    <w:p w14:paraId="523B0DBE" w14:textId="77777777" w:rsidR="00342695" w:rsidRPr="0087246C" w:rsidRDefault="00342695" w:rsidP="00342695">
      <w:pPr>
        <w:pStyle w:val="Calibri11Sub"/>
        <w:numPr>
          <w:ilvl w:val="0"/>
          <w:numId w:val="0"/>
        </w:numPr>
        <w:tabs>
          <w:tab w:val="clear" w:pos="900"/>
        </w:tabs>
        <w:jc w:val="both"/>
        <w:rPr>
          <w:rFonts w:cstheme="minorHAnsi"/>
          <w:szCs w:val="22"/>
        </w:rPr>
      </w:pPr>
    </w:p>
    <w:p w14:paraId="3E8B153B" w14:textId="77777777"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Conformément à la politique du PNUD concernant l’abandon des engagements doubles, entrée en vigueur en 2009, aucun membre du personnel de l’ONU/du PNUD (c’est-à-dire les titulaires d’un engagement continu, d’un engagement de durée déterminée ou d’un engagement temporaire valide) ne peut être recruté en vertu d’un contrat individuel. Cette interdiction demeure applicable même si ces employés ont un statut intérimaire, comme celui d’employé ayant un congé spécial approuvé sans traitement ou tout autre type de congé.</w:t>
      </w:r>
    </w:p>
    <w:p w14:paraId="78BA3ECA" w14:textId="77777777" w:rsidR="00342695" w:rsidRPr="0087246C" w:rsidRDefault="00342695" w:rsidP="00342695">
      <w:pPr>
        <w:pStyle w:val="Calibri11"/>
        <w:numPr>
          <w:ilvl w:val="0"/>
          <w:numId w:val="0"/>
        </w:numPr>
        <w:jc w:val="both"/>
        <w:rPr>
          <w:rFonts w:asciiTheme="minorHAnsi" w:hAnsiTheme="minorHAnsi" w:cstheme="minorHAnsi"/>
          <w:szCs w:val="22"/>
        </w:rPr>
      </w:pPr>
      <w:bookmarkStart w:id="58" w:name="_Toc208574096"/>
      <w:r w:rsidRPr="0087246C">
        <w:rPr>
          <w:rFonts w:asciiTheme="minorHAnsi" w:hAnsiTheme="minorHAnsi" w:cstheme="minorHAnsi"/>
          <w:szCs w:val="22"/>
        </w:rPr>
        <w:t>Établissement de contrat individuel :</w:t>
      </w:r>
      <w:bookmarkEnd w:id="58"/>
    </w:p>
    <w:p w14:paraId="1C07BABB" w14:textId="0FB6C9BB" w:rsidR="00342695" w:rsidRPr="0087246C" w:rsidRDefault="00342695" w:rsidP="00342695">
      <w:pPr>
        <w:pStyle w:val="Calibri11"/>
        <w:numPr>
          <w:ilvl w:val="0"/>
          <w:numId w:val="0"/>
        </w:numPr>
        <w:jc w:val="both"/>
        <w:rPr>
          <w:rFonts w:asciiTheme="minorHAnsi" w:hAnsiTheme="minorHAnsi" w:cstheme="minorHAnsi"/>
          <w:szCs w:val="22"/>
        </w:rPr>
      </w:pPr>
    </w:p>
    <w:p w14:paraId="6F934869" w14:textId="24EE66ED"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color w:val="333333"/>
          <w:sz w:val="22"/>
          <w:szCs w:val="22"/>
        </w:rPr>
      </w:pPr>
      <w:r w:rsidRPr="0087246C">
        <w:rPr>
          <w:rFonts w:asciiTheme="minorHAnsi" w:hAnsiTheme="minorHAnsi" w:cstheme="minorHAnsi"/>
          <w:color w:val="333333"/>
          <w:sz w:val="22"/>
          <w:szCs w:val="22"/>
        </w:rPr>
        <w:t xml:space="preserve">À la suite du processus de mise en concurrence et après sélection du candidat au profil le plus adéquat, le PNUD peut émettre une proposition d’engagement </w:t>
      </w:r>
      <w:r w:rsidRPr="0087246C">
        <w:rPr>
          <w:rFonts w:asciiTheme="minorHAnsi" w:hAnsiTheme="minorHAnsi" w:cstheme="minorHAnsi"/>
          <w:color w:val="000000"/>
          <w:sz w:val="22"/>
          <w:szCs w:val="22"/>
        </w:rPr>
        <w:t xml:space="preserve">par le biais d’un </w:t>
      </w:r>
      <w:hyperlink r:id="rId30" w:tgtFrame="_blank" w:history="1">
        <w:r w:rsidR="006A2768">
          <w:rPr>
            <w:rFonts w:asciiTheme="minorHAnsi" w:hAnsiTheme="minorHAnsi" w:cstheme="minorHAnsi"/>
            <w:color w:val="336699"/>
            <w:sz w:val="22"/>
            <w:szCs w:val="22"/>
            <w:u w:val="single"/>
          </w:rPr>
          <w:t>c</w:t>
        </w:r>
        <w:r w:rsidR="00B8780F">
          <w:rPr>
            <w:rFonts w:asciiTheme="minorHAnsi" w:hAnsiTheme="minorHAnsi" w:cstheme="minorHAnsi"/>
            <w:color w:val="336699"/>
            <w:sz w:val="22"/>
            <w:szCs w:val="22"/>
            <w:u w:val="single"/>
          </w:rPr>
          <w:t xml:space="preserve">ontrat relatif aux services d’un </w:t>
        </w:r>
        <w:r w:rsidR="006A2768">
          <w:rPr>
            <w:rFonts w:asciiTheme="minorHAnsi" w:hAnsiTheme="minorHAnsi" w:cstheme="minorHAnsi"/>
            <w:color w:val="336699"/>
            <w:sz w:val="22"/>
            <w:szCs w:val="22"/>
            <w:u w:val="single"/>
          </w:rPr>
          <w:t>p</w:t>
        </w:r>
        <w:r w:rsidR="00B8780F">
          <w:rPr>
            <w:rFonts w:asciiTheme="minorHAnsi" w:hAnsiTheme="minorHAnsi" w:cstheme="minorHAnsi"/>
            <w:color w:val="336699"/>
            <w:sz w:val="22"/>
            <w:szCs w:val="22"/>
            <w:u w:val="single"/>
          </w:rPr>
          <w:t>restataire individuel</w:t>
        </w:r>
      </w:hyperlink>
      <w:r w:rsidR="00B8780F">
        <w:t xml:space="preserve"> </w:t>
      </w:r>
      <w:r w:rsidRPr="0087246C">
        <w:rPr>
          <w:rFonts w:asciiTheme="minorHAnsi" w:hAnsiTheme="minorHAnsi" w:cstheme="minorHAnsi"/>
          <w:color w:val="333333"/>
          <w:sz w:val="22"/>
          <w:szCs w:val="22"/>
        </w:rPr>
        <w:t>ou d’</w:t>
      </w:r>
      <w:r w:rsidR="00C75607">
        <w:rPr>
          <w:rFonts w:asciiTheme="minorHAnsi" w:hAnsiTheme="minorHAnsi" w:cstheme="minorHAnsi"/>
          <w:color w:val="333333"/>
          <w:sz w:val="22"/>
          <w:szCs w:val="22"/>
        </w:rPr>
        <w:t xml:space="preserve">un </w:t>
      </w:r>
      <w:hyperlink r:id="rId31" w:tgtFrame="_blank" w:history="1">
        <w:r w:rsidR="006A2768">
          <w:rPr>
            <w:rFonts w:asciiTheme="minorHAnsi" w:hAnsiTheme="minorHAnsi" w:cstheme="minorHAnsi"/>
            <w:color w:val="336699"/>
            <w:sz w:val="22"/>
            <w:szCs w:val="22"/>
            <w:u w:val="single"/>
          </w:rPr>
          <w:t>c</w:t>
        </w:r>
        <w:r w:rsidR="00073B92">
          <w:rPr>
            <w:rFonts w:asciiTheme="minorHAnsi" w:hAnsiTheme="minorHAnsi" w:cstheme="minorHAnsi"/>
            <w:color w:val="336699"/>
            <w:sz w:val="22"/>
            <w:szCs w:val="22"/>
            <w:u w:val="single"/>
          </w:rPr>
          <w:t>ontrat de prêt remboursable (RLA)</w:t>
        </w:r>
      </w:hyperlink>
      <w:r w:rsidR="00E70124" w:rsidRPr="0087246C">
        <w:rPr>
          <w:rFonts w:asciiTheme="minorHAnsi" w:hAnsiTheme="minorHAnsi" w:cstheme="minorHAnsi"/>
          <w:sz w:val="22"/>
          <w:szCs w:val="22"/>
        </w:rPr>
        <w:t>.</w:t>
      </w:r>
    </w:p>
    <w:p w14:paraId="004DD1FE" w14:textId="77777777" w:rsidR="00342695" w:rsidRPr="0087246C" w:rsidRDefault="00342695" w:rsidP="00342695">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color w:val="333333"/>
          <w:sz w:val="22"/>
          <w:szCs w:val="22"/>
        </w:rPr>
      </w:pPr>
      <w:r w:rsidRPr="0087246C">
        <w:rPr>
          <w:rFonts w:asciiTheme="minorHAnsi" w:hAnsiTheme="minorHAnsi" w:cstheme="minorHAnsi"/>
          <w:color w:val="000000"/>
          <w:sz w:val="22"/>
          <w:szCs w:val="22"/>
        </w:rPr>
        <w:t>Les deux types de contrats doivent être publiés en même temps que les</w:t>
      </w:r>
      <w:r w:rsidRPr="0087246C">
        <w:rPr>
          <w:rFonts w:asciiTheme="minorHAnsi" w:hAnsiTheme="minorHAnsi" w:cstheme="minorHAnsi"/>
          <w:sz w:val="22"/>
          <w:szCs w:val="22"/>
        </w:rPr>
        <w:t xml:space="preserve"> conditions générales en tant qu’annexes au CI/RLA.</w:t>
      </w:r>
    </w:p>
    <w:p w14:paraId="447DBBD7" w14:textId="77777777" w:rsidR="00342695" w:rsidRPr="0087246C" w:rsidRDefault="00342695" w:rsidP="00342695">
      <w:pPr>
        <w:shd w:val="clear" w:color="auto" w:fill="FFFFFF"/>
        <w:spacing w:after="0" w:line="240" w:lineRule="auto"/>
        <w:jc w:val="both"/>
        <w:textAlignment w:val="top"/>
        <w:rPr>
          <w:rFonts w:eastAsia="Times New Roman" w:cstheme="minorHAnsi"/>
          <w:color w:val="333333"/>
        </w:rPr>
      </w:pPr>
      <w:r w:rsidRPr="0087246C">
        <w:rPr>
          <w:rFonts w:cstheme="minorHAnsi"/>
        </w:rPr>
        <w:t> </w:t>
      </w:r>
    </w:p>
    <w:p w14:paraId="47F759D4" w14:textId="6E988DA6" w:rsidR="00342695" w:rsidRPr="002362C7" w:rsidRDefault="00342695" w:rsidP="003701EF">
      <w:pPr>
        <w:pStyle w:val="ListParagraph"/>
        <w:numPr>
          <w:ilvl w:val="0"/>
          <w:numId w:val="36"/>
        </w:numPr>
        <w:shd w:val="clear" w:color="auto" w:fill="FFFFFF"/>
        <w:spacing w:before="0" w:beforeAutospacing="0" w:after="240" w:afterAutospacing="0"/>
        <w:jc w:val="both"/>
        <w:textAlignment w:val="top"/>
        <w:rPr>
          <w:rFonts w:asciiTheme="minorHAnsi" w:hAnsiTheme="minorHAnsi" w:cstheme="minorHAnsi"/>
          <w:color w:val="000000"/>
          <w:szCs w:val="22"/>
        </w:rPr>
      </w:pPr>
      <w:r w:rsidRPr="002362C7">
        <w:rPr>
          <w:rFonts w:asciiTheme="minorHAnsi" w:hAnsiTheme="minorHAnsi" w:cstheme="minorHAnsi"/>
          <w:color w:val="000000"/>
          <w:sz w:val="22"/>
          <w:szCs w:val="22"/>
        </w:rPr>
        <w:t> </w:t>
      </w:r>
      <w:r w:rsidRPr="002362C7">
        <w:rPr>
          <w:rFonts w:asciiTheme="minorHAnsi" w:hAnsiTheme="minorHAnsi" w:cstheme="minorHAnsi"/>
          <w:color w:val="000000"/>
          <w:szCs w:val="22"/>
        </w:rPr>
        <w:t xml:space="preserve">Si un consultant est âgé de 65 ans ou plus </w:t>
      </w:r>
      <w:r w:rsidRPr="002362C7">
        <w:rPr>
          <w:rFonts w:asciiTheme="minorHAnsi" w:hAnsiTheme="minorHAnsi" w:cstheme="minorHAnsi"/>
          <w:color w:val="000000"/>
          <w:szCs w:val="22"/>
          <w:u w:val="single"/>
        </w:rPr>
        <w:t>et</w:t>
      </w:r>
      <w:r w:rsidRPr="002362C7">
        <w:rPr>
          <w:rFonts w:asciiTheme="minorHAnsi" w:hAnsiTheme="minorHAnsi" w:cstheme="minorHAnsi"/>
          <w:color w:val="000000"/>
          <w:szCs w:val="22"/>
        </w:rPr>
        <w:t xml:space="preserve"> qu’il travaille dans le cadre d’une mission nécessitant un déplacement, que ce soit pour se rendre au lieu d’affectation ou en tant que tâche à part entière requise en vertu des termes de référence, un examen médical complet et une déclaration d’aptitude au travail et au déplacement doivent être fournis avant la signature du contrat. Cela n’est pas une exigence pour les personnes disposant de contrats en matière d’accords de prêt remboursable. </w:t>
      </w:r>
    </w:p>
    <w:p w14:paraId="773DF487" w14:textId="77777777" w:rsidR="00342695" w:rsidRPr="0087246C" w:rsidRDefault="00342695" w:rsidP="00342695">
      <w:pPr>
        <w:pStyle w:val="ListParagraph"/>
        <w:shd w:val="clear" w:color="auto" w:fill="FFFFFF"/>
        <w:spacing w:before="240"/>
        <w:ind w:left="1440"/>
        <w:contextualSpacing/>
        <w:jc w:val="both"/>
        <w:textAlignment w:val="top"/>
        <w:rPr>
          <w:rFonts w:asciiTheme="minorHAnsi" w:hAnsiTheme="minorHAnsi" w:cstheme="minorHAnsi"/>
          <w:color w:val="000000"/>
          <w:sz w:val="22"/>
          <w:szCs w:val="22"/>
        </w:rPr>
      </w:pPr>
    </w:p>
    <w:p w14:paraId="1EDAC912" w14:textId="77777777" w:rsidR="00342695" w:rsidRPr="0087246C" w:rsidRDefault="00342695" w:rsidP="00342695">
      <w:pPr>
        <w:pStyle w:val="ListParagraph"/>
        <w:numPr>
          <w:ilvl w:val="0"/>
          <w:numId w:val="36"/>
        </w:numPr>
        <w:shd w:val="clear" w:color="auto" w:fill="FFFFFF"/>
        <w:spacing w:before="240" w:beforeAutospacing="0" w:after="240" w:afterAutospacing="0"/>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Une fois ces conditions remplies, le contrat individuel doit être remis au consultant pour signature, accompagné des termes de référence et des documents pertinents mentionnés dans le contrat en tant qu’annexes (notamment les conditions générales). Aucun travail </w:t>
      </w:r>
      <w:r w:rsidRPr="0087246C">
        <w:rPr>
          <w:rFonts w:asciiTheme="minorHAnsi" w:hAnsiTheme="minorHAnsi" w:cstheme="minorHAnsi"/>
          <w:color w:val="000000"/>
          <w:sz w:val="22"/>
          <w:szCs w:val="22"/>
          <w:u w:val="single"/>
        </w:rPr>
        <w:t>ou déplacement vers le lieu d’affectation</w:t>
      </w:r>
      <w:r w:rsidRPr="0087246C">
        <w:rPr>
          <w:rFonts w:asciiTheme="minorHAnsi" w:hAnsiTheme="minorHAnsi" w:cstheme="minorHAnsi"/>
          <w:color w:val="000000"/>
          <w:sz w:val="22"/>
          <w:szCs w:val="22"/>
        </w:rPr>
        <w:t xml:space="preserve"> ne devrait être engagé avant l’approbation du contrat et sa signature par le PNUD et le consultant ou l’entité qu’il a désignée. </w:t>
      </w:r>
    </w:p>
    <w:p w14:paraId="4A606BEA" w14:textId="77777777" w:rsidR="00342695" w:rsidRPr="0087246C" w:rsidRDefault="00342695" w:rsidP="00342695">
      <w:pPr>
        <w:pStyle w:val="Calibri11Sub"/>
        <w:numPr>
          <w:ilvl w:val="0"/>
          <w:numId w:val="0"/>
        </w:numPr>
        <w:tabs>
          <w:tab w:val="clear" w:pos="900"/>
        </w:tabs>
        <w:jc w:val="both"/>
        <w:rPr>
          <w:rFonts w:cstheme="minorHAnsi"/>
          <w:szCs w:val="22"/>
        </w:rPr>
      </w:pPr>
      <w:bookmarkStart w:id="59" w:name="_Toc208574097"/>
      <w:r w:rsidRPr="0087246C">
        <w:rPr>
          <w:rFonts w:cstheme="minorHAnsi"/>
        </w:rPr>
        <w:t>Accord de prêt remboursable</w:t>
      </w:r>
      <w:bookmarkEnd w:id="59"/>
    </w:p>
    <w:p w14:paraId="7018C892" w14:textId="77777777" w:rsidR="00342695" w:rsidRPr="0087246C" w:rsidRDefault="00342695" w:rsidP="00342695">
      <w:pPr>
        <w:pStyle w:val="ListParagraph"/>
        <w:numPr>
          <w:ilvl w:val="0"/>
          <w:numId w:val="36"/>
        </w:numPr>
        <w:shd w:val="clear" w:color="auto" w:fill="FFFFFF"/>
        <w:spacing w:before="240" w:beforeAutospacing="0" w:after="240" w:afterAutospacing="0"/>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L’accord de prêt remboursable n’est pas un mode autonome d’achat de services individuels. Il s’agit d’un instrument utilisé pour embaucher des personnes employées par une </w:t>
      </w:r>
      <w:r w:rsidRPr="0087246C">
        <w:rPr>
          <w:rFonts w:asciiTheme="minorHAnsi" w:hAnsiTheme="minorHAnsi" w:cstheme="minorHAnsi"/>
          <w:color w:val="000000"/>
          <w:sz w:val="22"/>
          <w:szCs w:val="22"/>
        </w:rPr>
        <w:lastRenderedPageBreak/>
        <w:t>autre entité juridique. De ce fait, il est soumis aux processus, procédures et seuils de passation des marchés définis dans la politique en matière de contrat individuel.  </w:t>
      </w:r>
    </w:p>
    <w:p w14:paraId="01D37DB5" w14:textId="62507D1F" w:rsidR="00342695" w:rsidRPr="0087246C" w:rsidRDefault="00342695" w:rsidP="00342695">
      <w:pPr>
        <w:pStyle w:val="ListParagraph"/>
        <w:numPr>
          <w:ilvl w:val="0"/>
          <w:numId w:val="36"/>
        </w:numPr>
        <w:shd w:val="clear" w:color="auto" w:fill="FFFFFF"/>
        <w:spacing w:before="240" w:beforeAutospacing="0" w:after="240" w:afterAutospacing="0"/>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Dès lors que le/la candidat(e) sélectionné(e) a indiqué au PNUD que son engagement doit être officialisé par un accord de prêt remboursable signé entre son employeur et le PNUD, l’accord doit être proposé à son employeur par l’intermédiaire du point </w:t>
      </w:r>
      <w:r w:rsidR="00715383" w:rsidRPr="0087246C">
        <w:rPr>
          <w:rFonts w:asciiTheme="minorHAnsi" w:hAnsiTheme="minorHAnsi" w:cstheme="minorHAnsi"/>
          <w:color w:val="000000"/>
          <w:sz w:val="22"/>
          <w:szCs w:val="22"/>
        </w:rPr>
        <w:t>focal et</w:t>
      </w:r>
      <w:r w:rsidRPr="0087246C">
        <w:rPr>
          <w:rFonts w:asciiTheme="minorHAnsi" w:hAnsiTheme="minorHAnsi" w:cstheme="minorHAnsi"/>
          <w:color w:val="000000"/>
          <w:sz w:val="22"/>
          <w:szCs w:val="22"/>
        </w:rPr>
        <w:t xml:space="preserve"> par le biais des coordonnées fournies par le/la candidat(e).  </w:t>
      </w:r>
    </w:p>
    <w:p w14:paraId="298A3530" w14:textId="77777777" w:rsidR="00342695" w:rsidRPr="0087246C" w:rsidRDefault="00342695" w:rsidP="00342695">
      <w:pPr>
        <w:pStyle w:val="ListParagraph"/>
        <w:numPr>
          <w:ilvl w:val="0"/>
          <w:numId w:val="36"/>
        </w:numPr>
        <w:shd w:val="clear" w:color="auto" w:fill="FFFFFF"/>
        <w:spacing w:before="240" w:beforeAutospacing="0" w:after="240" w:afterAutospacing="0"/>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L’organisme/entreprise/institution signataire doit mettre à la disposition du PNUD les services du consultant sélectionné pour une période donnée. L’organisme/entreprise/institution est donc seule responsable du paiement direct du coût effectif des traitements, impôts, assurances et autres indemnités/émoluments dus au consultant, et le PNUD rembourse simplement l’organisme/entreprise/institution.  </w:t>
      </w:r>
    </w:p>
    <w:p w14:paraId="36274144" w14:textId="77777777" w:rsidR="00342695" w:rsidRPr="0087246C" w:rsidRDefault="00342695" w:rsidP="00342695">
      <w:pPr>
        <w:pStyle w:val="ListParagraph"/>
        <w:numPr>
          <w:ilvl w:val="0"/>
          <w:numId w:val="36"/>
        </w:numPr>
        <w:shd w:val="clear" w:color="auto" w:fill="FFFFFF"/>
        <w:spacing w:before="240" w:beforeAutospacing="0" w:after="240" w:afterAutospacing="0"/>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Si l’organisation/entreprise/institution signataire de l’accord l’exige, le PNUD peut payer des honoraires de gestion ou des frais administratifs fixes, à condition que ces coûts aient été incorporés dans la proposition financière initiale. Malgré le paiement de ces frais, l’organisation/entreprise/institution n’est ni censée ni tenue de remplacer le consultant sélectionné au cas où celui-ci manquerait à ses obligations ou en cas de résiliation anticipée de l’accord. Lorsqu’il est nécessaire de poursuivre le travail dans le cadre d’un accord résilié de manière anticipée, le PNUD doit mettre en œuvre un nouveau processus de sélection.  </w:t>
      </w:r>
    </w:p>
    <w:p w14:paraId="1AFF9B7B" w14:textId="77777777" w:rsidR="00342695" w:rsidRPr="0087246C" w:rsidRDefault="00342695" w:rsidP="00342695">
      <w:pPr>
        <w:pStyle w:val="ListParagraph"/>
        <w:numPr>
          <w:ilvl w:val="0"/>
          <w:numId w:val="36"/>
        </w:numPr>
        <w:shd w:val="clear" w:color="auto" w:fill="FFFFFF"/>
        <w:spacing w:before="240" w:beforeAutospacing="0" w:after="240" w:afterAutospacing="0"/>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Le PNUD se réserve le droit de refuser l’établissement ou la signature de l’accord de prêt remboursable avec l’employeur du/de la candidat(e) sélectionné(e) si l’employeur figure sur la liste des entités inadmissibles à l’obtention de contrats avec les Nations Unies/le PNUD. </w:t>
      </w:r>
    </w:p>
    <w:p w14:paraId="5AFC85FD" w14:textId="77777777" w:rsidR="00342695" w:rsidRPr="0087246C" w:rsidRDefault="00342695" w:rsidP="00342695">
      <w:pPr>
        <w:pStyle w:val="ListParagraph"/>
        <w:numPr>
          <w:ilvl w:val="0"/>
          <w:numId w:val="36"/>
        </w:numPr>
        <w:shd w:val="clear" w:color="auto" w:fill="FFFFFF"/>
        <w:spacing w:before="240" w:beforeAutospacing="0" w:after="240" w:afterAutospacing="0"/>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Les directives concernant les consultants ne sont pas applicables aux accords de prêt non remboursable.  </w:t>
      </w:r>
    </w:p>
    <w:p w14:paraId="24AD1F9E" w14:textId="77777777" w:rsidR="00342695" w:rsidRPr="0087246C" w:rsidRDefault="00342695" w:rsidP="00342695">
      <w:pPr>
        <w:pStyle w:val="Calibri11SubSubSub"/>
        <w:numPr>
          <w:ilvl w:val="0"/>
          <w:numId w:val="0"/>
        </w:numPr>
        <w:spacing w:before="0"/>
        <w:jc w:val="both"/>
        <w:rPr>
          <w:rFonts w:asciiTheme="minorHAnsi" w:hAnsiTheme="minorHAnsi" w:cstheme="minorHAnsi"/>
          <w:szCs w:val="22"/>
        </w:rPr>
      </w:pPr>
      <w:bookmarkStart w:id="60" w:name="_Toc208574098"/>
      <w:r w:rsidRPr="0087246C">
        <w:rPr>
          <w:rFonts w:asciiTheme="minorHAnsi" w:hAnsiTheme="minorHAnsi" w:cstheme="minorHAnsi"/>
          <w:szCs w:val="22"/>
        </w:rPr>
        <w:t>Directives complémentaires :</w:t>
      </w:r>
      <w:bookmarkEnd w:id="60"/>
      <w:r w:rsidRPr="0087246C">
        <w:rPr>
          <w:rFonts w:asciiTheme="minorHAnsi" w:hAnsiTheme="minorHAnsi" w:cstheme="minorHAnsi"/>
          <w:szCs w:val="22"/>
        </w:rPr>
        <w:t> </w:t>
      </w:r>
    </w:p>
    <w:p w14:paraId="305CF906" w14:textId="1C699F6E" w:rsidR="004C5DDE" w:rsidRPr="004F06F4" w:rsidRDefault="00342695" w:rsidP="00A34D16">
      <w:pPr>
        <w:pStyle w:val="ListParagraph"/>
        <w:numPr>
          <w:ilvl w:val="0"/>
          <w:numId w:val="36"/>
        </w:numPr>
        <w:jc w:val="both"/>
        <w:rPr>
          <w:rFonts w:asciiTheme="minorHAnsi" w:hAnsiTheme="minorHAnsi" w:cstheme="minorHAnsi"/>
          <w:sz w:val="22"/>
          <w:szCs w:val="22"/>
        </w:rPr>
      </w:pPr>
      <w:r w:rsidRPr="004F06F4">
        <w:rPr>
          <w:rFonts w:asciiTheme="minorHAnsi" w:hAnsiTheme="minorHAnsi" w:cstheme="minorHAnsi"/>
          <w:sz w:val="22"/>
          <w:szCs w:val="22"/>
        </w:rPr>
        <w:t xml:space="preserve">Lorsque les compétences, les capacités, l’expertise et les acquis de l’entreprise qui emploie le consultant sont d’une pertinence ou importance capitale pour le PNUD, les contrats individuels et les accords de prêt remboursable ne doivent pas être utilisés. Les autres politiques, procédures et modalités contractuelles concernant la passation des marchés doivent être appliquées, notamment le processus d’appel d’offres. </w:t>
      </w:r>
    </w:p>
    <w:p w14:paraId="1B2D91C6" w14:textId="77777777" w:rsidR="00342695" w:rsidRPr="0087246C" w:rsidRDefault="00342695" w:rsidP="00342695">
      <w:pPr>
        <w:pStyle w:val="Calibri11a"/>
        <w:tabs>
          <w:tab w:val="clear" w:pos="900"/>
        </w:tabs>
        <w:ind w:left="1080"/>
        <w:jc w:val="both"/>
        <w:rPr>
          <w:rFonts w:asciiTheme="minorHAnsi" w:hAnsiTheme="minorHAnsi" w:cstheme="minorHAnsi"/>
          <w:szCs w:val="22"/>
        </w:rPr>
      </w:pPr>
      <w:bookmarkStart w:id="61" w:name="_Toc208574099"/>
      <w:r w:rsidRPr="0087246C">
        <w:rPr>
          <w:rFonts w:asciiTheme="minorHAnsi" w:hAnsiTheme="minorHAnsi" w:cstheme="minorHAnsi"/>
          <w:szCs w:val="22"/>
        </w:rPr>
        <w:t>Le contrat individuel comme accord-cadre</w:t>
      </w:r>
      <w:bookmarkEnd w:id="61"/>
    </w:p>
    <w:p w14:paraId="3E3E10C0" w14:textId="77777777" w:rsidR="00342695" w:rsidRPr="0087246C" w:rsidRDefault="00342695" w:rsidP="00342695">
      <w:pPr>
        <w:shd w:val="clear" w:color="auto" w:fill="FFFFFF"/>
        <w:spacing w:after="0" w:line="240" w:lineRule="auto"/>
        <w:ind w:left="360"/>
        <w:jc w:val="both"/>
        <w:textAlignment w:val="top"/>
        <w:rPr>
          <w:rFonts w:eastAsia="Times New Roman" w:cstheme="minorHAnsi"/>
          <w:color w:val="000000"/>
        </w:rPr>
      </w:pPr>
    </w:p>
    <w:p w14:paraId="6E157BF3" w14:textId="77777777" w:rsidR="00342695" w:rsidRPr="0087246C" w:rsidRDefault="00342695" w:rsidP="00342695">
      <w:pPr>
        <w:spacing w:after="240"/>
        <w:ind w:left="1080"/>
        <w:jc w:val="both"/>
        <w:rPr>
          <w:rFonts w:cstheme="minorHAnsi"/>
          <w:color w:val="000000"/>
        </w:rPr>
      </w:pPr>
      <w:r w:rsidRPr="0087246C">
        <w:rPr>
          <w:rFonts w:cstheme="minorHAnsi"/>
          <w:color w:val="000000"/>
        </w:rPr>
        <w:t xml:space="preserve">Un contrat individuel peut être conclu pour établir un accord-cadre (ou un accord à long terme) avec un consultant lorsque des services sont nécessaires de façon intermittente et répétitive et qu’un prix unitaire a été convenu. </w:t>
      </w:r>
    </w:p>
    <w:p w14:paraId="49411030" w14:textId="77777777" w:rsidR="00342695" w:rsidRPr="0087246C" w:rsidRDefault="00342695" w:rsidP="00342695">
      <w:pPr>
        <w:spacing w:after="240"/>
        <w:ind w:left="1080"/>
        <w:jc w:val="both"/>
        <w:rPr>
          <w:rFonts w:cstheme="minorHAnsi"/>
          <w:color w:val="000000"/>
        </w:rPr>
      </w:pPr>
      <w:r w:rsidRPr="0087246C">
        <w:rPr>
          <w:rFonts w:cstheme="minorHAnsi"/>
          <w:color w:val="000000"/>
        </w:rPr>
        <w:t xml:space="preserve">Le contrat et les termes de référence </w:t>
      </w:r>
      <w:r w:rsidRPr="0087246C">
        <w:rPr>
          <w:rFonts w:cstheme="minorHAnsi"/>
          <w:color w:val="000000"/>
          <w:u w:val="single"/>
        </w:rPr>
        <w:t>doivent</w:t>
      </w:r>
      <w:r w:rsidRPr="0087246C">
        <w:rPr>
          <w:rFonts w:cstheme="minorHAnsi"/>
          <w:color w:val="000000"/>
        </w:rPr>
        <w:t xml:space="preserve"> clairement préciser les conditions </w:t>
      </w:r>
      <w:r w:rsidRPr="0087246C">
        <w:rPr>
          <w:rFonts w:cstheme="minorHAnsi"/>
          <w:color w:val="000000"/>
          <w:u w:val="single"/>
        </w:rPr>
        <w:t>minimales</w:t>
      </w:r>
      <w:r w:rsidRPr="0087246C">
        <w:rPr>
          <w:rFonts w:cstheme="minorHAnsi"/>
          <w:color w:val="000000"/>
        </w:rPr>
        <w:t xml:space="preserve"> suivantes : </w:t>
      </w:r>
    </w:p>
    <w:p w14:paraId="6016E577" w14:textId="77777777" w:rsidR="00342695" w:rsidRPr="0087246C" w:rsidRDefault="00342695" w:rsidP="00342695">
      <w:pPr>
        <w:pStyle w:val="ListParagraph"/>
        <w:numPr>
          <w:ilvl w:val="0"/>
          <w:numId w:val="26"/>
        </w:numPr>
        <w:shd w:val="clear" w:color="auto" w:fill="FFFFFF"/>
        <w:spacing w:after="240"/>
        <w:ind w:left="1800"/>
        <w:contextualSpacing/>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Le prix unitaire du service (par exemple, le tarif par heure, le tarif par jour, le tarif par page, etc.) ; et</w:t>
      </w:r>
    </w:p>
    <w:p w14:paraId="696DF2E0" w14:textId="77777777" w:rsidR="00342695" w:rsidRPr="0087246C" w:rsidRDefault="00342695" w:rsidP="00342695">
      <w:pPr>
        <w:pStyle w:val="ListParagraph"/>
        <w:numPr>
          <w:ilvl w:val="0"/>
          <w:numId w:val="26"/>
        </w:numPr>
        <w:shd w:val="clear" w:color="auto" w:fill="FFFFFF"/>
        <w:spacing w:after="240"/>
        <w:ind w:left="1800"/>
        <w:contextualSpacing/>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lastRenderedPageBreak/>
        <w:t>Le processus ou le document qui sera utilisé pour la mise en œuvre et le démarrage des services pendant la période du contrat (par exemple, l’établissement d’un bon de commande, etc.).</w:t>
      </w:r>
    </w:p>
    <w:p w14:paraId="3A0B63C0" w14:textId="77777777" w:rsidR="00342695" w:rsidRPr="0087246C" w:rsidRDefault="00342695" w:rsidP="00342695">
      <w:pPr>
        <w:spacing w:after="240"/>
        <w:ind w:left="1080"/>
        <w:jc w:val="both"/>
        <w:rPr>
          <w:rFonts w:cstheme="minorHAnsi"/>
          <w:color w:val="000000"/>
        </w:rPr>
      </w:pPr>
      <w:r w:rsidRPr="0087246C">
        <w:rPr>
          <w:rFonts w:cstheme="minorHAnsi"/>
          <w:color w:val="000000"/>
        </w:rPr>
        <w:t xml:space="preserve">Le contrat n’entraîne pas une obligation financière ou un engagement de la part du PNUD. Ce contrat est non-exclusif, c’est-à-dire qu’il n’interdit pas au PNUD de conclure un autre accord-cadre avec une autre personne ou entité. Les obligations financières ne seront établies que lorsque les services seront requis en vertu d’un contrat, à travers une action déclenchante ou un document consensuel indiquant la date de début d’une embauche donnée (également connu sous le nom de « commandes »). </w:t>
      </w:r>
    </w:p>
    <w:p w14:paraId="61FE9790" w14:textId="77777777" w:rsidR="00342695" w:rsidRPr="0087246C" w:rsidRDefault="00342695" w:rsidP="00342695">
      <w:pPr>
        <w:spacing w:after="240"/>
        <w:ind w:left="1080"/>
        <w:jc w:val="both"/>
        <w:rPr>
          <w:rFonts w:cstheme="minorHAnsi"/>
          <w:color w:val="000000"/>
        </w:rPr>
      </w:pPr>
      <w:r w:rsidRPr="0087246C">
        <w:rPr>
          <w:rFonts w:cstheme="minorHAnsi"/>
          <w:color w:val="000000"/>
        </w:rPr>
        <w:t>Tous les contrats individuels utilisés comme accord-cadre doivent indiquer un prix plafond limitant les montants cumulés dont bénéficiera l’individu pendant la durée du contrat. Ce plafond demeure la limite supérieure, et ne doit pas être considéré comme une obligation financière ou une garantie du volume des affaires. Des seuils de contrat individuel pour les honoraires journaliers et des seuils pour les montants cumulés pertinents pour les accords-cadres s’appliquent.</w:t>
      </w:r>
    </w:p>
    <w:p w14:paraId="7F094ED8" w14:textId="77777777" w:rsidR="00342695" w:rsidRPr="0087246C" w:rsidRDefault="00342695" w:rsidP="00342695">
      <w:pPr>
        <w:spacing w:after="240"/>
        <w:ind w:left="1080"/>
        <w:jc w:val="both"/>
        <w:rPr>
          <w:rFonts w:cstheme="minorHAnsi"/>
          <w:color w:val="000000"/>
        </w:rPr>
      </w:pPr>
      <w:r w:rsidRPr="0087246C">
        <w:rPr>
          <w:rFonts w:cstheme="minorHAnsi"/>
          <w:color w:val="000000"/>
        </w:rPr>
        <w:t>L’unité administrative qui gère le contrat doit : </w:t>
      </w:r>
    </w:p>
    <w:p w14:paraId="2322A503" w14:textId="77777777" w:rsidR="00342695" w:rsidRPr="0087246C" w:rsidRDefault="00342695" w:rsidP="00342695">
      <w:pPr>
        <w:pStyle w:val="ListParagraph"/>
        <w:numPr>
          <w:ilvl w:val="0"/>
          <w:numId w:val="27"/>
        </w:numPr>
        <w:shd w:val="clear" w:color="auto" w:fill="FFFFFF"/>
        <w:spacing w:after="240"/>
        <w:ind w:left="1800"/>
        <w:contextualSpacing/>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Contrôler les montants des contrats, et </w:t>
      </w:r>
    </w:p>
    <w:p w14:paraId="03213757" w14:textId="77777777" w:rsidR="00342695" w:rsidRPr="0087246C" w:rsidRDefault="00342695" w:rsidP="00342695">
      <w:pPr>
        <w:pStyle w:val="ListParagraph"/>
        <w:numPr>
          <w:ilvl w:val="0"/>
          <w:numId w:val="27"/>
        </w:numPr>
        <w:shd w:val="clear" w:color="auto" w:fill="FFFFFF"/>
        <w:spacing w:after="240"/>
        <w:ind w:left="1800"/>
        <w:contextualSpacing/>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Veiller à ce que les paiements cumulés soient soumis au comité concerné à mesure qu’ils atteignent les seuils fixés dans la présente politique.</w:t>
      </w:r>
    </w:p>
    <w:p w14:paraId="2C54B084" w14:textId="77777777" w:rsidR="00342695" w:rsidRPr="0087246C" w:rsidRDefault="00342695" w:rsidP="00342695">
      <w:pPr>
        <w:spacing w:after="240"/>
        <w:ind w:left="1080"/>
        <w:jc w:val="both"/>
        <w:rPr>
          <w:rFonts w:cstheme="minorHAnsi"/>
          <w:color w:val="000000"/>
        </w:rPr>
      </w:pPr>
      <w:r w:rsidRPr="0087246C">
        <w:rPr>
          <w:rFonts w:cstheme="minorHAnsi"/>
          <w:color w:val="000000"/>
        </w:rPr>
        <w:t xml:space="preserve">Ce type de contrat peut couvrir une période maximale de trois ans. Lorsque l’assurance qualité est essentielle, une unité administrative peut également établir un contrat pour une période initiale de 12 mois, sous réserve d’une prorogation fondée sur une évaluation satisfaisante des performances. </w:t>
      </w:r>
    </w:p>
    <w:p w14:paraId="48047C5D" w14:textId="77777777" w:rsidR="00342695" w:rsidRPr="0087246C" w:rsidRDefault="00342695" w:rsidP="00342695">
      <w:pPr>
        <w:spacing w:after="240"/>
        <w:ind w:left="1080"/>
        <w:jc w:val="both"/>
        <w:rPr>
          <w:rFonts w:cstheme="minorHAnsi"/>
          <w:color w:val="000000"/>
        </w:rPr>
      </w:pPr>
      <w:r w:rsidRPr="0087246C">
        <w:rPr>
          <w:rFonts w:cstheme="minorHAnsi"/>
          <w:color w:val="000000"/>
        </w:rPr>
        <w:t xml:space="preserve">Lorsque le besoin de services se prolonge au-delà de trois ans, un nouveau processus concurrentiel de passation des marchés doit être mis en œuvre. </w:t>
      </w:r>
    </w:p>
    <w:p w14:paraId="6F23E668" w14:textId="77777777" w:rsidR="00342695" w:rsidRPr="0087246C" w:rsidRDefault="00342695" w:rsidP="00342695">
      <w:pPr>
        <w:pStyle w:val="Calibri11a"/>
        <w:tabs>
          <w:tab w:val="clear" w:pos="900"/>
        </w:tabs>
        <w:ind w:left="1080"/>
        <w:jc w:val="both"/>
        <w:rPr>
          <w:rFonts w:asciiTheme="minorHAnsi" w:hAnsiTheme="minorHAnsi" w:cstheme="minorHAnsi"/>
          <w:szCs w:val="22"/>
        </w:rPr>
      </w:pPr>
      <w:bookmarkStart w:id="62" w:name="_Toc208574100"/>
      <w:r w:rsidRPr="0087246C">
        <w:rPr>
          <w:rFonts w:asciiTheme="minorHAnsi" w:hAnsiTheme="minorHAnsi" w:cstheme="minorHAnsi"/>
          <w:szCs w:val="22"/>
        </w:rPr>
        <w:t>Directives complémentaires :</w:t>
      </w:r>
      <w:bookmarkEnd w:id="62"/>
      <w:r w:rsidRPr="0087246C">
        <w:rPr>
          <w:rFonts w:asciiTheme="minorHAnsi" w:hAnsiTheme="minorHAnsi" w:cstheme="minorHAnsi"/>
          <w:szCs w:val="22"/>
        </w:rPr>
        <w:t xml:space="preserve"> </w:t>
      </w:r>
    </w:p>
    <w:p w14:paraId="4F4B0FD4" w14:textId="77777777" w:rsidR="00342695" w:rsidRPr="0087246C" w:rsidRDefault="00342695" w:rsidP="00342695">
      <w:pPr>
        <w:spacing w:after="240"/>
        <w:ind w:left="1080"/>
        <w:jc w:val="both"/>
        <w:rPr>
          <w:rFonts w:cstheme="minorHAnsi"/>
          <w:color w:val="000000"/>
        </w:rPr>
      </w:pPr>
      <w:r w:rsidRPr="0087246C">
        <w:rPr>
          <w:rFonts w:cstheme="minorHAnsi"/>
          <w:color w:val="000000"/>
        </w:rPr>
        <w:t xml:space="preserve">La définition juridique d’un accord de « paiement à l’avance » est que </w:t>
      </w:r>
      <w:r w:rsidRPr="0087246C">
        <w:rPr>
          <w:rFonts w:cstheme="minorHAnsi"/>
          <w:color w:val="000000"/>
          <w:u w:val="single"/>
        </w:rPr>
        <w:t xml:space="preserve">l’entité qui a besoin de services paie à l’avance pour des travaux qui seront définis à une date ultérieure. </w:t>
      </w:r>
      <w:r w:rsidRPr="0087246C">
        <w:rPr>
          <w:rFonts w:cstheme="minorHAnsi"/>
          <w:color w:val="000000"/>
        </w:rPr>
        <w:t>Cet arrangement n’est pas acceptable pour le PNUD, et le terme ne doit donc pas être utilisé lorsque l’on se réfère à une passation de marchés du PNUD, quelle que soit la forme de service, y compris en vertu d’un contrat individuel ou d’un accord de prêt remboursable. </w:t>
      </w:r>
    </w:p>
    <w:p w14:paraId="0DAB0F29" w14:textId="77777777" w:rsidR="00342695" w:rsidRPr="0087246C" w:rsidRDefault="00342695" w:rsidP="00342695">
      <w:pPr>
        <w:pStyle w:val="Calibri11a"/>
        <w:tabs>
          <w:tab w:val="clear" w:pos="900"/>
        </w:tabs>
        <w:ind w:left="1080"/>
        <w:jc w:val="both"/>
        <w:rPr>
          <w:rFonts w:asciiTheme="minorHAnsi" w:hAnsiTheme="minorHAnsi" w:cstheme="minorHAnsi"/>
          <w:szCs w:val="22"/>
        </w:rPr>
      </w:pPr>
      <w:bookmarkStart w:id="63" w:name="_Toc208574101"/>
      <w:r w:rsidRPr="0087246C">
        <w:rPr>
          <w:rFonts w:asciiTheme="minorHAnsi" w:hAnsiTheme="minorHAnsi" w:cstheme="minorHAnsi"/>
          <w:szCs w:val="22"/>
        </w:rPr>
        <w:t>Date de début des services</w:t>
      </w:r>
      <w:bookmarkEnd w:id="63"/>
      <w:r w:rsidRPr="0087246C">
        <w:rPr>
          <w:rFonts w:asciiTheme="minorHAnsi" w:hAnsiTheme="minorHAnsi" w:cstheme="minorHAnsi"/>
          <w:szCs w:val="22"/>
        </w:rPr>
        <w:t xml:space="preserve">  </w:t>
      </w:r>
    </w:p>
    <w:p w14:paraId="767154E2" w14:textId="77777777" w:rsidR="00342695" w:rsidRPr="003D7C60" w:rsidRDefault="00342695" w:rsidP="003D7C60">
      <w:pPr>
        <w:spacing w:after="240"/>
        <w:ind w:left="1080"/>
        <w:jc w:val="both"/>
        <w:rPr>
          <w:rFonts w:cstheme="minorHAnsi"/>
          <w:color w:val="000000"/>
        </w:rPr>
      </w:pPr>
      <w:r w:rsidRPr="0087246C">
        <w:rPr>
          <w:rFonts w:cstheme="minorHAnsi"/>
          <w:color w:val="000000"/>
        </w:rPr>
        <w:t>La date de début des travaux, le déplacement ou le paiement des honoraires ne sont pas autorisés avant la signature d’un contrat individuel entre le PNUD et le consultant. Il n’est permis, sous aucun prétexte, d’embaucher des consultants sur une base rétroactive. Le strict respect de cette exigence protège les intérêts du PNUD et des personnes concernées.</w:t>
      </w:r>
    </w:p>
    <w:p w14:paraId="74D25CC2" w14:textId="77777777" w:rsidR="00342695" w:rsidRPr="0087246C" w:rsidRDefault="00342695" w:rsidP="00342695">
      <w:pPr>
        <w:pStyle w:val="Calibri11a"/>
        <w:tabs>
          <w:tab w:val="clear" w:pos="900"/>
        </w:tabs>
        <w:ind w:left="1080"/>
        <w:jc w:val="both"/>
        <w:rPr>
          <w:rFonts w:asciiTheme="minorHAnsi" w:hAnsiTheme="minorHAnsi" w:cstheme="minorHAnsi"/>
          <w:szCs w:val="22"/>
        </w:rPr>
      </w:pPr>
      <w:bookmarkStart w:id="64" w:name="_Toc208574102"/>
      <w:r w:rsidRPr="0087246C">
        <w:rPr>
          <w:rFonts w:asciiTheme="minorHAnsi" w:hAnsiTheme="minorHAnsi" w:cstheme="minorHAnsi"/>
          <w:szCs w:val="22"/>
        </w:rPr>
        <w:lastRenderedPageBreak/>
        <w:t>Contrats post-facto :</w:t>
      </w:r>
      <w:bookmarkEnd w:id="64"/>
    </w:p>
    <w:p w14:paraId="453D65A7" w14:textId="77777777" w:rsidR="00342695" w:rsidRPr="0087246C" w:rsidRDefault="00342695" w:rsidP="00342695">
      <w:pPr>
        <w:spacing w:after="240"/>
        <w:ind w:left="1080"/>
        <w:jc w:val="both"/>
        <w:rPr>
          <w:rFonts w:cstheme="minorHAnsi"/>
          <w:color w:val="000000"/>
        </w:rPr>
      </w:pPr>
      <w:r w:rsidRPr="0087246C">
        <w:rPr>
          <w:rFonts w:cstheme="minorHAnsi"/>
          <w:color w:val="000000"/>
        </w:rPr>
        <w:t xml:space="preserve">Les actions post-facto ne relèvent pas du champ d’application de la procédure de passation des marchés du PNUD. Un représentant du PNUD qui autorise ou approuve l’attribution d’un contrat individuel sans les approbations requises est seul responsable de ses actes, y compris de toute responsabilité encourue en engageant des consultants hors du cadre des procédures ordinaires de passation des marchés du PNUD. </w:t>
      </w:r>
    </w:p>
    <w:p w14:paraId="5F719627" w14:textId="7D285EF3" w:rsidR="00342695" w:rsidRPr="0087246C" w:rsidRDefault="00342695" w:rsidP="00342695">
      <w:pPr>
        <w:spacing w:after="240"/>
        <w:ind w:left="1080"/>
        <w:jc w:val="both"/>
        <w:rPr>
          <w:rFonts w:cstheme="minorHAnsi"/>
          <w:color w:val="000000"/>
        </w:rPr>
      </w:pPr>
      <w:r w:rsidRPr="0087246C">
        <w:rPr>
          <w:rFonts w:cstheme="minorHAnsi"/>
          <w:color w:val="000000"/>
        </w:rPr>
        <w:t xml:space="preserve">De tels actes entrent dans la définition de faute mentionnée dans </w:t>
      </w:r>
      <w:hyperlink r:id="rId32" w:history="1">
        <w:r w:rsidRPr="003E6CD4">
          <w:rPr>
            <w:rStyle w:val="Hyperlink"/>
            <w:rFonts w:cstheme="minorHAnsi"/>
          </w:rPr>
          <w:t>le Cadre juridique du PNUD pour le non-respect des normes de conduite des Nations Unies</w:t>
        </w:r>
      </w:hyperlink>
      <w:r w:rsidR="00E70124" w:rsidRPr="0087246C">
        <w:rPr>
          <w:rFonts w:cstheme="minorHAnsi"/>
          <w:color w:val="000000"/>
        </w:rPr>
        <w:t>.</w:t>
      </w:r>
      <w:r w:rsidRPr="0087246C">
        <w:rPr>
          <w:rFonts w:cstheme="minorHAnsi"/>
          <w:color w:val="0070C0"/>
        </w:rPr>
        <w:t xml:space="preserve"> </w:t>
      </w:r>
      <w:r w:rsidRPr="0087246C">
        <w:rPr>
          <w:rFonts w:cstheme="minorHAnsi"/>
          <w:color w:val="000000"/>
        </w:rPr>
        <w:t xml:space="preserve">Voir en particulier la section 3. La notion de faute […] 24. </w:t>
      </w:r>
      <w:r w:rsidRPr="0087246C">
        <w:rPr>
          <w:rFonts w:cstheme="minorHAnsi"/>
          <w:i/>
          <w:iCs/>
          <w:color w:val="000000"/>
        </w:rPr>
        <w:t xml:space="preserve">« La notion de faute comprend, sans y être limitée, les catégories de fautes suivantes [...] (g) toute action ou omission visant à contourner les règlements, règles et procédures de nature financière ou à s’en écarter, y compris l’utilisation abusive du pouvoir d’autorisation, d’approbation, d’engagement de dépenses ou de vérification </w:t>
      </w:r>
      <w:r w:rsidRPr="0087246C">
        <w:rPr>
          <w:rFonts w:cstheme="minorHAnsi"/>
          <w:i/>
          <w:color w:val="000000"/>
        </w:rPr>
        <w:t xml:space="preserve">[…] ». </w:t>
      </w:r>
    </w:p>
    <w:p w14:paraId="239A31E2" w14:textId="77777777" w:rsidR="00342695" w:rsidRPr="0087246C" w:rsidRDefault="00342695" w:rsidP="00342695">
      <w:pPr>
        <w:spacing w:after="240"/>
        <w:ind w:left="1080"/>
        <w:jc w:val="both"/>
        <w:rPr>
          <w:rFonts w:cstheme="minorHAnsi"/>
          <w:color w:val="000000"/>
        </w:rPr>
      </w:pPr>
      <w:r w:rsidRPr="0087246C">
        <w:rPr>
          <w:rFonts w:cstheme="minorHAnsi"/>
        </w:rPr>
        <w:t>Les autres politiques relatives aux contrats post-facto sont disponibles</w:t>
      </w:r>
      <w:r w:rsidRPr="0087246C">
        <w:rPr>
          <w:rFonts w:cstheme="minorHAnsi"/>
          <w:color w:val="182738"/>
        </w:rPr>
        <w:t xml:space="preserve"> </w:t>
      </w:r>
      <w:hyperlink r:id="rId33" w:history="1">
        <w:r w:rsidRPr="0087246C">
          <w:rPr>
            <w:rFonts w:cstheme="minorHAnsi"/>
            <w:color w:val="0072BC"/>
          </w:rPr>
          <w:t>ici</w:t>
        </w:r>
      </w:hyperlink>
      <w:r w:rsidRPr="0087246C">
        <w:rPr>
          <w:rFonts w:cstheme="minorHAnsi"/>
          <w:color w:val="182738"/>
        </w:rPr>
        <w:t>.</w:t>
      </w:r>
      <w:r w:rsidRPr="0087246C">
        <w:rPr>
          <w:rFonts w:cstheme="minorHAnsi"/>
          <w:color w:val="000000"/>
        </w:rPr>
        <w:t> </w:t>
      </w:r>
    </w:p>
    <w:p w14:paraId="6D786B2A" w14:textId="77777777" w:rsidR="00342695" w:rsidRPr="0087246C" w:rsidRDefault="00342695" w:rsidP="00342695">
      <w:pPr>
        <w:pStyle w:val="Calibri11"/>
        <w:numPr>
          <w:ilvl w:val="0"/>
          <w:numId w:val="0"/>
        </w:numPr>
        <w:jc w:val="both"/>
        <w:rPr>
          <w:rFonts w:asciiTheme="minorHAnsi" w:hAnsiTheme="minorHAnsi" w:cstheme="minorHAnsi"/>
          <w:szCs w:val="22"/>
        </w:rPr>
      </w:pPr>
      <w:bookmarkStart w:id="65" w:name="_Toc208574103"/>
      <w:r w:rsidRPr="0087246C">
        <w:rPr>
          <w:rFonts w:asciiTheme="minorHAnsi" w:hAnsiTheme="minorHAnsi" w:cstheme="minorHAnsi"/>
          <w:szCs w:val="22"/>
        </w:rPr>
        <w:t>Statut juridique, droits et obligations d’un consultant</w:t>
      </w:r>
      <w:bookmarkEnd w:id="65"/>
    </w:p>
    <w:p w14:paraId="3FB40FB6" w14:textId="77777777" w:rsidR="00342695" w:rsidRPr="0087246C" w:rsidRDefault="00342695" w:rsidP="00342695">
      <w:pPr>
        <w:pStyle w:val="Calibri11"/>
        <w:numPr>
          <w:ilvl w:val="0"/>
          <w:numId w:val="0"/>
        </w:numPr>
        <w:spacing w:before="0"/>
        <w:jc w:val="both"/>
        <w:rPr>
          <w:rFonts w:asciiTheme="minorHAnsi" w:hAnsiTheme="minorHAnsi" w:cstheme="minorHAnsi"/>
          <w:szCs w:val="22"/>
        </w:rPr>
      </w:pPr>
    </w:p>
    <w:p w14:paraId="79CB90DB" w14:textId="77777777" w:rsidR="00342695" w:rsidRPr="0087246C" w:rsidRDefault="00342695" w:rsidP="00342695">
      <w:pPr>
        <w:pStyle w:val="ListParagraph"/>
        <w:numPr>
          <w:ilvl w:val="0"/>
          <w:numId w:val="36"/>
        </w:numPr>
        <w:spacing w:before="0" w:beforeAutospacing="0" w:after="240" w:afterAutospacing="0"/>
        <w:jc w:val="both"/>
        <w:rPr>
          <w:rFonts w:asciiTheme="minorHAnsi" w:hAnsiTheme="minorHAnsi" w:cstheme="minorHAnsi"/>
          <w:sz w:val="22"/>
          <w:szCs w:val="22"/>
        </w:rPr>
      </w:pPr>
      <w:r w:rsidRPr="0087246C">
        <w:rPr>
          <w:rFonts w:asciiTheme="minorHAnsi" w:hAnsiTheme="minorHAnsi" w:cstheme="minorHAnsi"/>
          <w:sz w:val="22"/>
          <w:szCs w:val="22"/>
        </w:rPr>
        <w:t xml:space="preserve">Les consultants agissent à titre individuel et indépendant et non en tant que représentants d’un gouvernement ou de tout autre organisme, y compris le PNUD. Les personnes embauchées dans le cadre de contrats individuels ou d’accords de prêt remboursable n’ont pas le statut de « membres du personnel » au sens du </w:t>
      </w:r>
      <w:hyperlink r:id="rId34" w:history="1">
        <w:r w:rsidRPr="0087246C">
          <w:rPr>
            <w:rFonts w:asciiTheme="minorHAnsi" w:hAnsiTheme="minorHAnsi" w:cstheme="minorHAnsi"/>
            <w:sz w:val="22"/>
            <w:szCs w:val="22"/>
          </w:rPr>
          <w:t>Statut et règlement du personnel de l’ONU</w:t>
        </w:r>
      </w:hyperlink>
      <w:r w:rsidRPr="0087246C">
        <w:rPr>
          <w:rFonts w:asciiTheme="minorHAnsi" w:hAnsiTheme="minorHAnsi" w:cstheme="minorHAnsi"/>
          <w:sz w:val="22"/>
          <w:szCs w:val="22"/>
        </w:rPr>
        <w:t>.  </w:t>
      </w:r>
    </w:p>
    <w:p w14:paraId="1181164D" w14:textId="77777777" w:rsidR="00342695" w:rsidRPr="0087246C" w:rsidRDefault="00342695" w:rsidP="00342695">
      <w:pPr>
        <w:pStyle w:val="ListParagraph"/>
        <w:numPr>
          <w:ilvl w:val="0"/>
          <w:numId w:val="36"/>
        </w:numPr>
        <w:spacing w:before="0" w:beforeAutospacing="0" w:after="240" w:afterAutospacing="0"/>
        <w:jc w:val="both"/>
        <w:rPr>
          <w:rFonts w:asciiTheme="minorHAnsi" w:hAnsiTheme="minorHAnsi" w:cstheme="minorHAnsi"/>
          <w:sz w:val="22"/>
          <w:szCs w:val="22"/>
        </w:rPr>
      </w:pPr>
      <w:r w:rsidRPr="0087246C">
        <w:rPr>
          <w:rFonts w:asciiTheme="minorHAnsi" w:hAnsiTheme="minorHAnsi" w:cstheme="minorHAnsi"/>
          <w:sz w:val="22"/>
          <w:szCs w:val="22"/>
        </w:rPr>
        <w:t>Dans des circonstances particulières, les consultants peuvent se voir conférer le statut d’« experts en mission » au sens de la section 22 de l’article VI de la Convention sur les privilèges et les immunités des Nations Unies du 13 février 1946. Toute décision en ce sens est prise dans chaque cas par le Secrétaire général de l’ONU qui possède, seul, l’autorité d’accorder l’immunité au nom des Nations Unies. Dans le cadre de ce statut spécial, l’« expert en mission » peut se voir accorder un certificat de l’ONU pour la durée de son engagement auprès du PNUD. Les « experts en mission » n’ont pas droit au laissez-passer de l’ONU.</w:t>
      </w:r>
    </w:p>
    <w:p w14:paraId="20413B73" w14:textId="77777777" w:rsidR="00342695" w:rsidRPr="0087246C" w:rsidRDefault="00342695" w:rsidP="00342695">
      <w:pPr>
        <w:pStyle w:val="ListParagraph"/>
        <w:numPr>
          <w:ilvl w:val="0"/>
          <w:numId w:val="36"/>
        </w:numPr>
        <w:spacing w:before="0" w:beforeAutospacing="0" w:after="240" w:afterAutospacing="0"/>
        <w:jc w:val="both"/>
        <w:rPr>
          <w:rFonts w:asciiTheme="minorHAnsi" w:hAnsiTheme="minorHAnsi" w:cstheme="minorHAnsi"/>
          <w:sz w:val="22"/>
          <w:szCs w:val="22"/>
        </w:rPr>
      </w:pPr>
      <w:r w:rsidRPr="0087246C">
        <w:rPr>
          <w:rFonts w:asciiTheme="minorHAnsi" w:hAnsiTheme="minorHAnsi" w:cstheme="minorHAnsi"/>
          <w:sz w:val="22"/>
          <w:szCs w:val="22"/>
        </w:rPr>
        <w:t xml:space="preserve">Pendant la période de service auprès du PNUD, les consultants sont tenus de respecter les normes de conduite énoncées dans leur contrat individuel et dans le Règlement régissant le statut et les droits et obligations élémentaires des personnalités au service de l’ONU non-fonctionnaires du Secrétariat et des experts en mission </w:t>
      </w:r>
      <w:hyperlink r:id="rId35" w:tgtFrame="_blank" w:history="1">
        <w:r w:rsidRPr="0087246C">
          <w:rPr>
            <w:rFonts w:asciiTheme="minorHAnsi" w:hAnsiTheme="minorHAnsi" w:cstheme="minorHAnsi"/>
            <w:sz w:val="22"/>
            <w:szCs w:val="22"/>
          </w:rPr>
          <w:t xml:space="preserve">(ST/SGB/2002/9). </w:t>
        </w:r>
      </w:hyperlink>
      <w:r w:rsidRPr="0087246C">
        <w:rPr>
          <w:rFonts w:asciiTheme="minorHAnsi" w:hAnsiTheme="minorHAnsi" w:cstheme="minorHAnsi"/>
          <w:sz w:val="22"/>
          <w:szCs w:val="22"/>
        </w:rPr>
        <w:t>Les consultants sont tenus par les termes de leur contrat de respecter l’impartialité et l’indépendance des Nations Unies et de faire preuve de la plus grande discrétion dans toutes les questions relatives à l’exercice de leurs fonctions et aux activités officielles de l’ONU. Les consultants ne peuvent se livrer à aucune activité incompatible avec l’exécution de leurs tâches auprès de l’Organisation, et ils sont tenus de faire preuve de la plus grande discrétion sur tous sujets liés aux activités officielles de l’Organisation.  </w:t>
      </w:r>
    </w:p>
    <w:p w14:paraId="01927C74" w14:textId="77777777" w:rsidR="00342695" w:rsidRPr="0087246C" w:rsidRDefault="00342695" w:rsidP="00342695">
      <w:pPr>
        <w:pStyle w:val="ListParagraph"/>
        <w:numPr>
          <w:ilvl w:val="0"/>
          <w:numId w:val="36"/>
        </w:numPr>
        <w:spacing w:before="0" w:beforeAutospacing="0" w:after="240" w:afterAutospacing="0"/>
        <w:jc w:val="both"/>
        <w:rPr>
          <w:rFonts w:asciiTheme="minorHAnsi" w:hAnsiTheme="minorHAnsi" w:cstheme="minorHAnsi"/>
          <w:sz w:val="22"/>
          <w:szCs w:val="22"/>
        </w:rPr>
      </w:pPr>
      <w:r w:rsidRPr="0087246C">
        <w:rPr>
          <w:rFonts w:asciiTheme="minorHAnsi" w:hAnsiTheme="minorHAnsi" w:cstheme="minorHAnsi"/>
          <w:sz w:val="22"/>
          <w:szCs w:val="22"/>
        </w:rPr>
        <w:t xml:space="preserve">À moins d’en avoir reçu l’autorisation spéciale du PNUD, les consultants ne peuvent à aucun moment communiquer aux médias ou à une institution, personne, autorité gouvernementale ou autre instance extérieure, une information, quelle qu’elle soit, qui n’aurait pas été rendue publique et dont ils auraient eu connaissance </w:t>
      </w:r>
      <w:proofErr w:type="gramStart"/>
      <w:r w:rsidRPr="0087246C">
        <w:rPr>
          <w:rFonts w:asciiTheme="minorHAnsi" w:hAnsiTheme="minorHAnsi" w:cstheme="minorHAnsi"/>
          <w:sz w:val="22"/>
          <w:szCs w:val="22"/>
        </w:rPr>
        <w:t>de par</w:t>
      </w:r>
      <w:proofErr w:type="gramEnd"/>
      <w:r w:rsidRPr="0087246C">
        <w:rPr>
          <w:rFonts w:asciiTheme="minorHAnsi" w:hAnsiTheme="minorHAnsi" w:cstheme="minorHAnsi"/>
          <w:sz w:val="22"/>
          <w:szCs w:val="22"/>
        </w:rPr>
        <w:t xml:space="preserve"> leur association avec le PNUD, sauf dans le cadre de l’exécution de leurs fonctions pour le PNUD ou avec l’autorisation de l’Administrateur du PNUD ou de son délégué. Ils ne doivent pas non plus utiliser une telle </w:t>
      </w:r>
      <w:r w:rsidRPr="0087246C">
        <w:rPr>
          <w:rFonts w:asciiTheme="minorHAnsi" w:hAnsiTheme="minorHAnsi" w:cstheme="minorHAnsi"/>
          <w:sz w:val="22"/>
          <w:szCs w:val="22"/>
        </w:rPr>
        <w:lastRenderedPageBreak/>
        <w:t xml:space="preserve">information dans le but d’en tirer un quelconque avantage personnel. Ces obligations restent valables même après la cessation du service auprès du PNUD. </w:t>
      </w:r>
    </w:p>
    <w:p w14:paraId="6BBD212A" w14:textId="77777777" w:rsidR="00342695" w:rsidRPr="0087246C" w:rsidRDefault="00342695" w:rsidP="00342695">
      <w:pPr>
        <w:pStyle w:val="Calibri11"/>
        <w:numPr>
          <w:ilvl w:val="0"/>
          <w:numId w:val="0"/>
        </w:numPr>
        <w:jc w:val="both"/>
        <w:rPr>
          <w:rFonts w:asciiTheme="minorHAnsi" w:hAnsiTheme="minorHAnsi" w:cstheme="minorHAnsi"/>
          <w:szCs w:val="22"/>
        </w:rPr>
      </w:pPr>
      <w:bookmarkStart w:id="66" w:name="_Toc208574104"/>
      <w:r w:rsidRPr="0087246C">
        <w:rPr>
          <w:rFonts w:asciiTheme="minorHAnsi" w:hAnsiTheme="minorHAnsi" w:cstheme="minorHAnsi"/>
          <w:szCs w:val="22"/>
        </w:rPr>
        <w:t>Interdiction d’exploitation et d’abus sexuels</w:t>
      </w:r>
      <w:bookmarkEnd w:id="66"/>
      <w:r w:rsidRPr="0087246C">
        <w:rPr>
          <w:rFonts w:asciiTheme="minorHAnsi" w:hAnsiTheme="minorHAnsi" w:cstheme="minorHAnsi"/>
          <w:szCs w:val="22"/>
        </w:rPr>
        <w:t xml:space="preserve">  </w:t>
      </w:r>
    </w:p>
    <w:p w14:paraId="51AE3CD9" w14:textId="77777777" w:rsidR="00342695" w:rsidRPr="0087246C" w:rsidRDefault="00342695" w:rsidP="00342695">
      <w:pPr>
        <w:pStyle w:val="Calibri11"/>
        <w:numPr>
          <w:ilvl w:val="0"/>
          <w:numId w:val="0"/>
        </w:numPr>
        <w:jc w:val="both"/>
        <w:rPr>
          <w:rFonts w:asciiTheme="minorHAnsi" w:hAnsiTheme="minorHAnsi" w:cstheme="minorHAnsi"/>
          <w:szCs w:val="22"/>
        </w:rPr>
      </w:pPr>
    </w:p>
    <w:p w14:paraId="24612820" w14:textId="77777777" w:rsidR="00342695" w:rsidRPr="0087246C" w:rsidRDefault="00342695" w:rsidP="00342695">
      <w:pPr>
        <w:pStyle w:val="ListParagraph"/>
        <w:numPr>
          <w:ilvl w:val="0"/>
          <w:numId w:val="36"/>
        </w:numPr>
        <w:spacing w:before="0" w:beforeAutospacing="0" w:after="240" w:afterAutospacing="0"/>
        <w:jc w:val="both"/>
        <w:rPr>
          <w:rFonts w:asciiTheme="minorHAnsi" w:hAnsiTheme="minorHAnsi" w:cstheme="minorHAnsi"/>
          <w:color w:val="000000"/>
          <w:sz w:val="22"/>
          <w:szCs w:val="22"/>
        </w:rPr>
      </w:pPr>
      <w:r w:rsidRPr="0087246C">
        <w:rPr>
          <w:rFonts w:asciiTheme="minorHAnsi" w:hAnsiTheme="minorHAnsi" w:cstheme="minorHAnsi"/>
          <w:color w:val="000000"/>
          <w:sz w:val="22"/>
          <w:szCs w:val="22"/>
        </w:rPr>
        <w:t>Les consultants doivent respecter les normes de conduite énoncées dans la circulaire ST/SGB/2003/13 du Secrétaire général du 9 octobre 2003 concernant les « Dispositions spéciales visant à prévenir l’exploitation et les abus sexuels ». En particulier, le consultant devra s’abstenir de toute conduite qui pourrait constituer une exploitation ou un abus sexuel, tels que définis dans la circulaire.</w:t>
      </w:r>
    </w:p>
    <w:p w14:paraId="3E4D1E8E" w14:textId="77777777" w:rsidR="00342695" w:rsidRPr="0087246C" w:rsidRDefault="00342695" w:rsidP="00342695">
      <w:pPr>
        <w:pStyle w:val="Calibri11"/>
        <w:numPr>
          <w:ilvl w:val="0"/>
          <w:numId w:val="0"/>
        </w:numPr>
        <w:jc w:val="both"/>
        <w:rPr>
          <w:rFonts w:asciiTheme="minorHAnsi" w:hAnsiTheme="minorHAnsi" w:cstheme="minorHAnsi"/>
          <w:szCs w:val="22"/>
        </w:rPr>
      </w:pPr>
      <w:bookmarkStart w:id="67" w:name="_Toc208574105"/>
      <w:r w:rsidRPr="0087246C">
        <w:rPr>
          <w:rFonts w:asciiTheme="minorHAnsi" w:hAnsiTheme="minorHAnsi" w:cstheme="minorHAnsi"/>
          <w:szCs w:val="22"/>
        </w:rPr>
        <w:t>Aucune relation employeur-employé</w:t>
      </w:r>
      <w:bookmarkEnd w:id="67"/>
      <w:r w:rsidRPr="0087246C">
        <w:rPr>
          <w:rFonts w:asciiTheme="minorHAnsi" w:hAnsiTheme="minorHAnsi" w:cstheme="minorHAnsi"/>
          <w:szCs w:val="22"/>
        </w:rPr>
        <w:t xml:space="preserve"> </w:t>
      </w:r>
    </w:p>
    <w:p w14:paraId="2F99F9A4" w14:textId="77777777" w:rsidR="00342695" w:rsidRPr="0087246C" w:rsidRDefault="00342695" w:rsidP="00342695">
      <w:pPr>
        <w:pStyle w:val="Calibri11"/>
        <w:numPr>
          <w:ilvl w:val="0"/>
          <w:numId w:val="0"/>
        </w:numPr>
        <w:jc w:val="both"/>
        <w:rPr>
          <w:rFonts w:asciiTheme="minorHAnsi" w:hAnsiTheme="minorHAnsi" w:cstheme="minorHAnsi"/>
          <w:szCs w:val="22"/>
        </w:rPr>
      </w:pPr>
    </w:p>
    <w:p w14:paraId="410ACA11" w14:textId="77777777" w:rsidR="00342695" w:rsidRPr="0087246C" w:rsidRDefault="00342695" w:rsidP="00342695">
      <w:pPr>
        <w:pStyle w:val="ListParagraph"/>
        <w:numPr>
          <w:ilvl w:val="0"/>
          <w:numId w:val="36"/>
        </w:numPr>
        <w:spacing w:before="0" w:beforeAutospacing="0" w:after="240" w:afterAutospacing="0"/>
        <w:jc w:val="both"/>
        <w:rPr>
          <w:rFonts w:asciiTheme="minorHAnsi" w:hAnsiTheme="minorHAnsi" w:cstheme="minorHAnsi"/>
          <w:color w:val="000000"/>
          <w:sz w:val="22"/>
          <w:szCs w:val="22"/>
        </w:rPr>
      </w:pPr>
      <w:r w:rsidRPr="0087246C">
        <w:rPr>
          <w:rFonts w:asciiTheme="minorHAnsi" w:hAnsiTheme="minorHAnsi" w:cstheme="minorHAnsi"/>
          <w:sz w:val="22"/>
          <w:szCs w:val="22"/>
        </w:rPr>
        <w:t xml:space="preserve">Aucune disposition du contrat individuel n’établit la relation d’employeur et d’employé entre le PNUD et le consultant. Les consultants ne sont pas des membres du personnel. Ils ne peuvent pas occuper des fonctions au sein d’un organisme institutionnel du PNUD, d’un comité ou de l’association/du conseil du personnel du PNUD, et ne peuvent donc pas détenir des droits de vote au sein du PNUD. </w:t>
      </w:r>
    </w:p>
    <w:p w14:paraId="55F6BE93" w14:textId="6D37CB67" w:rsidR="00342695" w:rsidRPr="0087246C" w:rsidRDefault="00342695" w:rsidP="00342695">
      <w:pPr>
        <w:pStyle w:val="ListParagraph"/>
        <w:numPr>
          <w:ilvl w:val="0"/>
          <w:numId w:val="36"/>
        </w:numPr>
        <w:spacing w:before="0" w:beforeAutospacing="0" w:after="240" w:afterAutospacing="0"/>
        <w:jc w:val="both"/>
        <w:rPr>
          <w:rFonts w:asciiTheme="minorHAnsi" w:hAnsiTheme="minorHAnsi" w:cstheme="minorHAnsi"/>
          <w:color w:val="000000"/>
          <w:sz w:val="22"/>
          <w:szCs w:val="22"/>
        </w:rPr>
      </w:pPr>
      <w:r w:rsidRPr="0087246C">
        <w:rPr>
          <w:rFonts w:asciiTheme="minorHAnsi" w:hAnsiTheme="minorHAnsi" w:cstheme="minorHAnsi"/>
          <w:sz w:val="22"/>
          <w:szCs w:val="22"/>
        </w:rPr>
        <w:t xml:space="preserve">Pour obtenir des informations sur les restrictions applicables après la cessation de service, veuillez également consulter </w:t>
      </w:r>
      <w:hyperlink r:id="rId36" w:history="1">
        <w:r w:rsidR="009F6177">
          <w:rPr>
            <w:rFonts w:asciiTheme="minorHAnsi" w:hAnsiTheme="minorHAnsi" w:cstheme="minorHAnsi"/>
            <w:color w:val="0072BC"/>
            <w:sz w:val="22"/>
            <w:szCs w:val="22"/>
            <w:u w:val="single"/>
          </w:rPr>
          <w:t>Circulaire du Secrétaire général sur les Restrictions applicables après la cessation de service</w:t>
        </w:r>
      </w:hyperlink>
      <w:r w:rsidRPr="0087246C">
        <w:rPr>
          <w:rFonts w:asciiTheme="minorHAnsi" w:hAnsiTheme="minorHAnsi" w:cstheme="minorHAnsi"/>
          <w:sz w:val="22"/>
          <w:szCs w:val="22"/>
        </w:rPr>
        <w:t>.</w:t>
      </w:r>
    </w:p>
    <w:p w14:paraId="75F9E36B" w14:textId="77777777" w:rsidR="00342695" w:rsidRPr="0087246C" w:rsidRDefault="00342695" w:rsidP="00342695">
      <w:pPr>
        <w:pStyle w:val="Calibri11"/>
        <w:numPr>
          <w:ilvl w:val="0"/>
          <w:numId w:val="0"/>
        </w:numPr>
        <w:jc w:val="both"/>
        <w:rPr>
          <w:rFonts w:asciiTheme="minorHAnsi" w:hAnsiTheme="minorHAnsi" w:cstheme="minorHAnsi"/>
          <w:szCs w:val="22"/>
        </w:rPr>
      </w:pPr>
      <w:bookmarkStart w:id="68" w:name="_Toc208574106"/>
      <w:r w:rsidRPr="0087246C">
        <w:rPr>
          <w:rFonts w:asciiTheme="minorHAnsi" w:hAnsiTheme="minorHAnsi" w:cstheme="minorHAnsi"/>
          <w:szCs w:val="22"/>
        </w:rPr>
        <w:t>Plan de sécurité</w:t>
      </w:r>
      <w:bookmarkEnd w:id="68"/>
    </w:p>
    <w:p w14:paraId="0E966DCB" w14:textId="77777777" w:rsidR="00342695" w:rsidRPr="0087246C" w:rsidRDefault="00342695" w:rsidP="00342695">
      <w:pPr>
        <w:shd w:val="clear" w:color="auto" w:fill="FFFFFF"/>
        <w:spacing w:after="0" w:line="240" w:lineRule="auto"/>
        <w:ind w:left="360"/>
        <w:jc w:val="both"/>
        <w:textAlignment w:val="top"/>
        <w:rPr>
          <w:rFonts w:eastAsia="Times New Roman" w:cstheme="minorHAnsi"/>
          <w:color w:val="000000"/>
        </w:rPr>
      </w:pPr>
    </w:p>
    <w:p w14:paraId="61775EFF" w14:textId="7E0F3224" w:rsidR="00466286" w:rsidRPr="0087246C" w:rsidRDefault="00466286" w:rsidP="00466286">
      <w:pPr>
        <w:pStyle w:val="ListParagraph"/>
        <w:numPr>
          <w:ilvl w:val="0"/>
          <w:numId w:val="36"/>
        </w:numPr>
        <w:spacing w:before="0" w:beforeAutospacing="0" w:after="240" w:afterAutospacing="0"/>
        <w:jc w:val="both"/>
        <w:rPr>
          <w:rFonts w:asciiTheme="minorHAnsi" w:hAnsiTheme="minorHAnsi" w:cstheme="minorHAnsi"/>
          <w:color w:val="000000"/>
          <w:sz w:val="22"/>
          <w:szCs w:val="22"/>
        </w:rPr>
      </w:pPr>
      <w:bookmarkStart w:id="69" w:name="_Hlk64532298"/>
      <w:r w:rsidRPr="0087246C">
        <w:rPr>
          <w:rFonts w:asciiTheme="minorHAnsi" w:hAnsiTheme="minorHAnsi" w:cstheme="minorHAnsi"/>
          <w:color w:val="000000"/>
          <w:sz w:val="22"/>
          <w:szCs w:val="22"/>
        </w:rPr>
        <w:t xml:space="preserve">Tous les consultants doivent être inclus dans les plans et arrangements de sécurité en vigueur dans tous les lieux d’affectation. Cela ne s’applique pas aux consultants embauchés de façon intermittente/sur appel, qui sont payés à l’heure ou à la journée ou qui travaillent à domicile (c.-à-d. sans avoir à se trouver dans les locaux du PNUD ou dans des lieux désignés par le PNUD). Lorsque des consultants sont de service lors de la survenue d’incidents liés à la sécurité, ils doivent être </w:t>
      </w:r>
      <w:r>
        <w:rPr>
          <w:rFonts w:asciiTheme="minorHAnsi" w:hAnsiTheme="minorHAnsi" w:cstheme="minorHAnsi"/>
          <w:color w:val="000000"/>
          <w:sz w:val="22"/>
          <w:szCs w:val="22"/>
        </w:rPr>
        <w:t>inclus</w:t>
      </w:r>
      <w:r w:rsidRPr="0087246C">
        <w:rPr>
          <w:rFonts w:asciiTheme="minorHAnsi" w:hAnsiTheme="minorHAnsi" w:cstheme="minorHAnsi"/>
          <w:color w:val="000000"/>
          <w:sz w:val="22"/>
          <w:szCs w:val="22"/>
        </w:rPr>
        <w:t xml:space="preserve"> dans </w:t>
      </w:r>
      <w:r>
        <w:rPr>
          <w:rFonts w:asciiTheme="minorHAnsi" w:hAnsiTheme="minorHAnsi" w:cstheme="minorHAnsi"/>
          <w:color w:val="000000"/>
          <w:sz w:val="22"/>
          <w:szCs w:val="22"/>
        </w:rPr>
        <w:t>les dispositifs et arrangements</w:t>
      </w:r>
      <w:r w:rsidRPr="000B41BE">
        <w:rPr>
          <w:rFonts w:asciiTheme="minorHAnsi" w:hAnsiTheme="minorHAnsi" w:cstheme="minorHAnsi"/>
          <w:color w:val="000000"/>
          <w:sz w:val="22"/>
          <w:szCs w:val="22"/>
        </w:rPr>
        <w:t xml:space="preserve"> de sécurité</w:t>
      </w:r>
      <w:r w:rsidRPr="0087246C">
        <w:rPr>
          <w:rFonts w:asciiTheme="minorHAnsi" w:hAnsiTheme="minorHAnsi" w:cstheme="minorHAnsi"/>
          <w:color w:val="000000"/>
          <w:sz w:val="22"/>
          <w:szCs w:val="22"/>
        </w:rPr>
        <w:t xml:space="preserve"> que l’unité administrative du PNUD peut prendre dans le but d’atténuer les risques de sécurité concernant l’ensemble du personnel sous contrat avec l’ONU. </w:t>
      </w:r>
    </w:p>
    <w:bookmarkEnd w:id="69"/>
    <w:p w14:paraId="47E1AC5B" w14:textId="05342AA7" w:rsidR="00466286" w:rsidRPr="00466286" w:rsidRDefault="00466286" w:rsidP="00466286">
      <w:pPr>
        <w:pStyle w:val="ListParagraph"/>
        <w:numPr>
          <w:ilvl w:val="0"/>
          <w:numId w:val="36"/>
        </w:numPr>
        <w:spacing w:before="0" w:beforeAutospacing="0" w:after="240" w:afterAutospacing="0"/>
        <w:jc w:val="both"/>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Lorsqu’un(e) consultant(e) travaille à domicile, les mesures de sécurité physique ne s’appliqueront pas à son domicile, mais il/elle sera pris(e) en compte </w:t>
      </w:r>
      <w:r>
        <w:rPr>
          <w:rFonts w:asciiTheme="minorHAnsi" w:hAnsiTheme="minorHAnsi" w:cstheme="minorHAnsi"/>
          <w:color w:val="000000"/>
          <w:sz w:val="22"/>
          <w:szCs w:val="22"/>
        </w:rPr>
        <w:t>dans</w:t>
      </w:r>
      <w:r w:rsidR="00756F63">
        <w:rPr>
          <w:rFonts w:asciiTheme="minorHAnsi" w:hAnsiTheme="minorHAnsi" w:cstheme="minorHAnsi"/>
          <w:color w:val="000000"/>
          <w:sz w:val="22"/>
          <w:szCs w:val="22"/>
        </w:rPr>
        <w:t xml:space="preserve"> </w:t>
      </w:r>
      <w:r>
        <w:rPr>
          <w:rFonts w:asciiTheme="minorHAnsi" w:hAnsiTheme="minorHAnsi" w:cstheme="minorHAnsi"/>
          <w:color w:val="000000"/>
          <w:sz w:val="22"/>
          <w:szCs w:val="22"/>
        </w:rPr>
        <w:t>le système d’ilotage/arbre de communication du PNUD et/ou dans</w:t>
      </w:r>
      <w:r w:rsidRPr="0087246C">
        <w:rPr>
          <w:rFonts w:asciiTheme="minorHAnsi" w:hAnsiTheme="minorHAnsi" w:cstheme="minorHAnsi"/>
          <w:color w:val="000000"/>
          <w:sz w:val="22"/>
          <w:szCs w:val="22"/>
        </w:rPr>
        <w:t xml:space="preserve"> la diffusion</w:t>
      </w:r>
      <w:r>
        <w:rPr>
          <w:rFonts w:asciiTheme="minorHAnsi" w:hAnsiTheme="minorHAnsi" w:cstheme="minorHAnsi"/>
          <w:color w:val="000000"/>
          <w:sz w:val="22"/>
          <w:szCs w:val="22"/>
        </w:rPr>
        <w:t xml:space="preserve"> et le partage</w:t>
      </w:r>
      <w:r w:rsidRPr="0087246C">
        <w:rPr>
          <w:rFonts w:asciiTheme="minorHAnsi" w:hAnsiTheme="minorHAnsi" w:cstheme="minorHAnsi"/>
          <w:color w:val="000000"/>
          <w:sz w:val="22"/>
          <w:szCs w:val="22"/>
        </w:rPr>
        <w:t xml:space="preserve"> d’informations sur la sécurité, les</w:t>
      </w:r>
      <w:r>
        <w:rPr>
          <w:rFonts w:asciiTheme="minorHAnsi" w:hAnsiTheme="minorHAnsi" w:cstheme="minorHAnsi"/>
          <w:color w:val="000000"/>
          <w:sz w:val="22"/>
          <w:szCs w:val="22"/>
        </w:rPr>
        <w:t xml:space="preserve"> séances d’informations (</w:t>
      </w:r>
      <w:r w:rsidRPr="0087246C">
        <w:rPr>
          <w:rFonts w:asciiTheme="minorHAnsi" w:hAnsiTheme="minorHAnsi" w:cstheme="minorHAnsi"/>
          <w:color w:val="000000"/>
          <w:sz w:val="22"/>
          <w:szCs w:val="22"/>
        </w:rPr>
        <w:t>briefings</w:t>
      </w:r>
      <w:r>
        <w:rPr>
          <w:rFonts w:asciiTheme="minorHAnsi" w:hAnsiTheme="minorHAnsi" w:cstheme="minorHAnsi"/>
          <w:color w:val="000000"/>
          <w:sz w:val="22"/>
          <w:szCs w:val="22"/>
        </w:rPr>
        <w:t>)</w:t>
      </w:r>
      <w:r w:rsidRPr="0087246C">
        <w:rPr>
          <w:rFonts w:asciiTheme="minorHAnsi" w:hAnsiTheme="minorHAnsi" w:cstheme="minorHAnsi"/>
          <w:color w:val="000000"/>
          <w:sz w:val="22"/>
          <w:szCs w:val="22"/>
        </w:rPr>
        <w:t>, les formations, les communications, etc.</w:t>
      </w:r>
    </w:p>
    <w:p w14:paraId="361A1922" w14:textId="68417A31" w:rsidR="00BB45AB" w:rsidRPr="00BB45AB" w:rsidRDefault="00342695" w:rsidP="00BB45AB">
      <w:pPr>
        <w:pStyle w:val="ListParagraph"/>
        <w:numPr>
          <w:ilvl w:val="0"/>
          <w:numId w:val="36"/>
        </w:numPr>
        <w:spacing w:before="0" w:beforeAutospacing="0" w:after="240" w:afterAutospacing="0"/>
        <w:jc w:val="both"/>
        <w:rPr>
          <w:rFonts w:asciiTheme="minorHAnsi" w:hAnsiTheme="minorHAnsi" w:cstheme="minorHAnsi"/>
          <w:color w:val="000000"/>
          <w:sz w:val="22"/>
          <w:szCs w:val="22"/>
        </w:rPr>
      </w:pPr>
      <w:r w:rsidRPr="00BB45AB">
        <w:rPr>
          <w:rFonts w:asciiTheme="minorHAnsi" w:hAnsiTheme="minorHAnsi" w:cstheme="minorHAnsi"/>
          <w:color w:val="000000"/>
          <w:sz w:val="22"/>
          <w:szCs w:val="22"/>
        </w:rPr>
        <w:t xml:space="preserve">Toute </w:t>
      </w:r>
      <w:r w:rsidR="00BB45AB" w:rsidRPr="0087246C">
        <w:rPr>
          <w:rFonts w:asciiTheme="minorHAnsi" w:hAnsiTheme="minorHAnsi" w:cstheme="minorHAnsi"/>
          <w:color w:val="000000"/>
          <w:sz w:val="22"/>
          <w:szCs w:val="22"/>
        </w:rPr>
        <w:t xml:space="preserve">décision d’évacuer des consultants pour des raisons politiques ou de sécurité revient au PNUD. </w:t>
      </w:r>
      <w:r w:rsidR="00BB45AB" w:rsidRPr="00A05D24">
        <w:rPr>
          <w:rFonts w:asciiTheme="minorHAnsi" w:hAnsiTheme="minorHAnsi" w:cstheme="minorHAnsi"/>
          <w:color w:val="000000"/>
          <w:sz w:val="22"/>
          <w:szCs w:val="22"/>
        </w:rPr>
        <w:t xml:space="preserve">Ces mesures visant à éviter les risques sont décidées par </w:t>
      </w:r>
      <w:r w:rsidR="00BB45AB">
        <w:rPr>
          <w:rFonts w:asciiTheme="minorHAnsi" w:hAnsiTheme="minorHAnsi" w:cstheme="minorHAnsi"/>
          <w:color w:val="000000"/>
          <w:sz w:val="22"/>
          <w:szCs w:val="22"/>
        </w:rPr>
        <w:t xml:space="preserve">l’Agent Habilité/ </w:t>
      </w:r>
      <w:r w:rsidR="00BB45AB" w:rsidRPr="00A05D24">
        <w:rPr>
          <w:rFonts w:asciiTheme="minorHAnsi" w:hAnsiTheme="minorHAnsi" w:cstheme="minorHAnsi"/>
          <w:color w:val="000000"/>
          <w:sz w:val="22"/>
          <w:szCs w:val="22"/>
        </w:rPr>
        <w:t xml:space="preserve">le </w:t>
      </w:r>
      <w:r w:rsidR="00BB45AB">
        <w:rPr>
          <w:rFonts w:asciiTheme="minorHAnsi" w:hAnsiTheme="minorHAnsi" w:cstheme="minorHAnsi"/>
          <w:color w:val="000000"/>
          <w:sz w:val="22"/>
          <w:szCs w:val="22"/>
        </w:rPr>
        <w:t xml:space="preserve">Responsable </w:t>
      </w:r>
      <w:r w:rsidR="00BB45AB" w:rsidRPr="00A05D24">
        <w:rPr>
          <w:rFonts w:asciiTheme="minorHAnsi" w:hAnsiTheme="minorHAnsi" w:cstheme="minorHAnsi"/>
          <w:color w:val="000000"/>
          <w:sz w:val="22"/>
          <w:szCs w:val="22"/>
        </w:rPr>
        <w:t xml:space="preserve"> désigné (en</w:t>
      </w:r>
      <w:r w:rsidR="00BB45AB">
        <w:rPr>
          <w:rFonts w:asciiTheme="minorHAnsi" w:hAnsiTheme="minorHAnsi" w:cstheme="minorHAnsi"/>
          <w:color w:val="000000"/>
          <w:sz w:val="22"/>
          <w:szCs w:val="22"/>
        </w:rPr>
        <w:t xml:space="preserve"> consultation avec l'</w:t>
      </w:r>
      <w:r w:rsidR="00BB45AB">
        <w:rPr>
          <w:rFonts w:ascii="Calibri" w:hAnsi="Calibri" w:cstheme="minorHAnsi"/>
          <w:color w:val="000000"/>
          <w:sz w:val="22"/>
          <w:szCs w:val="22"/>
        </w:rPr>
        <w:t>É</w:t>
      </w:r>
      <w:r w:rsidR="00BB45AB">
        <w:rPr>
          <w:rFonts w:asciiTheme="minorHAnsi" w:hAnsiTheme="minorHAnsi" w:cstheme="minorHAnsi"/>
          <w:color w:val="000000"/>
          <w:sz w:val="22"/>
          <w:szCs w:val="22"/>
        </w:rPr>
        <w:t>quipe de Gestion de la S</w:t>
      </w:r>
      <w:r w:rsidR="00BB45AB" w:rsidRPr="00A05D24">
        <w:rPr>
          <w:rFonts w:asciiTheme="minorHAnsi" w:hAnsiTheme="minorHAnsi" w:cstheme="minorHAnsi"/>
          <w:color w:val="000000"/>
          <w:sz w:val="22"/>
          <w:szCs w:val="22"/>
        </w:rPr>
        <w:t xml:space="preserve">écurité) </w:t>
      </w:r>
      <w:r w:rsidR="00BB45AB">
        <w:rPr>
          <w:rFonts w:asciiTheme="minorHAnsi" w:hAnsiTheme="minorHAnsi" w:cstheme="minorHAnsi"/>
          <w:color w:val="000000"/>
          <w:sz w:val="22"/>
          <w:szCs w:val="22"/>
        </w:rPr>
        <w:t xml:space="preserve"> et </w:t>
      </w:r>
      <w:r w:rsidR="00BB45AB" w:rsidRPr="0087246C">
        <w:rPr>
          <w:rFonts w:asciiTheme="minorHAnsi" w:hAnsiTheme="minorHAnsi" w:cstheme="minorHAnsi"/>
          <w:color w:val="000000"/>
          <w:sz w:val="22"/>
          <w:szCs w:val="22"/>
        </w:rPr>
        <w:t xml:space="preserve">doivent s'appliquer aux consultants, mais ils doivent être informés qu’aucune personne à charge les accompagnant au lieu d’affectation n’est prise en compte dans ces procédures. </w:t>
      </w:r>
    </w:p>
    <w:p w14:paraId="1C998D61" w14:textId="77777777" w:rsidR="00342695" w:rsidRPr="0087246C" w:rsidRDefault="00342695" w:rsidP="00466286">
      <w:pPr>
        <w:pStyle w:val="ListParagraph"/>
        <w:numPr>
          <w:ilvl w:val="0"/>
          <w:numId w:val="36"/>
        </w:numPr>
        <w:spacing w:before="0" w:beforeAutospacing="0" w:after="240" w:afterAutospacing="0"/>
        <w:jc w:val="both"/>
        <w:rPr>
          <w:rFonts w:asciiTheme="minorHAnsi" w:hAnsiTheme="minorHAnsi" w:cstheme="minorHAnsi"/>
          <w:color w:val="000000"/>
          <w:sz w:val="22"/>
          <w:szCs w:val="22"/>
        </w:rPr>
      </w:pPr>
      <w:r w:rsidRPr="0087246C">
        <w:rPr>
          <w:rFonts w:asciiTheme="minorHAnsi" w:hAnsiTheme="minorHAnsi" w:cstheme="minorHAnsi"/>
          <w:color w:val="000000"/>
          <w:sz w:val="22"/>
          <w:szCs w:val="22"/>
        </w:rPr>
        <w:lastRenderedPageBreak/>
        <w:t>Il faut établir une distinction entre l’évacuation pour des raisons politiques ou de sécurité et l’évacuation sanitaire, dont le coût est à la charge du consultant ou de sa compagnie d’assurance.</w:t>
      </w:r>
    </w:p>
    <w:p w14:paraId="49D18CCB" w14:textId="77777777" w:rsidR="00342695" w:rsidRPr="0087246C" w:rsidRDefault="00342695" w:rsidP="00466286">
      <w:pPr>
        <w:pStyle w:val="ListParagraph"/>
        <w:numPr>
          <w:ilvl w:val="0"/>
          <w:numId w:val="36"/>
        </w:numPr>
        <w:spacing w:before="0" w:beforeAutospacing="0" w:after="240" w:afterAutospacing="0"/>
        <w:jc w:val="both"/>
        <w:rPr>
          <w:rFonts w:asciiTheme="minorHAnsi" w:hAnsiTheme="minorHAnsi" w:cstheme="minorHAnsi"/>
          <w:color w:val="000000"/>
          <w:sz w:val="22"/>
          <w:szCs w:val="22"/>
        </w:rPr>
      </w:pPr>
      <w:r w:rsidRPr="0087246C">
        <w:rPr>
          <w:rFonts w:asciiTheme="minorHAnsi" w:hAnsiTheme="minorHAnsi" w:cstheme="minorHAnsi"/>
          <w:color w:val="000000"/>
          <w:sz w:val="22"/>
          <w:szCs w:val="22"/>
        </w:rPr>
        <w:t>Si le consultant a besoin que ses services de sécurité personnelle réduisent au minimum les risques de sécurité, ou si cela s’avère nécessaire dans un lieu d’affectation donné, ces frais sont entièrement à sa charge.</w:t>
      </w:r>
    </w:p>
    <w:p w14:paraId="07131753" w14:textId="24593D5D" w:rsidR="00342695" w:rsidRPr="0087246C" w:rsidRDefault="00342695" w:rsidP="00342695">
      <w:pPr>
        <w:pStyle w:val="Calibri11"/>
        <w:numPr>
          <w:ilvl w:val="0"/>
          <w:numId w:val="0"/>
        </w:numPr>
        <w:jc w:val="both"/>
        <w:rPr>
          <w:rFonts w:asciiTheme="minorHAnsi" w:hAnsiTheme="minorHAnsi" w:cstheme="minorHAnsi"/>
          <w:szCs w:val="22"/>
        </w:rPr>
      </w:pPr>
      <w:bookmarkStart w:id="70" w:name="_Toc208574107"/>
      <w:r w:rsidRPr="0087246C">
        <w:rPr>
          <w:rFonts w:asciiTheme="minorHAnsi" w:hAnsiTheme="minorHAnsi" w:cstheme="minorHAnsi"/>
          <w:szCs w:val="22"/>
        </w:rPr>
        <w:t>Droits et obligations des consultants</w:t>
      </w:r>
      <w:bookmarkEnd w:id="70"/>
    </w:p>
    <w:p w14:paraId="02727AE3" w14:textId="77777777" w:rsidR="00342695" w:rsidRPr="0087246C" w:rsidRDefault="00342695" w:rsidP="00342695">
      <w:pPr>
        <w:shd w:val="clear" w:color="auto" w:fill="FFFFFF"/>
        <w:spacing w:after="0" w:line="240" w:lineRule="auto"/>
        <w:ind w:left="360"/>
        <w:jc w:val="both"/>
        <w:textAlignment w:val="top"/>
        <w:rPr>
          <w:rFonts w:eastAsia="Times New Roman" w:cstheme="minorHAnsi"/>
        </w:rPr>
      </w:pPr>
    </w:p>
    <w:p w14:paraId="7CE0FE9F" w14:textId="77777777" w:rsidR="00342695" w:rsidRPr="0087246C" w:rsidRDefault="00342695" w:rsidP="00466286">
      <w:pPr>
        <w:pStyle w:val="ListParagraph"/>
        <w:numPr>
          <w:ilvl w:val="0"/>
          <w:numId w:val="36"/>
        </w:numPr>
        <w:spacing w:before="0" w:beforeAutospacing="0" w:after="240" w:afterAutospacing="0"/>
        <w:jc w:val="both"/>
        <w:rPr>
          <w:rFonts w:asciiTheme="minorHAnsi" w:hAnsiTheme="minorHAnsi" w:cstheme="minorHAnsi"/>
          <w:color w:val="333333"/>
          <w:sz w:val="22"/>
          <w:szCs w:val="22"/>
        </w:rPr>
      </w:pPr>
      <w:r w:rsidRPr="0087246C">
        <w:rPr>
          <w:rFonts w:asciiTheme="minorHAnsi" w:hAnsiTheme="minorHAnsi" w:cstheme="minorHAnsi"/>
          <w:sz w:val="22"/>
          <w:szCs w:val="22"/>
        </w:rPr>
        <w:t xml:space="preserve">Les droits et obligations du consultant sont limités strictement aux modalités et conditions de son contrat individuel. Plus particulièrement : </w:t>
      </w:r>
    </w:p>
    <w:p w14:paraId="5E9527C0" w14:textId="77777777" w:rsidR="00342695" w:rsidRPr="0087246C" w:rsidRDefault="00342695" w:rsidP="00C927BA">
      <w:pPr>
        <w:pStyle w:val="ListParagraph"/>
        <w:numPr>
          <w:ilvl w:val="0"/>
          <w:numId w:val="28"/>
        </w:numPr>
        <w:shd w:val="clear" w:color="auto" w:fill="FFFFFF"/>
        <w:spacing w:after="0"/>
        <w:ind w:left="1080"/>
        <w:contextualSpacing/>
        <w:jc w:val="both"/>
        <w:textAlignment w:val="top"/>
        <w:rPr>
          <w:rFonts w:asciiTheme="minorHAnsi" w:hAnsiTheme="minorHAnsi" w:cstheme="minorHAnsi"/>
          <w:color w:val="333333"/>
          <w:sz w:val="22"/>
          <w:szCs w:val="22"/>
        </w:rPr>
      </w:pPr>
      <w:r w:rsidRPr="0087246C">
        <w:rPr>
          <w:rFonts w:asciiTheme="minorHAnsi" w:hAnsiTheme="minorHAnsi" w:cstheme="minorHAnsi"/>
          <w:sz w:val="22"/>
          <w:szCs w:val="22"/>
        </w:rPr>
        <w:t>Les consultants sont engagés sur la base de leurs compétences et de leur expertise, afin de produire des produits livrables définis. Dans des circonstances bien particulières, les consultants peuvent fournir des services de conseil/d’appui relevant de leurs domaines d’expertise particuliers, dans le cadre d’une participation à des comités mandataires en tant que membres non-votants.</w:t>
      </w:r>
    </w:p>
    <w:p w14:paraId="1B22E99D" w14:textId="77777777" w:rsidR="00342695" w:rsidRPr="0087246C" w:rsidRDefault="00342695" w:rsidP="00C927BA">
      <w:pPr>
        <w:pStyle w:val="ListParagraph"/>
        <w:numPr>
          <w:ilvl w:val="0"/>
          <w:numId w:val="28"/>
        </w:numPr>
        <w:shd w:val="clear" w:color="auto" w:fill="FFFFFF"/>
        <w:spacing w:after="0"/>
        <w:ind w:left="1080"/>
        <w:contextualSpacing/>
        <w:jc w:val="both"/>
        <w:textAlignment w:val="top"/>
        <w:rPr>
          <w:rFonts w:asciiTheme="minorHAnsi" w:hAnsiTheme="minorHAnsi" w:cstheme="minorHAnsi"/>
          <w:color w:val="333333"/>
          <w:sz w:val="22"/>
          <w:szCs w:val="22"/>
        </w:rPr>
      </w:pPr>
      <w:r w:rsidRPr="0087246C">
        <w:rPr>
          <w:rFonts w:asciiTheme="minorHAnsi" w:hAnsiTheme="minorHAnsi" w:cstheme="minorHAnsi"/>
          <w:sz w:val="22"/>
          <w:szCs w:val="22"/>
        </w:rPr>
        <w:t xml:space="preserve">Les services doivent être exécutés dans les délais indiqués dans le contrat. La prestation de services ne confère aucun pouvoir ni aucun droit juridique de lier le PNUD par un accord, ni ne crée de droits supplémentaires pour le consultant ni d’obligations supplémentaires pour le PNUD. </w:t>
      </w:r>
    </w:p>
    <w:p w14:paraId="2568DEFD" w14:textId="77777777" w:rsidR="00342695" w:rsidRPr="0087246C" w:rsidRDefault="00342695" w:rsidP="00C927BA">
      <w:pPr>
        <w:pStyle w:val="ListParagraph"/>
        <w:numPr>
          <w:ilvl w:val="0"/>
          <w:numId w:val="28"/>
        </w:numPr>
        <w:shd w:val="clear" w:color="auto" w:fill="FFFFFF"/>
        <w:spacing w:after="0"/>
        <w:ind w:left="1080"/>
        <w:contextualSpacing/>
        <w:jc w:val="both"/>
        <w:textAlignment w:val="top"/>
        <w:rPr>
          <w:rFonts w:asciiTheme="minorHAnsi" w:hAnsiTheme="minorHAnsi" w:cstheme="minorHAnsi"/>
          <w:color w:val="333333"/>
          <w:sz w:val="22"/>
          <w:szCs w:val="22"/>
        </w:rPr>
      </w:pPr>
      <w:r w:rsidRPr="0087246C">
        <w:rPr>
          <w:rFonts w:asciiTheme="minorHAnsi" w:hAnsiTheme="minorHAnsi" w:cstheme="minorHAnsi"/>
          <w:sz w:val="22"/>
          <w:szCs w:val="22"/>
        </w:rPr>
        <w:t xml:space="preserve">Les consultants sont responsables du paiement, dans leur pays d’origine, des impôts dus au titre de leurs rémunérations perçues du PNUD. Dans le cas où ils sont affectés à une mission en dehors de leur pays d’origine et bénéficient du statut de personnes exécutant des services pour le compte du PNUD </w:t>
      </w:r>
      <w:hyperlink r:id="rId37" w:tgtFrame="_blank" w:history="1">
        <w:r w:rsidRPr="0087246C">
          <w:rPr>
            <w:rFonts w:asciiTheme="minorHAnsi" w:hAnsiTheme="minorHAnsi" w:cstheme="minorHAnsi"/>
            <w:sz w:val="22"/>
            <w:szCs w:val="22"/>
          </w:rPr>
          <w:t>en conformité avec l’</w:t>
        </w:r>
      </w:hyperlink>
      <w:r w:rsidRPr="0087246C">
        <w:rPr>
          <w:rFonts w:asciiTheme="minorHAnsi" w:hAnsiTheme="minorHAnsi" w:cstheme="minorHAnsi"/>
          <w:sz w:val="22"/>
          <w:szCs w:val="22"/>
        </w:rPr>
        <w:t xml:space="preserve"> Accord d’assistance de base standard ou tout autre traité applicable, leurs rémunérations perçues du PNUD dans le pays d’affectation seront exonérées d’impôt. </w:t>
      </w:r>
    </w:p>
    <w:p w14:paraId="433F572B" w14:textId="77777777" w:rsidR="00342695" w:rsidRPr="0087246C" w:rsidRDefault="00342695" w:rsidP="00C927BA">
      <w:pPr>
        <w:pStyle w:val="ListParagraph"/>
        <w:numPr>
          <w:ilvl w:val="0"/>
          <w:numId w:val="28"/>
        </w:numPr>
        <w:shd w:val="clear" w:color="auto" w:fill="FFFFFF"/>
        <w:ind w:left="1080"/>
        <w:contextualSpacing/>
        <w:jc w:val="both"/>
        <w:textAlignment w:val="top"/>
        <w:rPr>
          <w:rFonts w:asciiTheme="minorHAnsi" w:hAnsiTheme="minorHAnsi" w:cstheme="minorHAnsi"/>
          <w:color w:val="333333"/>
          <w:sz w:val="22"/>
          <w:szCs w:val="22"/>
        </w:rPr>
      </w:pPr>
      <w:r w:rsidRPr="0087246C">
        <w:rPr>
          <w:rFonts w:asciiTheme="minorHAnsi" w:hAnsiTheme="minorHAnsi" w:cstheme="minorHAnsi"/>
          <w:sz w:val="22"/>
          <w:szCs w:val="22"/>
        </w:rPr>
        <w:t xml:space="preserve">Les consultants n’ont droit à aucun avantage, aucune indemnisation ou subvention qui ne seraient prévus explicitement par le contrat. Ils n’ont droit à aucune des indemnités prévues pour le personnel du PNUD, telles que les congés annuels, les congés maladie ou les congés maternité. </w:t>
      </w:r>
    </w:p>
    <w:p w14:paraId="6FFFDC7E" w14:textId="77777777" w:rsidR="00342695" w:rsidRPr="0087246C" w:rsidRDefault="00342695" w:rsidP="00C927BA">
      <w:pPr>
        <w:pStyle w:val="ListParagraph"/>
        <w:numPr>
          <w:ilvl w:val="0"/>
          <w:numId w:val="28"/>
        </w:numPr>
        <w:shd w:val="clear" w:color="auto" w:fill="FFFFFF"/>
        <w:ind w:left="1080"/>
        <w:contextualSpacing/>
        <w:jc w:val="both"/>
        <w:textAlignment w:val="top"/>
        <w:rPr>
          <w:rFonts w:asciiTheme="minorHAnsi" w:hAnsiTheme="minorHAnsi" w:cstheme="minorHAnsi"/>
          <w:color w:val="333333"/>
          <w:sz w:val="22"/>
          <w:szCs w:val="22"/>
        </w:rPr>
      </w:pPr>
      <w:r w:rsidRPr="0087246C">
        <w:rPr>
          <w:rFonts w:asciiTheme="minorHAnsi" w:hAnsiTheme="minorHAnsi" w:cstheme="minorHAnsi"/>
          <w:sz w:val="22"/>
          <w:szCs w:val="22"/>
        </w:rPr>
        <w:t xml:space="preserve">Les consultants n’ont droit à aucun remboursement de taxes. </w:t>
      </w:r>
    </w:p>
    <w:p w14:paraId="45BABFBD" w14:textId="5222A61F" w:rsidR="00342695" w:rsidRPr="0087246C" w:rsidRDefault="00342695" w:rsidP="00C927BA">
      <w:pPr>
        <w:pStyle w:val="ListParagraph"/>
        <w:numPr>
          <w:ilvl w:val="0"/>
          <w:numId w:val="28"/>
        </w:numPr>
        <w:shd w:val="clear" w:color="auto" w:fill="FFFFFF"/>
        <w:ind w:left="1080"/>
        <w:contextualSpacing/>
        <w:jc w:val="both"/>
        <w:textAlignment w:val="top"/>
        <w:rPr>
          <w:rFonts w:asciiTheme="minorHAnsi" w:hAnsiTheme="minorHAnsi" w:cstheme="minorHAnsi"/>
          <w:color w:val="333333"/>
          <w:sz w:val="22"/>
          <w:szCs w:val="22"/>
        </w:rPr>
      </w:pPr>
      <w:r w:rsidRPr="0087246C">
        <w:rPr>
          <w:rFonts w:asciiTheme="minorHAnsi" w:hAnsiTheme="minorHAnsi" w:cstheme="minorHAnsi"/>
          <w:sz w:val="22"/>
          <w:szCs w:val="22"/>
        </w:rPr>
        <w:t xml:space="preserve">Les consultants ne doivent en aucun cas être investis de fonctions de représentation, de supervision, d’approbation ou de signature impliquant des obligations légales et/ou financières quelconques du PNUD (par exemple, autorité d’approbation dans </w:t>
      </w:r>
      <w:r w:rsidR="006A1A29">
        <w:rPr>
          <w:rFonts w:asciiTheme="minorHAnsi" w:hAnsiTheme="minorHAnsi" w:cstheme="minorHAnsi"/>
          <w:sz w:val="22"/>
          <w:szCs w:val="22"/>
        </w:rPr>
        <w:t>Quantum</w:t>
      </w:r>
      <w:r w:rsidRPr="0087246C">
        <w:rPr>
          <w:rFonts w:asciiTheme="minorHAnsi" w:hAnsiTheme="minorHAnsi" w:cstheme="minorHAnsi"/>
          <w:sz w:val="22"/>
          <w:szCs w:val="22"/>
        </w:rPr>
        <w:t xml:space="preserve">, signature de contrats, etc.) </w:t>
      </w:r>
    </w:p>
    <w:p w14:paraId="285A9A24" w14:textId="77777777" w:rsidR="00342695" w:rsidRPr="0087246C" w:rsidRDefault="00342695" w:rsidP="00C927BA">
      <w:pPr>
        <w:pStyle w:val="ListParagraph"/>
        <w:numPr>
          <w:ilvl w:val="0"/>
          <w:numId w:val="28"/>
        </w:numPr>
        <w:shd w:val="clear" w:color="auto" w:fill="FFFFFF"/>
        <w:ind w:left="1080"/>
        <w:contextualSpacing/>
        <w:jc w:val="both"/>
        <w:textAlignment w:val="top"/>
        <w:rPr>
          <w:rFonts w:asciiTheme="minorHAnsi" w:hAnsiTheme="minorHAnsi" w:cstheme="minorHAnsi"/>
          <w:color w:val="333333"/>
          <w:sz w:val="22"/>
          <w:szCs w:val="22"/>
        </w:rPr>
      </w:pPr>
      <w:r w:rsidRPr="0087246C">
        <w:rPr>
          <w:rFonts w:asciiTheme="minorHAnsi" w:hAnsiTheme="minorHAnsi" w:cstheme="minorHAnsi"/>
          <w:sz w:val="22"/>
          <w:szCs w:val="22"/>
        </w:rPr>
        <w:t xml:space="preserve">La délivrance de cartes de visite du PNUD aux consultants est fortement déconseillée. Lorsque la nature du travail nécessite l’utilisation de cartes de visite, les conditions suivantes doivent être remplies : </w:t>
      </w:r>
    </w:p>
    <w:p w14:paraId="36D820CF" w14:textId="77777777" w:rsidR="00342695" w:rsidRPr="0087246C" w:rsidRDefault="00342695" w:rsidP="00C927BA">
      <w:pPr>
        <w:pStyle w:val="ListParagraph"/>
        <w:numPr>
          <w:ilvl w:val="0"/>
          <w:numId w:val="29"/>
        </w:numPr>
        <w:shd w:val="clear" w:color="auto" w:fill="FFFFFF"/>
        <w:spacing w:after="0"/>
        <w:ind w:left="1800"/>
        <w:contextualSpacing/>
        <w:jc w:val="both"/>
        <w:textAlignment w:val="top"/>
        <w:rPr>
          <w:rFonts w:asciiTheme="minorHAnsi" w:hAnsiTheme="minorHAnsi" w:cstheme="minorHAnsi"/>
          <w:color w:val="333333"/>
          <w:sz w:val="22"/>
          <w:szCs w:val="22"/>
        </w:rPr>
      </w:pPr>
      <w:r w:rsidRPr="0087246C">
        <w:rPr>
          <w:rFonts w:asciiTheme="minorHAnsi" w:hAnsiTheme="minorHAnsi" w:cstheme="minorHAnsi"/>
          <w:sz w:val="22"/>
          <w:szCs w:val="22"/>
        </w:rPr>
        <w:t>Une justification a été établie par écrit et dûment approuvée par le Chef de l’unité administrative ;</w:t>
      </w:r>
    </w:p>
    <w:p w14:paraId="1C6F74DA" w14:textId="77777777" w:rsidR="00342695" w:rsidRPr="0087246C" w:rsidRDefault="00342695" w:rsidP="00C927BA">
      <w:pPr>
        <w:pStyle w:val="ListParagraph"/>
        <w:numPr>
          <w:ilvl w:val="0"/>
          <w:numId w:val="29"/>
        </w:numPr>
        <w:shd w:val="clear" w:color="auto" w:fill="FFFFFF"/>
        <w:spacing w:after="0"/>
        <w:ind w:left="1800"/>
        <w:contextualSpacing/>
        <w:jc w:val="both"/>
        <w:textAlignment w:val="top"/>
        <w:rPr>
          <w:rFonts w:asciiTheme="minorHAnsi" w:hAnsiTheme="minorHAnsi" w:cstheme="minorHAnsi"/>
          <w:color w:val="333333"/>
          <w:sz w:val="22"/>
          <w:szCs w:val="22"/>
        </w:rPr>
      </w:pPr>
      <w:r w:rsidRPr="0087246C">
        <w:rPr>
          <w:rFonts w:asciiTheme="minorHAnsi" w:hAnsiTheme="minorHAnsi" w:cstheme="minorHAnsi"/>
          <w:sz w:val="22"/>
          <w:szCs w:val="22"/>
        </w:rPr>
        <w:t xml:space="preserve">La carte de visite peut mentionner le titre d’un projet du PNUD dans le cadre duquel le prestataire fournit des produits, mais elle ne doit </w:t>
      </w:r>
      <w:r w:rsidRPr="0087246C">
        <w:rPr>
          <w:rFonts w:asciiTheme="minorHAnsi" w:hAnsiTheme="minorHAnsi" w:cstheme="minorHAnsi"/>
          <w:sz w:val="22"/>
          <w:szCs w:val="22"/>
          <w:u w:val="single"/>
        </w:rPr>
        <w:t>pas</w:t>
      </w:r>
      <w:r w:rsidRPr="0087246C">
        <w:rPr>
          <w:rFonts w:asciiTheme="minorHAnsi" w:hAnsiTheme="minorHAnsi" w:cstheme="minorHAnsi"/>
          <w:sz w:val="22"/>
          <w:szCs w:val="22"/>
        </w:rPr>
        <w:t xml:space="preserve"> porter le logo des Nations Unies ou du PNUD ; et</w:t>
      </w:r>
    </w:p>
    <w:p w14:paraId="7AE285E4" w14:textId="77777777" w:rsidR="00342695" w:rsidRPr="0087246C" w:rsidRDefault="00342695" w:rsidP="00C927BA">
      <w:pPr>
        <w:pStyle w:val="ListParagraph"/>
        <w:numPr>
          <w:ilvl w:val="0"/>
          <w:numId w:val="29"/>
        </w:numPr>
        <w:shd w:val="clear" w:color="auto" w:fill="FFFFFF"/>
        <w:spacing w:after="0"/>
        <w:ind w:left="1800"/>
        <w:contextualSpacing/>
        <w:jc w:val="both"/>
        <w:textAlignment w:val="top"/>
        <w:rPr>
          <w:rFonts w:asciiTheme="minorHAnsi" w:hAnsiTheme="minorHAnsi" w:cstheme="minorHAnsi"/>
          <w:color w:val="333333"/>
          <w:sz w:val="22"/>
          <w:szCs w:val="22"/>
        </w:rPr>
      </w:pPr>
      <w:r w:rsidRPr="0087246C">
        <w:rPr>
          <w:rFonts w:asciiTheme="minorHAnsi" w:hAnsiTheme="minorHAnsi" w:cstheme="minorHAnsi"/>
          <w:sz w:val="22"/>
          <w:szCs w:val="22"/>
        </w:rPr>
        <w:t xml:space="preserve">Le titre du consultant ne doit pas ressembler à l’appellation d’une fonction du personnel du PNUD et doit indiquer la nature temporaire de l’affectation (par exemple, consultant, etc.). </w:t>
      </w:r>
    </w:p>
    <w:p w14:paraId="5F376C98" w14:textId="77777777" w:rsidR="00342695" w:rsidRPr="0087246C" w:rsidRDefault="00342695" w:rsidP="00C927BA">
      <w:pPr>
        <w:pStyle w:val="ListParagraph"/>
        <w:numPr>
          <w:ilvl w:val="0"/>
          <w:numId w:val="28"/>
        </w:numPr>
        <w:shd w:val="clear" w:color="auto" w:fill="FFFFFF"/>
        <w:ind w:left="1080"/>
        <w:contextualSpacing/>
        <w:jc w:val="both"/>
        <w:textAlignment w:val="top"/>
        <w:rPr>
          <w:rFonts w:asciiTheme="minorHAnsi" w:hAnsiTheme="minorHAnsi" w:cstheme="minorHAnsi"/>
          <w:sz w:val="22"/>
          <w:szCs w:val="22"/>
        </w:rPr>
      </w:pPr>
      <w:r w:rsidRPr="0087246C">
        <w:rPr>
          <w:rFonts w:asciiTheme="minorHAnsi" w:hAnsiTheme="minorHAnsi" w:cstheme="minorHAnsi"/>
          <w:sz w:val="22"/>
          <w:szCs w:val="22"/>
        </w:rPr>
        <w:lastRenderedPageBreak/>
        <w:t xml:space="preserve">Lorsque la mission ou le type de services à fournir l’exigent, les consultants peuvent se voir attribuer une adresse électronique du PNUD. Le superviseur compétent du personnel du PNUD peut également solliciter l’accès à l’Intranet du PNUD, selon les besoins. L’unité administrative a la responsabilité de suivre et de veiller à ce que les comptes de messagerie créés à cet effet soient désactivés à la fin du contrat. </w:t>
      </w:r>
    </w:p>
    <w:p w14:paraId="6C4DEB4B" w14:textId="77777777" w:rsidR="00342695" w:rsidRPr="0087246C" w:rsidRDefault="00342695" w:rsidP="00C927BA">
      <w:pPr>
        <w:pStyle w:val="ListParagraph"/>
        <w:numPr>
          <w:ilvl w:val="0"/>
          <w:numId w:val="28"/>
        </w:numPr>
        <w:shd w:val="clear" w:color="auto" w:fill="FFFFFF"/>
        <w:ind w:left="1080"/>
        <w:contextualSpacing/>
        <w:jc w:val="both"/>
        <w:textAlignment w:val="top"/>
        <w:rPr>
          <w:rFonts w:asciiTheme="minorHAnsi" w:hAnsiTheme="minorHAnsi" w:cstheme="minorHAnsi"/>
          <w:sz w:val="22"/>
          <w:szCs w:val="22"/>
        </w:rPr>
      </w:pPr>
      <w:r w:rsidRPr="0087246C">
        <w:rPr>
          <w:rFonts w:asciiTheme="minorHAnsi" w:hAnsiTheme="minorHAnsi" w:cstheme="minorHAnsi"/>
          <w:sz w:val="22"/>
          <w:szCs w:val="22"/>
        </w:rPr>
        <w:t xml:space="preserve">Les consultants ne participent pas à la Caisse commune des pensions du personnel des Nations Unies et ne seront donc pas admissibles aux avantages qui y sont liés pendant la période de service en vertu d’un contrat individuel. </w:t>
      </w:r>
    </w:p>
    <w:p w14:paraId="0448818E" w14:textId="77777777" w:rsidR="00342695" w:rsidRPr="0087246C" w:rsidRDefault="00342695" w:rsidP="00342695">
      <w:pPr>
        <w:pStyle w:val="Calibri11"/>
        <w:numPr>
          <w:ilvl w:val="0"/>
          <w:numId w:val="0"/>
        </w:numPr>
        <w:jc w:val="both"/>
        <w:rPr>
          <w:rFonts w:asciiTheme="minorHAnsi" w:hAnsiTheme="minorHAnsi" w:cstheme="minorHAnsi"/>
          <w:szCs w:val="22"/>
        </w:rPr>
      </w:pPr>
      <w:bookmarkStart w:id="71" w:name="_Toc208574108"/>
      <w:r w:rsidRPr="0087246C">
        <w:rPr>
          <w:rFonts w:asciiTheme="minorHAnsi" w:hAnsiTheme="minorHAnsi" w:cstheme="minorHAnsi"/>
          <w:szCs w:val="22"/>
        </w:rPr>
        <w:t>Droits de propriété intellectuelle</w:t>
      </w:r>
      <w:bookmarkEnd w:id="71"/>
    </w:p>
    <w:p w14:paraId="6C9EC7E0" w14:textId="77777777" w:rsidR="00342695" w:rsidRPr="0087246C" w:rsidRDefault="00342695" w:rsidP="00342695">
      <w:pPr>
        <w:pStyle w:val="Calibri11"/>
        <w:numPr>
          <w:ilvl w:val="0"/>
          <w:numId w:val="0"/>
        </w:numPr>
        <w:jc w:val="both"/>
        <w:rPr>
          <w:rFonts w:asciiTheme="minorHAnsi" w:hAnsiTheme="minorHAnsi" w:cstheme="minorHAnsi"/>
          <w:szCs w:val="22"/>
        </w:rPr>
      </w:pPr>
    </w:p>
    <w:p w14:paraId="2266CB6C" w14:textId="77777777" w:rsidR="00342695" w:rsidRPr="0087246C" w:rsidRDefault="00342695" w:rsidP="00466286">
      <w:pPr>
        <w:pStyle w:val="ListParagraph"/>
        <w:numPr>
          <w:ilvl w:val="0"/>
          <w:numId w:val="36"/>
        </w:numPr>
        <w:spacing w:before="0" w:beforeAutospacing="0" w:after="240" w:afterAutospacing="0"/>
        <w:jc w:val="both"/>
        <w:rPr>
          <w:rFonts w:asciiTheme="minorHAnsi" w:hAnsiTheme="minorHAnsi" w:cstheme="minorHAnsi"/>
          <w:color w:val="333333"/>
          <w:sz w:val="22"/>
          <w:szCs w:val="22"/>
        </w:rPr>
      </w:pPr>
      <w:r w:rsidRPr="0087246C">
        <w:rPr>
          <w:rFonts w:asciiTheme="minorHAnsi" w:hAnsiTheme="minorHAnsi" w:cstheme="minorHAnsi"/>
          <w:sz w:val="22"/>
          <w:szCs w:val="22"/>
        </w:rPr>
        <w:t xml:space="preserve">Tous les droits de propriété intellectuelle, droits d’auteurs, brevets et tout autre droit relatif à des documents produits dans le cadre du contrat individuel sont réputés appartenir exclusivement au PNUD. À la demande du PNUD, le consultant prêtera assistance dans l’acquisition de ces droits de propriété et leur transfert au PNUD en conformité avec le droit applicable. </w:t>
      </w:r>
    </w:p>
    <w:p w14:paraId="5C96A934" w14:textId="1ECBD849" w:rsidR="00342695" w:rsidRPr="0087246C" w:rsidRDefault="00342695" w:rsidP="00342695">
      <w:pPr>
        <w:pStyle w:val="Calibri11"/>
        <w:numPr>
          <w:ilvl w:val="0"/>
          <w:numId w:val="0"/>
        </w:numPr>
        <w:jc w:val="both"/>
        <w:rPr>
          <w:rFonts w:asciiTheme="minorHAnsi" w:hAnsiTheme="minorHAnsi" w:cstheme="minorHAnsi"/>
          <w:szCs w:val="22"/>
        </w:rPr>
      </w:pPr>
      <w:bookmarkStart w:id="72" w:name="_Toc208574109"/>
      <w:r w:rsidRPr="0087246C">
        <w:rPr>
          <w:rFonts w:asciiTheme="minorHAnsi" w:hAnsiTheme="minorHAnsi" w:cstheme="minorHAnsi"/>
          <w:szCs w:val="22"/>
        </w:rPr>
        <w:t>Divulgation de l’information</w:t>
      </w:r>
      <w:bookmarkEnd w:id="72"/>
    </w:p>
    <w:p w14:paraId="1AE607DC" w14:textId="77777777" w:rsidR="00342695" w:rsidRPr="0087246C" w:rsidRDefault="00342695" w:rsidP="00342695">
      <w:pPr>
        <w:pStyle w:val="ListParagraph"/>
        <w:spacing w:before="0" w:beforeAutospacing="0" w:after="240" w:afterAutospacing="0"/>
        <w:ind w:left="720"/>
        <w:jc w:val="both"/>
        <w:rPr>
          <w:rFonts w:asciiTheme="minorHAnsi" w:hAnsiTheme="minorHAnsi" w:cstheme="minorHAnsi"/>
          <w:sz w:val="22"/>
          <w:szCs w:val="22"/>
        </w:rPr>
      </w:pPr>
    </w:p>
    <w:p w14:paraId="05C83FD8" w14:textId="4D6256C6" w:rsidR="00342695" w:rsidRPr="0087246C" w:rsidRDefault="00342695" w:rsidP="00466286">
      <w:pPr>
        <w:pStyle w:val="ListParagraph"/>
        <w:numPr>
          <w:ilvl w:val="0"/>
          <w:numId w:val="36"/>
        </w:numPr>
        <w:spacing w:before="0" w:beforeAutospacing="0" w:after="240" w:afterAutospacing="0"/>
        <w:jc w:val="both"/>
        <w:rPr>
          <w:rFonts w:asciiTheme="minorHAnsi" w:hAnsiTheme="minorHAnsi" w:cstheme="minorHAnsi"/>
          <w:sz w:val="22"/>
          <w:szCs w:val="22"/>
        </w:rPr>
      </w:pPr>
      <w:r w:rsidRPr="0087246C">
        <w:rPr>
          <w:rFonts w:asciiTheme="minorHAnsi" w:hAnsiTheme="minorHAnsi" w:cstheme="minorHAnsi"/>
          <w:sz w:val="22"/>
          <w:szCs w:val="22"/>
        </w:rPr>
        <w:t xml:space="preserve">Les activités de passation des marchés du PNUD sont régies par des politiques et procédures définies dans divers documents, notamment le chapitre relatif à la passation des marchés des Politiques et procédures régissant les programmes et opérations du PNUD. Le PNUD s’engage en faveur de la transparence conformément à sa Politique en matière de divulgation de l’information. Tous les </w:t>
      </w:r>
      <w:hyperlink r:id="rId38" w:tgtFrame="_blank" w:history="1">
        <w:r w:rsidR="005E2CCD">
          <w:rPr>
            <w:rFonts w:asciiTheme="minorHAnsi" w:hAnsiTheme="minorHAnsi" w:cstheme="minorHAnsi"/>
            <w:color w:val="0072BC"/>
            <w:sz w:val="22"/>
            <w:szCs w:val="22"/>
            <w:u w:val="single"/>
          </w:rPr>
          <w:t>a</w:t>
        </w:r>
        <w:r w:rsidR="00AD0772">
          <w:rPr>
            <w:rFonts w:asciiTheme="minorHAnsi" w:hAnsiTheme="minorHAnsi" w:cstheme="minorHAnsi"/>
            <w:color w:val="0072BC"/>
            <w:sz w:val="22"/>
            <w:szCs w:val="22"/>
            <w:u w:val="single"/>
          </w:rPr>
          <w:t>vis de recrutement d’un consultant individuel</w:t>
        </w:r>
      </w:hyperlink>
      <w:r w:rsidRPr="0087246C">
        <w:rPr>
          <w:rFonts w:asciiTheme="minorHAnsi" w:hAnsiTheme="minorHAnsi" w:cstheme="minorHAnsi"/>
          <w:sz w:val="22"/>
          <w:szCs w:val="22"/>
        </w:rPr>
        <w:t xml:space="preserve"> sont publiés en ligne. L’attribution de contrats, notamment les contrats individuels d’un montant supérieur à 1</w:t>
      </w:r>
      <w:r w:rsidR="00445779">
        <w:rPr>
          <w:rFonts w:asciiTheme="minorHAnsi" w:hAnsiTheme="minorHAnsi" w:cstheme="minorHAnsi"/>
          <w:sz w:val="22"/>
          <w:szCs w:val="22"/>
        </w:rPr>
        <w:t>5</w:t>
      </w:r>
      <w:r w:rsidRPr="0087246C">
        <w:rPr>
          <w:rFonts w:asciiTheme="minorHAnsi" w:hAnsiTheme="minorHAnsi" w:cstheme="minorHAnsi"/>
          <w:sz w:val="22"/>
          <w:szCs w:val="22"/>
        </w:rPr>
        <w:t>0 000 USD peut être consultée sur les sites Web du PNUD, par région et par type de services/biens.</w:t>
      </w:r>
    </w:p>
    <w:p w14:paraId="6E45E86E" w14:textId="3A2660D6" w:rsidR="00342695" w:rsidRPr="0087246C" w:rsidRDefault="00342695" w:rsidP="00342695">
      <w:pPr>
        <w:pStyle w:val="Calibri11"/>
        <w:numPr>
          <w:ilvl w:val="0"/>
          <w:numId w:val="0"/>
        </w:numPr>
        <w:jc w:val="both"/>
        <w:rPr>
          <w:rFonts w:asciiTheme="minorHAnsi" w:hAnsiTheme="minorHAnsi" w:cstheme="minorHAnsi"/>
          <w:szCs w:val="22"/>
        </w:rPr>
      </w:pPr>
      <w:bookmarkStart w:id="73" w:name="_Toc208574110"/>
      <w:r w:rsidRPr="0087246C">
        <w:rPr>
          <w:rFonts w:asciiTheme="minorHAnsi" w:hAnsiTheme="minorHAnsi" w:cstheme="minorHAnsi"/>
          <w:szCs w:val="22"/>
        </w:rPr>
        <w:t>Gestion et administration des contrats individuels</w:t>
      </w:r>
      <w:bookmarkEnd w:id="73"/>
    </w:p>
    <w:p w14:paraId="0AF2AF30" w14:textId="77777777" w:rsidR="00342695" w:rsidRPr="0087246C" w:rsidRDefault="00342695" w:rsidP="00342695">
      <w:pPr>
        <w:pStyle w:val="Calibri11a"/>
        <w:numPr>
          <w:ilvl w:val="0"/>
          <w:numId w:val="0"/>
        </w:numPr>
        <w:tabs>
          <w:tab w:val="clear" w:pos="900"/>
        </w:tabs>
        <w:jc w:val="both"/>
        <w:rPr>
          <w:rFonts w:asciiTheme="minorHAnsi" w:hAnsiTheme="minorHAnsi" w:cstheme="minorHAnsi"/>
          <w:szCs w:val="22"/>
        </w:rPr>
      </w:pPr>
      <w:bookmarkStart w:id="74" w:name="_Toc208574111"/>
      <w:r w:rsidRPr="0087246C">
        <w:rPr>
          <w:rFonts w:asciiTheme="minorHAnsi" w:hAnsiTheme="minorHAnsi" w:cstheme="minorHAnsi"/>
          <w:szCs w:val="22"/>
        </w:rPr>
        <w:t>Administration informatisée des contrats individuels</w:t>
      </w:r>
      <w:bookmarkEnd w:id="74"/>
    </w:p>
    <w:p w14:paraId="1B377538" w14:textId="77777777" w:rsidR="00342695" w:rsidRPr="0087246C" w:rsidRDefault="00342695" w:rsidP="00342695">
      <w:pPr>
        <w:shd w:val="clear" w:color="auto" w:fill="FFFFFF"/>
        <w:spacing w:after="0" w:line="240" w:lineRule="auto"/>
        <w:ind w:left="360"/>
        <w:jc w:val="both"/>
        <w:textAlignment w:val="top"/>
        <w:rPr>
          <w:rFonts w:eastAsia="Times New Roman" w:cstheme="minorHAnsi"/>
        </w:rPr>
      </w:pPr>
    </w:p>
    <w:p w14:paraId="3998A256" w14:textId="401B740F" w:rsidR="00342695" w:rsidRPr="0087246C" w:rsidRDefault="00342695" w:rsidP="00466286">
      <w:pPr>
        <w:pStyle w:val="ListParagraph"/>
        <w:numPr>
          <w:ilvl w:val="0"/>
          <w:numId w:val="36"/>
        </w:numPr>
        <w:spacing w:before="0" w:beforeAutospacing="0" w:after="240" w:afterAutospacing="0"/>
        <w:jc w:val="both"/>
        <w:rPr>
          <w:rFonts w:asciiTheme="minorHAnsi" w:hAnsiTheme="minorHAnsi" w:cstheme="minorHAnsi"/>
          <w:sz w:val="22"/>
          <w:szCs w:val="22"/>
        </w:rPr>
      </w:pPr>
      <w:r w:rsidRPr="0087246C">
        <w:rPr>
          <w:rFonts w:asciiTheme="minorHAnsi" w:hAnsiTheme="minorHAnsi" w:cstheme="minorHAnsi"/>
          <w:sz w:val="22"/>
          <w:szCs w:val="22"/>
        </w:rPr>
        <w:t xml:space="preserve">L’administration des contrats individuels est automatisée sous </w:t>
      </w:r>
      <w:r w:rsidR="006A1A29">
        <w:rPr>
          <w:rFonts w:asciiTheme="minorHAnsi" w:hAnsiTheme="minorHAnsi" w:cstheme="minorHAnsi"/>
          <w:sz w:val="22"/>
          <w:szCs w:val="22"/>
        </w:rPr>
        <w:t>Quantum</w:t>
      </w:r>
      <w:r w:rsidRPr="0087246C">
        <w:rPr>
          <w:rFonts w:asciiTheme="minorHAnsi" w:hAnsiTheme="minorHAnsi" w:cstheme="minorHAnsi"/>
          <w:sz w:val="22"/>
          <w:szCs w:val="22"/>
        </w:rPr>
        <w:t>. Les consultants sont traités rigoureusement en tant que fournisseurs de services et enregistrés dans le module des achats d’</w:t>
      </w:r>
      <w:r w:rsidR="006A1A29">
        <w:rPr>
          <w:rFonts w:asciiTheme="minorHAnsi" w:hAnsiTheme="minorHAnsi" w:cstheme="minorHAnsi"/>
          <w:sz w:val="22"/>
          <w:szCs w:val="22"/>
        </w:rPr>
        <w:t>Quantum</w:t>
      </w:r>
      <w:r w:rsidRPr="0087246C">
        <w:rPr>
          <w:rFonts w:asciiTheme="minorHAnsi" w:hAnsiTheme="minorHAnsi" w:cstheme="minorHAnsi"/>
          <w:sz w:val="22"/>
          <w:szCs w:val="22"/>
        </w:rPr>
        <w:t>.</w:t>
      </w:r>
    </w:p>
    <w:p w14:paraId="2F98918A" w14:textId="3F7FB174" w:rsidR="00342695" w:rsidRPr="0087246C" w:rsidRDefault="00342695" w:rsidP="00342695">
      <w:pPr>
        <w:pStyle w:val="Calibri11a"/>
        <w:numPr>
          <w:ilvl w:val="0"/>
          <w:numId w:val="0"/>
        </w:numPr>
        <w:tabs>
          <w:tab w:val="clear" w:pos="900"/>
        </w:tabs>
        <w:jc w:val="both"/>
        <w:rPr>
          <w:rFonts w:asciiTheme="minorHAnsi" w:hAnsiTheme="minorHAnsi" w:cstheme="minorHAnsi"/>
          <w:szCs w:val="22"/>
        </w:rPr>
      </w:pPr>
      <w:bookmarkStart w:id="75" w:name="_Toc208574112"/>
      <w:r w:rsidRPr="0087246C">
        <w:rPr>
          <w:rFonts w:asciiTheme="minorHAnsi" w:hAnsiTheme="minorHAnsi" w:cstheme="minorHAnsi"/>
          <w:szCs w:val="22"/>
        </w:rPr>
        <w:t>Paiement et évaluation des performances</w:t>
      </w:r>
      <w:bookmarkEnd w:id="75"/>
    </w:p>
    <w:p w14:paraId="0B141BE0" w14:textId="77777777" w:rsidR="00342695" w:rsidRPr="0087246C" w:rsidRDefault="00342695" w:rsidP="00342695">
      <w:pPr>
        <w:shd w:val="clear" w:color="auto" w:fill="FFFFFF"/>
        <w:spacing w:after="0" w:line="240" w:lineRule="auto"/>
        <w:jc w:val="both"/>
        <w:textAlignment w:val="top"/>
        <w:rPr>
          <w:rFonts w:eastAsia="Times New Roman" w:cstheme="minorHAnsi"/>
          <w:color w:val="000000"/>
        </w:rPr>
      </w:pPr>
    </w:p>
    <w:p w14:paraId="1D7E1175" w14:textId="77777777" w:rsidR="00342695" w:rsidRPr="0087246C" w:rsidRDefault="00342695" w:rsidP="00466286">
      <w:pPr>
        <w:pStyle w:val="ListParagraph"/>
        <w:numPr>
          <w:ilvl w:val="0"/>
          <w:numId w:val="36"/>
        </w:numPr>
        <w:spacing w:before="0" w:beforeAutospacing="0" w:after="240" w:afterAutospacing="0"/>
        <w:jc w:val="both"/>
        <w:rPr>
          <w:rFonts w:asciiTheme="minorHAnsi" w:hAnsiTheme="minorHAnsi" w:cstheme="minorHAnsi"/>
          <w:sz w:val="22"/>
          <w:szCs w:val="22"/>
        </w:rPr>
      </w:pPr>
      <w:r w:rsidRPr="0087246C">
        <w:rPr>
          <w:rFonts w:asciiTheme="minorHAnsi" w:hAnsiTheme="minorHAnsi" w:cstheme="minorHAnsi"/>
          <w:sz w:val="22"/>
          <w:szCs w:val="22"/>
        </w:rPr>
        <w:t xml:space="preserve">Le travail et les performances d’un consultant doivent faire l'objet d'une évaluation et d'un suivi régulier par le gestionnaire responsable pour s’assurer que les obligations contractuelles sont pleinement respectées. Les produits livrables (quantité et qualité), les délais impartis et le coût constituent les éléments clés du suivi. Les conditions d’un contrat individuel et les termes de référence constituent la base de la gestion des contrats. </w:t>
      </w:r>
    </w:p>
    <w:p w14:paraId="08706802" w14:textId="3D4D49F5" w:rsidR="00342695" w:rsidRPr="0087246C" w:rsidRDefault="00342695" w:rsidP="00466286">
      <w:pPr>
        <w:pStyle w:val="ListParagraph"/>
        <w:numPr>
          <w:ilvl w:val="0"/>
          <w:numId w:val="36"/>
        </w:numPr>
        <w:spacing w:before="0" w:beforeAutospacing="0" w:after="240" w:afterAutospacing="0"/>
        <w:jc w:val="both"/>
        <w:rPr>
          <w:rFonts w:asciiTheme="minorHAnsi" w:hAnsiTheme="minorHAnsi" w:cstheme="minorHAnsi"/>
          <w:sz w:val="22"/>
          <w:szCs w:val="22"/>
        </w:rPr>
      </w:pPr>
      <w:r w:rsidRPr="0087246C">
        <w:rPr>
          <w:rFonts w:asciiTheme="minorHAnsi" w:hAnsiTheme="minorHAnsi" w:cstheme="minorHAnsi"/>
          <w:color w:val="000000"/>
          <w:sz w:val="22"/>
          <w:szCs w:val="22"/>
        </w:rPr>
        <w:t>L</w:t>
      </w:r>
      <w:r w:rsidRPr="0087246C">
        <w:rPr>
          <w:rFonts w:asciiTheme="minorHAnsi" w:hAnsiTheme="minorHAnsi" w:cstheme="minorHAnsi"/>
          <w:color w:val="333333"/>
          <w:sz w:val="22"/>
          <w:szCs w:val="22"/>
        </w:rPr>
        <w:t xml:space="preserve">e </w:t>
      </w:r>
      <w:hyperlink r:id="rId39" w:tgtFrame="_blank" w:history="1">
        <w:r w:rsidRPr="0087246C">
          <w:rPr>
            <w:rFonts w:asciiTheme="minorHAnsi" w:hAnsiTheme="minorHAnsi" w:cstheme="minorHAnsi"/>
            <w:color w:val="0072BC"/>
            <w:sz w:val="22"/>
            <w:szCs w:val="22"/>
            <w:u w:val="single"/>
          </w:rPr>
          <w:t>Formulaire d’évaluation de l’exécution des contrats individuels</w:t>
        </w:r>
      </w:hyperlink>
      <w:r w:rsidRPr="0087246C">
        <w:rPr>
          <w:rFonts w:asciiTheme="minorHAnsi" w:hAnsiTheme="minorHAnsi" w:cstheme="minorHAnsi"/>
          <w:color w:val="333333"/>
          <w:sz w:val="22"/>
          <w:szCs w:val="22"/>
        </w:rPr>
        <w:t xml:space="preserve"> </w:t>
      </w:r>
      <w:r w:rsidR="00832084">
        <w:rPr>
          <w:rFonts w:asciiTheme="minorHAnsi" w:hAnsiTheme="minorHAnsi" w:cstheme="minorHAnsi"/>
          <w:color w:val="333333"/>
          <w:sz w:val="22"/>
          <w:szCs w:val="22"/>
        </w:rPr>
        <w:t xml:space="preserve">(en anglais) </w:t>
      </w:r>
      <w:r w:rsidRPr="0087246C">
        <w:rPr>
          <w:rFonts w:asciiTheme="minorHAnsi" w:hAnsiTheme="minorHAnsi" w:cstheme="minorHAnsi"/>
          <w:color w:val="000000"/>
          <w:sz w:val="22"/>
          <w:szCs w:val="22"/>
        </w:rPr>
        <w:t xml:space="preserve">doit être utilisé et adapté aux besoins spécifiques de la mission. </w:t>
      </w:r>
    </w:p>
    <w:p w14:paraId="5B52D889" w14:textId="3479214E" w:rsidR="00342695" w:rsidRPr="0087246C" w:rsidRDefault="00342695" w:rsidP="00466286">
      <w:pPr>
        <w:pStyle w:val="ListParagraph"/>
        <w:numPr>
          <w:ilvl w:val="0"/>
          <w:numId w:val="36"/>
        </w:numPr>
        <w:spacing w:before="0" w:beforeAutospacing="0" w:after="240" w:afterAutospacing="0"/>
        <w:jc w:val="both"/>
        <w:rPr>
          <w:rFonts w:asciiTheme="minorHAnsi" w:hAnsiTheme="minorHAnsi" w:cstheme="minorHAnsi"/>
          <w:sz w:val="22"/>
          <w:szCs w:val="22"/>
        </w:rPr>
      </w:pPr>
      <w:r w:rsidRPr="0087246C">
        <w:rPr>
          <w:rFonts w:asciiTheme="minorHAnsi" w:hAnsiTheme="minorHAnsi" w:cstheme="minorHAnsi"/>
          <w:color w:val="000000"/>
          <w:sz w:val="22"/>
          <w:szCs w:val="22"/>
        </w:rPr>
        <w:lastRenderedPageBreak/>
        <w:t>Un</w:t>
      </w:r>
      <w:r w:rsidRPr="0087246C">
        <w:rPr>
          <w:rFonts w:asciiTheme="minorHAnsi" w:hAnsiTheme="minorHAnsi" w:cstheme="minorHAnsi"/>
          <w:color w:val="333333"/>
          <w:sz w:val="22"/>
          <w:szCs w:val="22"/>
        </w:rPr>
        <w:t xml:space="preserve"> </w:t>
      </w:r>
      <w:hyperlink r:id="rId40" w:history="1">
        <w:r w:rsidRPr="0087246C">
          <w:rPr>
            <w:rFonts w:asciiTheme="minorHAnsi" w:hAnsiTheme="minorHAnsi" w:cstheme="minorHAnsi"/>
            <w:color w:val="0072BC"/>
            <w:sz w:val="22"/>
            <w:szCs w:val="22"/>
            <w:u w:val="single"/>
          </w:rPr>
          <w:t>Formulaire d’attestation de paiement</w:t>
        </w:r>
      </w:hyperlink>
      <w:r w:rsidRPr="0087246C">
        <w:rPr>
          <w:rFonts w:asciiTheme="minorHAnsi" w:hAnsiTheme="minorHAnsi" w:cstheme="minorHAnsi"/>
          <w:color w:val="0072BC"/>
          <w:sz w:val="22"/>
          <w:szCs w:val="22"/>
        </w:rPr>
        <w:t xml:space="preserve"> </w:t>
      </w:r>
      <w:r w:rsidR="00560F7E">
        <w:rPr>
          <w:rFonts w:asciiTheme="minorHAnsi" w:hAnsiTheme="minorHAnsi" w:cstheme="minorHAnsi"/>
          <w:color w:val="333333"/>
          <w:sz w:val="22"/>
          <w:szCs w:val="22"/>
        </w:rPr>
        <w:t xml:space="preserve">(en anglais) </w:t>
      </w:r>
      <w:r w:rsidRPr="0087246C">
        <w:rPr>
          <w:rFonts w:asciiTheme="minorHAnsi" w:hAnsiTheme="minorHAnsi" w:cstheme="minorHAnsi"/>
          <w:color w:val="000000" w:themeColor="text1"/>
          <w:sz w:val="22"/>
          <w:szCs w:val="22"/>
        </w:rPr>
        <w:t xml:space="preserve">certifiant l’exécution satisfaisante des travaux requis </w:t>
      </w:r>
      <w:r w:rsidRPr="0087246C">
        <w:rPr>
          <w:rFonts w:asciiTheme="minorHAnsi" w:hAnsiTheme="minorHAnsi" w:cstheme="minorHAnsi"/>
          <w:color w:val="000000"/>
          <w:sz w:val="22"/>
          <w:szCs w:val="22"/>
        </w:rPr>
        <w:t xml:space="preserve">doit être </w:t>
      </w:r>
      <w:r w:rsidRPr="0087246C">
        <w:rPr>
          <w:rFonts w:asciiTheme="minorHAnsi" w:hAnsiTheme="minorHAnsi" w:cstheme="minorHAnsi"/>
          <w:color w:val="000000" w:themeColor="text1"/>
          <w:sz w:val="22"/>
          <w:szCs w:val="22"/>
        </w:rPr>
        <w:t xml:space="preserve">rempli par le </w:t>
      </w:r>
      <w:r w:rsidRPr="0087246C">
        <w:rPr>
          <w:rFonts w:asciiTheme="minorHAnsi" w:hAnsiTheme="minorHAnsi" w:cstheme="minorHAnsi"/>
          <w:color w:val="000000"/>
          <w:sz w:val="22"/>
          <w:szCs w:val="22"/>
        </w:rPr>
        <w:t xml:space="preserve">fonctionnaire autorisé de l’unité requérante chaque fois qu’un paiement est effectué. </w:t>
      </w:r>
      <w:r w:rsidRPr="0087246C">
        <w:rPr>
          <w:rFonts w:asciiTheme="minorHAnsi" w:hAnsiTheme="minorHAnsi" w:cstheme="minorHAnsi"/>
          <w:color w:val="000000" w:themeColor="text1"/>
          <w:sz w:val="22"/>
          <w:szCs w:val="22"/>
        </w:rPr>
        <w:t xml:space="preserve">Le formulaire d’évaluation de l’exécution des contrats individuels doit être joint au formulaire d’attestation de paiement au moment de procéder au paiement final. </w:t>
      </w:r>
    </w:p>
    <w:p w14:paraId="1449E85F" w14:textId="77777777" w:rsidR="00342695" w:rsidRPr="0087246C" w:rsidRDefault="00342695" w:rsidP="00466286">
      <w:pPr>
        <w:pStyle w:val="ListParagraph"/>
        <w:numPr>
          <w:ilvl w:val="0"/>
          <w:numId w:val="36"/>
        </w:numPr>
        <w:spacing w:before="0" w:beforeAutospacing="0" w:after="240" w:afterAutospacing="0"/>
        <w:jc w:val="both"/>
        <w:rPr>
          <w:rFonts w:asciiTheme="minorHAnsi" w:hAnsiTheme="minorHAnsi" w:cstheme="minorHAnsi"/>
          <w:sz w:val="22"/>
          <w:szCs w:val="22"/>
        </w:rPr>
      </w:pPr>
      <w:r w:rsidRPr="0087246C">
        <w:rPr>
          <w:rFonts w:asciiTheme="minorHAnsi" w:hAnsiTheme="minorHAnsi" w:cstheme="minorHAnsi"/>
          <w:color w:val="000000"/>
          <w:sz w:val="22"/>
          <w:szCs w:val="22"/>
        </w:rPr>
        <w:t>En cas d’exécution insatisfaisante ou de défaut d’exécution d’une mission conformément aux termes de référence, le Représentant résident adjoint chargé des opérations, le Directeur pays adjoint chargé des opérations ou le Chef des opérations dans un Bureau de pays, ou le Bureau de l’appui aux achats ainsi que le Bureau d’appui juridique doivent être immédiatement informés afin que l’on puisse décider si le paiement des montants dus au consultant devrait être suspendu ou non, et/ou si le contrat doit être résilié et le prestataire retiré ou non des listes pertinentes du PNUD. Chaque fois que l’une de ces mesures est nécessaire, l’unité administrative veille au respect des orientations fournies par le Bureau de l’appui aux achats et le bureau d’appui juridique.</w:t>
      </w:r>
    </w:p>
    <w:p w14:paraId="72644DDD" w14:textId="77777777" w:rsidR="00342695" w:rsidRPr="0087246C" w:rsidRDefault="00342695" w:rsidP="00466286">
      <w:pPr>
        <w:pStyle w:val="ListParagraph"/>
        <w:numPr>
          <w:ilvl w:val="0"/>
          <w:numId w:val="36"/>
        </w:numPr>
        <w:spacing w:before="0" w:beforeAutospacing="0" w:after="240" w:afterAutospacing="0"/>
        <w:jc w:val="both"/>
        <w:rPr>
          <w:rFonts w:asciiTheme="minorHAnsi" w:hAnsiTheme="minorHAnsi" w:cstheme="minorHAnsi"/>
          <w:sz w:val="22"/>
          <w:szCs w:val="22"/>
        </w:rPr>
      </w:pPr>
      <w:r w:rsidRPr="0087246C">
        <w:rPr>
          <w:rFonts w:asciiTheme="minorHAnsi" w:hAnsiTheme="minorHAnsi" w:cstheme="minorHAnsi"/>
          <w:color w:val="000000"/>
          <w:sz w:val="22"/>
          <w:szCs w:val="22"/>
        </w:rPr>
        <w:t xml:space="preserve">Le formulaire final d’évaluation de la performance d’un consultant doit être rempli et conservé pour tous les marchés, que les produits livrables aient été obtenus ou non. </w:t>
      </w:r>
    </w:p>
    <w:p w14:paraId="0D0C10D3" w14:textId="27877A0E" w:rsidR="00342695" w:rsidRPr="0087246C" w:rsidRDefault="00342695" w:rsidP="00342695">
      <w:pPr>
        <w:pStyle w:val="Calibri11a"/>
        <w:numPr>
          <w:ilvl w:val="0"/>
          <w:numId w:val="0"/>
        </w:numPr>
        <w:tabs>
          <w:tab w:val="clear" w:pos="900"/>
        </w:tabs>
        <w:jc w:val="both"/>
        <w:rPr>
          <w:rFonts w:asciiTheme="minorHAnsi" w:hAnsiTheme="minorHAnsi" w:cstheme="minorHAnsi"/>
          <w:szCs w:val="22"/>
        </w:rPr>
      </w:pPr>
      <w:bookmarkStart w:id="76" w:name="_Toc208574113"/>
      <w:r w:rsidRPr="0087246C">
        <w:rPr>
          <w:rFonts w:asciiTheme="minorHAnsi" w:hAnsiTheme="minorHAnsi" w:cstheme="minorHAnsi"/>
          <w:szCs w:val="22"/>
        </w:rPr>
        <w:t>Modification d’un contrat individuel</w:t>
      </w:r>
      <w:bookmarkEnd w:id="76"/>
    </w:p>
    <w:p w14:paraId="22EE13BE" w14:textId="77777777" w:rsidR="00342695" w:rsidRPr="0087246C" w:rsidRDefault="00342695" w:rsidP="00342695">
      <w:pPr>
        <w:shd w:val="clear" w:color="auto" w:fill="FFFFFF"/>
        <w:spacing w:after="0" w:line="240" w:lineRule="auto"/>
        <w:jc w:val="both"/>
        <w:textAlignment w:val="top"/>
        <w:rPr>
          <w:rFonts w:eastAsia="Times New Roman" w:cstheme="minorHAnsi"/>
          <w:color w:val="000000"/>
          <w:lang w:val="en-PH"/>
        </w:rPr>
      </w:pPr>
    </w:p>
    <w:p w14:paraId="2278367E" w14:textId="77777777" w:rsidR="00342695" w:rsidRPr="0087246C" w:rsidRDefault="00342695" w:rsidP="00466286">
      <w:pPr>
        <w:pStyle w:val="ListParagraph"/>
        <w:numPr>
          <w:ilvl w:val="0"/>
          <w:numId w:val="36"/>
        </w:numPr>
        <w:spacing w:before="0" w:beforeAutospacing="0" w:after="240" w:afterAutospacing="0"/>
        <w:jc w:val="both"/>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Des modifications peuvent être apportées à un contrat individuel lorsque celui-ci est prorogé au-delà de la durée initiale du contrat et/ou lorsque des modifications mineures ont été apportées aux dispositions du contrat. Ces modifications doivent être approuvées par le membre du personnel du PNUD ayant reçu une délégation d’autorité en matière de passation de marchés. </w:t>
      </w:r>
    </w:p>
    <w:p w14:paraId="78CF4AC6" w14:textId="77777777" w:rsidR="00342695" w:rsidRPr="0087246C" w:rsidRDefault="00342695" w:rsidP="00342695">
      <w:pPr>
        <w:shd w:val="clear" w:color="auto" w:fill="FFFFFF"/>
        <w:spacing w:after="0" w:line="240" w:lineRule="auto"/>
        <w:jc w:val="both"/>
        <w:textAlignment w:val="top"/>
        <w:rPr>
          <w:rFonts w:eastAsia="Times New Roman" w:cstheme="minorHAnsi"/>
          <w:color w:val="000000"/>
        </w:rPr>
      </w:pPr>
      <w:r w:rsidRPr="0087246C">
        <w:rPr>
          <w:rFonts w:cstheme="minorHAnsi"/>
          <w:color w:val="000000"/>
        </w:rPr>
        <w:t> </w:t>
      </w:r>
    </w:p>
    <w:p w14:paraId="43748750" w14:textId="77777777" w:rsidR="00342695" w:rsidRPr="0087246C" w:rsidRDefault="00342695" w:rsidP="00466286">
      <w:pPr>
        <w:pStyle w:val="ListParagraph"/>
        <w:numPr>
          <w:ilvl w:val="0"/>
          <w:numId w:val="36"/>
        </w:numPr>
        <w:spacing w:before="0" w:beforeAutospacing="0" w:after="240" w:afterAutospacing="0"/>
        <w:jc w:val="both"/>
        <w:rPr>
          <w:rFonts w:asciiTheme="minorHAnsi" w:hAnsiTheme="minorHAnsi" w:cstheme="minorHAnsi"/>
          <w:color w:val="000000"/>
          <w:sz w:val="22"/>
          <w:szCs w:val="22"/>
        </w:rPr>
      </w:pPr>
      <w:r w:rsidRPr="0087246C">
        <w:rPr>
          <w:rFonts w:asciiTheme="minorHAnsi" w:hAnsiTheme="minorHAnsi" w:cstheme="minorHAnsi"/>
          <w:color w:val="000000"/>
          <w:sz w:val="22"/>
          <w:szCs w:val="22"/>
        </w:rPr>
        <w:t>Seuls les contrats en cours d’exécution peuvent être modifiés. Les contrats expirés ne sont plus valables et les obligations des deux parties l’une envers l’autre cessent d’exister, à tel point que la modification ou la prorogation du contrat n’a plus lieu d’être. Par conséquent, le suivi et la gestion des contrats sont essentiels pour garantir les meilleurs intérêts du PNUD.</w:t>
      </w:r>
    </w:p>
    <w:p w14:paraId="6877EBCA" w14:textId="77777777" w:rsidR="00342695" w:rsidRPr="0087246C" w:rsidRDefault="00342695" w:rsidP="00466286">
      <w:pPr>
        <w:pStyle w:val="ListParagraph"/>
        <w:numPr>
          <w:ilvl w:val="0"/>
          <w:numId w:val="36"/>
        </w:numPr>
        <w:spacing w:before="0" w:beforeAutospacing="0" w:after="240" w:afterAutospacing="0"/>
        <w:jc w:val="both"/>
        <w:rPr>
          <w:rFonts w:asciiTheme="minorHAnsi" w:hAnsiTheme="minorHAnsi" w:cstheme="minorHAnsi"/>
          <w:color w:val="000000"/>
          <w:sz w:val="22"/>
          <w:szCs w:val="22"/>
        </w:rPr>
      </w:pPr>
      <w:r w:rsidRPr="0087246C">
        <w:rPr>
          <w:rFonts w:asciiTheme="minorHAnsi" w:hAnsiTheme="minorHAnsi" w:cstheme="minorHAnsi"/>
          <w:color w:val="000000"/>
          <w:sz w:val="22"/>
          <w:szCs w:val="22"/>
        </w:rPr>
        <w:t>Les contrats peuvent être modifiés de l’une des manières suivantes :</w:t>
      </w:r>
    </w:p>
    <w:p w14:paraId="5B9D9B84" w14:textId="77777777" w:rsidR="00342695" w:rsidRPr="0087246C" w:rsidRDefault="00342695" w:rsidP="00342695">
      <w:pPr>
        <w:pStyle w:val="ListParagraph"/>
        <w:numPr>
          <w:ilvl w:val="0"/>
          <w:numId w:val="8"/>
        </w:numPr>
        <w:shd w:val="clear" w:color="auto" w:fill="FFFFFF"/>
        <w:spacing w:before="0" w:beforeAutospacing="0" w:after="0"/>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Une modification du délai/modification sans frais : fournir une brève explication afin de justifier la prolongation du délai. Cette explication doit rendre compte des circonstances ou incidents imprévus ayant entraîné des retards dans l’achèvement des travaux, mais n’ayant en rien affecté directement la performance du consultant. Les unités administratives responsables des contrats individuels doivent veiller à ce que ces retards ne découlent pas d’une mauvaise supervision/gestion des contrats de la part du PNUD. </w:t>
      </w:r>
    </w:p>
    <w:p w14:paraId="48640FD0" w14:textId="77777777" w:rsidR="00342695" w:rsidRPr="0087246C" w:rsidRDefault="00342695" w:rsidP="00342695">
      <w:pPr>
        <w:pStyle w:val="ListParagraph"/>
        <w:numPr>
          <w:ilvl w:val="0"/>
          <w:numId w:val="8"/>
        </w:numPr>
        <w:shd w:val="clear" w:color="auto" w:fill="FFFFFF"/>
        <w:spacing w:before="0" w:beforeAutospacing="0" w:after="0"/>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Une modification prévoyant des activités supplémentaires en conformité avec les termes de référence initiaux et une modification correspondant aux coûts conformes aux prix unitaires indiqués dans la proposition financière initiale. Dans ce cas, une brève description doit être fournie, expliquant pourquoi des travaux supplémentaires sont exécutés au moyen d’une modification et non par l’attribution d’un autre contrat à une autre personne, et dans quelle mesure la modification du contrat peut contribuer à la réalisation des résultats escomptés. </w:t>
      </w:r>
    </w:p>
    <w:p w14:paraId="41BF77E1" w14:textId="77777777" w:rsidR="00342695" w:rsidRPr="0087246C" w:rsidRDefault="00342695" w:rsidP="00342695">
      <w:pPr>
        <w:shd w:val="clear" w:color="auto" w:fill="FFFFFF"/>
        <w:spacing w:after="0" w:line="240" w:lineRule="auto"/>
        <w:ind w:left="990" w:hanging="540"/>
        <w:jc w:val="both"/>
        <w:textAlignment w:val="top"/>
        <w:rPr>
          <w:rFonts w:eastAsia="Times New Roman" w:cstheme="minorHAnsi"/>
          <w:color w:val="000000"/>
        </w:rPr>
      </w:pPr>
    </w:p>
    <w:p w14:paraId="6966B9FE" w14:textId="77777777" w:rsidR="00342695" w:rsidRPr="0087246C" w:rsidRDefault="00342695" w:rsidP="00466286">
      <w:pPr>
        <w:pStyle w:val="ListParagraph"/>
        <w:numPr>
          <w:ilvl w:val="0"/>
          <w:numId w:val="36"/>
        </w:numPr>
        <w:spacing w:before="0" w:beforeAutospacing="0" w:after="240" w:afterAutospacing="0"/>
        <w:jc w:val="both"/>
        <w:rPr>
          <w:rFonts w:asciiTheme="minorHAnsi" w:hAnsiTheme="minorHAnsi" w:cstheme="minorHAnsi"/>
          <w:color w:val="000000"/>
          <w:sz w:val="22"/>
          <w:szCs w:val="22"/>
        </w:rPr>
      </w:pPr>
      <w:r w:rsidRPr="0087246C">
        <w:rPr>
          <w:rFonts w:asciiTheme="minorHAnsi" w:hAnsiTheme="minorHAnsi" w:cstheme="minorHAnsi"/>
          <w:color w:val="000000"/>
          <w:sz w:val="22"/>
          <w:szCs w:val="22"/>
        </w:rPr>
        <w:t>Toute révision substantielle apportée aux termes de référence et/ou aux produits livrables nécessite la mise en œuvre d’un nouveau processus de mise en concurrence.</w:t>
      </w:r>
    </w:p>
    <w:p w14:paraId="24FA3B83" w14:textId="3FCAFB4F" w:rsidR="00342695" w:rsidRPr="0087246C" w:rsidRDefault="00342695" w:rsidP="00342695">
      <w:pPr>
        <w:pStyle w:val="Calibri11a"/>
        <w:numPr>
          <w:ilvl w:val="0"/>
          <w:numId w:val="0"/>
        </w:numPr>
        <w:tabs>
          <w:tab w:val="clear" w:pos="900"/>
        </w:tabs>
        <w:rPr>
          <w:rFonts w:asciiTheme="minorHAnsi" w:hAnsiTheme="minorHAnsi" w:cstheme="minorHAnsi"/>
          <w:szCs w:val="22"/>
        </w:rPr>
      </w:pPr>
      <w:bookmarkStart w:id="77" w:name="_Toc208574114"/>
      <w:r w:rsidRPr="0087246C">
        <w:rPr>
          <w:rFonts w:asciiTheme="minorHAnsi" w:hAnsiTheme="minorHAnsi" w:cstheme="minorHAnsi"/>
          <w:szCs w:val="22"/>
        </w:rPr>
        <w:lastRenderedPageBreak/>
        <w:t>Taux de rémunération en cas de prorogation du contrat</w:t>
      </w:r>
      <w:bookmarkEnd w:id="77"/>
      <w:r w:rsidRPr="0087246C">
        <w:rPr>
          <w:rFonts w:asciiTheme="minorHAnsi" w:hAnsiTheme="minorHAnsi" w:cstheme="minorHAnsi"/>
          <w:szCs w:val="22"/>
        </w:rPr>
        <w:br/>
      </w:r>
    </w:p>
    <w:p w14:paraId="2EC9DC32" w14:textId="77777777" w:rsidR="00342695" w:rsidRPr="0087246C" w:rsidRDefault="00342695" w:rsidP="00466286">
      <w:pPr>
        <w:pStyle w:val="ListParagraph"/>
        <w:numPr>
          <w:ilvl w:val="0"/>
          <w:numId w:val="36"/>
        </w:numPr>
        <w:spacing w:before="0" w:beforeAutospacing="0" w:after="240" w:afterAutospacing="0"/>
        <w:jc w:val="both"/>
        <w:rPr>
          <w:rFonts w:asciiTheme="minorHAnsi" w:hAnsiTheme="minorHAnsi" w:cstheme="minorHAnsi"/>
          <w:color w:val="000000"/>
          <w:sz w:val="22"/>
          <w:szCs w:val="22"/>
        </w:rPr>
      </w:pPr>
      <w:r w:rsidRPr="0087246C">
        <w:rPr>
          <w:rFonts w:asciiTheme="minorHAnsi" w:hAnsiTheme="minorHAnsi" w:cstheme="minorHAnsi"/>
          <w:color w:val="000000"/>
          <w:sz w:val="22"/>
          <w:szCs w:val="22"/>
        </w:rPr>
        <w:t>La prolongation des services d’un consultant nécessite la modification du contrat initial. Le taux de rémunération doit demeurer intact. Il ne peut être ajusté qu’à la suite d’une nouvelle embauche en vertu d’un contrat dans le but d’effectuer une tâche différente assortie à des termes de référence modifiés.</w:t>
      </w:r>
    </w:p>
    <w:p w14:paraId="11112835" w14:textId="77777777" w:rsidR="00342695" w:rsidRPr="0087246C" w:rsidRDefault="00342695" w:rsidP="00466286">
      <w:pPr>
        <w:pStyle w:val="ListParagraph"/>
        <w:numPr>
          <w:ilvl w:val="0"/>
          <w:numId w:val="36"/>
        </w:numPr>
        <w:spacing w:before="0" w:beforeAutospacing="0" w:after="240" w:afterAutospacing="0"/>
        <w:jc w:val="both"/>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Si la prorogation du contrat nécessite des travaux supplémentaires qui justifient un paiement supplémentaire, tous les coûts doivent être payés au même taux unitaire que celui prévu dans le contrat initial. Toute modification des coûts ou des éléments de coût nécessite la mise en œuvre d’un nouveau processus de sélection. </w:t>
      </w:r>
    </w:p>
    <w:p w14:paraId="5A403C04" w14:textId="77777777" w:rsidR="00342695" w:rsidRPr="0087246C" w:rsidRDefault="00342695" w:rsidP="00466286">
      <w:pPr>
        <w:pStyle w:val="ListParagraph"/>
        <w:numPr>
          <w:ilvl w:val="0"/>
          <w:numId w:val="36"/>
        </w:numPr>
        <w:spacing w:before="0" w:beforeAutospacing="0" w:after="240" w:afterAutospacing="0"/>
        <w:jc w:val="both"/>
        <w:rPr>
          <w:rFonts w:asciiTheme="minorHAnsi" w:hAnsiTheme="minorHAnsi" w:cstheme="minorHAnsi"/>
          <w:color w:val="000000"/>
          <w:sz w:val="22"/>
          <w:szCs w:val="22"/>
        </w:rPr>
      </w:pPr>
      <w:r w:rsidRPr="0087246C">
        <w:rPr>
          <w:rFonts w:asciiTheme="minorHAnsi" w:hAnsiTheme="minorHAnsi" w:cstheme="minorHAnsi"/>
          <w:color w:val="000000"/>
          <w:sz w:val="22"/>
          <w:szCs w:val="22"/>
        </w:rPr>
        <w:t>Toutes les prorogations qui exigent un paiement supplémentaire doivent être incluses dans le calcul de la durée totale du contrat et des montants cumulatifs totaux.</w:t>
      </w:r>
    </w:p>
    <w:p w14:paraId="6D4B3938" w14:textId="0880169C" w:rsidR="00342695" w:rsidRPr="0087246C" w:rsidRDefault="00342695" w:rsidP="00342695">
      <w:pPr>
        <w:pStyle w:val="Calibri11a"/>
        <w:numPr>
          <w:ilvl w:val="0"/>
          <w:numId w:val="0"/>
        </w:numPr>
        <w:tabs>
          <w:tab w:val="clear" w:pos="900"/>
        </w:tabs>
        <w:jc w:val="both"/>
        <w:rPr>
          <w:rFonts w:asciiTheme="minorHAnsi" w:hAnsiTheme="minorHAnsi" w:cstheme="minorHAnsi"/>
          <w:szCs w:val="22"/>
        </w:rPr>
      </w:pPr>
      <w:bookmarkStart w:id="78" w:name="_Toc208574115"/>
      <w:r w:rsidRPr="0087246C">
        <w:rPr>
          <w:rFonts w:asciiTheme="minorHAnsi" w:hAnsiTheme="minorHAnsi" w:cstheme="minorHAnsi"/>
          <w:szCs w:val="22"/>
        </w:rPr>
        <w:t xml:space="preserve">Établissement d’une base de </w:t>
      </w:r>
      <w:r w:rsidR="00715383" w:rsidRPr="0087246C">
        <w:rPr>
          <w:rFonts w:asciiTheme="minorHAnsi" w:hAnsiTheme="minorHAnsi" w:cstheme="minorHAnsi"/>
          <w:szCs w:val="22"/>
        </w:rPr>
        <w:t>données de</w:t>
      </w:r>
      <w:r w:rsidRPr="0087246C">
        <w:rPr>
          <w:rFonts w:asciiTheme="minorHAnsi" w:hAnsiTheme="minorHAnsi" w:cstheme="minorHAnsi"/>
          <w:szCs w:val="22"/>
        </w:rPr>
        <w:t xml:space="preserve"> prestataires</w:t>
      </w:r>
      <w:bookmarkEnd w:id="78"/>
    </w:p>
    <w:p w14:paraId="79DF1C64" w14:textId="77777777" w:rsidR="00342695" w:rsidRPr="0087246C" w:rsidRDefault="00342695" w:rsidP="00342695">
      <w:pPr>
        <w:pStyle w:val="Calibri11a"/>
        <w:numPr>
          <w:ilvl w:val="0"/>
          <w:numId w:val="0"/>
        </w:numPr>
        <w:tabs>
          <w:tab w:val="clear" w:pos="900"/>
        </w:tabs>
        <w:jc w:val="both"/>
        <w:rPr>
          <w:rFonts w:asciiTheme="minorHAnsi" w:hAnsiTheme="minorHAnsi" w:cstheme="minorHAnsi"/>
          <w:szCs w:val="22"/>
        </w:rPr>
      </w:pPr>
    </w:p>
    <w:p w14:paraId="7F511CB0" w14:textId="77777777" w:rsidR="00342695" w:rsidRPr="0087246C" w:rsidRDefault="00342695" w:rsidP="00466286">
      <w:pPr>
        <w:pStyle w:val="ListParagraph"/>
        <w:numPr>
          <w:ilvl w:val="0"/>
          <w:numId w:val="36"/>
        </w:numPr>
        <w:spacing w:before="0" w:beforeAutospacing="0" w:after="240" w:afterAutospacing="0"/>
        <w:jc w:val="both"/>
        <w:rPr>
          <w:rFonts w:asciiTheme="minorHAnsi" w:hAnsiTheme="minorHAnsi" w:cstheme="minorHAnsi"/>
          <w:color w:val="000000"/>
          <w:sz w:val="22"/>
          <w:szCs w:val="22"/>
        </w:rPr>
      </w:pPr>
      <w:r w:rsidRPr="0087246C">
        <w:rPr>
          <w:rFonts w:asciiTheme="minorHAnsi" w:hAnsiTheme="minorHAnsi" w:cstheme="minorHAnsi"/>
          <w:color w:val="000000"/>
          <w:sz w:val="22"/>
          <w:szCs w:val="22"/>
        </w:rPr>
        <w:t>Lorsque la demande de consultants est forte, il est vivement recommandé aux unités administratives d’établir une base de données de candidats qualifiés. Les Bureaux de pays, les Centres régionaux et le Siège peuvent établir et tenir à jour des listes visant à faciliter l’identification et la sélection. Elles peuvent faciliter l’accès à un groupe de prestataires susceptibles de remplir les critères exigés et ayant fait leurs preuves.</w:t>
      </w:r>
    </w:p>
    <w:p w14:paraId="65C68F96" w14:textId="77777777" w:rsidR="00342695" w:rsidRPr="0087246C" w:rsidRDefault="00342695" w:rsidP="00342695">
      <w:pPr>
        <w:pStyle w:val="Calibri11a"/>
        <w:numPr>
          <w:ilvl w:val="0"/>
          <w:numId w:val="0"/>
        </w:numPr>
        <w:tabs>
          <w:tab w:val="clear" w:pos="900"/>
        </w:tabs>
        <w:jc w:val="both"/>
        <w:rPr>
          <w:rFonts w:asciiTheme="minorHAnsi" w:hAnsiTheme="minorHAnsi" w:cstheme="minorHAnsi"/>
          <w:szCs w:val="22"/>
        </w:rPr>
      </w:pPr>
      <w:bookmarkStart w:id="79" w:name="_Toc208574116"/>
      <w:r w:rsidRPr="0087246C">
        <w:rPr>
          <w:rFonts w:asciiTheme="minorHAnsi" w:hAnsiTheme="minorHAnsi" w:cstheme="minorHAnsi"/>
          <w:szCs w:val="22"/>
        </w:rPr>
        <w:t>Alimenter une base de données</w:t>
      </w:r>
      <w:bookmarkEnd w:id="79"/>
    </w:p>
    <w:p w14:paraId="0D7F4CE1" w14:textId="77777777" w:rsidR="00342695" w:rsidRPr="0087246C" w:rsidRDefault="00342695" w:rsidP="00342695">
      <w:pPr>
        <w:pStyle w:val="Calibri11a"/>
        <w:numPr>
          <w:ilvl w:val="0"/>
          <w:numId w:val="0"/>
        </w:numPr>
        <w:tabs>
          <w:tab w:val="clear" w:pos="900"/>
        </w:tabs>
        <w:jc w:val="both"/>
        <w:rPr>
          <w:rFonts w:asciiTheme="minorHAnsi" w:hAnsiTheme="minorHAnsi" w:cstheme="minorHAnsi"/>
          <w:szCs w:val="22"/>
        </w:rPr>
      </w:pPr>
    </w:p>
    <w:p w14:paraId="67B50FFB" w14:textId="77777777" w:rsidR="00342695" w:rsidRPr="0087246C" w:rsidRDefault="00342695" w:rsidP="00466286">
      <w:pPr>
        <w:pStyle w:val="ListParagraph"/>
        <w:numPr>
          <w:ilvl w:val="0"/>
          <w:numId w:val="36"/>
        </w:numPr>
        <w:spacing w:before="0" w:beforeAutospacing="0" w:after="240" w:afterAutospacing="0"/>
        <w:jc w:val="both"/>
        <w:rPr>
          <w:rFonts w:asciiTheme="minorHAnsi" w:hAnsiTheme="minorHAnsi" w:cstheme="minorHAnsi"/>
          <w:color w:val="000000"/>
          <w:sz w:val="22"/>
          <w:szCs w:val="22"/>
        </w:rPr>
      </w:pPr>
      <w:r w:rsidRPr="0087246C">
        <w:rPr>
          <w:rFonts w:asciiTheme="minorHAnsi" w:hAnsiTheme="minorHAnsi" w:cstheme="minorHAnsi"/>
          <w:color w:val="000000"/>
          <w:sz w:val="22"/>
          <w:szCs w:val="22"/>
        </w:rPr>
        <w:t>Les listes peuvent être établies, entre autres critères, par domaine ou sous-domaine d’expertise, connaissance mondiale/régionale/locale et/ou niveau d’ancienneté. Par exemple, un bureau doté d’un vaste programme de gouvernance démocratique peut établir une liste composée de spécialistes en droits de l’homme, en décentralisation et en développement parlementaire, entre autres domaines.</w:t>
      </w:r>
    </w:p>
    <w:p w14:paraId="2832EB86" w14:textId="77777777" w:rsidR="00342695" w:rsidRPr="0087246C" w:rsidRDefault="00342695" w:rsidP="00466286">
      <w:pPr>
        <w:pStyle w:val="ListParagraph"/>
        <w:numPr>
          <w:ilvl w:val="0"/>
          <w:numId w:val="36"/>
        </w:numPr>
        <w:spacing w:before="0" w:beforeAutospacing="0" w:after="240" w:afterAutospacing="0"/>
        <w:jc w:val="both"/>
        <w:rPr>
          <w:rFonts w:asciiTheme="minorHAnsi" w:hAnsiTheme="minorHAnsi" w:cstheme="minorHAnsi"/>
          <w:color w:val="000000"/>
          <w:sz w:val="22"/>
          <w:szCs w:val="22"/>
        </w:rPr>
      </w:pPr>
      <w:r w:rsidRPr="0087246C">
        <w:rPr>
          <w:rFonts w:asciiTheme="minorHAnsi" w:hAnsiTheme="minorHAnsi" w:cstheme="minorHAnsi"/>
          <w:color w:val="000000"/>
          <w:sz w:val="22"/>
          <w:szCs w:val="22"/>
        </w:rPr>
        <w:t>Les enregistrements dans une base de données peuvent provenir de l’une des sources suivantes, ou d’une combinaison de celles-ci :</w:t>
      </w:r>
    </w:p>
    <w:p w14:paraId="44823744" w14:textId="77777777" w:rsidR="00342695" w:rsidRPr="0087246C" w:rsidRDefault="00342695" w:rsidP="00342695">
      <w:pPr>
        <w:pStyle w:val="ListParagraph"/>
        <w:numPr>
          <w:ilvl w:val="0"/>
          <w:numId w:val="30"/>
        </w:numPr>
        <w:shd w:val="clear" w:color="auto" w:fill="FFFFFF"/>
        <w:spacing w:after="0"/>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Un avis d’appel d’offres destiné aux personnes qualifiées pouvant offrir des services en matière de consultation ou de soutien individuel dans divers domaines d’expertise ou domaines de pratique, tout en indiquant clairement que l’appel servira uniquement à dresser une liste (c.-à-d. qu’il n’y a peut-être aucune possibilité immédiate relative à une mission) ; </w:t>
      </w:r>
    </w:p>
    <w:p w14:paraId="528EFF66" w14:textId="77777777" w:rsidR="00342695" w:rsidRPr="0087246C" w:rsidRDefault="00342695" w:rsidP="00342695">
      <w:pPr>
        <w:pStyle w:val="ListParagraph"/>
        <w:numPr>
          <w:ilvl w:val="0"/>
          <w:numId w:val="30"/>
        </w:numPr>
        <w:shd w:val="clear" w:color="auto" w:fill="FFFFFF"/>
        <w:spacing w:after="0"/>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Les prestataires ayant déjà travaillé pour le PNUD dans le cadre d’une modalité de contrat quelconque et dont les résultats ont été jugés satisfaisants ; </w:t>
      </w:r>
    </w:p>
    <w:p w14:paraId="52E8C1C6" w14:textId="77777777" w:rsidR="00342695" w:rsidRPr="0087246C" w:rsidRDefault="00342695" w:rsidP="00342695">
      <w:pPr>
        <w:pStyle w:val="ListParagraph"/>
        <w:numPr>
          <w:ilvl w:val="0"/>
          <w:numId w:val="30"/>
        </w:numPr>
        <w:shd w:val="clear" w:color="auto" w:fill="FFFFFF"/>
        <w:spacing w:after="0"/>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Les candidats ayant participé à un processus de sélection pour un poste vacant similaire à celui du PNUD au cours des 12 derniers mois et qui, bien que n’ayant pas été retenus, ont tout de même été considérés comme qualifiés (une documentation indiquant clairement les qualifications doit être disponible) ; et</w:t>
      </w:r>
    </w:p>
    <w:p w14:paraId="465E9AFA" w14:textId="77777777" w:rsidR="00342695" w:rsidRPr="0087246C" w:rsidRDefault="00342695" w:rsidP="00342695">
      <w:pPr>
        <w:pStyle w:val="ListParagraph"/>
        <w:numPr>
          <w:ilvl w:val="0"/>
          <w:numId w:val="30"/>
        </w:numPr>
        <w:shd w:val="clear" w:color="auto" w:fill="FFFFFF"/>
        <w:spacing w:after="0"/>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Les candidats qui, au cours des 12 derniers mois, ont soumis une candidature spontanée ou un CV, ont été présélectionnés en fonction de leurs qualifications et de leur expérience professionnelle antérieure et ont été jugés potentiellement aptes.</w:t>
      </w:r>
    </w:p>
    <w:p w14:paraId="366C3EB0" w14:textId="77777777" w:rsidR="00342695" w:rsidRPr="0087246C" w:rsidRDefault="00342695" w:rsidP="00342695">
      <w:pPr>
        <w:pStyle w:val="Calibri11a"/>
        <w:numPr>
          <w:ilvl w:val="0"/>
          <w:numId w:val="0"/>
        </w:numPr>
        <w:tabs>
          <w:tab w:val="clear" w:pos="900"/>
        </w:tabs>
        <w:jc w:val="both"/>
        <w:rPr>
          <w:rFonts w:asciiTheme="minorHAnsi" w:hAnsiTheme="minorHAnsi" w:cstheme="minorHAnsi"/>
          <w:szCs w:val="22"/>
        </w:rPr>
      </w:pPr>
      <w:bookmarkStart w:id="80" w:name="_Toc208574117"/>
      <w:r w:rsidRPr="0087246C">
        <w:rPr>
          <w:rFonts w:asciiTheme="minorHAnsi" w:hAnsiTheme="minorHAnsi" w:cstheme="minorHAnsi"/>
          <w:szCs w:val="22"/>
        </w:rPr>
        <w:lastRenderedPageBreak/>
        <w:t>Recrutement à partir d’une base de données</w:t>
      </w:r>
      <w:bookmarkEnd w:id="80"/>
    </w:p>
    <w:p w14:paraId="71ADC5EB" w14:textId="77777777" w:rsidR="00342695" w:rsidRPr="0087246C" w:rsidRDefault="00342695" w:rsidP="00342695">
      <w:pPr>
        <w:pStyle w:val="Calibri11a"/>
        <w:numPr>
          <w:ilvl w:val="0"/>
          <w:numId w:val="0"/>
        </w:numPr>
        <w:tabs>
          <w:tab w:val="clear" w:pos="900"/>
        </w:tabs>
        <w:jc w:val="both"/>
        <w:rPr>
          <w:rFonts w:asciiTheme="minorHAnsi" w:hAnsiTheme="minorHAnsi" w:cstheme="minorHAnsi"/>
          <w:szCs w:val="22"/>
        </w:rPr>
      </w:pPr>
    </w:p>
    <w:p w14:paraId="328EBC5C" w14:textId="77777777" w:rsidR="00342695" w:rsidRPr="0087246C" w:rsidRDefault="00342695" w:rsidP="00466286">
      <w:pPr>
        <w:pStyle w:val="ListParagraph"/>
        <w:numPr>
          <w:ilvl w:val="0"/>
          <w:numId w:val="36"/>
        </w:numPr>
        <w:spacing w:before="0" w:beforeAutospacing="0" w:after="240" w:afterAutospacing="0"/>
        <w:jc w:val="both"/>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Le recrutement à partir d’une base de données doit être régi par les règles suivantes : </w:t>
      </w:r>
    </w:p>
    <w:p w14:paraId="28DCF628" w14:textId="50A7BD1A" w:rsidR="00342695" w:rsidRPr="0087246C" w:rsidRDefault="00342695" w:rsidP="00342695">
      <w:pPr>
        <w:pStyle w:val="ListParagraph"/>
        <w:numPr>
          <w:ilvl w:val="0"/>
          <w:numId w:val="31"/>
        </w:numPr>
        <w:shd w:val="clear" w:color="auto" w:fill="FFFFFF"/>
        <w:spacing w:after="0"/>
        <w:jc w:val="both"/>
        <w:textAlignment w:val="top"/>
        <w:rPr>
          <w:rFonts w:asciiTheme="minorHAnsi" w:hAnsiTheme="minorHAnsi" w:cstheme="minorHAnsi"/>
          <w:color w:val="000000"/>
          <w:sz w:val="22"/>
          <w:szCs w:val="22"/>
        </w:rPr>
      </w:pPr>
      <w:r w:rsidRPr="0087246C">
        <w:rPr>
          <w:rFonts w:asciiTheme="minorHAnsi" w:hAnsiTheme="minorHAnsi" w:cstheme="minorHAnsi"/>
          <w:b/>
          <w:color w:val="000000"/>
          <w:sz w:val="22"/>
          <w:szCs w:val="22"/>
          <w:u w:val="single"/>
        </w:rPr>
        <w:t xml:space="preserve">Pour les tâches urgentes d'une valeur de contrat inférieure à </w:t>
      </w:r>
      <w:r w:rsidR="00445779">
        <w:rPr>
          <w:rFonts w:asciiTheme="minorHAnsi" w:hAnsiTheme="minorHAnsi" w:cstheme="minorHAnsi"/>
          <w:b/>
          <w:color w:val="000000"/>
          <w:sz w:val="22"/>
          <w:szCs w:val="22"/>
          <w:u w:val="single"/>
        </w:rPr>
        <w:t>7</w:t>
      </w:r>
      <w:r w:rsidRPr="0087246C">
        <w:rPr>
          <w:rFonts w:asciiTheme="minorHAnsi" w:hAnsiTheme="minorHAnsi" w:cstheme="minorHAnsi"/>
          <w:b/>
          <w:color w:val="000000"/>
          <w:sz w:val="22"/>
          <w:szCs w:val="22"/>
          <w:u w:val="single"/>
        </w:rPr>
        <w:t> 000 USD :</w:t>
      </w:r>
      <w:r w:rsidRPr="0087246C">
        <w:rPr>
          <w:rFonts w:asciiTheme="minorHAnsi" w:hAnsiTheme="minorHAnsi" w:cstheme="minorHAnsi"/>
          <w:color w:val="000000"/>
          <w:sz w:val="22"/>
          <w:szCs w:val="22"/>
        </w:rPr>
        <w:t xml:space="preserve"> Une unité administrative peut directement conclure un contrat avec un membre qualifié de la base de donnée. </w:t>
      </w:r>
    </w:p>
    <w:p w14:paraId="3FDC231D" w14:textId="1B085B95" w:rsidR="00342695" w:rsidRPr="0087246C" w:rsidRDefault="00342695" w:rsidP="00342695">
      <w:pPr>
        <w:pStyle w:val="ListParagraph"/>
        <w:numPr>
          <w:ilvl w:val="0"/>
          <w:numId w:val="31"/>
        </w:numPr>
        <w:shd w:val="clear" w:color="auto" w:fill="FFFFFF"/>
        <w:spacing w:after="0"/>
        <w:jc w:val="both"/>
        <w:textAlignment w:val="top"/>
        <w:rPr>
          <w:rFonts w:asciiTheme="minorHAnsi" w:hAnsiTheme="minorHAnsi" w:cstheme="minorHAnsi"/>
          <w:color w:val="000000"/>
          <w:sz w:val="22"/>
          <w:szCs w:val="22"/>
        </w:rPr>
      </w:pPr>
      <w:r w:rsidRPr="0087246C">
        <w:rPr>
          <w:rFonts w:asciiTheme="minorHAnsi" w:hAnsiTheme="minorHAnsi" w:cstheme="minorHAnsi"/>
          <w:b/>
          <w:color w:val="000000"/>
          <w:sz w:val="22"/>
          <w:szCs w:val="22"/>
          <w:u w:val="single"/>
        </w:rPr>
        <w:t xml:space="preserve">Pour les tâches d’une valeur de contrat supérieure à </w:t>
      </w:r>
      <w:r w:rsidR="00445779">
        <w:rPr>
          <w:rFonts w:asciiTheme="minorHAnsi" w:hAnsiTheme="minorHAnsi" w:cstheme="minorHAnsi"/>
          <w:b/>
          <w:color w:val="000000"/>
          <w:sz w:val="22"/>
          <w:szCs w:val="22"/>
          <w:u w:val="single"/>
        </w:rPr>
        <w:t>7</w:t>
      </w:r>
      <w:r w:rsidRPr="0087246C">
        <w:rPr>
          <w:rFonts w:asciiTheme="minorHAnsi" w:hAnsiTheme="minorHAnsi" w:cstheme="minorHAnsi"/>
          <w:b/>
          <w:color w:val="000000"/>
          <w:sz w:val="22"/>
          <w:szCs w:val="22"/>
          <w:u w:val="single"/>
        </w:rPr>
        <w:t> 000 USD, mais inférieure à 1</w:t>
      </w:r>
      <w:r w:rsidR="00445779">
        <w:rPr>
          <w:rFonts w:asciiTheme="minorHAnsi" w:hAnsiTheme="minorHAnsi" w:cstheme="minorHAnsi"/>
          <w:b/>
          <w:color w:val="000000"/>
          <w:sz w:val="22"/>
          <w:szCs w:val="22"/>
          <w:u w:val="single"/>
        </w:rPr>
        <w:t>5</w:t>
      </w:r>
      <w:r w:rsidRPr="0087246C">
        <w:rPr>
          <w:rFonts w:asciiTheme="minorHAnsi" w:hAnsiTheme="minorHAnsi" w:cstheme="minorHAnsi"/>
          <w:b/>
          <w:color w:val="000000"/>
          <w:sz w:val="22"/>
          <w:szCs w:val="22"/>
          <w:u w:val="single"/>
        </w:rPr>
        <w:t>0 000 USD :</w:t>
      </w:r>
      <w:r w:rsidRPr="0087246C">
        <w:rPr>
          <w:rFonts w:asciiTheme="minorHAnsi" w:hAnsiTheme="minorHAnsi" w:cstheme="minorHAnsi"/>
          <w:color w:val="000000"/>
          <w:sz w:val="22"/>
          <w:szCs w:val="22"/>
        </w:rPr>
        <w:t xml:space="preserve"> Une unité administrative doit demander à au moins trois membres qualifiés de la base de donnée de soumettre une proposition financière ou tout autre document nécessaire spécifique aux tâches ou aux termes de référence, et de soumettre l’ensemble de ces éléments à une équipe d’évaluation pour examen sur dossier approfondi et sélection.</w:t>
      </w:r>
    </w:p>
    <w:p w14:paraId="7B3BED6B" w14:textId="2AAE10D6" w:rsidR="00342695" w:rsidRPr="0087246C" w:rsidRDefault="00342695" w:rsidP="00342695">
      <w:pPr>
        <w:pStyle w:val="ListParagraph"/>
        <w:numPr>
          <w:ilvl w:val="0"/>
          <w:numId w:val="31"/>
        </w:numPr>
        <w:shd w:val="clear" w:color="auto" w:fill="FFFFFF"/>
        <w:spacing w:after="0"/>
        <w:jc w:val="both"/>
        <w:textAlignment w:val="top"/>
        <w:rPr>
          <w:rFonts w:asciiTheme="minorHAnsi" w:hAnsiTheme="minorHAnsi" w:cstheme="minorHAnsi"/>
          <w:color w:val="000000"/>
          <w:sz w:val="22"/>
          <w:szCs w:val="22"/>
        </w:rPr>
      </w:pPr>
      <w:r w:rsidRPr="0087246C">
        <w:rPr>
          <w:rFonts w:asciiTheme="minorHAnsi" w:hAnsiTheme="minorHAnsi" w:cstheme="minorHAnsi"/>
          <w:b/>
          <w:color w:val="000000"/>
          <w:sz w:val="22"/>
          <w:szCs w:val="22"/>
          <w:u w:val="single"/>
        </w:rPr>
        <w:t>Pour les tâches d’une valeur de contrat supérieure à 1</w:t>
      </w:r>
      <w:r w:rsidR="00445779">
        <w:rPr>
          <w:rFonts w:asciiTheme="minorHAnsi" w:hAnsiTheme="minorHAnsi" w:cstheme="minorHAnsi"/>
          <w:b/>
          <w:color w:val="000000"/>
          <w:sz w:val="22"/>
          <w:szCs w:val="22"/>
          <w:u w:val="single"/>
        </w:rPr>
        <w:t>5</w:t>
      </w:r>
      <w:r w:rsidRPr="0087246C">
        <w:rPr>
          <w:rFonts w:asciiTheme="minorHAnsi" w:hAnsiTheme="minorHAnsi" w:cstheme="minorHAnsi"/>
          <w:b/>
          <w:color w:val="000000"/>
          <w:sz w:val="22"/>
          <w:szCs w:val="22"/>
          <w:u w:val="single"/>
        </w:rPr>
        <w:t xml:space="preserve">0 000 USD : </w:t>
      </w:r>
      <w:r w:rsidRPr="0087246C">
        <w:rPr>
          <w:rFonts w:asciiTheme="minorHAnsi" w:hAnsiTheme="minorHAnsi" w:cstheme="minorHAnsi"/>
          <w:color w:val="000000"/>
          <w:sz w:val="22"/>
          <w:szCs w:val="22"/>
        </w:rPr>
        <w:t xml:space="preserve">À ce montant, la publication d’un avis d’appel d’offres est obligatoire. Si des personnes inscrites sur la base de données sont qualifiées, elles peuvent être directement informées quant à la tâche annoncée de façon à rivaliser avec les répondants. Cette notification n’a pas pour but de les présélectionner automatiquement. </w:t>
      </w:r>
    </w:p>
    <w:p w14:paraId="45101290" w14:textId="72C8B3F0" w:rsidR="00342695" w:rsidRPr="0087246C" w:rsidRDefault="00342695" w:rsidP="00466286">
      <w:pPr>
        <w:pStyle w:val="ListParagraph"/>
        <w:numPr>
          <w:ilvl w:val="0"/>
          <w:numId w:val="36"/>
        </w:numPr>
        <w:spacing w:before="0" w:beforeAutospacing="0" w:after="240" w:afterAutospacing="0"/>
        <w:jc w:val="both"/>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En résumé, à l’exception des passations de marchés par entente directe d’une valeur inférieure à </w:t>
      </w:r>
      <w:r w:rsidR="00445779">
        <w:rPr>
          <w:rFonts w:asciiTheme="minorHAnsi" w:hAnsiTheme="minorHAnsi" w:cstheme="minorHAnsi"/>
          <w:color w:val="000000"/>
          <w:sz w:val="22"/>
          <w:szCs w:val="22"/>
        </w:rPr>
        <w:t>7</w:t>
      </w:r>
      <w:r w:rsidRPr="0087246C">
        <w:rPr>
          <w:rFonts w:asciiTheme="minorHAnsi" w:hAnsiTheme="minorHAnsi" w:cstheme="minorHAnsi"/>
          <w:color w:val="000000"/>
          <w:sz w:val="22"/>
          <w:szCs w:val="22"/>
        </w:rPr>
        <w:t> 000 USD, chaque candidat enregistré dans une base de données doit faire l’objet d’une comparaison et d’une évaluation approfondies, afin d’identifier la personne la plus appropriée et d’obtenir le meilleur rapport qualité-prix.</w:t>
      </w:r>
    </w:p>
    <w:p w14:paraId="14A4FF59" w14:textId="77777777" w:rsidR="00342695" w:rsidRPr="0087246C" w:rsidRDefault="00342695" w:rsidP="00466286">
      <w:pPr>
        <w:pStyle w:val="ListParagraph"/>
        <w:numPr>
          <w:ilvl w:val="0"/>
          <w:numId w:val="36"/>
        </w:numPr>
        <w:spacing w:before="0" w:beforeAutospacing="0" w:after="240" w:afterAutospacing="0"/>
        <w:jc w:val="both"/>
        <w:rPr>
          <w:rFonts w:asciiTheme="minorHAnsi" w:hAnsiTheme="minorHAnsi" w:cstheme="minorHAnsi"/>
          <w:color w:val="000000"/>
          <w:sz w:val="22"/>
          <w:szCs w:val="22"/>
        </w:rPr>
      </w:pPr>
      <w:r w:rsidRPr="0087246C">
        <w:rPr>
          <w:rFonts w:asciiTheme="minorHAnsi" w:hAnsiTheme="minorHAnsi" w:cstheme="minorHAnsi"/>
          <w:color w:val="000000"/>
          <w:sz w:val="22"/>
          <w:szCs w:val="22"/>
        </w:rPr>
        <w:t>Toutes les listes doivent répondre au moins aux exigences suivantes :</w:t>
      </w:r>
    </w:p>
    <w:p w14:paraId="18E4B56D" w14:textId="77777777" w:rsidR="00342695" w:rsidRPr="0087246C" w:rsidRDefault="00342695" w:rsidP="00342695">
      <w:pPr>
        <w:pStyle w:val="ListParagraph"/>
        <w:numPr>
          <w:ilvl w:val="0"/>
          <w:numId w:val="32"/>
        </w:numPr>
        <w:shd w:val="clear" w:color="auto" w:fill="FFFFFF"/>
        <w:spacing w:after="0"/>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Tous les membres doivent faire l’objet d’une sélection et d’une évaluation des qualifications par au moins deux membres du personnel du PNUD ; </w:t>
      </w:r>
    </w:p>
    <w:p w14:paraId="1910E400" w14:textId="77777777" w:rsidR="00342695" w:rsidRPr="0087246C" w:rsidRDefault="00342695" w:rsidP="00342695">
      <w:pPr>
        <w:pStyle w:val="ListParagraph"/>
        <w:numPr>
          <w:ilvl w:val="0"/>
          <w:numId w:val="32"/>
        </w:numPr>
        <w:shd w:val="clear" w:color="auto" w:fill="FFFFFF"/>
        <w:spacing w:after="0"/>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Tous doivent faire l’objet d’une vérification par rapport à la liste ONU/PNUD des personnes ou entités ne remplissant pas les conditions requises pour l’obtention de contrats ; et </w:t>
      </w:r>
    </w:p>
    <w:p w14:paraId="38079FD4" w14:textId="77777777" w:rsidR="00342695" w:rsidRPr="0087246C" w:rsidRDefault="00342695" w:rsidP="00342695">
      <w:pPr>
        <w:pStyle w:val="ListParagraph"/>
        <w:numPr>
          <w:ilvl w:val="0"/>
          <w:numId w:val="32"/>
        </w:numPr>
        <w:shd w:val="clear" w:color="auto" w:fill="FFFFFF"/>
        <w:spacing w:after="0"/>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rPr>
        <w:t>Les personnes dont la performance est insatisfaisante doivent être retirées de la liste.</w:t>
      </w:r>
    </w:p>
    <w:p w14:paraId="178B5AF7" w14:textId="77777777" w:rsidR="00342695" w:rsidRPr="0087246C" w:rsidRDefault="00342695" w:rsidP="00342695">
      <w:pPr>
        <w:pStyle w:val="Calibri11SubSubSub"/>
        <w:numPr>
          <w:ilvl w:val="0"/>
          <w:numId w:val="0"/>
        </w:numPr>
        <w:spacing w:before="0"/>
        <w:jc w:val="both"/>
        <w:rPr>
          <w:rFonts w:asciiTheme="minorHAnsi" w:hAnsiTheme="minorHAnsi" w:cstheme="minorHAnsi"/>
          <w:szCs w:val="22"/>
        </w:rPr>
      </w:pPr>
      <w:bookmarkStart w:id="81" w:name="_Toc208574118"/>
      <w:r w:rsidRPr="0087246C">
        <w:rPr>
          <w:rFonts w:asciiTheme="minorHAnsi" w:hAnsiTheme="minorHAnsi" w:cstheme="minorHAnsi"/>
          <w:szCs w:val="22"/>
        </w:rPr>
        <w:t>Directives complémentaires :</w:t>
      </w:r>
      <w:bookmarkEnd w:id="81"/>
    </w:p>
    <w:p w14:paraId="582D6C21" w14:textId="77777777" w:rsidR="00342695" w:rsidRPr="0087246C" w:rsidRDefault="00342695" w:rsidP="00466286">
      <w:pPr>
        <w:pStyle w:val="ListParagraph"/>
        <w:numPr>
          <w:ilvl w:val="0"/>
          <w:numId w:val="36"/>
        </w:numPr>
        <w:spacing w:before="0" w:beforeAutospacing="0" w:after="240" w:afterAutospacing="0"/>
        <w:jc w:val="both"/>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Les bases de données de candidats présélectionnés peuvent être mises à jour grâce à la publication d’une annonce au moins une fois par an, afin d’obtenir de potentiels nouveaux candidats. Dans la mesure du possible, les unités administratives peuvent envisager de publier une annonce continue, sans date limite de soumission, afin que la liste soit continuellement mise à jour. Cette approche convient aux secteurs de services de consultation/prestataire qui connaissent une forte demande. </w:t>
      </w:r>
    </w:p>
    <w:p w14:paraId="619A02E1" w14:textId="68923B06" w:rsidR="00342695" w:rsidRPr="0087246C" w:rsidRDefault="00342695" w:rsidP="00342695">
      <w:pPr>
        <w:pStyle w:val="Calibri11a"/>
        <w:numPr>
          <w:ilvl w:val="0"/>
          <w:numId w:val="0"/>
        </w:numPr>
        <w:tabs>
          <w:tab w:val="clear" w:pos="900"/>
        </w:tabs>
        <w:jc w:val="both"/>
        <w:rPr>
          <w:rFonts w:asciiTheme="minorHAnsi" w:hAnsiTheme="minorHAnsi" w:cstheme="minorHAnsi"/>
          <w:szCs w:val="22"/>
        </w:rPr>
      </w:pPr>
      <w:bookmarkStart w:id="82" w:name="_Toc208574119"/>
      <w:r w:rsidRPr="0087246C">
        <w:rPr>
          <w:rFonts w:asciiTheme="minorHAnsi" w:hAnsiTheme="minorHAnsi" w:cstheme="minorHAnsi"/>
          <w:szCs w:val="22"/>
        </w:rPr>
        <w:t>Bases de données de candidats préapprouvées</w:t>
      </w:r>
      <w:bookmarkEnd w:id="82"/>
    </w:p>
    <w:p w14:paraId="6C6D6A38" w14:textId="77777777" w:rsidR="00342695" w:rsidRPr="0087246C" w:rsidRDefault="00342695" w:rsidP="00342695">
      <w:pPr>
        <w:jc w:val="both"/>
        <w:rPr>
          <w:rFonts w:cstheme="minorHAnsi"/>
        </w:rPr>
      </w:pPr>
    </w:p>
    <w:p w14:paraId="3C90E98B" w14:textId="18ABE1FF" w:rsidR="00342695" w:rsidRPr="0087246C" w:rsidRDefault="00342695" w:rsidP="00466286">
      <w:pPr>
        <w:pStyle w:val="ListParagraph"/>
        <w:numPr>
          <w:ilvl w:val="0"/>
          <w:numId w:val="36"/>
        </w:numPr>
        <w:spacing w:before="0" w:beforeAutospacing="0" w:after="240" w:afterAutospacing="0"/>
        <w:jc w:val="both"/>
        <w:rPr>
          <w:rFonts w:asciiTheme="minorHAnsi" w:hAnsiTheme="minorHAnsi" w:cstheme="minorHAnsi"/>
          <w:color w:val="000000"/>
          <w:sz w:val="22"/>
          <w:szCs w:val="22"/>
        </w:rPr>
      </w:pPr>
      <w:r w:rsidRPr="0087246C">
        <w:rPr>
          <w:rFonts w:asciiTheme="minorHAnsi" w:hAnsiTheme="minorHAnsi" w:cstheme="minorHAnsi"/>
          <w:color w:val="000000"/>
          <w:sz w:val="22"/>
          <w:szCs w:val="22"/>
        </w:rPr>
        <w:t>Une unité administrative peut créer une base de données de candidats préapprouvée pouvant être engagés sur contrat pour des montants inférieurs à 1</w:t>
      </w:r>
      <w:r w:rsidR="00445779">
        <w:rPr>
          <w:rFonts w:asciiTheme="minorHAnsi" w:hAnsiTheme="minorHAnsi" w:cstheme="minorHAnsi"/>
          <w:color w:val="000000"/>
          <w:sz w:val="22"/>
          <w:szCs w:val="22"/>
        </w:rPr>
        <w:t>5</w:t>
      </w:r>
      <w:r w:rsidRPr="0087246C">
        <w:rPr>
          <w:rFonts w:asciiTheme="minorHAnsi" w:hAnsiTheme="minorHAnsi" w:cstheme="minorHAnsi"/>
          <w:color w:val="000000"/>
          <w:sz w:val="22"/>
          <w:szCs w:val="22"/>
        </w:rPr>
        <w:t xml:space="preserve">0 000 USD sans qu’il soit nécessaire de procéder à un examen sur dossier approfondi. Une telle liste peut être créée au profit des Bureaux de pays et pour une utilisation régionale ou mondiale. </w:t>
      </w:r>
    </w:p>
    <w:p w14:paraId="1E5C556F" w14:textId="77777777" w:rsidR="00342695" w:rsidRPr="0087246C" w:rsidRDefault="00342695" w:rsidP="00466286">
      <w:pPr>
        <w:pStyle w:val="ListParagraph"/>
        <w:numPr>
          <w:ilvl w:val="0"/>
          <w:numId w:val="36"/>
        </w:numPr>
        <w:spacing w:before="0" w:beforeAutospacing="0" w:after="240" w:afterAutospacing="0"/>
        <w:jc w:val="both"/>
        <w:rPr>
          <w:rFonts w:asciiTheme="minorHAnsi" w:hAnsiTheme="minorHAnsi" w:cstheme="minorHAnsi"/>
          <w:color w:val="000000"/>
          <w:sz w:val="22"/>
          <w:szCs w:val="22"/>
        </w:rPr>
      </w:pPr>
      <w:r w:rsidRPr="0087246C">
        <w:rPr>
          <w:rFonts w:asciiTheme="minorHAnsi" w:hAnsiTheme="minorHAnsi" w:cstheme="minorHAnsi"/>
          <w:color w:val="000000"/>
          <w:sz w:val="22"/>
          <w:szCs w:val="22"/>
        </w:rPr>
        <w:lastRenderedPageBreak/>
        <w:t>Ce type de liste ne peut être utilisée qu’avec l’approbation du Comité consultatif régional des achats ou du Comité consultatif des achats sur la base d’une soumission ex ante. Cette dernière doit au minimum fournir clairement les informations suivantes :</w:t>
      </w:r>
    </w:p>
    <w:p w14:paraId="5746584B" w14:textId="77777777" w:rsidR="00342695" w:rsidRPr="0087246C" w:rsidRDefault="00342695" w:rsidP="00342695">
      <w:pPr>
        <w:pStyle w:val="NoSpacing"/>
        <w:numPr>
          <w:ilvl w:val="0"/>
          <w:numId w:val="33"/>
        </w:numPr>
        <w:jc w:val="both"/>
        <w:rPr>
          <w:rFonts w:cstheme="minorHAnsi"/>
        </w:rPr>
      </w:pPr>
      <w:r w:rsidRPr="0087246C">
        <w:rPr>
          <w:rFonts w:cstheme="minorHAnsi"/>
        </w:rPr>
        <w:t>La méthode de recrutement des candidats ;</w:t>
      </w:r>
    </w:p>
    <w:p w14:paraId="40B60E56" w14:textId="77777777" w:rsidR="00342695" w:rsidRPr="0087246C" w:rsidRDefault="00342695" w:rsidP="00342695">
      <w:pPr>
        <w:pStyle w:val="NoSpacing"/>
        <w:numPr>
          <w:ilvl w:val="0"/>
          <w:numId w:val="33"/>
        </w:numPr>
        <w:jc w:val="both"/>
        <w:rPr>
          <w:rFonts w:cstheme="minorHAnsi"/>
        </w:rPr>
      </w:pPr>
      <w:r w:rsidRPr="0087246C">
        <w:rPr>
          <w:rFonts w:cstheme="minorHAnsi"/>
        </w:rPr>
        <w:t>Le niveau de détail requis pour chaque personne ;</w:t>
      </w:r>
    </w:p>
    <w:p w14:paraId="2350D1F6" w14:textId="77777777" w:rsidR="00342695" w:rsidRPr="0087246C" w:rsidRDefault="00342695" w:rsidP="00342695">
      <w:pPr>
        <w:pStyle w:val="NoSpacing"/>
        <w:numPr>
          <w:ilvl w:val="0"/>
          <w:numId w:val="33"/>
        </w:numPr>
        <w:jc w:val="both"/>
        <w:rPr>
          <w:rFonts w:cstheme="minorHAnsi"/>
        </w:rPr>
      </w:pPr>
      <w:r w:rsidRPr="0087246C">
        <w:rPr>
          <w:rFonts w:cstheme="minorHAnsi"/>
        </w:rPr>
        <w:t xml:space="preserve">Le processus de sélection et de préapprobation de chaque personne ; </w:t>
      </w:r>
    </w:p>
    <w:p w14:paraId="6E93803D" w14:textId="77777777" w:rsidR="00342695" w:rsidRPr="0087246C" w:rsidRDefault="00342695" w:rsidP="00342695">
      <w:pPr>
        <w:pStyle w:val="NoSpacing"/>
        <w:numPr>
          <w:ilvl w:val="0"/>
          <w:numId w:val="33"/>
        </w:numPr>
        <w:jc w:val="both"/>
        <w:rPr>
          <w:rFonts w:cstheme="minorHAnsi"/>
        </w:rPr>
      </w:pPr>
      <w:r w:rsidRPr="0087246C">
        <w:rPr>
          <w:rFonts w:cstheme="minorHAnsi"/>
        </w:rPr>
        <w:t>La procédure de mise à jour, d’ajout et de suppression des personnes ; et</w:t>
      </w:r>
    </w:p>
    <w:p w14:paraId="2BAB9501" w14:textId="77777777" w:rsidR="00342695" w:rsidRPr="0087246C" w:rsidRDefault="00342695" w:rsidP="00342695">
      <w:pPr>
        <w:pStyle w:val="NoSpacing"/>
        <w:numPr>
          <w:ilvl w:val="0"/>
          <w:numId w:val="33"/>
        </w:numPr>
        <w:jc w:val="both"/>
        <w:rPr>
          <w:rFonts w:cstheme="minorHAnsi"/>
        </w:rPr>
      </w:pPr>
      <w:r w:rsidRPr="0087246C">
        <w:rPr>
          <w:rFonts w:cstheme="minorHAnsi"/>
        </w:rPr>
        <w:t xml:space="preserve">La justification d’une liste préapprouvée (c.-à-d. dans quelle mesure elle peut améliorer l’efficience en fonction de la demande). </w:t>
      </w:r>
    </w:p>
    <w:p w14:paraId="7080101E" w14:textId="77777777" w:rsidR="00342695" w:rsidRPr="0087246C" w:rsidRDefault="00342695" w:rsidP="00342695">
      <w:pPr>
        <w:pStyle w:val="NoSpacing"/>
        <w:ind w:left="1080"/>
        <w:jc w:val="both"/>
        <w:rPr>
          <w:rFonts w:cstheme="minorHAnsi"/>
        </w:rPr>
      </w:pPr>
    </w:p>
    <w:p w14:paraId="7BF7370C" w14:textId="77777777" w:rsidR="00342695" w:rsidRPr="0087246C" w:rsidRDefault="00342695" w:rsidP="00466286">
      <w:pPr>
        <w:pStyle w:val="ListParagraph"/>
        <w:numPr>
          <w:ilvl w:val="0"/>
          <w:numId w:val="36"/>
        </w:numPr>
        <w:spacing w:before="0" w:beforeAutospacing="0" w:after="240" w:afterAutospacing="0"/>
        <w:jc w:val="both"/>
        <w:rPr>
          <w:rFonts w:asciiTheme="minorHAnsi" w:hAnsiTheme="minorHAnsi" w:cstheme="minorHAnsi"/>
          <w:sz w:val="22"/>
          <w:szCs w:val="22"/>
        </w:rPr>
      </w:pPr>
      <w:r w:rsidRPr="0087246C">
        <w:rPr>
          <w:rFonts w:asciiTheme="minorHAnsi" w:hAnsiTheme="minorHAnsi" w:cstheme="minorHAnsi"/>
          <w:color w:val="000000"/>
          <w:sz w:val="22"/>
          <w:szCs w:val="22"/>
        </w:rPr>
        <w:t xml:space="preserve">Conformément </w:t>
      </w:r>
      <w:r w:rsidRPr="0087246C">
        <w:rPr>
          <w:rFonts w:asciiTheme="minorHAnsi" w:hAnsiTheme="minorHAnsi" w:cstheme="minorHAnsi"/>
          <w:sz w:val="22"/>
          <w:szCs w:val="22"/>
        </w:rPr>
        <w:t xml:space="preserve">aux dispositions relatives à un contrat individuel considéré comme accord-cadre, toute approbation d’une telle liste par un Comité consultatif régional des achats ou un Comité consultatif des achats n’est valable que pendant trois ans. Par la suite, l’unité administrative soumettra à nouveau le cas, en indiquant toute autre modification découlant des enseignements tirés. </w:t>
      </w:r>
    </w:p>
    <w:p w14:paraId="5607B3C8" w14:textId="77777777" w:rsidR="00342695" w:rsidRPr="0087246C" w:rsidRDefault="00342695" w:rsidP="00466286">
      <w:pPr>
        <w:pStyle w:val="ListParagraph"/>
        <w:numPr>
          <w:ilvl w:val="0"/>
          <w:numId w:val="36"/>
        </w:numPr>
        <w:spacing w:before="0" w:beforeAutospacing="0" w:after="240" w:afterAutospacing="0"/>
        <w:jc w:val="both"/>
        <w:rPr>
          <w:rFonts w:asciiTheme="minorHAnsi" w:hAnsiTheme="minorHAnsi" w:cstheme="minorHAnsi"/>
          <w:sz w:val="22"/>
          <w:szCs w:val="22"/>
        </w:rPr>
      </w:pPr>
      <w:r w:rsidRPr="0087246C">
        <w:rPr>
          <w:rFonts w:asciiTheme="minorHAnsi" w:hAnsiTheme="minorHAnsi" w:cstheme="minorHAnsi"/>
          <w:color w:val="000000"/>
          <w:sz w:val="22"/>
          <w:szCs w:val="22"/>
        </w:rPr>
        <w:t>Les</w:t>
      </w:r>
      <w:r w:rsidRPr="0087246C">
        <w:rPr>
          <w:rFonts w:asciiTheme="minorHAnsi" w:hAnsiTheme="minorHAnsi" w:cstheme="minorHAnsi"/>
          <w:sz w:val="22"/>
          <w:szCs w:val="22"/>
        </w:rPr>
        <w:t xml:space="preserve"> seuils des honoraires journaliers, des montants cumulatifs des contrats et des limites de durée s’appliquent à tous les contrats individuels établis à partir d’une liste de candidats approuvée au préalable. </w:t>
      </w:r>
    </w:p>
    <w:p w14:paraId="0088D335" w14:textId="37C1AE59" w:rsidR="00342695" w:rsidRPr="0087246C" w:rsidRDefault="00342695" w:rsidP="00342695">
      <w:pPr>
        <w:pStyle w:val="Calibri11"/>
        <w:numPr>
          <w:ilvl w:val="0"/>
          <w:numId w:val="0"/>
        </w:numPr>
        <w:jc w:val="both"/>
        <w:rPr>
          <w:rFonts w:asciiTheme="minorHAnsi" w:hAnsiTheme="minorHAnsi" w:cstheme="minorHAnsi"/>
          <w:szCs w:val="22"/>
        </w:rPr>
      </w:pPr>
      <w:bookmarkStart w:id="83" w:name="_Toc208574120"/>
      <w:r w:rsidRPr="0087246C">
        <w:rPr>
          <w:rFonts w:asciiTheme="minorHAnsi" w:hAnsiTheme="minorHAnsi" w:cstheme="minorHAnsi"/>
          <w:szCs w:val="22"/>
        </w:rPr>
        <w:t>Administration des déplacements des consultants</w:t>
      </w:r>
      <w:bookmarkEnd w:id="83"/>
    </w:p>
    <w:p w14:paraId="1C1B39AD" w14:textId="77777777" w:rsidR="00342695" w:rsidRPr="0087246C" w:rsidRDefault="00342695" w:rsidP="00342695">
      <w:pPr>
        <w:pStyle w:val="Calibri11a"/>
        <w:numPr>
          <w:ilvl w:val="0"/>
          <w:numId w:val="0"/>
        </w:numPr>
        <w:tabs>
          <w:tab w:val="clear" w:pos="900"/>
        </w:tabs>
        <w:jc w:val="both"/>
        <w:rPr>
          <w:rFonts w:asciiTheme="minorHAnsi" w:hAnsiTheme="minorHAnsi" w:cstheme="minorHAnsi"/>
          <w:szCs w:val="22"/>
        </w:rPr>
      </w:pPr>
      <w:bookmarkStart w:id="84" w:name="_Toc208574121"/>
      <w:r w:rsidRPr="0087246C">
        <w:rPr>
          <w:rFonts w:asciiTheme="minorHAnsi" w:hAnsiTheme="minorHAnsi" w:cstheme="minorHAnsi"/>
          <w:szCs w:val="22"/>
        </w:rPr>
        <w:t>Modes de déplacement des consultants</w:t>
      </w:r>
      <w:bookmarkEnd w:id="84"/>
    </w:p>
    <w:p w14:paraId="5B8055C6" w14:textId="77777777" w:rsidR="00342695" w:rsidRPr="0087246C" w:rsidRDefault="00342695" w:rsidP="00342695">
      <w:pPr>
        <w:jc w:val="both"/>
        <w:rPr>
          <w:rFonts w:cstheme="minorHAnsi"/>
        </w:rPr>
      </w:pPr>
    </w:p>
    <w:p w14:paraId="65676D8C" w14:textId="77777777" w:rsidR="00342695" w:rsidRPr="0087246C" w:rsidRDefault="00342695" w:rsidP="00466286">
      <w:pPr>
        <w:pStyle w:val="ListParagraph"/>
        <w:numPr>
          <w:ilvl w:val="0"/>
          <w:numId w:val="36"/>
        </w:numPr>
        <w:spacing w:before="0" w:beforeAutospacing="0" w:after="240" w:afterAutospacing="0"/>
        <w:jc w:val="both"/>
        <w:rPr>
          <w:rFonts w:asciiTheme="minorHAnsi" w:hAnsiTheme="minorHAnsi" w:cstheme="minorHAnsi"/>
          <w:color w:val="333333"/>
          <w:sz w:val="22"/>
          <w:szCs w:val="22"/>
        </w:rPr>
      </w:pPr>
      <w:r w:rsidRPr="0087246C">
        <w:rPr>
          <w:rFonts w:asciiTheme="minorHAnsi" w:hAnsiTheme="minorHAnsi" w:cstheme="minorHAnsi"/>
          <w:sz w:val="22"/>
          <w:szCs w:val="22"/>
        </w:rPr>
        <w:t xml:space="preserve">Deux types de déplacements peuvent s’appliquer aux consultants : </w:t>
      </w:r>
    </w:p>
    <w:p w14:paraId="4BE2897F" w14:textId="77777777" w:rsidR="00342695" w:rsidRPr="0087246C" w:rsidRDefault="00342695" w:rsidP="00342695">
      <w:pPr>
        <w:pStyle w:val="ListParagraph"/>
        <w:numPr>
          <w:ilvl w:val="0"/>
          <w:numId w:val="34"/>
        </w:numPr>
        <w:shd w:val="clear" w:color="auto" w:fill="FFFFFF"/>
        <w:spacing w:after="0"/>
        <w:contextualSpacing/>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u w:val="single"/>
        </w:rPr>
        <w:t>Les voyages en mission</w:t>
      </w:r>
      <w:r w:rsidRPr="0087246C">
        <w:rPr>
          <w:rFonts w:asciiTheme="minorHAnsi" w:hAnsiTheme="minorHAnsi" w:cstheme="minorHAnsi"/>
          <w:color w:val="000000"/>
          <w:sz w:val="22"/>
          <w:szCs w:val="22"/>
        </w:rPr>
        <w:t xml:space="preserve">, qui sont généralement définis comme des déplacements requis dans le cadre de l’exercice des fonctions prévues dans le contrat. Ce type de déplacement s’effectue normalement, dans les deux sens, entre le lieu d’affectation et le lieu de mission. </w:t>
      </w:r>
    </w:p>
    <w:p w14:paraId="4CC1ADB8" w14:textId="77777777" w:rsidR="00342695" w:rsidRPr="0087246C" w:rsidRDefault="00342695" w:rsidP="00342695">
      <w:pPr>
        <w:pStyle w:val="ListParagraph"/>
        <w:numPr>
          <w:ilvl w:val="0"/>
          <w:numId w:val="34"/>
        </w:numPr>
        <w:shd w:val="clear" w:color="auto" w:fill="FFFFFF"/>
        <w:spacing w:after="0"/>
        <w:contextualSpacing/>
        <w:jc w:val="both"/>
        <w:textAlignment w:val="top"/>
        <w:rPr>
          <w:rFonts w:asciiTheme="minorHAnsi" w:hAnsiTheme="minorHAnsi" w:cstheme="minorHAnsi"/>
          <w:color w:val="000000"/>
          <w:sz w:val="22"/>
          <w:szCs w:val="22"/>
        </w:rPr>
      </w:pPr>
      <w:r w:rsidRPr="0087246C">
        <w:rPr>
          <w:rFonts w:asciiTheme="minorHAnsi" w:hAnsiTheme="minorHAnsi" w:cstheme="minorHAnsi"/>
          <w:color w:val="000000"/>
          <w:sz w:val="22"/>
          <w:szCs w:val="22"/>
          <w:u w:val="single"/>
        </w:rPr>
        <w:t>Voyage de ralliement au lieu d’affectation/rapatriement</w:t>
      </w:r>
      <w:r w:rsidRPr="0087246C">
        <w:rPr>
          <w:rFonts w:asciiTheme="minorHAnsi" w:hAnsiTheme="minorHAnsi" w:cstheme="minorHAnsi"/>
          <w:color w:val="000000"/>
          <w:sz w:val="22"/>
          <w:szCs w:val="22"/>
        </w:rPr>
        <w:t xml:space="preserve">. Ce type de déplacement ne s’applique qu’aux consultants qui ne résident pas sur le lieu d’affectation au moment de leur embauche. Il ne s’applique qu’aux consultants obligés de voyager pour rallier leur lieu d’affectation et pour ensuite en repartir. Elle ne s’applique pas aux personnes qui travaillent à domicile, qui sont déjà sur le lieu d’affectation, quelle qu’en soit la raison, qui y sont à cause d’un autre contrat individuel ou d’une modification de celui-ci, que ce soit pour un projet ou des termes de référence différents ; ou qui choisissent par écrit de rester sur le lieu d’affectation à l’issue d’un contrat individuel. </w:t>
      </w:r>
    </w:p>
    <w:p w14:paraId="3D324ADA" w14:textId="77777777" w:rsidR="00342695" w:rsidRPr="0087246C" w:rsidRDefault="00342695" w:rsidP="00342695">
      <w:pPr>
        <w:pStyle w:val="ListParagraph"/>
        <w:shd w:val="clear" w:color="auto" w:fill="FFFFFF"/>
        <w:spacing w:before="0" w:beforeAutospacing="0" w:after="0" w:afterAutospacing="0"/>
        <w:ind w:left="720"/>
        <w:contextualSpacing/>
        <w:jc w:val="both"/>
        <w:textAlignment w:val="top"/>
        <w:rPr>
          <w:rFonts w:asciiTheme="minorHAnsi" w:hAnsiTheme="minorHAnsi" w:cstheme="minorHAnsi"/>
          <w:color w:val="000000"/>
          <w:sz w:val="22"/>
          <w:szCs w:val="22"/>
        </w:rPr>
      </w:pPr>
    </w:p>
    <w:p w14:paraId="4D6E7352" w14:textId="77777777" w:rsidR="00342695" w:rsidRPr="0087246C" w:rsidRDefault="00342695" w:rsidP="00466286">
      <w:pPr>
        <w:pStyle w:val="ListParagraph"/>
        <w:numPr>
          <w:ilvl w:val="0"/>
          <w:numId w:val="36"/>
        </w:numPr>
        <w:spacing w:before="0" w:beforeAutospacing="0" w:after="240" w:afterAutospacing="0"/>
        <w:jc w:val="both"/>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Le report d’un nouveau contrat individuel à l’effet de créer une rupture inutile entre les contrats n’a aucun effet sur l’inéligibilité d’une personne à voyager. </w:t>
      </w:r>
    </w:p>
    <w:p w14:paraId="214B00BC" w14:textId="2FF550BF" w:rsidR="00342695" w:rsidRPr="0087246C" w:rsidRDefault="00342695" w:rsidP="00342695">
      <w:pPr>
        <w:pStyle w:val="Calibri11a"/>
        <w:numPr>
          <w:ilvl w:val="0"/>
          <w:numId w:val="0"/>
        </w:numPr>
        <w:tabs>
          <w:tab w:val="clear" w:pos="900"/>
        </w:tabs>
        <w:jc w:val="both"/>
        <w:rPr>
          <w:rFonts w:asciiTheme="minorHAnsi" w:hAnsiTheme="minorHAnsi" w:cstheme="minorHAnsi"/>
          <w:szCs w:val="22"/>
        </w:rPr>
      </w:pPr>
      <w:bookmarkStart w:id="85" w:name="_Toc208574122"/>
      <w:r w:rsidRPr="0087246C">
        <w:rPr>
          <w:rFonts w:asciiTheme="minorHAnsi" w:hAnsiTheme="minorHAnsi" w:cstheme="minorHAnsi"/>
          <w:szCs w:val="22"/>
        </w:rPr>
        <w:t>Budgétisation des déplacements</w:t>
      </w:r>
      <w:bookmarkEnd w:id="85"/>
    </w:p>
    <w:p w14:paraId="5567EE02" w14:textId="77777777" w:rsidR="00342695" w:rsidRPr="0087246C" w:rsidRDefault="00342695" w:rsidP="00342695">
      <w:pPr>
        <w:shd w:val="clear" w:color="auto" w:fill="FFFFFF"/>
        <w:spacing w:after="0" w:line="240" w:lineRule="auto"/>
        <w:jc w:val="both"/>
        <w:textAlignment w:val="top"/>
        <w:rPr>
          <w:rFonts w:eastAsia="Times New Roman" w:cstheme="minorHAnsi"/>
          <w:color w:val="000000"/>
        </w:rPr>
      </w:pPr>
    </w:p>
    <w:p w14:paraId="0F22A808" w14:textId="77777777" w:rsidR="00342695" w:rsidRPr="0087246C" w:rsidRDefault="00342695" w:rsidP="00466286">
      <w:pPr>
        <w:pStyle w:val="ListParagraph"/>
        <w:numPr>
          <w:ilvl w:val="0"/>
          <w:numId w:val="36"/>
        </w:numPr>
        <w:spacing w:before="0" w:beforeAutospacing="0" w:after="240" w:afterAutospacing="0"/>
        <w:jc w:val="both"/>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Tous les frais de déplacement prévus doivent être inclus dans la proposition financière initiale. Sont inclus tous les voyages en mission, les voyages pour rallier le lieu d’affectation et le rapatriement. Tout voyage en mission anticipé doit figurer dans les termes de référence afin d’être inclus dans la proposition financière. En cas de </w:t>
      </w:r>
      <w:r w:rsidRPr="0087246C">
        <w:rPr>
          <w:rFonts w:asciiTheme="minorHAnsi" w:hAnsiTheme="minorHAnsi" w:cstheme="minorHAnsi"/>
          <w:color w:val="000000"/>
          <w:sz w:val="22"/>
          <w:szCs w:val="22"/>
          <w:u w:val="single"/>
        </w:rPr>
        <w:t>voyage imprévu</w:t>
      </w:r>
      <w:r w:rsidRPr="0087246C">
        <w:rPr>
          <w:rFonts w:asciiTheme="minorHAnsi" w:hAnsiTheme="minorHAnsi" w:cstheme="minorHAnsi"/>
          <w:color w:val="000000"/>
          <w:sz w:val="22"/>
          <w:szCs w:val="22"/>
        </w:rPr>
        <w:t xml:space="preserve">, l’unité administrative concernée et le consultant doivent convenir, avant le voyage, de la manière dont les frais de </w:t>
      </w:r>
      <w:r w:rsidRPr="0087246C">
        <w:rPr>
          <w:rFonts w:asciiTheme="minorHAnsi" w:hAnsiTheme="minorHAnsi" w:cstheme="minorHAnsi"/>
          <w:color w:val="000000"/>
          <w:sz w:val="22"/>
          <w:szCs w:val="22"/>
        </w:rPr>
        <w:lastRenderedPageBreak/>
        <w:t>déplacement, y compris les billets, le logement et les faux frais au départ et à l’arrivée, seront remboursés .</w:t>
      </w:r>
    </w:p>
    <w:p w14:paraId="3F950490" w14:textId="77777777" w:rsidR="00342695" w:rsidRPr="0087246C" w:rsidRDefault="00342695" w:rsidP="00466286">
      <w:pPr>
        <w:pStyle w:val="ListParagraph"/>
        <w:numPr>
          <w:ilvl w:val="0"/>
          <w:numId w:val="36"/>
        </w:numPr>
        <w:spacing w:before="0" w:beforeAutospacing="0" w:after="240" w:afterAutospacing="0"/>
        <w:jc w:val="both"/>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Quel que soit l’objet du voyage, le prix en vigueur pour un billet en classe économique sur les itinéraires les plus directs s’applique à tous les consultants. De manière générale, le PNUD ne doit pas accepter des frais de déplacement supérieurs à ceux d’un billet plein tarif en classe économique. Les consultants qui souhaitent passer en classe affaires ou en première classe doivent le faire à leurs propres frais. </w:t>
      </w:r>
    </w:p>
    <w:p w14:paraId="52DCD0FE" w14:textId="77777777" w:rsidR="00342695" w:rsidRPr="0087246C" w:rsidRDefault="00342695" w:rsidP="00466286">
      <w:pPr>
        <w:pStyle w:val="ListParagraph"/>
        <w:numPr>
          <w:ilvl w:val="0"/>
          <w:numId w:val="36"/>
        </w:numPr>
        <w:spacing w:before="0" w:beforeAutospacing="0" w:after="240" w:afterAutospacing="0"/>
        <w:jc w:val="both"/>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À titre exceptionnel, le Chef de la section des achats du PNUD (ou les fonctionnaires délégués) peut autoriser des voyages en classe affaires si les conditions de voyage relèvent de l’une des circonstances spéciales autorisées par le Secrétaire général de l’ONU conformément au document </w:t>
      </w:r>
      <w:hyperlink r:id="rId41" w:tgtFrame="_blank" w:history="1">
        <w:r w:rsidRPr="0087246C">
          <w:rPr>
            <w:rFonts w:asciiTheme="minorHAnsi" w:hAnsiTheme="minorHAnsi" w:cstheme="minorHAnsi"/>
            <w:color w:val="0072BC"/>
            <w:sz w:val="22"/>
            <w:szCs w:val="22"/>
            <w:u w:val="single"/>
          </w:rPr>
          <w:t>A/67/356</w:t>
        </w:r>
      </w:hyperlink>
      <w:r w:rsidRPr="0087246C">
        <w:rPr>
          <w:rFonts w:asciiTheme="minorHAnsi" w:hAnsiTheme="minorHAnsi" w:cstheme="minorHAnsi"/>
          <w:color w:val="000000"/>
          <w:sz w:val="22"/>
          <w:szCs w:val="22"/>
        </w:rPr>
        <w:t>.</w:t>
      </w:r>
    </w:p>
    <w:p w14:paraId="7C4A8174" w14:textId="5678EBAF" w:rsidR="00342695" w:rsidRPr="0087246C" w:rsidRDefault="00342695" w:rsidP="00466286">
      <w:pPr>
        <w:pStyle w:val="ListParagraph"/>
        <w:numPr>
          <w:ilvl w:val="0"/>
          <w:numId w:val="36"/>
        </w:numPr>
        <w:spacing w:before="0" w:beforeAutospacing="0" w:after="240" w:afterAutospacing="0"/>
        <w:jc w:val="both"/>
        <w:rPr>
          <w:rFonts w:asciiTheme="minorHAnsi" w:hAnsiTheme="minorHAnsi" w:cstheme="minorHAnsi"/>
          <w:color w:val="000000"/>
          <w:sz w:val="22"/>
          <w:szCs w:val="22"/>
        </w:rPr>
      </w:pPr>
      <w:r w:rsidRPr="0087246C">
        <w:rPr>
          <w:rFonts w:asciiTheme="minorHAnsi" w:hAnsiTheme="minorHAnsi" w:cstheme="minorHAnsi"/>
          <w:color w:val="000000"/>
          <w:sz w:val="22"/>
          <w:szCs w:val="22"/>
        </w:rPr>
        <w:t>Pour toutes exceptions, les documents justificatifs y compris le</w:t>
      </w:r>
      <w:r w:rsidR="00A25E15">
        <w:rPr>
          <w:rFonts w:asciiTheme="minorHAnsi" w:hAnsiTheme="minorHAnsi" w:cstheme="minorHAnsi"/>
          <w:color w:val="000000"/>
          <w:sz w:val="22"/>
          <w:szCs w:val="22"/>
        </w:rPr>
        <w:t xml:space="preserve"> </w:t>
      </w:r>
      <w:hyperlink r:id="rId42" w:tgtFrame="_blank" w:history="1">
        <w:r w:rsidR="00A25E15">
          <w:rPr>
            <w:rFonts w:asciiTheme="minorHAnsi" w:hAnsiTheme="minorHAnsi" w:cstheme="minorHAnsi"/>
            <w:color w:val="0072BC"/>
            <w:sz w:val="22"/>
            <w:szCs w:val="22"/>
            <w:u w:val="single"/>
          </w:rPr>
          <w:t>TTS3-E</w:t>
        </w:r>
      </w:hyperlink>
      <w:r w:rsidRPr="0087246C">
        <w:rPr>
          <w:rFonts w:asciiTheme="minorHAnsi" w:hAnsiTheme="minorHAnsi" w:cstheme="minorHAnsi"/>
          <w:color w:val="000000"/>
          <w:sz w:val="22"/>
          <w:szCs w:val="22"/>
        </w:rPr>
        <w:t> sont soumis au Chef de la division des services administratifs du Bureau de Gestion.</w:t>
      </w:r>
    </w:p>
    <w:p w14:paraId="51552F88" w14:textId="77777777" w:rsidR="00342695" w:rsidRPr="0087246C" w:rsidRDefault="00342695" w:rsidP="00466286">
      <w:pPr>
        <w:pStyle w:val="ListParagraph"/>
        <w:numPr>
          <w:ilvl w:val="0"/>
          <w:numId w:val="36"/>
        </w:numPr>
        <w:spacing w:before="0" w:beforeAutospacing="0" w:after="240" w:afterAutospacing="0"/>
        <w:jc w:val="both"/>
        <w:rPr>
          <w:rFonts w:asciiTheme="minorHAnsi" w:hAnsiTheme="minorHAnsi" w:cstheme="minorHAnsi"/>
          <w:color w:val="000000"/>
          <w:sz w:val="22"/>
          <w:szCs w:val="22"/>
        </w:rPr>
      </w:pPr>
      <w:r w:rsidRPr="0087246C">
        <w:rPr>
          <w:rFonts w:asciiTheme="minorHAnsi" w:hAnsiTheme="minorHAnsi" w:cstheme="minorHAnsi"/>
          <w:color w:val="000000"/>
          <w:sz w:val="22"/>
          <w:szCs w:val="22"/>
        </w:rPr>
        <w:t>Étant donné que les consultants ne font pas partie du personnel, le PNUD n’est pas tenu de leur verser les indemnités de voyage qui leur sont généralement accordées. </w:t>
      </w:r>
    </w:p>
    <w:p w14:paraId="4C0D5FEE" w14:textId="5DCA2393" w:rsidR="00342695" w:rsidRPr="0087246C" w:rsidRDefault="00342695" w:rsidP="00342695">
      <w:pPr>
        <w:pStyle w:val="Calibri11a"/>
        <w:numPr>
          <w:ilvl w:val="0"/>
          <w:numId w:val="0"/>
        </w:numPr>
        <w:tabs>
          <w:tab w:val="clear" w:pos="900"/>
        </w:tabs>
        <w:jc w:val="both"/>
        <w:rPr>
          <w:rFonts w:asciiTheme="minorHAnsi" w:hAnsiTheme="minorHAnsi" w:cstheme="minorHAnsi"/>
          <w:szCs w:val="22"/>
        </w:rPr>
      </w:pPr>
      <w:bookmarkStart w:id="86" w:name="_Toc208574123"/>
      <w:r w:rsidRPr="0087246C">
        <w:rPr>
          <w:rFonts w:asciiTheme="minorHAnsi" w:hAnsiTheme="minorHAnsi" w:cstheme="minorHAnsi"/>
          <w:szCs w:val="22"/>
        </w:rPr>
        <w:t>Frais de déplacement</w:t>
      </w:r>
      <w:bookmarkEnd w:id="86"/>
    </w:p>
    <w:p w14:paraId="3825FA0A" w14:textId="77777777" w:rsidR="00342695" w:rsidRPr="0087246C" w:rsidRDefault="00342695" w:rsidP="00342695">
      <w:pPr>
        <w:shd w:val="clear" w:color="auto" w:fill="FFFFFF"/>
        <w:spacing w:after="0" w:line="240" w:lineRule="auto"/>
        <w:jc w:val="both"/>
        <w:textAlignment w:val="top"/>
        <w:rPr>
          <w:rFonts w:eastAsia="Times New Roman" w:cstheme="minorHAnsi"/>
          <w:color w:val="000000"/>
        </w:rPr>
      </w:pPr>
    </w:p>
    <w:p w14:paraId="23F61D8A" w14:textId="77777777" w:rsidR="00342695" w:rsidRPr="0087246C" w:rsidRDefault="00342695" w:rsidP="00466286">
      <w:pPr>
        <w:pStyle w:val="ListParagraph"/>
        <w:numPr>
          <w:ilvl w:val="0"/>
          <w:numId w:val="36"/>
        </w:numPr>
        <w:spacing w:before="0" w:beforeAutospacing="0" w:after="240" w:afterAutospacing="0"/>
        <w:jc w:val="both"/>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Les paiements destinés à couvrir les frais de déplacement peuvent être effectués soit sous la forme d’une somme forfaitaire correspondant à 100 % des frais de déplacement prévus avant le voyage, soit remboursés au consultant sur présentation d’une demande de remboursement des frais de déplacement (formulaire F-10) et de tous les documents justificatifs nécessaires. La préférence de l’unité administrative doit être indiquée dans les termes de référence. </w:t>
      </w:r>
    </w:p>
    <w:p w14:paraId="33D7EAAF" w14:textId="77777777" w:rsidR="00342695" w:rsidRPr="0087246C" w:rsidRDefault="00342695" w:rsidP="00466286">
      <w:pPr>
        <w:pStyle w:val="ListParagraph"/>
        <w:numPr>
          <w:ilvl w:val="0"/>
          <w:numId w:val="36"/>
        </w:numPr>
        <w:spacing w:before="0" w:beforeAutospacing="0" w:after="240" w:afterAutospacing="0"/>
        <w:jc w:val="both"/>
        <w:rPr>
          <w:rFonts w:asciiTheme="minorHAnsi" w:hAnsiTheme="minorHAnsi" w:cstheme="minorHAnsi"/>
          <w:color w:val="000000"/>
          <w:sz w:val="22"/>
          <w:szCs w:val="22"/>
        </w:rPr>
      </w:pPr>
      <w:r w:rsidRPr="0087246C">
        <w:rPr>
          <w:rFonts w:asciiTheme="minorHAnsi" w:hAnsiTheme="minorHAnsi" w:cstheme="minorHAnsi"/>
          <w:color w:val="000000"/>
          <w:sz w:val="22"/>
          <w:szCs w:val="22"/>
        </w:rPr>
        <w:t>Lorsque le consultant se charge de ses propres frais de déplacement dans le cadre des honoraires forfaitaires, il n’est pas tenu de présenter une demande de remboursement au moyen d’un formulaire F-10. </w:t>
      </w:r>
    </w:p>
    <w:p w14:paraId="7D531436" w14:textId="22B6E749" w:rsidR="00342695" w:rsidRPr="0087246C" w:rsidRDefault="00342695" w:rsidP="00342695">
      <w:pPr>
        <w:pStyle w:val="Calibri11a"/>
        <w:numPr>
          <w:ilvl w:val="0"/>
          <w:numId w:val="0"/>
        </w:numPr>
        <w:tabs>
          <w:tab w:val="clear" w:pos="900"/>
        </w:tabs>
        <w:jc w:val="both"/>
        <w:rPr>
          <w:rFonts w:asciiTheme="minorHAnsi" w:hAnsiTheme="minorHAnsi" w:cstheme="minorHAnsi"/>
          <w:szCs w:val="22"/>
        </w:rPr>
      </w:pPr>
      <w:bookmarkStart w:id="87" w:name="_Toc208574124"/>
      <w:r w:rsidRPr="0087246C">
        <w:rPr>
          <w:rFonts w:asciiTheme="minorHAnsi" w:hAnsiTheme="minorHAnsi" w:cstheme="minorHAnsi"/>
          <w:szCs w:val="22"/>
        </w:rPr>
        <w:t>Négociations relatives aux voyages aériens imprévus et aux indemnités de subsistance</w:t>
      </w:r>
      <w:bookmarkEnd w:id="87"/>
    </w:p>
    <w:p w14:paraId="773B573F" w14:textId="77777777" w:rsidR="00342695" w:rsidRPr="0087246C" w:rsidRDefault="00342695" w:rsidP="00342695">
      <w:pPr>
        <w:shd w:val="clear" w:color="auto" w:fill="FFFFFF"/>
        <w:spacing w:after="0" w:line="240" w:lineRule="auto"/>
        <w:jc w:val="both"/>
        <w:textAlignment w:val="top"/>
        <w:rPr>
          <w:rFonts w:eastAsia="Times New Roman" w:cstheme="minorHAnsi"/>
          <w:color w:val="000000"/>
        </w:rPr>
      </w:pPr>
    </w:p>
    <w:p w14:paraId="3A8F0100" w14:textId="77777777" w:rsidR="00342695" w:rsidRPr="0087246C" w:rsidRDefault="00342695" w:rsidP="00466286">
      <w:pPr>
        <w:pStyle w:val="ListParagraph"/>
        <w:numPr>
          <w:ilvl w:val="0"/>
          <w:numId w:val="36"/>
        </w:numPr>
        <w:spacing w:before="0" w:beforeAutospacing="0" w:after="240" w:afterAutospacing="0"/>
        <w:jc w:val="both"/>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Le coût et les modalités de remboursement de tout voyage aérien imprévu autorisé par le PNUD en ce qui concerne les consultants, doivent être négociés avant le déplacement. Le consultant doit indiquer par écrit qu’il/elle est disposé(e) à entreprendre ce voyage imprévu avant la date prévue. </w:t>
      </w:r>
    </w:p>
    <w:p w14:paraId="1B26333F" w14:textId="77777777" w:rsidR="00342695" w:rsidRDefault="00342695" w:rsidP="00466286">
      <w:pPr>
        <w:pStyle w:val="ListParagraph"/>
        <w:numPr>
          <w:ilvl w:val="0"/>
          <w:numId w:val="36"/>
        </w:numPr>
        <w:spacing w:before="0" w:beforeAutospacing="0" w:after="240" w:afterAutospacing="0"/>
        <w:jc w:val="both"/>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Les règles régissant ces voyages sont les mêmes que celles décrites dans la section Budgétisation des déplacements. Tous les autres coûts connexes sont calculés au prorata des éléments de coût pertinents indiqués dans la proposition financière initiale. Lorsque ces coûts prennent en compte les indemnités de subsistance, les taux d’indemnité de subsistance journaliers du PNUD peuvent être appliqués ou utilisés comme référence dans l’annulation de ces taux. </w:t>
      </w:r>
    </w:p>
    <w:p w14:paraId="353564DD" w14:textId="77777777" w:rsidR="006E413E" w:rsidRPr="006E413E" w:rsidRDefault="006E413E" w:rsidP="006E413E">
      <w:pPr>
        <w:spacing w:after="240"/>
        <w:jc w:val="both"/>
        <w:rPr>
          <w:rFonts w:cstheme="minorHAnsi"/>
          <w:color w:val="000000"/>
        </w:rPr>
      </w:pPr>
    </w:p>
    <w:p w14:paraId="2388ADFD" w14:textId="77F841D2" w:rsidR="00342695" w:rsidRPr="0087246C" w:rsidRDefault="00342695" w:rsidP="00342695">
      <w:pPr>
        <w:pStyle w:val="Calibri11a"/>
        <w:numPr>
          <w:ilvl w:val="0"/>
          <w:numId w:val="0"/>
        </w:numPr>
        <w:tabs>
          <w:tab w:val="clear" w:pos="900"/>
        </w:tabs>
        <w:jc w:val="both"/>
        <w:rPr>
          <w:rFonts w:asciiTheme="minorHAnsi" w:hAnsiTheme="minorHAnsi" w:cstheme="minorHAnsi"/>
          <w:szCs w:val="22"/>
        </w:rPr>
      </w:pPr>
      <w:bookmarkStart w:id="88" w:name="_Toc208574125"/>
      <w:r w:rsidRPr="0087246C">
        <w:rPr>
          <w:rFonts w:asciiTheme="minorHAnsi" w:hAnsiTheme="minorHAnsi" w:cstheme="minorHAnsi"/>
          <w:szCs w:val="22"/>
        </w:rPr>
        <w:lastRenderedPageBreak/>
        <w:t>Visa et documents de voyage</w:t>
      </w:r>
      <w:bookmarkEnd w:id="88"/>
    </w:p>
    <w:p w14:paraId="4D877BEE" w14:textId="77777777" w:rsidR="00342695" w:rsidRPr="0087246C" w:rsidRDefault="00342695" w:rsidP="00342695">
      <w:pPr>
        <w:shd w:val="clear" w:color="auto" w:fill="FFFFFF"/>
        <w:spacing w:after="0" w:line="240" w:lineRule="auto"/>
        <w:jc w:val="both"/>
        <w:textAlignment w:val="top"/>
        <w:rPr>
          <w:rFonts w:eastAsia="Times New Roman" w:cstheme="minorHAnsi"/>
        </w:rPr>
      </w:pPr>
    </w:p>
    <w:p w14:paraId="61AA3C11" w14:textId="77777777" w:rsidR="00342695" w:rsidRPr="0087246C" w:rsidRDefault="00342695" w:rsidP="00466286">
      <w:pPr>
        <w:pStyle w:val="ListParagraph"/>
        <w:numPr>
          <w:ilvl w:val="0"/>
          <w:numId w:val="36"/>
        </w:numPr>
        <w:spacing w:before="0" w:beforeAutospacing="0" w:after="240" w:afterAutospacing="0"/>
        <w:jc w:val="both"/>
        <w:rPr>
          <w:rFonts w:asciiTheme="minorHAnsi" w:hAnsiTheme="minorHAnsi" w:cstheme="minorHAnsi"/>
          <w:sz w:val="22"/>
          <w:szCs w:val="22"/>
        </w:rPr>
      </w:pPr>
      <w:r w:rsidRPr="0087246C">
        <w:rPr>
          <w:rFonts w:asciiTheme="minorHAnsi" w:hAnsiTheme="minorHAnsi" w:cstheme="minorHAnsi"/>
          <w:sz w:val="22"/>
          <w:szCs w:val="22"/>
        </w:rPr>
        <w:t>Pour les consultants se trouvant en dehors du lieu d’affectation tel que désigné dans le contrat, le PNUD facilitera, à ses propres frais, l’obtention des visas et permis de travail nécessaire. Lorsque le lieu d’affectation se trouve aux États-Unis, un visa G-4 est exigé. Il accorde le statut de non-immigrant aux personnes employées par des organisations internationales en mission officielle aux États-Unis. Les autorités américaines de l’immigration obligent les personnes ayant le statut de visa G-4 à renoncer à tout autre statut de visa qu’elles auraient pu détenir auparavant dans ce pays. L’unité administrative qui engage le prestataire doit signaler son arrivée et son départ de la Mission des États-Unis auprès des Nations Unies au moyen du Questionnaire d’intégration du personnel contractuel (formulaire P.1/A) et éventuellement par un entretien de départ (formulaire P.18), respectivement.</w:t>
      </w:r>
    </w:p>
    <w:p w14:paraId="5ACF3383" w14:textId="77777777" w:rsidR="00342695" w:rsidRPr="0087246C" w:rsidRDefault="00342695" w:rsidP="00466286">
      <w:pPr>
        <w:pStyle w:val="ListParagraph"/>
        <w:numPr>
          <w:ilvl w:val="0"/>
          <w:numId w:val="36"/>
        </w:numPr>
        <w:spacing w:before="0" w:beforeAutospacing="0" w:after="240" w:afterAutospacing="0"/>
        <w:jc w:val="both"/>
        <w:rPr>
          <w:rFonts w:asciiTheme="minorHAnsi" w:hAnsiTheme="minorHAnsi" w:cstheme="minorHAnsi"/>
          <w:sz w:val="22"/>
          <w:szCs w:val="22"/>
        </w:rPr>
      </w:pPr>
      <w:r w:rsidRPr="0087246C">
        <w:rPr>
          <w:rFonts w:asciiTheme="minorHAnsi" w:hAnsiTheme="minorHAnsi" w:cstheme="minorHAnsi"/>
          <w:sz w:val="22"/>
          <w:szCs w:val="22"/>
        </w:rPr>
        <w:t xml:space="preserve">Aux fins d’identification, un certificat de l’ONU peut être délivré aux consultants qui voyagent sur autorisation et avec les fonds du PNUD, conformément à l’article 26 de la Convention sur les privilèges et immunités des Nations Unies du 13 février 1946, en utilisant le formulaire PT-64, </w:t>
      </w:r>
      <w:hyperlink r:id="rId43" w:tgtFrame="_blank" w:history="1">
        <w:r w:rsidRPr="0087246C">
          <w:rPr>
            <w:rFonts w:asciiTheme="minorHAnsi" w:hAnsiTheme="minorHAnsi" w:cstheme="minorHAnsi"/>
            <w:color w:val="0072BC"/>
            <w:sz w:val="22"/>
            <w:szCs w:val="22"/>
            <w:u w:val="single"/>
          </w:rPr>
          <w:t>Application for UN Certificate</w:t>
        </w:r>
      </w:hyperlink>
      <w:r w:rsidRPr="0087246C">
        <w:rPr>
          <w:rFonts w:asciiTheme="minorHAnsi" w:hAnsiTheme="minorHAnsi" w:cstheme="minorHAnsi"/>
          <w:sz w:val="22"/>
          <w:szCs w:val="22"/>
        </w:rPr>
        <w:t xml:space="preserve"> (demande de certificat de l’ONU).</w:t>
      </w:r>
    </w:p>
    <w:p w14:paraId="59F8128A" w14:textId="77777777" w:rsidR="00342695" w:rsidRPr="0087246C" w:rsidRDefault="00342695" w:rsidP="00466286">
      <w:pPr>
        <w:pStyle w:val="ListParagraph"/>
        <w:numPr>
          <w:ilvl w:val="0"/>
          <w:numId w:val="36"/>
        </w:numPr>
        <w:spacing w:before="0" w:beforeAutospacing="0" w:after="240" w:afterAutospacing="0"/>
        <w:jc w:val="both"/>
        <w:rPr>
          <w:rFonts w:asciiTheme="minorHAnsi" w:hAnsiTheme="minorHAnsi" w:cstheme="minorHAnsi"/>
          <w:sz w:val="22"/>
          <w:szCs w:val="22"/>
        </w:rPr>
      </w:pPr>
      <w:r w:rsidRPr="0087246C">
        <w:rPr>
          <w:rFonts w:asciiTheme="minorHAnsi" w:hAnsiTheme="minorHAnsi" w:cstheme="minorHAnsi"/>
          <w:sz w:val="22"/>
          <w:szCs w:val="22"/>
        </w:rPr>
        <w:t>Les consultants recrutés au niveau local sont responsables de tous les visas et permis de travail requis par les autorités locales avant d’entamer leur tâche avec le PNUD. Lorsqu’un voyage international est requis conformément aux termes de référence, le PNUD les aide à obtenir les visas nécessaires pour leur déplacement. L’unité administrative peut émettre une lettre indiquant que la personne s’est vu offrir un contrat afin de l’aider dans ce processus.</w:t>
      </w:r>
    </w:p>
    <w:p w14:paraId="5AB0E973" w14:textId="77777777" w:rsidR="00E9677F" w:rsidRPr="0087246C" w:rsidRDefault="00E9677F" w:rsidP="00E9677F">
      <w:pPr>
        <w:pStyle w:val="Calibri11a"/>
        <w:numPr>
          <w:ilvl w:val="0"/>
          <w:numId w:val="0"/>
        </w:numPr>
        <w:tabs>
          <w:tab w:val="clear" w:pos="900"/>
        </w:tabs>
        <w:jc w:val="both"/>
        <w:rPr>
          <w:rFonts w:asciiTheme="minorHAnsi" w:hAnsiTheme="minorHAnsi" w:cstheme="minorHAnsi"/>
          <w:szCs w:val="22"/>
        </w:rPr>
      </w:pPr>
      <w:bookmarkStart w:id="89" w:name="_Toc208574126"/>
      <w:r w:rsidRPr="0087246C">
        <w:rPr>
          <w:rFonts w:asciiTheme="minorHAnsi" w:hAnsiTheme="minorHAnsi" w:cstheme="minorHAnsi"/>
          <w:szCs w:val="22"/>
        </w:rPr>
        <w:t>Habilitation</w:t>
      </w:r>
      <w:r>
        <w:rPr>
          <w:rFonts w:asciiTheme="minorHAnsi" w:hAnsiTheme="minorHAnsi" w:cstheme="minorHAnsi"/>
          <w:szCs w:val="22"/>
        </w:rPr>
        <w:t>/Visa</w:t>
      </w:r>
      <w:r w:rsidRPr="0087246C">
        <w:rPr>
          <w:rFonts w:asciiTheme="minorHAnsi" w:hAnsiTheme="minorHAnsi" w:cstheme="minorHAnsi"/>
          <w:szCs w:val="22"/>
        </w:rPr>
        <w:t xml:space="preserve"> de sécurité</w:t>
      </w:r>
      <w:bookmarkEnd w:id="89"/>
    </w:p>
    <w:p w14:paraId="4FF8CD1F" w14:textId="77777777" w:rsidR="00E9677F" w:rsidRPr="0087246C" w:rsidRDefault="00E9677F" w:rsidP="00E9677F">
      <w:pPr>
        <w:shd w:val="clear" w:color="auto" w:fill="FFFFFF"/>
        <w:spacing w:after="0" w:line="240" w:lineRule="auto"/>
        <w:jc w:val="both"/>
        <w:textAlignment w:val="top"/>
        <w:rPr>
          <w:rFonts w:eastAsia="Times New Roman" w:cstheme="minorHAnsi"/>
        </w:rPr>
      </w:pPr>
    </w:p>
    <w:p w14:paraId="16E21121" w14:textId="77777777" w:rsidR="00E9677F" w:rsidRPr="008359A1" w:rsidRDefault="00E9677F" w:rsidP="00E9677F">
      <w:pPr>
        <w:pStyle w:val="ListParagraph"/>
        <w:numPr>
          <w:ilvl w:val="0"/>
          <w:numId w:val="36"/>
        </w:numPr>
        <w:spacing w:before="0" w:beforeAutospacing="0" w:after="240" w:afterAutospacing="0"/>
        <w:jc w:val="both"/>
        <w:rPr>
          <w:rFonts w:cstheme="minorHAnsi"/>
        </w:rPr>
      </w:pPr>
      <w:r w:rsidRPr="00D406F0">
        <w:rPr>
          <w:rFonts w:asciiTheme="minorHAnsi" w:hAnsiTheme="minorHAnsi" w:cstheme="minorHAnsi"/>
          <w:sz w:val="22"/>
          <w:szCs w:val="22"/>
        </w:rPr>
        <w:t xml:space="preserve">Les </w:t>
      </w:r>
      <w:bookmarkStart w:id="90" w:name="_Hlk64533096"/>
      <w:r w:rsidRPr="00D406F0">
        <w:rPr>
          <w:rFonts w:asciiTheme="minorHAnsi" w:hAnsiTheme="minorHAnsi" w:cstheme="minorHAnsi"/>
          <w:sz w:val="22"/>
          <w:szCs w:val="22"/>
        </w:rPr>
        <w:t>unités administratives du PNUD doivent veiller à ce que les consultants obtiennent une habilitation</w:t>
      </w:r>
      <w:r>
        <w:rPr>
          <w:rFonts w:asciiTheme="minorHAnsi" w:hAnsiTheme="minorHAnsi" w:cstheme="minorHAnsi"/>
          <w:sz w:val="22"/>
          <w:szCs w:val="22"/>
        </w:rPr>
        <w:t>/un visa</w:t>
      </w:r>
      <w:r w:rsidRPr="00D406F0">
        <w:rPr>
          <w:rFonts w:asciiTheme="minorHAnsi" w:hAnsiTheme="minorHAnsi" w:cstheme="minorHAnsi"/>
          <w:sz w:val="22"/>
          <w:szCs w:val="22"/>
        </w:rPr>
        <w:t xml:space="preserve"> de sécurité </w:t>
      </w:r>
      <w:r w:rsidRPr="00A36835">
        <w:rPr>
          <w:rFonts w:asciiTheme="minorHAnsi" w:hAnsiTheme="minorHAnsi" w:cstheme="minorHAnsi"/>
          <w:sz w:val="22"/>
          <w:szCs w:val="22"/>
        </w:rPr>
        <w:t>pour les voyages</w:t>
      </w:r>
      <w:r>
        <w:rPr>
          <w:rFonts w:asciiTheme="minorHAnsi" w:hAnsiTheme="minorHAnsi" w:cstheme="minorHAnsi"/>
          <w:sz w:val="22"/>
          <w:szCs w:val="22"/>
        </w:rPr>
        <w:t xml:space="preserve"> officiels</w:t>
      </w:r>
      <w:r w:rsidRPr="00A36835">
        <w:rPr>
          <w:rFonts w:asciiTheme="minorHAnsi" w:hAnsiTheme="minorHAnsi" w:cstheme="minorHAnsi"/>
          <w:sz w:val="22"/>
          <w:szCs w:val="22"/>
        </w:rPr>
        <w:t xml:space="preserve"> financés par le PNUD. La soumission des demandes d'habilitation de sécurité est la responsabilité personnelle du </w:t>
      </w:r>
      <w:r>
        <w:rPr>
          <w:rFonts w:asciiTheme="minorHAnsi" w:hAnsiTheme="minorHAnsi" w:cstheme="minorHAnsi"/>
          <w:sz w:val="22"/>
          <w:szCs w:val="22"/>
        </w:rPr>
        <w:t xml:space="preserve">consultant </w:t>
      </w:r>
      <w:r w:rsidRPr="00A36835">
        <w:rPr>
          <w:rFonts w:asciiTheme="minorHAnsi" w:hAnsiTheme="minorHAnsi" w:cstheme="minorHAnsi"/>
          <w:sz w:val="22"/>
          <w:szCs w:val="22"/>
        </w:rPr>
        <w:t xml:space="preserve"> et doit être demandée avant le voyage. Cette demande est soumise sur la plate-forme du processus d'information sur les demandes de voyage (TRIP) de l'UNDSS. </w:t>
      </w:r>
      <w:r>
        <w:rPr>
          <w:rStyle w:val="FootnoteReference"/>
          <w:rFonts w:asciiTheme="minorHAnsi" w:hAnsiTheme="minorHAnsi" w:cstheme="minorHAnsi"/>
          <w:sz w:val="22"/>
          <w:szCs w:val="22"/>
        </w:rPr>
        <w:footnoteReference w:id="4"/>
      </w:r>
    </w:p>
    <w:bookmarkEnd w:id="90"/>
    <w:p w14:paraId="46C5CD2F" w14:textId="1150CE77" w:rsidR="00E9677F" w:rsidRDefault="00E9677F" w:rsidP="00E9677F">
      <w:pPr>
        <w:pStyle w:val="ListParagraph"/>
        <w:numPr>
          <w:ilvl w:val="0"/>
          <w:numId w:val="36"/>
        </w:numPr>
        <w:spacing w:after="240"/>
        <w:jc w:val="both"/>
        <w:rPr>
          <w:rFonts w:asciiTheme="minorHAnsi" w:hAnsiTheme="minorHAnsi" w:cstheme="minorHAnsi"/>
          <w:sz w:val="22"/>
          <w:szCs w:val="22"/>
        </w:rPr>
      </w:pPr>
      <w:r w:rsidRPr="00133716">
        <w:rPr>
          <w:rFonts w:asciiTheme="minorHAnsi" w:hAnsiTheme="minorHAnsi" w:cstheme="minorHAnsi"/>
          <w:sz w:val="22"/>
          <w:szCs w:val="22"/>
        </w:rPr>
        <w:t xml:space="preserve">Les </w:t>
      </w:r>
      <w:r>
        <w:rPr>
          <w:rFonts w:asciiTheme="minorHAnsi" w:hAnsiTheme="minorHAnsi" w:cstheme="minorHAnsi"/>
          <w:sz w:val="22"/>
          <w:szCs w:val="22"/>
        </w:rPr>
        <w:t xml:space="preserve">consultants </w:t>
      </w:r>
      <w:r w:rsidRPr="00133716">
        <w:rPr>
          <w:rFonts w:asciiTheme="minorHAnsi" w:hAnsiTheme="minorHAnsi" w:cstheme="minorHAnsi"/>
          <w:sz w:val="22"/>
          <w:szCs w:val="22"/>
        </w:rPr>
        <w:t xml:space="preserve"> qui ne peuvent pas s'enregistrer dans TRIP doivent faire soumettre leur demande par l'unité </w:t>
      </w:r>
      <w:r>
        <w:rPr>
          <w:rFonts w:asciiTheme="minorHAnsi" w:hAnsiTheme="minorHAnsi" w:cstheme="minorHAnsi"/>
          <w:sz w:val="22"/>
          <w:szCs w:val="22"/>
        </w:rPr>
        <w:t xml:space="preserve">administrative </w:t>
      </w:r>
      <w:r w:rsidRPr="00133716">
        <w:rPr>
          <w:rFonts w:asciiTheme="minorHAnsi" w:hAnsiTheme="minorHAnsi" w:cstheme="minorHAnsi"/>
          <w:sz w:val="22"/>
          <w:szCs w:val="22"/>
        </w:rPr>
        <w:t xml:space="preserve"> hôte</w:t>
      </w:r>
      <w:r>
        <w:rPr>
          <w:rFonts w:asciiTheme="minorHAnsi" w:hAnsiTheme="minorHAnsi" w:cstheme="minorHAnsi"/>
          <w:sz w:val="22"/>
          <w:szCs w:val="22"/>
        </w:rPr>
        <w:t xml:space="preserve"> parrainant l’activité. </w:t>
      </w:r>
      <w:r w:rsidRPr="00133716">
        <w:rPr>
          <w:rFonts w:asciiTheme="minorHAnsi" w:hAnsiTheme="minorHAnsi" w:cstheme="minorHAnsi"/>
          <w:sz w:val="22"/>
          <w:szCs w:val="22"/>
        </w:rPr>
        <w:t xml:space="preserve"> Le BSAFE est un cours de formation en ligne sur la sensibilisation à la sécurité, obligatoire pour tout le personnel du PNUD, y compris les </w:t>
      </w:r>
      <w:r>
        <w:rPr>
          <w:rFonts w:asciiTheme="minorHAnsi" w:hAnsiTheme="minorHAnsi" w:cstheme="minorHAnsi"/>
          <w:sz w:val="22"/>
          <w:szCs w:val="22"/>
        </w:rPr>
        <w:t xml:space="preserve">consultants </w:t>
      </w:r>
      <w:r w:rsidRPr="00133716">
        <w:rPr>
          <w:rFonts w:asciiTheme="minorHAnsi" w:hAnsiTheme="minorHAnsi" w:cstheme="minorHAnsi"/>
          <w:sz w:val="22"/>
          <w:szCs w:val="22"/>
        </w:rPr>
        <w:t>, et constitue une condition préalable à l'approbation des demandes d'habilitation</w:t>
      </w:r>
      <w:r>
        <w:rPr>
          <w:rFonts w:asciiTheme="minorHAnsi" w:hAnsiTheme="minorHAnsi" w:cstheme="minorHAnsi"/>
          <w:sz w:val="22"/>
          <w:szCs w:val="22"/>
        </w:rPr>
        <w:t>/de visa</w:t>
      </w:r>
      <w:r w:rsidRPr="00133716">
        <w:rPr>
          <w:rFonts w:asciiTheme="minorHAnsi" w:hAnsiTheme="minorHAnsi" w:cstheme="minorHAnsi"/>
          <w:sz w:val="22"/>
          <w:szCs w:val="22"/>
        </w:rPr>
        <w:t xml:space="preserve"> de sécurité soumises, à l'exception des voyages de </w:t>
      </w:r>
      <w:r>
        <w:rPr>
          <w:rFonts w:asciiTheme="minorHAnsi" w:hAnsiTheme="minorHAnsi" w:cstheme="minorHAnsi"/>
          <w:sz w:val="22"/>
          <w:szCs w:val="22"/>
        </w:rPr>
        <w:t xml:space="preserve">prise de service </w:t>
      </w:r>
      <w:r w:rsidRPr="00133716">
        <w:rPr>
          <w:rFonts w:asciiTheme="minorHAnsi" w:hAnsiTheme="minorHAnsi" w:cstheme="minorHAnsi"/>
          <w:sz w:val="22"/>
          <w:szCs w:val="22"/>
        </w:rPr>
        <w:t xml:space="preserve">. Tous les </w:t>
      </w:r>
      <w:r>
        <w:rPr>
          <w:rFonts w:asciiTheme="minorHAnsi" w:hAnsiTheme="minorHAnsi" w:cstheme="minorHAnsi"/>
          <w:sz w:val="22"/>
          <w:szCs w:val="22"/>
        </w:rPr>
        <w:t xml:space="preserve">consultants </w:t>
      </w:r>
      <w:r w:rsidRPr="00133716">
        <w:rPr>
          <w:rFonts w:asciiTheme="minorHAnsi" w:hAnsiTheme="minorHAnsi" w:cstheme="minorHAnsi"/>
          <w:sz w:val="22"/>
          <w:szCs w:val="22"/>
        </w:rPr>
        <w:t xml:space="preserve"> doivent s'assurer que le cours </w:t>
      </w:r>
      <w:r>
        <w:rPr>
          <w:rFonts w:asciiTheme="minorHAnsi" w:hAnsiTheme="minorHAnsi" w:cstheme="minorHAnsi"/>
          <w:sz w:val="22"/>
          <w:szCs w:val="22"/>
        </w:rPr>
        <w:t xml:space="preserve">a été suivi et achevé </w:t>
      </w:r>
      <w:r w:rsidRPr="00133716">
        <w:rPr>
          <w:rFonts w:asciiTheme="minorHAnsi" w:hAnsiTheme="minorHAnsi" w:cstheme="minorHAnsi"/>
          <w:sz w:val="22"/>
          <w:szCs w:val="22"/>
        </w:rPr>
        <w:t xml:space="preserve">. Les adresses électroniques non ONU peuvent être utilisées pour l'inscription au cours. </w:t>
      </w:r>
      <w:r>
        <w:rPr>
          <w:rFonts w:asciiTheme="minorHAnsi" w:hAnsiTheme="minorHAnsi" w:cstheme="minorHAnsi"/>
          <w:sz w:val="22"/>
          <w:szCs w:val="22"/>
        </w:rPr>
        <w:t>Pour plus de détails, les consultants doivent se référer à</w:t>
      </w:r>
      <w:r w:rsidRPr="00FB7DA0">
        <w:rPr>
          <w:rFonts w:asciiTheme="minorHAnsi" w:hAnsiTheme="minorHAnsi" w:cstheme="minorHAnsi"/>
          <w:color w:val="2E74B5" w:themeColor="accent1" w:themeShade="BF"/>
          <w:sz w:val="22"/>
          <w:szCs w:val="22"/>
        </w:rPr>
        <w:t xml:space="preserve"> </w:t>
      </w:r>
      <w:hyperlink r:id="rId44" w:history="1">
        <w:r w:rsidRPr="00FB7DA0">
          <w:rPr>
            <w:rStyle w:val="Hyperlink"/>
            <w:rFonts w:asciiTheme="minorHAnsi" w:hAnsiTheme="minorHAnsi" w:cstheme="minorHAnsi"/>
            <w:color w:val="2E74B5" w:themeColor="accent1" w:themeShade="BF"/>
            <w:sz w:val="22"/>
            <w:szCs w:val="22"/>
            <w:u w:val="single"/>
          </w:rPr>
          <w:t>la politique d’habilitation de sécurité</w:t>
        </w:r>
      </w:hyperlink>
      <w:r>
        <w:rPr>
          <w:rFonts w:asciiTheme="minorHAnsi" w:hAnsiTheme="minorHAnsi" w:cstheme="minorHAnsi"/>
          <w:sz w:val="22"/>
          <w:szCs w:val="22"/>
        </w:rPr>
        <w:t>.</w:t>
      </w:r>
    </w:p>
    <w:p w14:paraId="5FF9042F" w14:textId="77777777" w:rsidR="004B5A04" w:rsidRDefault="004B5A04" w:rsidP="004B5A04">
      <w:pPr>
        <w:spacing w:after="240"/>
        <w:jc w:val="both"/>
        <w:rPr>
          <w:rFonts w:cstheme="minorHAnsi"/>
        </w:rPr>
      </w:pPr>
    </w:p>
    <w:p w14:paraId="5E31B5FA" w14:textId="77777777" w:rsidR="004B5A04" w:rsidRPr="004B5A04" w:rsidRDefault="004B5A04" w:rsidP="004B5A04">
      <w:pPr>
        <w:spacing w:after="240"/>
        <w:jc w:val="both"/>
        <w:rPr>
          <w:rFonts w:cstheme="minorHAnsi"/>
        </w:rPr>
      </w:pPr>
    </w:p>
    <w:p w14:paraId="40980632" w14:textId="557363BB" w:rsidR="00342695" w:rsidRPr="0087246C" w:rsidRDefault="00342695" w:rsidP="00342695">
      <w:pPr>
        <w:pStyle w:val="Calibri11a"/>
        <w:numPr>
          <w:ilvl w:val="0"/>
          <w:numId w:val="0"/>
        </w:numPr>
        <w:tabs>
          <w:tab w:val="clear" w:pos="900"/>
        </w:tabs>
        <w:jc w:val="both"/>
        <w:rPr>
          <w:rFonts w:asciiTheme="minorHAnsi" w:hAnsiTheme="minorHAnsi" w:cstheme="minorHAnsi"/>
          <w:szCs w:val="22"/>
        </w:rPr>
      </w:pPr>
      <w:bookmarkStart w:id="91" w:name="_Toc208574127"/>
      <w:r w:rsidRPr="0087246C">
        <w:rPr>
          <w:rFonts w:asciiTheme="minorHAnsi" w:hAnsiTheme="minorHAnsi" w:cstheme="minorHAnsi"/>
          <w:szCs w:val="22"/>
        </w:rPr>
        <w:lastRenderedPageBreak/>
        <w:t>Déclaration d’aptitude médicale au travail</w:t>
      </w:r>
      <w:bookmarkEnd w:id="91"/>
    </w:p>
    <w:p w14:paraId="23328CE6" w14:textId="77777777" w:rsidR="00342695" w:rsidRPr="0087246C" w:rsidRDefault="00342695" w:rsidP="00342695">
      <w:pPr>
        <w:shd w:val="clear" w:color="auto" w:fill="FFFFFF"/>
        <w:spacing w:after="0" w:line="240" w:lineRule="auto"/>
        <w:jc w:val="both"/>
        <w:textAlignment w:val="top"/>
        <w:rPr>
          <w:rFonts w:eastAsia="Times New Roman" w:cstheme="minorHAnsi"/>
        </w:rPr>
      </w:pPr>
    </w:p>
    <w:p w14:paraId="65541A23" w14:textId="77777777" w:rsidR="00342695" w:rsidRPr="0087246C" w:rsidRDefault="00342695" w:rsidP="00E9677F">
      <w:pPr>
        <w:pStyle w:val="ListParagraph"/>
        <w:numPr>
          <w:ilvl w:val="0"/>
          <w:numId w:val="36"/>
        </w:numPr>
        <w:spacing w:before="0" w:beforeAutospacing="0" w:after="240" w:afterAutospacing="0"/>
        <w:jc w:val="both"/>
        <w:rPr>
          <w:rFonts w:asciiTheme="minorHAnsi" w:hAnsiTheme="minorHAnsi" w:cstheme="minorHAnsi"/>
          <w:sz w:val="22"/>
          <w:szCs w:val="22"/>
        </w:rPr>
      </w:pPr>
      <w:r w:rsidRPr="0087246C">
        <w:rPr>
          <w:rFonts w:asciiTheme="minorHAnsi" w:hAnsiTheme="minorHAnsi" w:cstheme="minorHAnsi"/>
          <w:sz w:val="22"/>
          <w:szCs w:val="22"/>
        </w:rPr>
        <w:t xml:space="preserve">Les consultants dont les missions les amèneront à voyager </w:t>
      </w:r>
      <w:r w:rsidRPr="0087246C">
        <w:rPr>
          <w:rFonts w:asciiTheme="minorHAnsi" w:hAnsiTheme="minorHAnsi" w:cstheme="minorHAnsi"/>
          <w:sz w:val="22"/>
          <w:szCs w:val="22"/>
          <w:u w:val="single"/>
        </w:rPr>
        <w:t>et</w:t>
      </w:r>
      <w:r w:rsidRPr="0087246C">
        <w:rPr>
          <w:rFonts w:asciiTheme="minorHAnsi" w:hAnsiTheme="minorHAnsi" w:cstheme="minorHAnsi"/>
          <w:sz w:val="22"/>
          <w:szCs w:val="22"/>
        </w:rPr>
        <w:t xml:space="preserve"> qui sont âgés de plus de 65 ans sont tenus, à leur charge, de se soumettre à un examen médical complet, y compris des radiographies, et d’obtenir un certificat médical auprès d’un médecin agréé par l’ONU avant d’accepter leur mission. Cette règle ne s’applique pas aux personnes embauchées par le biais d’un accord de prêt remboursable. </w:t>
      </w:r>
    </w:p>
    <w:p w14:paraId="667B8E99" w14:textId="77777777" w:rsidR="00342695" w:rsidRPr="0087246C" w:rsidRDefault="00342695" w:rsidP="00E9677F">
      <w:pPr>
        <w:pStyle w:val="ListParagraph"/>
        <w:numPr>
          <w:ilvl w:val="0"/>
          <w:numId w:val="36"/>
        </w:numPr>
        <w:spacing w:before="0" w:beforeAutospacing="0" w:after="240" w:afterAutospacing="0"/>
        <w:jc w:val="both"/>
        <w:rPr>
          <w:rFonts w:asciiTheme="minorHAnsi" w:hAnsiTheme="minorHAnsi" w:cstheme="minorHAnsi"/>
          <w:sz w:val="22"/>
          <w:szCs w:val="22"/>
        </w:rPr>
      </w:pPr>
      <w:r w:rsidRPr="0087246C">
        <w:rPr>
          <w:rFonts w:asciiTheme="minorHAnsi" w:hAnsiTheme="minorHAnsi" w:cstheme="minorHAnsi"/>
          <w:sz w:val="22"/>
          <w:szCs w:val="22"/>
        </w:rPr>
        <w:t>Lorsqu’il n’existe pas de bureau ni de médecin de l’ONU dans le lieu où se trouve le consultant avant son voyage, ce dernier est libre choisir le médecin qui lui fournira le certificat médical requis.</w:t>
      </w:r>
    </w:p>
    <w:p w14:paraId="2D1A7447" w14:textId="77777777" w:rsidR="00342695" w:rsidRPr="0087246C" w:rsidRDefault="00342695" w:rsidP="00E9677F">
      <w:pPr>
        <w:pStyle w:val="ListParagraph"/>
        <w:numPr>
          <w:ilvl w:val="0"/>
          <w:numId w:val="36"/>
        </w:numPr>
        <w:spacing w:before="0" w:beforeAutospacing="0" w:after="240" w:afterAutospacing="0"/>
        <w:jc w:val="both"/>
        <w:rPr>
          <w:rFonts w:asciiTheme="minorHAnsi" w:hAnsiTheme="minorHAnsi" w:cstheme="minorHAnsi"/>
          <w:sz w:val="22"/>
          <w:szCs w:val="22"/>
        </w:rPr>
      </w:pPr>
      <w:r w:rsidRPr="0087246C">
        <w:rPr>
          <w:rFonts w:asciiTheme="minorHAnsi" w:hAnsiTheme="minorHAnsi" w:cstheme="minorHAnsi"/>
          <w:sz w:val="22"/>
          <w:szCs w:val="22"/>
        </w:rPr>
        <w:t xml:space="preserve">Ce certificat médical doit être conservé dans les dossiers du PNUD et rester valide pendant 12 mois. </w:t>
      </w:r>
    </w:p>
    <w:p w14:paraId="6AEB8276" w14:textId="2A9DCB98" w:rsidR="00342695" w:rsidRPr="0087246C" w:rsidRDefault="00342695" w:rsidP="00342695">
      <w:pPr>
        <w:pStyle w:val="Calibri11a"/>
        <w:numPr>
          <w:ilvl w:val="0"/>
          <w:numId w:val="0"/>
        </w:numPr>
        <w:tabs>
          <w:tab w:val="clear" w:pos="900"/>
        </w:tabs>
        <w:jc w:val="both"/>
        <w:rPr>
          <w:rFonts w:asciiTheme="minorHAnsi" w:hAnsiTheme="minorHAnsi" w:cstheme="minorHAnsi"/>
          <w:szCs w:val="22"/>
        </w:rPr>
      </w:pPr>
      <w:bookmarkStart w:id="92" w:name="_Toc208574128"/>
      <w:r w:rsidRPr="0087246C">
        <w:rPr>
          <w:rFonts w:asciiTheme="minorHAnsi" w:hAnsiTheme="minorHAnsi" w:cstheme="minorHAnsi"/>
          <w:szCs w:val="22"/>
        </w:rPr>
        <w:t>Inoculations/vaccinations</w:t>
      </w:r>
      <w:bookmarkEnd w:id="92"/>
    </w:p>
    <w:p w14:paraId="67F8CB52" w14:textId="77777777" w:rsidR="00342695" w:rsidRPr="0087246C" w:rsidRDefault="00342695" w:rsidP="00342695">
      <w:pPr>
        <w:shd w:val="clear" w:color="auto" w:fill="FFFFFF"/>
        <w:spacing w:after="0" w:line="240" w:lineRule="auto"/>
        <w:jc w:val="both"/>
        <w:textAlignment w:val="top"/>
        <w:rPr>
          <w:rFonts w:eastAsia="Times New Roman" w:cstheme="minorHAnsi"/>
          <w:color w:val="000000"/>
        </w:rPr>
      </w:pPr>
    </w:p>
    <w:p w14:paraId="4E9CFCB4" w14:textId="77777777" w:rsidR="00342695" w:rsidRPr="0087246C" w:rsidRDefault="00342695" w:rsidP="00E9677F">
      <w:pPr>
        <w:pStyle w:val="ListParagraph"/>
        <w:numPr>
          <w:ilvl w:val="0"/>
          <w:numId w:val="36"/>
        </w:numPr>
        <w:spacing w:before="0" w:beforeAutospacing="0" w:after="240" w:afterAutospacing="0"/>
        <w:jc w:val="both"/>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Les consultants sont tenus de se faire vacciner lorsqu’ils se rendent dans certains pays désignés par le Directeur médical de l’ONU. Le coût des vaccinations/inoculations nécessaires, lorsqu’il est prévisible, doit être inclus dans la proposition financière. Tout coût imprévisible de vaccination/inoculation sera remboursé par le PNUD. </w:t>
      </w:r>
    </w:p>
    <w:p w14:paraId="77975F27" w14:textId="62767092" w:rsidR="00342695" w:rsidRPr="0087246C" w:rsidRDefault="00342695" w:rsidP="00342695">
      <w:pPr>
        <w:pStyle w:val="Calibri11a"/>
        <w:numPr>
          <w:ilvl w:val="0"/>
          <w:numId w:val="0"/>
        </w:numPr>
        <w:tabs>
          <w:tab w:val="clear" w:pos="900"/>
        </w:tabs>
        <w:jc w:val="both"/>
        <w:rPr>
          <w:rFonts w:asciiTheme="minorHAnsi" w:hAnsiTheme="minorHAnsi" w:cstheme="minorHAnsi"/>
          <w:szCs w:val="22"/>
        </w:rPr>
      </w:pPr>
      <w:bookmarkStart w:id="93" w:name="_Toc208574129"/>
      <w:r w:rsidRPr="0087246C">
        <w:rPr>
          <w:rFonts w:asciiTheme="minorHAnsi" w:hAnsiTheme="minorHAnsi" w:cstheme="minorHAnsi"/>
          <w:szCs w:val="22"/>
        </w:rPr>
        <w:t>Maladie, blessure ou décès imputable au service</w:t>
      </w:r>
      <w:bookmarkEnd w:id="93"/>
    </w:p>
    <w:p w14:paraId="052A4C3D" w14:textId="77777777" w:rsidR="00342695" w:rsidRPr="0087246C" w:rsidRDefault="00342695" w:rsidP="00342695">
      <w:pPr>
        <w:shd w:val="clear" w:color="auto" w:fill="FFFFFF"/>
        <w:spacing w:after="0" w:line="240" w:lineRule="auto"/>
        <w:jc w:val="both"/>
        <w:textAlignment w:val="top"/>
        <w:rPr>
          <w:rFonts w:eastAsia="Times New Roman" w:cstheme="minorHAnsi"/>
        </w:rPr>
      </w:pPr>
    </w:p>
    <w:p w14:paraId="42BB7762" w14:textId="11D93839" w:rsidR="00342695" w:rsidRPr="0087246C" w:rsidRDefault="00342695" w:rsidP="00E9677F">
      <w:pPr>
        <w:pStyle w:val="ListParagraph"/>
        <w:numPr>
          <w:ilvl w:val="0"/>
          <w:numId w:val="36"/>
        </w:numPr>
        <w:spacing w:before="0" w:beforeAutospacing="0" w:after="240" w:afterAutospacing="0"/>
        <w:jc w:val="both"/>
        <w:rPr>
          <w:rFonts w:asciiTheme="minorHAnsi" w:hAnsiTheme="minorHAnsi" w:cstheme="minorHAnsi"/>
          <w:sz w:val="22"/>
          <w:szCs w:val="22"/>
        </w:rPr>
      </w:pPr>
      <w:r w:rsidRPr="0087246C">
        <w:rPr>
          <w:rFonts w:asciiTheme="minorHAnsi" w:hAnsiTheme="minorHAnsi" w:cstheme="minorHAnsi"/>
          <w:sz w:val="22"/>
          <w:szCs w:val="22"/>
        </w:rPr>
        <w:t>L</w:t>
      </w:r>
      <w:r w:rsidR="00036C95">
        <w:rPr>
          <w:rFonts w:asciiTheme="minorHAnsi" w:hAnsiTheme="minorHAnsi" w:cstheme="minorHAnsi"/>
          <w:sz w:val="22"/>
          <w:szCs w:val="22"/>
        </w:rPr>
        <w:t xml:space="preserve">e </w:t>
      </w:r>
      <w:hyperlink r:id="rId45" w:history="1">
        <w:r w:rsidRPr="0045176F">
          <w:rPr>
            <w:rStyle w:val="Hyperlink"/>
            <w:rFonts w:asciiTheme="minorHAnsi" w:hAnsiTheme="minorHAnsi" w:cstheme="minorHAnsi"/>
            <w:color w:val="2E74B5" w:themeColor="accent1" w:themeShade="BF"/>
            <w:sz w:val="22"/>
            <w:szCs w:val="22"/>
            <w:u w:val="single"/>
          </w:rPr>
          <w:t>régime de prestations d’assurance</w:t>
        </w:r>
      </w:hyperlink>
      <w:r w:rsidRPr="0045176F">
        <w:rPr>
          <w:rFonts w:asciiTheme="minorHAnsi" w:hAnsiTheme="minorHAnsi" w:cstheme="minorHAnsi"/>
          <w:color w:val="2E74B5" w:themeColor="accent1" w:themeShade="BF"/>
          <w:sz w:val="22"/>
          <w:szCs w:val="22"/>
          <w:u w:val="single"/>
        </w:rPr>
        <w:t xml:space="preserve"> </w:t>
      </w:r>
      <w:r w:rsidRPr="0087246C">
        <w:rPr>
          <w:rFonts w:asciiTheme="minorHAnsi" w:hAnsiTheme="minorHAnsi" w:cstheme="minorHAnsi"/>
          <w:color w:val="000000"/>
          <w:sz w:val="22"/>
          <w:szCs w:val="22"/>
        </w:rPr>
        <w:t>du PNUD prévoit une police d’assurance de groupe gérée et administrée par le Siège de l’organisation au compte de l’unité des services d’achat. Il couvre tous les titulaires de contrats individuels qui, au terme de leur contrat, effectueront des déplacements (nationaux ou internationaux) sur autorisation et avec les fonds du PNUD, ou exécuteront des services dans leur bureau en cas de décès, blessure ou maladie imputables à l’exécution de leurs tâches officielles pour le PNUD. Cette assurance est administrée de façon centrale, mais le coût doit être recouvré auprès de l’unité administrative qui gère le contrat individuel.</w:t>
      </w:r>
      <w:r w:rsidRPr="0087246C">
        <w:rPr>
          <w:rFonts w:asciiTheme="minorHAnsi" w:hAnsiTheme="minorHAnsi" w:cstheme="minorHAnsi"/>
          <w:sz w:val="22"/>
          <w:szCs w:val="22"/>
        </w:rPr>
        <w:t xml:space="preserve"> </w:t>
      </w:r>
    </w:p>
    <w:p w14:paraId="2CDFBF6C" w14:textId="77777777" w:rsidR="00342695" w:rsidRPr="0087246C" w:rsidRDefault="00342695" w:rsidP="00E9677F">
      <w:pPr>
        <w:pStyle w:val="ListParagraph"/>
        <w:numPr>
          <w:ilvl w:val="0"/>
          <w:numId w:val="36"/>
        </w:numPr>
        <w:spacing w:before="0" w:beforeAutospacing="0" w:after="240" w:afterAutospacing="0"/>
        <w:jc w:val="both"/>
        <w:rPr>
          <w:rFonts w:asciiTheme="minorHAnsi" w:hAnsiTheme="minorHAnsi" w:cstheme="minorHAnsi"/>
          <w:sz w:val="22"/>
          <w:szCs w:val="22"/>
        </w:rPr>
      </w:pPr>
      <w:r w:rsidRPr="0087246C">
        <w:rPr>
          <w:rFonts w:asciiTheme="minorHAnsi" w:hAnsiTheme="minorHAnsi" w:cstheme="minorHAnsi"/>
          <w:sz w:val="22"/>
          <w:szCs w:val="22"/>
        </w:rPr>
        <w:t xml:space="preserve">Pour le traitement des réclamations, chaque contrat international signé par le PNUD doit porter le nom du bénéficiaire désigné par le consultant. Chaque unité administrative doit veiller à ce que cette exigence soit strictement respectée. </w:t>
      </w:r>
    </w:p>
    <w:p w14:paraId="1EBF5D64" w14:textId="14DEF788" w:rsidR="00342695" w:rsidRPr="0087246C" w:rsidRDefault="00342695" w:rsidP="00342695">
      <w:pPr>
        <w:pStyle w:val="Calibri11SubSubSub"/>
        <w:numPr>
          <w:ilvl w:val="0"/>
          <w:numId w:val="0"/>
        </w:numPr>
        <w:spacing w:before="0"/>
        <w:jc w:val="both"/>
        <w:rPr>
          <w:rFonts w:asciiTheme="minorHAnsi" w:hAnsiTheme="minorHAnsi" w:cstheme="minorHAnsi"/>
          <w:szCs w:val="22"/>
        </w:rPr>
      </w:pPr>
      <w:bookmarkStart w:id="94" w:name="_Toc208574130"/>
      <w:r w:rsidRPr="0087246C">
        <w:rPr>
          <w:rFonts w:asciiTheme="minorHAnsi" w:hAnsiTheme="minorHAnsi" w:cstheme="minorHAnsi"/>
          <w:szCs w:val="22"/>
        </w:rPr>
        <w:t>Directives complémentaires :</w:t>
      </w:r>
      <w:bookmarkEnd w:id="94"/>
    </w:p>
    <w:p w14:paraId="2E6E7FEC" w14:textId="77777777" w:rsidR="00342695" w:rsidRPr="0087246C" w:rsidRDefault="00342695" w:rsidP="00342695">
      <w:pPr>
        <w:shd w:val="clear" w:color="auto" w:fill="FFFFFF"/>
        <w:spacing w:after="0" w:line="240" w:lineRule="auto"/>
        <w:jc w:val="both"/>
        <w:textAlignment w:val="top"/>
        <w:rPr>
          <w:rFonts w:eastAsia="Times New Roman" w:cstheme="minorHAnsi"/>
          <w:color w:val="000000"/>
        </w:rPr>
      </w:pPr>
      <w:r w:rsidRPr="0087246C">
        <w:rPr>
          <w:rFonts w:cstheme="minorHAnsi"/>
          <w:color w:val="000000"/>
        </w:rPr>
        <w:t> </w:t>
      </w:r>
    </w:p>
    <w:p w14:paraId="602E5C38" w14:textId="77777777" w:rsidR="00342695" w:rsidRPr="0087246C" w:rsidRDefault="00342695" w:rsidP="00E9677F">
      <w:pPr>
        <w:pStyle w:val="ListParagraph"/>
        <w:numPr>
          <w:ilvl w:val="0"/>
          <w:numId w:val="36"/>
        </w:numPr>
        <w:spacing w:before="0" w:beforeAutospacing="0" w:after="240" w:afterAutospacing="0"/>
        <w:jc w:val="both"/>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La couverture d’assurance fournie aux consultants couvre </w:t>
      </w:r>
      <w:r w:rsidRPr="0087246C">
        <w:rPr>
          <w:rFonts w:asciiTheme="minorHAnsi" w:hAnsiTheme="minorHAnsi" w:cstheme="minorHAnsi"/>
          <w:color w:val="000000"/>
          <w:sz w:val="22"/>
          <w:szCs w:val="22"/>
          <w:u w:val="single"/>
        </w:rPr>
        <w:t>uniquement</w:t>
      </w:r>
      <w:r w:rsidRPr="0087246C">
        <w:rPr>
          <w:rFonts w:asciiTheme="minorHAnsi" w:hAnsiTheme="minorHAnsi" w:cstheme="minorHAnsi"/>
          <w:color w:val="000000"/>
          <w:sz w:val="22"/>
          <w:szCs w:val="22"/>
        </w:rPr>
        <w:t xml:space="preserve"> les obligations imputables au service. Il n’est pas destiné à couvrir les besoins à long terme ni les besoins ou conditions préexistant(e)s, mais est destiné à couvrir uniquement les besoins correspondant à la période où la personne est embauchée par le PNUD. La personne doit souscrire, à ses propres frais, à toutes les autres exigences en matière d’assurance (par exemple, pension, assurance-vie, assurance-maladie, assurance-voyage, etc.). </w:t>
      </w:r>
    </w:p>
    <w:p w14:paraId="6D94C83A" w14:textId="77777777" w:rsidR="00342695" w:rsidRPr="0087246C" w:rsidRDefault="00342695" w:rsidP="00342695">
      <w:pPr>
        <w:shd w:val="clear" w:color="auto" w:fill="FFFFFF"/>
        <w:spacing w:after="0" w:line="240" w:lineRule="auto"/>
        <w:ind w:left="360"/>
        <w:jc w:val="both"/>
        <w:textAlignment w:val="top"/>
        <w:rPr>
          <w:rFonts w:eastAsia="Times New Roman" w:cstheme="minorHAnsi"/>
          <w:color w:val="000000"/>
        </w:rPr>
      </w:pPr>
    </w:p>
    <w:p w14:paraId="7FD24AE2" w14:textId="77777777" w:rsidR="00342695" w:rsidRPr="0087246C" w:rsidRDefault="00342695" w:rsidP="00342695">
      <w:pPr>
        <w:pStyle w:val="Calibri11a"/>
        <w:numPr>
          <w:ilvl w:val="0"/>
          <w:numId w:val="0"/>
        </w:numPr>
        <w:tabs>
          <w:tab w:val="clear" w:pos="900"/>
        </w:tabs>
        <w:jc w:val="both"/>
        <w:rPr>
          <w:rFonts w:asciiTheme="minorHAnsi" w:hAnsiTheme="minorHAnsi" w:cstheme="minorHAnsi"/>
          <w:szCs w:val="22"/>
        </w:rPr>
      </w:pPr>
      <w:bookmarkStart w:id="95" w:name="_Toc208574131"/>
      <w:r w:rsidRPr="0087246C">
        <w:rPr>
          <w:rFonts w:asciiTheme="minorHAnsi" w:hAnsiTheme="minorHAnsi" w:cstheme="minorHAnsi"/>
          <w:szCs w:val="22"/>
        </w:rPr>
        <w:lastRenderedPageBreak/>
        <w:t>Police d’assurance contre les actes de malveillance</w:t>
      </w:r>
      <w:bookmarkEnd w:id="95"/>
    </w:p>
    <w:p w14:paraId="418FBD02" w14:textId="5EA18C67" w:rsidR="00342695" w:rsidRPr="00D67905" w:rsidRDefault="00D67905" w:rsidP="00D67905">
      <w:pPr>
        <w:pStyle w:val="ListParagraph"/>
        <w:numPr>
          <w:ilvl w:val="0"/>
          <w:numId w:val="36"/>
        </w:numPr>
        <w:spacing w:before="0" w:beforeAutospacing="0" w:after="24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Les </w:t>
      </w:r>
      <w:r w:rsidRPr="0087246C">
        <w:rPr>
          <w:rFonts w:asciiTheme="minorHAnsi" w:hAnsiTheme="minorHAnsi" w:cstheme="minorHAnsi"/>
          <w:color w:val="000000"/>
          <w:sz w:val="22"/>
          <w:szCs w:val="22"/>
        </w:rPr>
        <w:t>consultants qui fournissent des services ou voyagent aux frais du PNUD dans un lieu d’affectation considéré comme dangereux sont couverts par la police d’assurance contre les actes de malveillance. Par conséquent, ils seront tenus de se conformer à toutes les</w:t>
      </w:r>
      <w:r>
        <w:rPr>
          <w:rFonts w:asciiTheme="minorHAnsi" w:hAnsiTheme="minorHAnsi" w:cstheme="minorHAnsi"/>
          <w:color w:val="000000"/>
          <w:sz w:val="22"/>
          <w:szCs w:val="22"/>
        </w:rPr>
        <w:t xml:space="preserve"> </w:t>
      </w:r>
      <w:r w:rsidRPr="00BE19D6">
        <w:rPr>
          <w:rFonts w:asciiTheme="minorHAnsi" w:hAnsiTheme="minorHAnsi" w:cstheme="minorHAnsi"/>
          <w:color w:val="000000"/>
          <w:sz w:val="22"/>
          <w:szCs w:val="22"/>
        </w:rPr>
        <w:t>politiques, procédures et instructions</w:t>
      </w:r>
      <w:r w:rsidRPr="0087246C">
        <w:rPr>
          <w:rFonts w:asciiTheme="minorHAnsi" w:hAnsiTheme="minorHAnsi" w:cstheme="minorHAnsi"/>
          <w:color w:val="000000"/>
          <w:sz w:val="22"/>
          <w:szCs w:val="22"/>
        </w:rPr>
        <w:t xml:space="preserve"> de sécurité de l’ONU. Tout défaut de conformité constituera un motif suffisant de résiliation du contrat et de perte éventuelle de l’admissibilité à l’assurance et aux avantages qui y sont liés. L’unité administrative qui délivre les contrats est tenue de veiller à ce que le prestataire soit informé de toutes les directives de sécurité, y compris la délivrance de l’habilitation</w:t>
      </w:r>
      <w:r>
        <w:rPr>
          <w:rFonts w:asciiTheme="minorHAnsi" w:hAnsiTheme="minorHAnsi" w:cstheme="minorHAnsi"/>
          <w:color w:val="000000"/>
          <w:sz w:val="22"/>
          <w:szCs w:val="22"/>
        </w:rPr>
        <w:t>/du visa</w:t>
      </w:r>
      <w:r w:rsidRPr="0087246C">
        <w:rPr>
          <w:rFonts w:asciiTheme="minorHAnsi" w:hAnsiTheme="minorHAnsi" w:cstheme="minorHAnsi"/>
          <w:color w:val="000000"/>
          <w:sz w:val="22"/>
          <w:szCs w:val="22"/>
        </w:rPr>
        <w:t xml:space="preserve"> de sécurité pour les voyages.</w:t>
      </w:r>
    </w:p>
    <w:p w14:paraId="4252C7C6" w14:textId="2B9C0EA2" w:rsidR="00342695" w:rsidRPr="0087246C" w:rsidRDefault="00342695" w:rsidP="00342695">
      <w:pPr>
        <w:pStyle w:val="Calibri11"/>
        <w:numPr>
          <w:ilvl w:val="0"/>
          <w:numId w:val="0"/>
        </w:numPr>
        <w:jc w:val="both"/>
        <w:rPr>
          <w:rFonts w:asciiTheme="minorHAnsi" w:hAnsiTheme="minorHAnsi" w:cstheme="minorHAnsi"/>
          <w:szCs w:val="22"/>
        </w:rPr>
      </w:pPr>
      <w:bookmarkStart w:id="96" w:name="_Toc208574132"/>
      <w:r w:rsidRPr="0087246C">
        <w:rPr>
          <w:rFonts w:asciiTheme="minorHAnsi" w:hAnsiTheme="minorHAnsi" w:cstheme="minorHAnsi"/>
          <w:szCs w:val="22"/>
        </w:rPr>
        <w:t>Violation, résiliation et règlement des différends</w:t>
      </w:r>
      <w:bookmarkEnd w:id="96"/>
    </w:p>
    <w:p w14:paraId="7CC6CCCB" w14:textId="77777777" w:rsidR="00342695" w:rsidRPr="0087246C" w:rsidRDefault="00342695" w:rsidP="00342695">
      <w:pPr>
        <w:pStyle w:val="Calibri11a"/>
        <w:numPr>
          <w:ilvl w:val="0"/>
          <w:numId w:val="0"/>
        </w:numPr>
        <w:tabs>
          <w:tab w:val="clear" w:pos="900"/>
        </w:tabs>
        <w:jc w:val="both"/>
        <w:rPr>
          <w:rFonts w:asciiTheme="minorHAnsi" w:hAnsiTheme="minorHAnsi" w:cstheme="minorHAnsi"/>
          <w:szCs w:val="22"/>
        </w:rPr>
      </w:pPr>
      <w:bookmarkStart w:id="97" w:name="_Toc208574133"/>
      <w:r w:rsidRPr="0087246C">
        <w:rPr>
          <w:rFonts w:asciiTheme="minorHAnsi" w:hAnsiTheme="minorHAnsi" w:cstheme="minorHAnsi"/>
          <w:szCs w:val="22"/>
        </w:rPr>
        <w:t>Violation d’un contrat individuel</w:t>
      </w:r>
      <w:bookmarkEnd w:id="97"/>
    </w:p>
    <w:p w14:paraId="71AB8E17" w14:textId="77777777" w:rsidR="00342695" w:rsidRPr="0087246C" w:rsidRDefault="00342695" w:rsidP="00D67905">
      <w:pPr>
        <w:pStyle w:val="ListParagraph"/>
        <w:numPr>
          <w:ilvl w:val="0"/>
          <w:numId w:val="36"/>
        </w:numPr>
        <w:spacing w:before="0" w:beforeAutospacing="0" w:after="240" w:afterAutospacing="0"/>
        <w:jc w:val="both"/>
        <w:rPr>
          <w:rFonts w:asciiTheme="minorHAnsi" w:hAnsiTheme="minorHAnsi" w:cstheme="minorHAnsi"/>
          <w:color w:val="000000"/>
          <w:sz w:val="22"/>
          <w:szCs w:val="22"/>
        </w:rPr>
      </w:pPr>
      <w:r w:rsidRPr="0087246C">
        <w:rPr>
          <w:rFonts w:asciiTheme="minorHAnsi" w:hAnsiTheme="minorHAnsi" w:cstheme="minorHAnsi"/>
          <w:color w:val="000000"/>
          <w:sz w:val="22"/>
          <w:szCs w:val="22"/>
        </w:rPr>
        <w:t>Les consultants sont responsables de la violation des obligations qu’ils ont assumées dans le cadre d’un contrat individuel. Si le superviseur du consultant estime qu’il y a eu manquement à l’exécution ou violation de contrat, par exemple en raison d’une exécution insatisfaisante ou du défaut d’accomplissement d’une tâche en conformité avec les termes de référence, il doit donner au consultant une occasion raisonnable de résoudre le problème dans un délai précis. Si tel n’est pas le cas, conformément à l’article 8.2 ci-dessus, le superviseur doit en informer le Directeur adjoint de pays chargé des opérations, le Représentant résident adjoint chargé des opérations, le Responsable des opérations dans un Bureau de pays ou l’unité des services d’achat ainsi que le Bureau d’appui juridique afin qu’ils puissent décider de retenir ou non le paiement de toute somme due au consultant, de suspendre ou de résilier le contrat et/ou retirer le consultant de toute liste en vigueur.</w:t>
      </w:r>
    </w:p>
    <w:p w14:paraId="5D76FC6B" w14:textId="77777777" w:rsidR="00342695" w:rsidRPr="0087246C" w:rsidRDefault="00342695" w:rsidP="00D67905">
      <w:pPr>
        <w:pStyle w:val="ListParagraph"/>
        <w:numPr>
          <w:ilvl w:val="0"/>
          <w:numId w:val="36"/>
        </w:numPr>
        <w:spacing w:before="0" w:beforeAutospacing="0" w:after="240" w:afterAutospacing="0"/>
        <w:jc w:val="both"/>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L’unité administrative doit documenter en détail la violation présumée, les mesures prises pour permettre au consultant d’y remédier et toute autre mesure pertinente prise par l’unité administrative et le prestataire. </w:t>
      </w:r>
    </w:p>
    <w:p w14:paraId="38BE7CA6" w14:textId="6E9FF967" w:rsidR="00342695" w:rsidRPr="0087246C" w:rsidRDefault="00342695" w:rsidP="00342695">
      <w:pPr>
        <w:pStyle w:val="Calibri11a"/>
        <w:numPr>
          <w:ilvl w:val="0"/>
          <w:numId w:val="0"/>
        </w:numPr>
        <w:tabs>
          <w:tab w:val="clear" w:pos="900"/>
        </w:tabs>
        <w:jc w:val="both"/>
        <w:rPr>
          <w:rFonts w:asciiTheme="minorHAnsi" w:hAnsiTheme="minorHAnsi" w:cstheme="minorHAnsi"/>
          <w:szCs w:val="22"/>
        </w:rPr>
      </w:pPr>
      <w:bookmarkStart w:id="98" w:name="_Toc208574134"/>
      <w:r w:rsidRPr="0087246C">
        <w:rPr>
          <w:rFonts w:asciiTheme="minorHAnsi" w:hAnsiTheme="minorHAnsi" w:cstheme="minorHAnsi"/>
          <w:szCs w:val="22"/>
        </w:rPr>
        <w:t>Résiliation d’un contrat individuel</w:t>
      </w:r>
      <w:bookmarkEnd w:id="98"/>
      <w:r w:rsidRPr="0087246C">
        <w:rPr>
          <w:rFonts w:asciiTheme="minorHAnsi" w:hAnsiTheme="minorHAnsi" w:cstheme="minorHAnsi"/>
          <w:szCs w:val="22"/>
        </w:rPr>
        <w:t xml:space="preserve">  </w:t>
      </w:r>
    </w:p>
    <w:p w14:paraId="7EC0B5BB" w14:textId="77777777" w:rsidR="00342695" w:rsidRPr="0087246C" w:rsidRDefault="00342695" w:rsidP="00D67905">
      <w:pPr>
        <w:pStyle w:val="ListParagraph"/>
        <w:numPr>
          <w:ilvl w:val="0"/>
          <w:numId w:val="36"/>
        </w:numPr>
        <w:spacing w:before="0" w:beforeAutospacing="0" w:after="240" w:afterAutospacing="0"/>
        <w:jc w:val="both"/>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Conformément aux conditions générales d’emploi des consultants, un contrat individuel peut être résilié par l’une ou l’autre partie moyennant un préavis écrit. La période de préavis est de cinq jours dans le cas des contrats d’une durée inférieure à deux mois et de 14 jours pour les contrats de plus longue durée. Un avis de résiliation ne doit pas forcément indiquer les motifs de la résiliation ni être signé par la partie à laquelle il est adressé. </w:t>
      </w:r>
    </w:p>
    <w:p w14:paraId="4208C770" w14:textId="77777777" w:rsidR="00342695" w:rsidRPr="0087246C" w:rsidRDefault="00342695" w:rsidP="00D67905">
      <w:pPr>
        <w:pStyle w:val="ListParagraph"/>
        <w:numPr>
          <w:ilvl w:val="0"/>
          <w:numId w:val="36"/>
        </w:numPr>
        <w:spacing w:before="0" w:beforeAutospacing="0" w:after="240" w:afterAutospacing="0"/>
        <w:jc w:val="both"/>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Certes, l’article 13 permet la résiliation unilatérale sans motif exprès, cependant il est souhaitable, pour éviter les réclamations et les différends, qu’un contrat soit résilié par </w:t>
      </w:r>
      <w:r w:rsidRPr="0087246C">
        <w:rPr>
          <w:rFonts w:asciiTheme="minorHAnsi" w:hAnsiTheme="minorHAnsi" w:cstheme="minorHAnsi"/>
          <w:b/>
          <w:bCs/>
          <w:color w:val="000000"/>
          <w:sz w:val="22"/>
          <w:szCs w:val="22"/>
        </w:rPr>
        <w:t>consentement mutuel</w:t>
      </w:r>
      <w:r w:rsidRPr="0087246C">
        <w:rPr>
          <w:rFonts w:asciiTheme="minorHAnsi" w:hAnsiTheme="minorHAnsi" w:cstheme="minorHAnsi"/>
          <w:color w:val="000000"/>
          <w:sz w:val="22"/>
          <w:szCs w:val="22"/>
        </w:rPr>
        <w:t xml:space="preserve"> des parties. Étant donné que le contrat peut prendre fin par consentement, la résiliation peut prendre effet immédiatement. L’unité administrative et le consultant doivent officialiser la résiliation par une brève déclaration écrite, en reconnaissant qu’ils résilient le contrat par accord et par paiement du montant de l’indemnité due, le cas échéant. La déclaration doit être signée par les deux parties. Le Bureau d’appui aux achats et le Bureau d’appui juridique devraient être consultés en cas de problème ou de question. </w:t>
      </w:r>
    </w:p>
    <w:p w14:paraId="65D7DAF1" w14:textId="77777777" w:rsidR="00342695" w:rsidRPr="0087246C" w:rsidRDefault="00342695" w:rsidP="00D67905">
      <w:pPr>
        <w:pStyle w:val="ListParagraph"/>
        <w:numPr>
          <w:ilvl w:val="0"/>
          <w:numId w:val="36"/>
        </w:numPr>
        <w:spacing w:before="0" w:beforeAutospacing="0" w:after="240" w:afterAutospacing="0"/>
        <w:jc w:val="both"/>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Dans certains cas, l’unité administrative peut avoir de bonnes raisons de résilier unilatéralement un contrat, en cas de </w:t>
      </w:r>
      <w:r w:rsidRPr="0087246C">
        <w:rPr>
          <w:rFonts w:asciiTheme="minorHAnsi" w:hAnsiTheme="minorHAnsi" w:cstheme="minorHAnsi"/>
          <w:b/>
          <w:bCs/>
          <w:color w:val="000000"/>
          <w:sz w:val="22"/>
          <w:szCs w:val="22"/>
        </w:rPr>
        <w:t>manquement à l’exécution</w:t>
      </w:r>
      <w:r w:rsidRPr="0087246C">
        <w:rPr>
          <w:rFonts w:asciiTheme="minorHAnsi" w:hAnsiTheme="minorHAnsi" w:cstheme="minorHAnsi"/>
          <w:color w:val="000000"/>
          <w:sz w:val="22"/>
          <w:szCs w:val="22"/>
        </w:rPr>
        <w:t xml:space="preserve"> </w:t>
      </w:r>
      <w:r w:rsidRPr="0087246C">
        <w:rPr>
          <w:rFonts w:asciiTheme="minorHAnsi" w:hAnsiTheme="minorHAnsi" w:cstheme="minorHAnsi"/>
          <w:b/>
          <w:bCs/>
          <w:color w:val="000000"/>
          <w:sz w:val="22"/>
          <w:szCs w:val="22"/>
        </w:rPr>
        <w:t>ou de violation des obligations contractuelles</w:t>
      </w:r>
      <w:r w:rsidRPr="0087246C">
        <w:rPr>
          <w:rFonts w:asciiTheme="minorHAnsi" w:hAnsiTheme="minorHAnsi" w:cstheme="minorHAnsi"/>
          <w:color w:val="000000"/>
          <w:sz w:val="22"/>
          <w:szCs w:val="22"/>
        </w:rPr>
        <w:t xml:space="preserve"> par le consultant. Dans de telles circonstances, conformément aux articles 8.2 et </w:t>
      </w:r>
      <w:r w:rsidRPr="0087246C">
        <w:rPr>
          <w:rFonts w:asciiTheme="minorHAnsi" w:hAnsiTheme="minorHAnsi" w:cstheme="minorHAnsi"/>
          <w:color w:val="000000"/>
          <w:sz w:val="22"/>
          <w:szCs w:val="22"/>
        </w:rPr>
        <w:lastRenderedPageBreak/>
        <w:t xml:space="preserve">10.1 ci-dessus, la question doit être portée à l’attention de l’Unité des services d’achat et du Bureau d’appui juridique afin de bénéficier des conseils concernant les prochaines étapes. </w:t>
      </w:r>
    </w:p>
    <w:p w14:paraId="24F745CA" w14:textId="77777777" w:rsidR="00342695" w:rsidRPr="0087246C" w:rsidRDefault="00342695" w:rsidP="00D67905">
      <w:pPr>
        <w:pStyle w:val="ListParagraph"/>
        <w:numPr>
          <w:ilvl w:val="0"/>
          <w:numId w:val="36"/>
        </w:numPr>
        <w:spacing w:before="0" w:beforeAutospacing="0" w:after="240" w:afterAutospacing="0"/>
        <w:jc w:val="both"/>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En cas de résiliation, l’unité administrative n’est responsable qu’au </w:t>
      </w:r>
      <w:r w:rsidRPr="0087246C">
        <w:rPr>
          <w:rFonts w:asciiTheme="minorHAnsi" w:hAnsiTheme="minorHAnsi" w:cstheme="minorHAnsi"/>
          <w:iCs/>
          <w:color w:val="000000"/>
          <w:sz w:val="22"/>
          <w:szCs w:val="22"/>
        </w:rPr>
        <w:t>prorata</w:t>
      </w:r>
      <w:r w:rsidRPr="0087246C">
        <w:rPr>
          <w:rFonts w:asciiTheme="minorHAnsi" w:hAnsiTheme="minorHAnsi" w:cstheme="minorHAnsi"/>
          <w:color w:val="000000"/>
          <w:sz w:val="22"/>
          <w:szCs w:val="22"/>
        </w:rPr>
        <w:t xml:space="preserve"> du travail réellement effectué à sa satisfaction. Si le prestataire résilie le contrat, l’unité administrative peut retenir sur l’indemnité, les frais supplémentaires qu’elle a engagés en conséquence. </w:t>
      </w:r>
    </w:p>
    <w:p w14:paraId="3D3D21FC" w14:textId="684AF41D" w:rsidR="00342695" w:rsidRPr="0087246C" w:rsidRDefault="00342695" w:rsidP="00342695">
      <w:pPr>
        <w:pStyle w:val="Calibri11a"/>
        <w:numPr>
          <w:ilvl w:val="0"/>
          <w:numId w:val="0"/>
        </w:numPr>
        <w:tabs>
          <w:tab w:val="clear" w:pos="900"/>
        </w:tabs>
        <w:jc w:val="both"/>
        <w:rPr>
          <w:rFonts w:asciiTheme="minorHAnsi" w:hAnsiTheme="minorHAnsi" w:cstheme="minorHAnsi"/>
          <w:szCs w:val="22"/>
        </w:rPr>
      </w:pPr>
      <w:bookmarkStart w:id="99" w:name="_Toc208574135"/>
      <w:r w:rsidRPr="0087246C">
        <w:rPr>
          <w:rFonts w:asciiTheme="minorHAnsi" w:hAnsiTheme="minorHAnsi" w:cstheme="minorHAnsi"/>
          <w:szCs w:val="22"/>
        </w:rPr>
        <w:t>Règlement de différends</w:t>
      </w:r>
      <w:bookmarkEnd w:id="99"/>
      <w:r w:rsidRPr="0087246C">
        <w:rPr>
          <w:rFonts w:asciiTheme="minorHAnsi" w:hAnsiTheme="minorHAnsi" w:cstheme="minorHAnsi"/>
          <w:szCs w:val="22"/>
        </w:rPr>
        <w:t xml:space="preserve">  </w:t>
      </w:r>
    </w:p>
    <w:p w14:paraId="6D4DA4F3" w14:textId="77777777" w:rsidR="00342695" w:rsidRPr="0087246C" w:rsidRDefault="00342695" w:rsidP="00D67905">
      <w:pPr>
        <w:pStyle w:val="ListParagraph"/>
        <w:numPr>
          <w:ilvl w:val="0"/>
          <w:numId w:val="36"/>
        </w:numPr>
        <w:spacing w:before="0" w:beforeAutospacing="0" w:after="240" w:afterAutospacing="0"/>
        <w:jc w:val="both"/>
        <w:rPr>
          <w:rFonts w:asciiTheme="minorHAnsi" w:hAnsiTheme="minorHAnsi" w:cstheme="minorHAnsi"/>
          <w:color w:val="000000"/>
          <w:sz w:val="22"/>
          <w:szCs w:val="22"/>
        </w:rPr>
      </w:pPr>
      <w:r w:rsidRPr="0087246C">
        <w:rPr>
          <w:rFonts w:asciiTheme="minorHAnsi" w:hAnsiTheme="minorHAnsi" w:cstheme="minorHAnsi"/>
          <w:color w:val="000000"/>
          <w:sz w:val="22"/>
          <w:szCs w:val="22"/>
        </w:rPr>
        <w:t>Si l’unité administrative et un consultant sont en désaccord sur un aspect quelconque du contrat, les deux parties s’efforceront de régler ce désaccord à l’amiable, notamment par des discussions, des consultations et des négociations informelles. Les unités administratives sont vivement encouragées à demander conseil au Bureau d’appui juridique en ce qui concerne le règlement des différends. </w:t>
      </w:r>
    </w:p>
    <w:p w14:paraId="56BDE767" w14:textId="77777777" w:rsidR="00342695" w:rsidRPr="0087246C" w:rsidRDefault="00342695" w:rsidP="00D67905">
      <w:pPr>
        <w:pStyle w:val="ListParagraph"/>
        <w:numPr>
          <w:ilvl w:val="0"/>
          <w:numId w:val="36"/>
        </w:numPr>
        <w:spacing w:before="0" w:beforeAutospacing="0" w:after="240" w:afterAutospacing="0"/>
        <w:jc w:val="both"/>
        <w:rPr>
          <w:rFonts w:asciiTheme="minorHAnsi" w:hAnsiTheme="minorHAnsi" w:cstheme="minorHAnsi"/>
          <w:color w:val="000000"/>
          <w:sz w:val="22"/>
          <w:szCs w:val="22"/>
        </w:rPr>
      </w:pPr>
      <w:r w:rsidRPr="0087246C">
        <w:rPr>
          <w:rFonts w:asciiTheme="minorHAnsi" w:hAnsiTheme="minorHAnsi" w:cstheme="minorHAnsi"/>
          <w:color w:val="000000"/>
          <w:sz w:val="22"/>
          <w:szCs w:val="22"/>
        </w:rPr>
        <w:t xml:space="preserve">En cas d'échec d’un règlement à l’amiable, l’affaire doit être soumise au Bureau d’appui aux achats et au Bureau d’appui juridique pour conseil et plus d’informations. L’arbitrage peut être engagé en conformité avec le Règlement d’arbitrage de la commission des Nations Unies pour le droit commercial international. Le tribunal arbitral sera constitué à l’effet d’entendre la position des parties et prendre une décision contraignante. </w:t>
      </w:r>
    </w:p>
    <w:p w14:paraId="4E632E43" w14:textId="77777777" w:rsidR="00342695" w:rsidRPr="0087246C" w:rsidRDefault="00342695" w:rsidP="00D67905">
      <w:pPr>
        <w:pStyle w:val="ListParagraph"/>
        <w:numPr>
          <w:ilvl w:val="0"/>
          <w:numId w:val="36"/>
        </w:numPr>
        <w:spacing w:before="0" w:beforeAutospacing="0" w:after="240" w:afterAutospacing="0"/>
        <w:jc w:val="both"/>
        <w:rPr>
          <w:rFonts w:asciiTheme="minorHAnsi" w:hAnsiTheme="minorHAnsi" w:cstheme="minorHAnsi"/>
          <w:color w:val="000000"/>
          <w:sz w:val="22"/>
          <w:szCs w:val="22"/>
        </w:rPr>
      </w:pPr>
      <w:r w:rsidRPr="0087246C">
        <w:rPr>
          <w:rFonts w:asciiTheme="minorHAnsi" w:hAnsiTheme="minorHAnsi" w:cstheme="minorHAnsi"/>
          <w:color w:val="000000"/>
          <w:sz w:val="22"/>
          <w:szCs w:val="22"/>
        </w:rPr>
        <w:t>L’ouverture d’une procédure d’arbitrage ne doit pas être considérée comme la cause ou la résiliation effective d’un contrat individuel. Sauf en ce qui concerne les engagements d’indemnisation du consultant, ou toute autre disposition énoncée dans le contrat, toute procédure arbitrale doit être engagée dans les trois ans suivant le fondement de la demande en justice. L’arbitrage est une mesure utilisée en dernier recours, car il exige un engagement substantiel en temps et en ressources de la part des deux parties. Le règlement à l’amiable est donc fortement encouragé, tant pour l’unité administrative du PNUD que pour le consultant.</w:t>
      </w:r>
    </w:p>
    <w:p w14:paraId="4DF2A3FE" w14:textId="77777777" w:rsidR="00342695" w:rsidRPr="0087246C" w:rsidRDefault="00342695" w:rsidP="00D67905">
      <w:pPr>
        <w:pStyle w:val="ListParagraph"/>
        <w:numPr>
          <w:ilvl w:val="0"/>
          <w:numId w:val="36"/>
        </w:numPr>
        <w:spacing w:before="0" w:beforeAutospacing="0" w:after="240" w:afterAutospacing="0"/>
        <w:jc w:val="both"/>
        <w:rPr>
          <w:rFonts w:asciiTheme="minorHAnsi" w:hAnsiTheme="minorHAnsi" w:cstheme="minorHAnsi"/>
          <w:color w:val="000000"/>
          <w:sz w:val="22"/>
          <w:szCs w:val="22"/>
        </w:rPr>
      </w:pPr>
      <w:r w:rsidRPr="0087246C">
        <w:rPr>
          <w:rFonts w:asciiTheme="minorHAnsi" w:hAnsiTheme="minorHAnsi" w:cstheme="minorHAnsi"/>
          <w:color w:val="000000"/>
          <w:sz w:val="22"/>
          <w:szCs w:val="22"/>
        </w:rPr>
        <w:t>Si l’unité administrative du PNUD reçoit un avis d’arbitrage de la part d’un consultant, l’affaire doit être immédiatement soumise au Bureau d’appui aux achats et au Bureau d’appui juridique pour conseil.</w:t>
      </w:r>
    </w:p>
    <w:p w14:paraId="708A3770" w14:textId="77777777" w:rsidR="00342695" w:rsidRPr="0087246C" w:rsidRDefault="00342695" w:rsidP="00342695">
      <w:pPr>
        <w:pStyle w:val="Calibri11"/>
        <w:numPr>
          <w:ilvl w:val="0"/>
          <w:numId w:val="0"/>
        </w:numPr>
        <w:ind w:left="360"/>
        <w:jc w:val="both"/>
        <w:rPr>
          <w:rFonts w:asciiTheme="minorHAnsi" w:hAnsiTheme="minorHAnsi" w:cstheme="minorHAnsi"/>
          <w:szCs w:val="22"/>
        </w:rPr>
      </w:pPr>
      <w:bookmarkStart w:id="100" w:name="_Toc208574136"/>
      <w:r w:rsidRPr="0087246C">
        <w:rPr>
          <w:rFonts w:asciiTheme="minorHAnsi" w:hAnsiTheme="minorHAnsi" w:cstheme="minorHAnsi"/>
          <w:szCs w:val="22"/>
        </w:rPr>
        <w:t>Rôles et responsabilités</w:t>
      </w:r>
      <w:bookmarkEnd w:id="100"/>
    </w:p>
    <w:tbl>
      <w:tblPr>
        <w:tblpPr w:leftFromText="180" w:rightFromText="180" w:vertAnchor="text" w:horzAnchor="page" w:tblpX="1963" w:tblpY="454"/>
        <w:tblOverlap w:val="neve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6"/>
        <w:gridCol w:w="6169"/>
      </w:tblGrid>
      <w:tr w:rsidR="00342695" w:rsidRPr="0087246C" w14:paraId="707AE597" w14:textId="77777777" w:rsidTr="00342695">
        <w:trPr>
          <w:tblHeader/>
        </w:trPr>
        <w:tc>
          <w:tcPr>
            <w:tcW w:w="3006" w:type="dxa"/>
            <w:shd w:val="clear" w:color="auto" w:fill="FFFF99"/>
          </w:tcPr>
          <w:p w14:paraId="017DC0AC" w14:textId="77777777" w:rsidR="00342695" w:rsidRPr="0087246C" w:rsidRDefault="00342695" w:rsidP="00342695">
            <w:pPr>
              <w:spacing w:after="0" w:line="240" w:lineRule="auto"/>
              <w:jc w:val="both"/>
              <w:rPr>
                <w:rFonts w:eastAsia="Times New Roman" w:cstheme="minorHAnsi"/>
                <w:color w:val="000080"/>
              </w:rPr>
            </w:pPr>
            <w:r w:rsidRPr="0087246C">
              <w:rPr>
                <w:rFonts w:cstheme="minorHAnsi"/>
                <w:color w:val="000080"/>
              </w:rPr>
              <w:t xml:space="preserve">Rôles </w:t>
            </w:r>
          </w:p>
        </w:tc>
        <w:tc>
          <w:tcPr>
            <w:tcW w:w="6169" w:type="dxa"/>
            <w:shd w:val="clear" w:color="auto" w:fill="FFFF99"/>
          </w:tcPr>
          <w:p w14:paraId="5055390F" w14:textId="77777777" w:rsidR="00342695" w:rsidRPr="0087246C" w:rsidRDefault="00342695" w:rsidP="00342695">
            <w:pPr>
              <w:spacing w:after="0" w:line="240" w:lineRule="auto"/>
              <w:jc w:val="both"/>
              <w:rPr>
                <w:rFonts w:eastAsia="Times New Roman" w:cstheme="minorHAnsi"/>
                <w:color w:val="000080"/>
              </w:rPr>
            </w:pPr>
            <w:r w:rsidRPr="0087246C">
              <w:rPr>
                <w:rFonts w:cstheme="minorHAnsi"/>
                <w:color w:val="000080"/>
              </w:rPr>
              <w:t xml:space="preserve">Responsabilités </w:t>
            </w:r>
          </w:p>
        </w:tc>
      </w:tr>
      <w:tr w:rsidR="00342695" w:rsidRPr="0087246C" w14:paraId="628B8B1E" w14:textId="77777777" w:rsidTr="00342695">
        <w:trPr>
          <w:tblHeader/>
        </w:trPr>
        <w:tc>
          <w:tcPr>
            <w:tcW w:w="3006" w:type="dxa"/>
          </w:tcPr>
          <w:p w14:paraId="35C6C1CD" w14:textId="77777777" w:rsidR="00342695" w:rsidRPr="0087246C" w:rsidRDefault="00342695" w:rsidP="00342695">
            <w:pPr>
              <w:spacing w:after="0" w:line="240" w:lineRule="auto"/>
              <w:jc w:val="both"/>
              <w:rPr>
                <w:rFonts w:eastAsia="Times New Roman" w:cstheme="minorHAnsi"/>
                <w:color w:val="000000" w:themeColor="text1"/>
              </w:rPr>
            </w:pPr>
            <w:r w:rsidRPr="0087246C">
              <w:rPr>
                <w:rFonts w:cstheme="minorHAnsi"/>
                <w:color w:val="000000" w:themeColor="text1"/>
              </w:rPr>
              <w:t>Chef de l’unité administrative</w:t>
            </w:r>
          </w:p>
        </w:tc>
        <w:tc>
          <w:tcPr>
            <w:tcW w:w="6169" w:type="dxa"/>
          </w:tcPr>
          <w:p w14:paraId="25059756" w14:textId="77777777" w:rsidR="00342695" w:rsidRPr="0087246C" w:rsidRDefault="00342695" w:rsidP="00342695">
            <w:pPr>
              <w:spacing w:after="0" w:line="240" w:lineRule="auto"/>
              <w:jc w:val="both"/>
              <w:rPr>
                <w:rFonts w:eastAsia="Times New Roman" w:cstheme="minorHAnsi"/>
                <w:color w:val="000000" w:themeColor="text1"/>
              </w:rPr>
            </w:pPr>
            <w:r w:rsidRPr="0087246C">
              <w:rPr>
                <w:rFonts w:cstheme="minorHAnsi"/>
                <w:color w:val="000000" w:themeColor="text1"/>
              </w:rPr>
              <w:t>Instaurer un processus permettant de déterminer si un contrat individuel est l’instrument le plus approprié pour les services requis et de veiller à ce que les contrats ne soient destinés qu’à leurs fins spécifiques.</w:t>
            </w:r>
          </w:p>
        </w:tc>
      </w:tr>
      <w:tr w:rsidR="00342695" w:rsidRPr="0087246C" w14:paraId="6C7468EE" w14:textId="77777777" w:rsidTr="00342695">
        <w:trPr>
          <w:tblHeader/>
        </w:trPr>
        <w:tc>
          <w:tcPr>
            <w:tcW w:w="3006" w:type="dxa"/>
          </w:tcPr>
          <w:p w14:paraId="1E64E5AD" w14:textId="77777777" w:rsidR="00342695" w:rsidRPr="0087246C" w:rsidRDefault="00342695" w:rsidP="00342695">
            <w:pPr>
              <w:spacing w:after="0" w:line="240" w:lineRule="auto"/>
              <w:jc w:val="both"/>
              <w:rPr>
                <w:rFonts w:eastAsia="Times New Roman" w:cstheme="minorHAnsi"/>
                <w:color w:val="000000" w:themeColor="text1"/>
              </w:rPr>
            </w:pPr>
            <w:r w:rsidRPr="0087246C">
              <w:rPr>
                <w:rFonts w:cstheme="minorHAnsi"/>
                <w:color w:val="000000" w:themeColor="text1"/>
              </w:rPr>
              <w:t>Chef de l’unité administrative</w:t>
            </w:r>
          </w:p>
        </w:tc>
        <w:tc>
          <w:tcPr>
            <w:tcW w:w="6169" w:type="dxa"/>
          </w:tcPr>
          <w:p w14:paraId="1FCBE748" w14:textId="77777777" w:rsidR="00342695" w:rsidRPr="0087246C" w:rsidRDefault="00342695" w:rsidP="00342695">
            <w:pPr>
              <w:spacing w:after="0" w:line="240" w:lineRule="auto"/>
              <w:jc w:val="both"/>
              <w:rPr>
                <w:rFonts w:eastAsia="Times New Roman" w:cstheme="minorHAnsi"/>
                <w:color w:val="000000" w:themeColor="text1"/>
              </w:rPr>
            </w:pPr>
            <w:r w:rsidRPr="0087246C">
              <w:rPr>
                <w:rFonts w:cstheme="minorHAnsi"/>
                <w:color w:val="000000" w:themeColor="text1"/>
              </w:rPr>
              <w:t>Coordonner avec d’autres agences des Nations Unies, la mise en place des couts de référence relatif au recrutement de consultant</w:t>
            </w:r>
          </w:p>
        </w:tc>
      </w:tr>
      <w:tr w:rsidR="00342695" w:rsidRPr="0087246C" w14:paraId="48EED751" w14:textId="77777777" w:rsidTr="00342695">
        <w:tc>
          <w:tcPr>
            <w:tcW w:w="3006" w:type="dxa"/>
          </w:tcPr>
          <w:p w14:paraId="48EA6002" w14:textId="77777777" w:rsidR="00342695" w:rsidRPr="0087246C" w:rsidRDefault="00342695" w:rsidP="00342695">
            <w:pPr>
              <w:shd w:val="clear" w:color="auto" w:fill="FFFFFF"/>
              <w:spacing w:after="0" w:line="240" w:lineRule="auto"/>
              <w:jc w:val="both"/>
              <w:textAlignment w:val="top"/>
              <w:rPr>
                <w:rFonts w:eastAsia="Times New Roman" w:cstheme="minorHAnsi"/>
                <w:color w:val="000000"/>
              </w:rPr>
            </w:pPr>
            <w:r w:rsidRPr="0087246C">
              <w:rPr>
                <w:rFonts w:cstheme="minorHAnsi"/>
                <w:color w:val="000000"/>
              </w:rPr>
              <w:t>Responsables des unités requérantes</w:t>
            </w:r>
          </w:p>
        </w:tc>
        <w:tc>
          <w:tcPr>
            <w:tcW w:w="6169" w:type="dxa"/>
          </w:tcPr>
          <w:p w14:paraId="6271F5C8" w14:textId="77777777" w:rsidR="00342695" w:rsidRPr="0087246C" w:rsidRDefault="00342695" w:rsidP="00342695">
            <w:pPr>
              <w:shd w:val="clear" w:color="auto" w:fill="FFFFFF"/>
              <w:spacing w:after="0" w:line="240" w:lineRule="auto"/>
              <w:jc w:val="both"/>
              <w:textAlignment w:val="top"/>
              <w:rPr>
                <w:rFonts w:eastAsia="Times New Roman" w:cstheme="minorHAnsi"/>
              </w:rPr>
            </w:pPr>
            <w:r w:rsidRPr="0087246C">
              <w:rPr>
                <w:rFonts w:cstheme="minorHAnsi"/>
                <w:color w:val="000000"/>
              </w:rPr>
              <w:t xml:space="preserve">Déterminer, sur la base d’un examen et d’une analyse de toutes les modalités contractuelles possibles </w:t>
            </w:r>
            <w:r w:rsidRPr="0087246C">
              <w:rPr>
                <w:rFonts w:cstheme="minorHAnsi"/>
                <w:iCs/>
                <w:color w:val="000000"/>
              </w:rPr>
              <w:t>par rapport</w:t>
            </w:r>
            <w:r w:rsidRPr="0087246C">
              <w:rPr>
                <w:rFonts w:cstheme="minorHAnsi"/>
                <w:color w:val="000000"/>
              </w:rPr>
              <w:t xml:space="preserve"> à la nature de la mission, si un contrat individuel est la modalité contractuelle la plus appropriée ou non.</w:t>
            </w:r>
          </w:p>
        </w:tc>
      </w:tr>
      <w:tr w:rsidR="00342695" w:rsidRPr="0087246C" w14:paraId="45F38F6C" w14:textId="77777777" w:rsidTr="00342695">
        <w:tc>
          <w:tcPr>
            <w:tcW w:w="3006" w:type="dxa"/>
          </w:tcPr>
          <w:p w14:paraId="0DC71A37" w14:textId="77777777" w:rsidR="00342695" w:rsidRPr="0087246C" w:rsidRDefault="00342695" w:rsidP="00342695">
            <w:pPr>
              <w:shd w:val="clear" w:color="auto" w:fill="FFFFFF"/>
              <w:spacing w:after="0" w:line="240" w:lineRule="auto"/>
              <w:jc w:val="both"/>
              <w:textAlignment w:val="top"/>
              <w:rPr>
                <w:rFonts w:eastAsia="Times New Roman" w:cstheme="minorHAnsi"/>
                <w:color w:val="000000"/>
              </w:rPr>
            </w:pPr>
            <w:r w:rsidRPr="0087246C">
              <w:rPr>
                <w:rFonts w:cstheme="minorHAnsi"/>
                <w:color w:val="000000"/>
              </w:rPr>
              <w:t>Responsables des unités requérantes</w:t>
            </w:r>
          </w:p>
        </w:tc>
        <w:tc>
          <w:tcPr>
            <w:tcW w:w="6169" w:type="dxa"/>
          </w:tcPr>
          <w:p w14:paraId="2A457704" w14:textId="77777777" w:rsidR="00342695" w:rsidRPr="0087246C" w:rsidRDefault="00342695" w:rsidP="00342695">
            <w:pPr>
              <w:shd w:val="clear" w:color="auto" w:fill="FFFFFF"/>
              <w:spacing w:after="0" w:line="240" w:lineRule="auto"/>
              <w:jc w:val="both"/>
              <w:textAlignment w:val="top"/>
              <w:rPr>
                <w:rFonts w:eastAsia="Times New Roman" w:cstheme="minorHAnsi"/>
                <w:color w:val="000000"/>
              </w:rPr>
            </w:pPr>
            <w:r w:rsidRPr="0087246C">
              <w:rPr>
                <w:rFonts w:cstheme="minorHAnsi"/>
                <w:color w:val="000000"/>
              </w:rPr>
              <w:t>Déterminer l’objet et la durée du contrat conformément à la politique en matière de contrat individuel</w:t>
            </w:r>
            <w:r w:rsidRPr="0087246C">
              <w:rPr>
                <w:rFonts w:cstheme="minorHAnsi"/>
              </w:rPr>
              <w:t xml:space="preserve"> et </w:t>
            </w:r>
            <w:r w:rsidRPr="0087246C">
              <w:rPr>
                <w:rFonts w:cstheme="minorHAnsi"/>
                <w:color w:val="000000"/>
              </w:rPr>
              <w:t xml:space="preserve">s’assurer de la disponibilité des fonds et des montants budgétaires appropriés </w:t>
            </w:r>
            <w:r w:rsidRPr="0087246C">
              <w:rPr>
                <w:rFonts w:cstheme="minorHAnsi"/>
                <w:color w:val="000000"/>
              </w:rPr>
              <w:lastRenderedPageBreak/>
              <w:t>correspondant à la durée de l’accord et à toute prolongation prévue.</w:t>
            </w:r>
          </w:p>
        </w:tc>
      </w:tr>
      <w:tr w:rsidR="00342695" w:rsidRPr="0087246C" w14:paraId="711A2786" w14:textId="77777777" w:rsidTr="00342695">
        <w:tc>
          <w:tcPr>
            <w:tcW w:w="3006" w:type="dxa"/>
          </w:tcPr>
          <w:p w14:paraId="2BD1FA34" w14:textId="77777777" w:rsidR="00342695" w:rsidRPr="0087246C" w:rsidRDefault="00342695" w:rsidP="00342695">
            <w:pPr>
              <w:shd w:val="clear" w:color="auto" w:fill="FFFFFF"/>
              <w:spacing w:after="0" w:line="240" w:lineRule="auto"/>
              <w:jc w:val="both"/>
              <w:textAlignment w:val="top"/>
              <w:rPr>
                <w:rFonts w:eastAsia="Times New Roman" w:cstheme="minorHAnsi"/>
                <w:color w:val="000000"/>
              </w:rPr>
            </w:pPr>
            <w:r w:rsidRPr="0087246C">
              <w:rPr>
                <w:rFonts w:cstheme="minorHAnsi"/>
              </w:rPr>
              <w:lastRenderedPageBreak/>
              <w:t>Responsables des unités requérantes</w:t>
            </w:r>
          </w:p>
        </w:tc>
        <w:tc>
          <w:tcPr>
            <w:tcW w:w="6169" w:type="dxa"/>
          </w:tcPr>
          <w:p w14:paraId="317859CF" w14:textId="77777777" w:rsidR="00342695" w:rsidRPr="0087246C" w:rsidRDefault="00342695" w:rsidP="00342695">
            <w:pPr>
              <w:shd w:val="clear" w:color="auto" w:fill="FFFFFF"/>
              <w:spacing w:after="0" w:line="240" w:lineRule="auto"/>
              <w:jc w:val="both"/>
              <w:textAlignment w:val="top"/>
              <w:rPr>
                <w:rFonts w:eastAsia="Times New Roman" w:cstheme="minorHAnsi"/>
                <w:color w:val="000000"/>
              </w:rPr>
            </w:pPr>
            <w:r w:rsidRPr="0087246C">
              <w:rPr>
                <w:rFonts w:cstheme="minorHAnsi"/>
                <w:color w:val="000000"/>
              </w:rPr>
              <w:t>Définir les termes de référence ainsi que les produits livrables clairement définis, les délais et les critères de qualification.</w:t>
            </w:r>
          </w:p>
        </w:tc>
      </w:tr>
      <w:tr w:rsidR="00342695" w:rsidRPr="0087246C" w14:paraId="39D09DCE" w14:textId="77777777" w:rsidTr="00342695">
        <w:tc>
          <w:tcPr>
            <w:tcW w:w="3006" w:type="dxa"/>
          </w:tcPr>
          <w:p w14:paraId="136B2AE8" w14:textId="77777777" w:rsidR="00342695" w:rsidRPr="0087246C" w:rsidRDefault="00342695" w:rsidP="00342695">
            <w:pPr>
              <w:spacing w:after="0" w:line="240" w:lineRule="auto"/>
              <w:jc w:val="both"/>
              <w:rPr>
                <w:rFonts w:eastAsia="Times New Roman" w:cstheme="minorHAnsi"/>
                <w:color w:val="000000"/>
              </w:rPr>
            </w:pPr>
            <w:r w:rsidRPr="0087246C">
              <w:rPr>
                <w:rFonts w:cstheme="minorHAnsi"/>
              </w:rPr>
              <w:t>Unité des achats</w:t>
            </w:r>
          </w:p>
        </w:tc>
        <w:tc>
          <w:tcPr>
            <w:tcW w:w="6169" w:type="dxa"/>
          </w:tcPr>
          <w:p w14:paraId="1159B710" w14:textId="77777777" w:rsidR="00342695" w:rsidRPr="0087246C" w:rsidRDefault="00342695" w:rsidP="00342695">
            <w:pPr>
              <w:spacing w:after="0" w:line="240" w:lineRule="auto"/>
              <w:jc w:val="both"/>
              <w:rPr>
                <w:rFonts w:eastAsia="Times New Roman" w:cstheme="minorHAnsi"/>
                <w:color w:val="000000"/>
              </w:rPr>
            </w:pPr>
            <w:r w:rsidRPr="0087246C">
              <w:rPr>
                <w:rFonts w:cstheme="minorHAnsi"/>
                <w:color w:val="000000"/>
              </w:rPr>
              <w:t xml:space="preserve">Faciliter le processus de sélection des consultants, </w:t>
            </w:r>
            <w:proofErr w:type="gramStart"/>
            <w:r w:rsidRPr="0087246C">
              <w:rPr>
                <w:rFonts w:cstheme="minorHAnsi"/>
                <w:color w:val="000000"/>
              </w:rPr>
              <w:t>donner</w:t>
            </w:r>
            <w:proofErr w:type="gramEnd"/>
            <w:r w:rsidRPr="0087246C">
              <w:rPr>
                <w:rFonts w:cstheme="minorHAnsi"/>
                <w:color w:val="000000"/>
              </w:rPr>
              <w:t xml:space="preserve"> des conseils aux unités requérantes et à l’équipe d’évaluation concernant la réalisation de l’évaluation et le processus de sélection conformément à la politique en matière de contrat individuel.</w:t>
            </w:r>
          </w:p>
        </w:tc>
      </w:tr>
      <w:tr w:rsidR="00342695" w:rsidRPr="0087246C" w14:paraId="3EF3BACC" w14:textId="77777777" w:rsidTr="00342695">
        <w:tc>
          <w:tcPr>
            <w:tcW w:w="3006" w:type="dxa"/>
          </w:tcPr>
          <w:p w14:paraId="1342BC22" w14:textId="77777777" w:rsidR="00342695" w:rsidRPr="0087246C" w:rsidRDefault="00342695" w:rsidP="00342695">
            <w:pPr>
              <w:spacing w:after="0" w:line="240" w:lineRule="auto"/>
              <w:jc w:val="both"/>
              <w:rPr>
                <w:rFonts w:eastAsia="Times New Roman" w:cstheme="minorHAnsi"/>
                <w:color w:val="000000"/>
              </w:rPr>
            </w:pPr>
            <w:r w:rsidRPr="0087246C">
              <w:rPr>
                <w:rFonts w:cstheme="minorHAnsi"/>
              </w:rPr>
              <w:t>Unité des achats</w:t>
            </w:r>
          </w:p>
        </w:tc>
        <w:tc>
          <w:tcPr>
            <w:tcW w:w="6169" w:type="dxa"/>
          </w:tcPr>
          <w:p w14:paraId="02382518" w14:textId="77777777" w:rsidR="00342695" w:rsidRPr="0087246C" w:rsidRDefault="00342695" w:rsidP="00342695">
            <w:pPr>
              <w:spacing w:after="0" w:line="240" w:lineRule="auto"/>
              <w:jc w:val="both"/>
              <w:rPr>
                <w:rFonts w:eastAsia="Times New Roman" w:cstheme="minorHAnsi"/>
                <w:color w:val="000000"/>
              </w:rPr>
            </w:pPr>
            <w:r w:rsidRPr="0087246C">
              <w:rPr>
                <w:rFonts w:cstheme="minorHAnsi"/>
                <w:color w:val="000000"/>
              </w:rPr>
              <w:t>Veiller à ce que tous les candidats présélectionnés en vue d’un examen sur dossier et/ou d’un entretien possèdent des qualifications comparables qui répondent aux exigences prévues par les termes de référence, ont confirmé leur disponibilité et ont soumis des propositions financières spécifiques à la tâche.</w:t>
            </w:r>
          </w:p>
        </w:tc>
      </w:tr>
      <w:tr w:rsidR="00342695" w:rsidRPr="0087246C" w14:paraId="5EDD6F62" w14:textId="77777777" w:rsidTr="00342695">
        <w:tc>
          <w:tcPr>
            <w:tcW w:w="3006" w:type="dxa"/>
          </w:tcPr>
          <w:p w14:paraId="2751FCFA" w14:textId="77777777" w:rsidR="00342695" w:rsidRPr="0087246C" w:rsidRDefault="00342695" w:rsidP="00342695">
            <w:pPr>
              <w:shd w:val="clear" w:color="auto" w:fill="FFFFFF"/>
              <w:spacing w:after="0" w:line="240" w:lineRule="auto"/>
              <w:jc w:val="both"/>
              <w:textAlignment w:val="top"/>
              <w:rPr>
                <w:rFonts w:eastAsia="Times New Roman" w:cstheme="minorHAnsi"/>
                <w:color w:val="000000"/>
              </w:rPr>
            </w:pPr>
            <w:r w:rsidRPr="0087246C">
              <w:rPr>
                <w:rFonts w:cstheme="minorHAnsi"/>
              </w:rPr>
              <w:t>Responsables des unités requérantes</w:t>
            </w:r>
          </w:p>
        </w:tc>
        <w:tc>
          <w:tcPr>
            <w:tcW w:w="6169" w:type="dxa"/>
          </w:tcPr>
          <w:p w14:paraId="0F62DDA3" w14:textId="77777777" w:rsidR="00342695" w:rsidRPr="0087246C" w:rsidRDefault="00342695" w:rsidP="00342695">
            <w:pPr>
              <w:shd w:val="clear" w:color="auto" w:fill="FFFFFF"/>
              <w:spacing w:after="0" w:line="240" w:lineRule="auto"/>
              <w:jc w:val="both"/>
              <w:textAlignment w:val="top"/>
              <w:rPr>
                <w:rFonts w:eastAsia="Times New Roman" w:cstheme="minorHAnsi"/>
                <w:color w:val="000000"/>
              </w:rPr>
            </w:pPr>
            <w:r w:rsidRPr="0087246C">
              <w:rPr>
                <w:rFonts w:cstheme="minorHAnsi"/>
                <w:color w:val="000000"/>
              </w:rPr>
              <w:t>Participer à la sélection du candidat au profil le plus adéquat pour la tâche.</w:t>
            </w:r>
          </w:p>
        </w:tc>
      </w:tr>
      <w:tr w:rsidR="00342695" w:rsidRPr="0087246C" w14:paraId="0E9D638C" w14:textId="77777777" w:rsidTr="00342695">
        <w:tc>
          <w:tcPr>
            <w:tcW w:w="3006" w:type="dxa"/>
          </w:tcPr>
          <w:p w14:paraId="7006F324" w14:textId="77777777" w:rsidR="00342695" w:rsidRPr="0087246C" w:rsidRDefault="00342695" w:rsidP="00342695">
            <w:pPr>
              <w:shd w:val="clear" w:color="auto" w:fill="FFFFFF"/>
              <w:spacing w:after="0" w:line="240" w:lineRule="auto"/>
              <w:jc w:val="both"/>
              <w:textAlignment w:val="top"/>
              <w:rPr>
                <w:rFonts w:eastAsia="Times New Roman" w:cstheme="minorHAnsi"/>
                <w:color w:val="000000"/>
              </w:rPr>
            </w:pPr>
            <w:r w:rsidRPr="0087246C">
              <w:rPr>
                <w:rFonts w:cstheme="minorHAnsi"/>
              </w:rPr>
              <w:t>Unité des achats</w:t>
            </w:r>
          </w:p>
        </w:tc>
        <w:tc>
          <w:tcPr>
            <w:tcW w:w="6169" w:type="dxa"/>
          </w:tcPr>
          <w:p w14:paraId="55AAA589" w14:textId="77777777" w:rsidR="00342695" w:rsidRPr="0087246C" w:rsidRDefault="00342695" w:rsidP="00342695">
            <w:pPr>
              <w:shd w:val="clear" w:color="auto" w:fill="FFFFFF"/>
              <w:spacing w:after="0" w:line="240" w:lineRule="auto"/>
              <w:jc w:val="both"/>
              <w:textAlignment w:val="top"/>
              <w:rPr>
                <w:rFonts w:eastAsia="Times New Roman" w:cstheme="minorHAnsi"/>
                <w:color w:val="000000"/>
              </w:rPr>
            </w:pPr>
            <w:r w:rsidRPr="0087246C">
              <w:rPr>
                <w:rFonts w:cstheme="minorHAnsi"/>
                <w:color w:val="000000"/>
              </w:rPr>
              <w:t>Soumettre une documentation suffisante et obtenir l’approbation du Directeur du comité ou du Directeur du bureau pour les contrats individuels, le cas échéant et si nécessaire.</w:t>
            </w:r>
          </w:p>
        </w:tc>
      </w:tr>
      <w:tr w:rsidR="00342695" w:rsidRPr="0087246C" w14:paraId="57BC8679" w14:textId="77777777" w:rsidTr="00342695">
        <w:tc>
          <w:tcPr>
            <w:tcW w:w="3006" w:type="dxa"/>
          </w:tcPr>
          <w:p w14:paraId="47009F1E" w14:textId="77777777" w:rsidR="00342695" w:rsidRPr="0087246C" w:rsidRDefault="00342695" w:rsidP="00342695">
            <w:pPr>
              <w:shd w:val="clear" w:color="auto" w:fill="FFFFFF"/>
              <w:spacing w:after="0" w:line="240" w:lineRule="auto"/>
              <w:jc w:val="both"/>
              <w:textAlignment w:val="top"/>
              <w:rPr>
                <w:rFonts w:eastAsia="Times New Roman" w:cstheme="minorHAnsi"/>
                <w:color w:val="000000"/>
              </w:rPr>
            </w:pPr>
            <w:r w:rsidRPr="0087246C">
              <w:rPr>
                <w:rFonts w:cstheme="minorHAnsi"/>
              </w:rPr>
              <w:t>Comités d’examen des marchés</w:t>
            </w:r>
          </w:p>
        </w:tc>
        <w:tc>
          <w:tcPr>
            <w:tcW w:w="6169" w:type="dxa"/>
          </w:tcPr>
          <w:p w14:paraId="7DE510A5" w14:textId="77777777" w:rsidR="00342695" w:rsidRPr="0087246C" w:rsidRDefault="00342695" w:rsidP="00342695">
            <w:pPr>
              <w:shd w:val="clear" w:color="auto" w:fill="FFFFFF"/>
              <w:spacing w:after="0" w:line="240" w:lineRule="auto"/>
              <w:jc w:val="both"/>
              <w:textAlignment w:val="top"/>
              <w:rPr>
                <w:rFonts w:eastAsia="Times New Roman" w:cstheme="minorHAnsi"/>
                <w:color w:val="000000"/>
              </w:rPr>
            </w:pPr>
            <w:r w:rsidRPr="0087246C">
              <w:rPr>
                <w:rFonts w:cstheme="minorHAnsi"/>
                <w:color w:val="000000"/>
              </w:rPr>
              <w:t>Recommander l’approbation des contrats individuels en fonction du seuil établi dans la présente politique.</w:t>
            </w:r>
          </w:p>
        </w:tc>
      </w:tr>
      <w:tr w:rsidR="00342695" w:rsidRPr="0087246C" w14:paraId="2C395052" w14:textId="77777777" w:rsidTr="00342695">
        <w:tc>
          <w:tcPr>
            <w:tcW w:w="3006" w:type="dxa"/>
          </w:tcPr>
          <w:p w14:paraId="767FA599" w14:textId="77777777" w:rsidR="00342695" w:rsidRPr="0087246C" w:rsidRDefault="00342695" w:rsidP="00342695">
            <w:pPr>
              <w:shd w:val="clear" w:color="auto" w:fill="FFFFFF"/>
              <w:spacing w:after="0" w:line="240" w:lineRule="auto"/>
              <w:jc w:val="both"/>
              <w:textAlignment w:val="top"/>
              <w:rPr>
                <w:rFonts w:eastAsia="Times New Roman" w:cstheme="minorHAnsi"/>
                <w:color w:val="000000"/>
              </w:rPr>
            </w:pPr>
            <w:r w:rsidRPr="0087246C">
              <w:rPr>
                <w:rFonts w:cstheme="minorHAnsi"/>
              </w:rPr>
              <w:t>Chefs d’unités administratives</w:t>
            </w:r>
          </w:p>
        </w:tc>
        <w:tc>
          <w:tcPr>
            <w:tcW w:w="6169" w:type="dxa"/>
          </w:tcPr>
          <w:p w14:paraId="1A00D007" w14:textId="77777777" w:rsidR="00342695" w:rsidRPr="0087246C" w:rsidRDefault="00342695" w:rsidP="00342695">
            <w:pPr>
              <w:shd w:val="clear" w:color="auto" w:fill="FFFFFF"/>
              <w:spacing w:after="0" w:line="240" w:lineRule="auto"/>
              <w:jc w:val="both"/>
              <w:textAlignment w:val="top"/>
              <w:rPr>
                <w:rFonts w:eastAsia="Times New Roman" w:cstheme="minorHAnsi"/>
                <w:color w:val="000000"/>
              </w:rPr>
            </w:pPr>
            <w:r w:rsidRPr="0087246C">
              <w:rPr>
                <w:rFonts w:cstheme="minorHAnsi"/>
                <w:color w:val="000000"/>
              </w:rPr>
              <w:t>Exercer une délégation de pouvoir en matière de passation de marchés individuels dans les limites de leurs compétences.</w:t>
            </w:r>
          </w:p>
        </w:tc>
      </w:tr>
      <w:tr w:rsidR="00342695" w:rsidRPr="0087246C" w14:paraId="371FF482" w14:textId="77777777" w:rsidTr="00342695">
        <w:tc>
          <w:tcPr>
            <w:tcW w:w="3006" w:type="dxa"/>
          </w:tcPr>
          <w:p w14:paraId="2DCB20F9" w14:textId="77777777" w:rsidR="00342695" w:rsidRPr="0087246C" w:rsidRDefault="00342695" w:rsidP="00342695">
            <w:pPr>
              <w:shd w:val="clear" w:color="auto" w:fill="FFFFFF"/>
              <w:spacing w:after="0" w:line="240" w:lineRule="auto"/>
              <w:jc w:val="both"/>
              <w:textAlignment w:val="top"/>
              <w:rPr>
                <w:rFonts w:eastAsia="Times New Roman" w:cstheme="minorHAnsi"/>
                <w:color w:val="000000"/>
              </w:rPr>
            </w:pPr>
            <w:r w:rsidRPr="0087246C">
              <w:rPr>
                <w:rFonts w:cstheme="minorHAnsi"/>
              </w:rPr>
              <w:t>Unité des achats</w:t>
            </w:r>
          </w:p>
        </w:tc>
        <w:tc>
          <w:tcPr>
            <w:tcW w:w="6169" w:type="dxa"/>
          </w:tcPr>
          <w:p w14:paraId="64BCB95C" w14:textId="77777777" w:rsidR="00342695" w:rsidRPr="0087246C" w:rsidRDefault="00342695" w:rsidP="00342695">
            <w:pPr>
              <w:shd w:val="clear" w:color="auto" w:fill="FFFFFF"/>
              <w:spacing w:after="0" w:line="240" w:lineRule="auto"/>
              <w:jc w:val="both"/>
              <w:textAlignment w:val="top"/>
              <w:rPr>
                <w:rFonts w:eastAsia="Times New Roman" w:cstheme="minorHAnsi"/>
                <w:color w:val="000000"/>
              </w:rPr>
            </w:pPr>
            <w:r w:rsidRPr="0087246C">
              <w:rPr>
                <w:rFonts w:cstheme="minorHAnsi"/>
                <w:color w:val="000000"/>
              </w:rPr>
              <w:t>Veiller à ce que chaque contrat individuel signé par le PNUD contienne toutes les informations nécessaires, particulièrement le bénéficiaire de l’assurance du consultant.</w:t>
            </w:r>
          </w:p>
        </w:tc>
      </w:tr>
      <w:tr w:rsidR="00342695" w:rsidRPr="0087246C" w14:paraId="095BE95B" w14:textId="77777777" w:rsidTr="00342695">
        <w:tc>
          <w:tcPr>
            <w:tcW w:w="3006" w:type="dxa"/>
          </w:tcPr>
          <w:p w14:paraId="5FF40341" w14:textId="77777777" w:rsidR="00342695" w:rsidRPr="0087246C" w:rsidRDefault="00342695" w:rsidP="00342695">
            <w:pPr>
              <w:shd w:val="clear" w:color="auto" w:fill="FFFFFF"/>
              <w:spacing w:after="0" w:line="240" w:lineRule="auto"/>
              <w:jc w:val="both"/>
              <w:textAlignment w:val="top"/>
              <w:rPr>
                <w:rFonts w:eastAsia="Times New Roman" w:cstheme="minorHAnsi"/>
                <w:color w:val="000000"/>
              </w:rPr>
            </w:pPr>
            <w:r w:rsidRPr="0087246C">
              <w:rPr>
                <w:rFonts w:cstheme="minorHAnsi"/>
              </w:rPr>
              <w:t>Unité des achats</w:t>
            </w:r>
          </w:p>
        </w:tc>
        <w:tc>
          <w:tcPr>
            <w:tcW w:w="6169" w:type="dxa"/>
          </w:tcPr>
          <w:p w14:paraId="2F2DC143" w14:textId="249C87E8" w:rsidR="00342695" w:rsidRPr="0087246C" w:rsidRDefault="00342695" w:rsidP="00342695">
            <w:pPr>
              <w:shd w:val="clear" w:color="auto" w:fill="FFFFFF"/>
              <w:spacing w:after="0" w:line="240" w:lineRule="auto"/>
              <w:jc w:val="both"/>
              <w:textAlignment w:val="top"/>
              <w:rPr>
                <w:rFonts w:eastAsia="Times New Roman" w:cstheme="minorHAnsi"/>
                <w:color w:val="000000"/>
              </w:rPr>
            </w:pPr>
            <w:r w:rsidRPr="0087246C">
              <w:rPr>
                <w:rFonts w:cstheme="minorHAnsi"/>
                <w:color w:val="000000"/>
              </w:rPr>
              <w:t xml:space="preserve">Conférer aux consultants le statut de fournisseurs dans </w:t>
            </w:r>
            <w:r w:rsidR="006A1A29">
              <w:rPr>
                <w:rFonts w:cstheme="minorHAnsi"/>
                <w:color w:val="000000"/>
              </w:rPr>
              <w:t>Quantum</w:t>
            </w:r>
            <w:r w:rsidRPr="0087246C">
              <w:rPr>
                <w:rFonts w:cstheme="minorHAnsi"/>
                <w:color w:val="000000"/>
              </w:rPr>
              <w:t>, délivrer des contrats et établir des bons de commande dans ce recueil,</w:t>
            </w:r>
            <w:r w:rsidRPr="0087246C">
              <w:rPr>
                <w:rFonts w:cstheme="minorHAnsi"/>
              </w:rPr>
              <w:t xml:space="preserve"> </w:t>
            </w:r>
            <w:r w:rsidRPr="0087246C">
              <w:rPr>
                <w:rFonts w:cstheme="minorHAnsi"/>
                <w:color w:val="000000"/>
              </w:rPr>
              <w:t>correspondant au paiement des honoraires conformément aux clauses du contrat</w:t>
            </w:r>
          </w:p>
        </w:tc>
      </w:tr>
      <w:tr w:rsidR="00342695" w:rsidRPr="0087246C" w14:paraId="6E039104" w14:textId="77777777" w:rsidTr="00342695">
        <w:tc>
          <w:tcPr>
            <w:tcW w:w="3006" w:type="dxa"/>
          </w:tcPr>
          <w:p w14:paraId="2613FC83" w14:textId="77777777" w:rsidR="00342695" w:rsidRPr="0087246C" w:rsidRDefault="00342695" w:rsidP="00342695">
            <w:pPr>
              <w:shd w:val="clear" w:color="auto" w:fill="FFFFFF"/>
              <w:spacing w:after="0" w:line="240" w:lineRule="auto"/>
              <w:jc w:val="both"/>
              <w:textAlignment w:val="top"/>
              <w:rPr>
                <w:rFonts w:eastAsia="Times New Roman" w:cstheme="minorHAnsi"/>
                <w:color w:val="000000"/>
              </w:rPr>
            </w:pPr>
            <w:r w:rsidRPr="0087246C">
              <w:rPr>
                <w:rFonts w:cstheme="minorHAnsi"/>
              </w:rPr>
              <w:t>Unité des achats</w:t>
            </w:r>
          </w:p>
        </w:tc>
        <w:tc>
          <w:tcPr>
            <w:tcW w:w="6169" w:type="dxa"/>
          </w:tcPr>
          <w:p w14:paraId="67CAE6C2" w14:textId="77777777" w:rsidR="00342695" w:rsidRPr="0087246C" w:rsidRDefault="00342695" w:rsidP="00342695">
            <w:pPr>
              <w:shd w:val="clear" w:color="auto" w:fill="FFFFFF"/>
              <w:spacing w:after="0" w:line="240" w:lineRule="auto"/>
              <w:jc w:val="both"/>
              <w:textAlignment w:val="top"/>
              <w:rPr>
                <w:rFonts w:eastAsia="Times New Roman" w:cstheme="minorHAnsi"/>
                <w:color w:val="000000"/>
              </w:rPr>
            </w:pPr>
            <w:r w:rsidRPr="0087246C">
              <w:rPr>
                <w:rFonts w:cstheme="minorHAnsi"/>
                <w:color w:val="000000"/>
              </w:rPr>
              <w:t>Veiller à ce que chaque contrat individuel signé par le PNUD contienne toutes les informations nécessaires, particulièrement le bénéficiaire de l’assurance du consultant.</w:t>
            </w:r>
          </w:p>
        </w:tc>
      </w:tr>
      <w:tr w:rsidR="00342695" w:rsidRPr="0087246C" w14:paraId="37E6B47E" w14:textId="77777777" w:rsidTr="00342695">
        <w:tc>
          <w:tcPr>
            <w:tcW w:w="3006" w:type="dxa"/>
          </w:tcPr>
          <w:p w14:paraId="19DF3FEA" w14:textId="77777777" w:rsidR="00342695" w:rsidRPr="0087246C" w:rsidRDefault="00342695" w:rsidP="00342695">
            <w:pPr>
              <w:shd w:val="clear" w:color="auto" w:fill="FFFFFF"/>
              <w:spacing w:after="0" w:line="240" w:lineRule="auto"/>
              <w:jc w:val="both"/>
              <w:textAlignment w:val="top"/>
              <w:rPr>
                <w:rFonts w:eastAsia="Times New Roman" w:cstheme="minorHAnsi"/>
                <w:color w:val="000000"/>
              </w:rPr>
            </w:pPr>
            <w:r w:rsidRPr="0087246C">
              <w:rPr>
                <w:rFonts w:cstheme="minorHAnsi"/>
              </w:rPr>
              <w:t>Unité des achats; unités pour les opérations ; unités requérantes</w:t>
            </w:r>
          </w:p>
        </w:tc>
        <w:tc>
          <w:tcPr>
            <w:tcW w:w="6169" w:type="dxa"/>
          </w:tcPr>
          <w:p w14:paraId="24A3B86B" w14:textId="77777777" w:rsidR="00342695" w:rsidRPr="0087246C" w:rsidRDefault="00342695" w:rsidP="00342695">
            <w:pPr>
              <w:shd w:val="clear" w:color="auto" w:fill="FFFFFF"/>
              <w:spacing w:after="0" w:line="240" w:lineRule="auto"/>
              <w:jc w:val="both"/>
              <w:textAlignment w:val="top"/>
              <w:rPr>
                <w:rFonts w:eastAsia="Times New Roman" w:cstheme="minorHAnsi"/>
                <w:color w:val="000000"/>
              </w:rPr>
            </w:pPr>
            <w:r w:rsidRPr="0087246C">
              <w:rPr>
                <w:rFonts w:cstheme="minorHAnsi"/>
                <w:color w:val="000000"/>
              </w:rPr>
              <w:t>Faciliter les tâches relatives à l’administration du contrat, telles que les préparatifs du voyage, le certificat médical et les visas, si nécessaire.</w:t>
            </w:r>
          </w:p>
        </w:tc>
      </w:tr>
      <w:tr w:rsidR="00342695" w:rsidRPr="0087246C" w14:paraId="09D11054" w14:textId="77777777" w:rsidTr="00342695">
        <w:tc>
          <w:tcPr>
            <w:tcW w:w="3006" w:type="dxa"/>
          </w:tcPr>
          <w:p w14:paraId="28A71486" w14:textId="77777777" w:rsidR="00342695" w:rsidRPr="0087246C" w:rsidRDefault="00342695" w:rsidP="00342695">
            <w:pPr>
              <w:shd w:val="clear" w:color="auto" w:fill="FFFFFF"/>
              <w:spacing w:after="0" w:line="240" w:lineRule="auto"/>
              <w:jc w:val="both"/>
              <w:textAlignment w:val="top"/>
              <w:rPr>
                <w:rFonts w:eastAsia="Times New Roman" w:cstheme="minorHAnsi"/>
                <w:color w:val="000000"/>
              </w:rPr>
            </w:pPr>
            <w:r w:rsidRPr="0087246C">
              <w:rPr>
                <w:rFonts w:cstheme="minorHAnsi"/>
              </w:rPr>
              <w:t>Responsables des unités requérantes</w:t>
            </w:r>
          </w:p>
        </w:tc>
        <w:tc>
          <w:tcPr>
            <w:tcW w:w="6169" w:type="dxa"/>
          </w:tcPr>
          <w:p w14:paraId="2CCB2ED9" w14:textId="77777777" w:rsidR="00342695" w:rsidRPr="0087246C" w:rsidRDefault="00342695" w:rsidP="00342695">
            <w:pPr>
              <w:shd w:val="clear" w:color="auto" w:fill="FFFFFF"/>
              <w:spacing w:after="0" w:line="240" w:lineRule="auto"/>
              <w:jc w:val="both"/>
              <w:textAlignment w:val="top"/>
              <w:rPr>
                <w:rFonts w:eastAsia="Times New Roman" w:cstheme="minorHAnsi"/>
                <w:color w:val="000000"/>
              </w:rPr>
            </w:pPr>
            <w:r w:rsidRPr="0087246C">
              <w:rPr>
                <w:rFonts w:cstheme="minorHAnsi"/>
                <w:color w:val="000000"/>
              </w:rPr>
              <w:t>Contrôler les performances du consultant, établir et autoriser les modifications du contrat, si nécessaire.</w:t>
            </w:r>
          </w:p>
        </w:tc>
      </w:tr>
      <w:tr w:rsidR="00342695" w:rsidRPr="0087246C" w14:paraId="39E2D733" w14:textId="77777777" w:rsidTr="00342695">
        <w:tc>
          <w:tcPr>
            <w:tcW w:w="3006" w:type="dxa"/>
          </w:tcPr>
          <w:p w14:paraId="346C23A8" w14:textId="77777777" w:rsidR="00342695" w:rsidRPr="0087246C" w:rsidRDefault="00342695" w:rsidP="00342695">
            <w:pPr>
              <w:shd w:val="clear" w:color="auto" w:fill="FFFFFF"/>
              <w:spacing w:after="0" w:line="240" w:lineRule="auto"/>
              <w:jc w:val="both"/>
              <w:textAlignment w:val="top"/>
              <w:rPr>
                <w:rFonts w:eastAsia="Times New Roman" w:cstheme="minorHAnsi"/>
                <w:color w:val="000000"/>
              </w:rPr>
            </w:pPr>
            <w:r w:rsidRPr="0087246C">
              <w:rPr>
                <w:rFonts w:cstheme="minorHAnsi"/>
              </w:rPr>
              <w:t>Unité des achats</w:t>
            </w:r>
          </w:p>
        </w:tc>
        <w:tc>
          <w:tcPr>
            <w:tcW w:w="6169" w:type="dxa"/>
          </w:tcPr>
          <w:p w14:paraId="33A0C643" w14:textId="77777777" w:rsidR="00342695" w:rsidRPr="0087246C" w:rsidDel="00F274AA" w:rsidRDefault="00342695" w:rsidP="00342695">
            <w:pPr>
              <w:shd w:val="clear" w:color="auto" w:fill="FFFFFF"/>
              <w:spacing w:after="0" w:line="240" w:lineRule="auto"/>
              <w:jc w:val="both"/>
              <w:textAlignment w:val="top"/>
              <w:rPr>
                <w:rFonts w:eastAsia="Times New Roman" w:cstheme="minorHAnsi"/>
                <w:color w:val="000000"/>
              </w:rPr>
            </w:pPr>
            <w:r w:rsidRPr="0087246C">
              <w:rPr>
                <w:rFonts w:cstheme="minorHAnsi"/>
                <w:color w:val="000000"/>
              </w:rPr>
              <w:t>Mettre en œuvre toute modification de contrat pouvant être exigée et autorisée par le service demandeur.</w:t>
            </w:r>
          </w:p>
        </w:tc>
      </w:tr>
      <w:tr w:rsidR="00342695" w:rsidRPr="0087246C" w14:paraId="6CB24415" w14:textId="77777777" w:rsidTr="00342695">
        <w:tc>
          <w:tcPr>
            <w:tcW w:w="3006" w:type="dxa"/>
          </w:tcPr>
          <w:p w14:paraId="4E6697B8" w14:textId="77777777" w:rsidR="00342695" w:rsidRPr="0087246C" w:rsidRDefault="00342695" w:rsidP="00342695">
            <w:pPr>
              <w:shd w:val="clear" w:color="auto" w:fill="FFFFFF"/>
              <w:spacing w:after="0" w:line="240" w:lineRule="auto"/>
              <w:jc w:val="both"/>
              <w:textAlignment w:val="top"/>
              <w:rPr>
                <w:rFonts w:eastAsia="Times New Roman" w:cstheme="minorHAnsi"/>
                <w:color w:val="000000"/>
              </w:rPr>
            </w:pPr>
            <w:r w:rsidRPr="0087246C">
              <w:rPr>
                <w:rFonts w:cstheme="minorHAnsi"/>
              </w:rPr>
              <w:lastRenderedPageBreak/>
              <w:t>Responsables des unités requérantes</w:t>
            </w:r>
          </w:p>
        </w:tc>
        <w:tc>
          <w:tcPr>
            <w:tcW w:w="6169" w:type="dxa"/>
          </w:tcPr>
          <w:p w14:paraId="50D73FAA" w14:textId="77777777" w:rsidR="00342695" w:rsidRPr="0087246C" w:rsidRDefault="00342695" w:rsidP="00342695">
            <w:pPr>
              <w:shd w:val="clear" w:color="auto" w:fill="FFFFFF"/>
              <w:spacing w:after="0" w:line="240" w:lineRule="auto"/>
              <w:jc w:val="both"/>
              <w:textAlignment w:val="top"/>
              <w:rPr>
                <w:rFonts w:eastAsia="Times New Roman" w:cstheme="minorHAnsi"/>
                <w:color w:val="000000"/>
              </w:rPr>
            </w:pPr>
            <w:r w:rsidRPr="0087246C">
              <w:rPr>
                <w:rFonts w:cstheme="minorHAnsi"/>
                <w:color w:val="000000"/>
              </w:rPr>
              <w:t>Certifier la réalisation des produits/des produits livrables importants et autoriser le déboursement des paiements correspondants.</w:t>
            </w:r>
          </w:p>
        </w:tc>
      </w:tr>
      <w:tr w:rsidR="00342695" w:rsidRPr="0087246C" w14:paraId="2E18F8D4" w14:textId="77777777" w:rsidTr="00342695">
        <w:tc>
          <w:tcPr>
            <w:tcW w:w="3006" w:type="dxa"/>
          </w:tcPr>
          <w:p w14:paraId="0DEAC5FB" w14:textId="77777777" w:rsidR="00342695" w:rsidRPr="0087246C" w:rsidRDefault="00342695" w:rsidP="00342695">
            <w:pPr>
              <w:shd w:val="clear" w:color="auto" w:fill="FFFFFF"/>
              <w:spacing w:after="0" w:line="240" w:lineRule="auto"/>
              <w:jc w:val="both"/>
              <w:textAlignment w:val="top"/>
              <w:rPr>
                <w:rFonts w:eastAsia="Times New Roman" w:cstheme="minorHAnsi"/>
                <w:color w:val="000000"/>
              </w:rPr>
            </w:pPr>
            <w:r w:rsidRPr="0087246C">
              <w:rPr>
                <w:rFonts w:cstheme="minorHAnsi"/>
              </w:rPr>
              <w:t>Unités financières</w:t>
            </w:r>
          </w:p>
        </w:tc>
        <w:tc>
          <w:tcPr>
            <w:tcW w:w="6169" w:type="dxa"/>
          </w:tcPr>
          <w:p w14:paraId="02B9D47A" w14:textId="77777777" w:rsidR="00342695" w:rsidRPr="0087246C" w:rsidRDefault="00342695" w:rsidP="00342695">
            <w:pPr>
              <w:shd w:val="clear" w:color="auto" w:fill="FFFFFF"/>
              <w:spacing w:after="0" w:line="240" w:lineRule="auto"/>
              <w:jc w:val="both"/>
              <w:textAlignment w:val="top"/>
              <w:rPr>
                <w:rFonts w:eastAsia="Times New Roman" w:cstheme="minorHAnsi"/>
                <w:color w:val="000000"/>
              </w:rPr>
            </w:pPr>
            <w:r w:rsidRPr="0087246C">
              <w:rPr>
                <w:rFonts w:cstheme="minorHAnsi"/>
                <w:color w:val="000000"/>
              </w:rPr>
              <w:t>Effectuer le paiement des consultants sur la base d’un Formulaire d’attestation de paiement dûment rempli et autorisé.</w:t>
            </w:r>
          </w:p>
        </w:tc>
      </w:tr>
      <w:tr w:rsidR="00342695" w:rsidRPr="0087246C" w14:paraId="7A5EF005" w14:textId="77777777" w:rsidTr="00342695">
        <w:tc>
          <w:tcPr>
            <w:tcW w:w="3006" w:type="dxa"/>
          </w:tcPr>
          <w:p w14:paraId="0F0EB2D0" w14:textId="77777777" w:rsidR="00342695" w:rsidRPr="0087246C" w:rsidRDefault="00342695" w:rsidP="00342695">
            <w:pPr>
              <w:shd w:val="clear" w:color="auto" w:fill="FFFFFF"/>
              <w:spacing w:after="0" w:line="240" w:lineRule="auto"/>
              <w:jc w:val="both"/>
              <w:textAlignment w:val="top"/>
              <w:rPr>
                <w:rFonts w:eastAsia="Times New Roman" w:cstheme="minorHAnsi"/>
                <w:color w:val="000000"/>
              </w:rPr>
            </w:pPr>
            <w:r w:rsidRPr="0087246C">
              <w:rPr>
                <w:rFonts w:cstheme="minorHAnsi"/>
              </w:rPr>
              <w:t>Responsables des unités requérantes</w:t>
            </w:r>
          </w:p>
        </w:tc>
        <w:tc>
          <w:tcPr>
            <w:tcW w:w="6169" w:type="dxa"/>
          </w:tcPr>
          <w:p w14:paraId="41EE9F38" w14:textId="77777777" w:rsidR="00342695" w:rsidRPr="0087246C" w:rsidRDefault="00342695" w:rsidP="00342695">
            <w:pPr>
              <w:shd w:val="clear" w:color="auto" w:fill="FFFFFF"/>
              <w:spacing w:after="0" w:line="240" w:lineRule="auto"/>
              <w:jc w:val="both"/>
              <w:textAlignment w:val="top"/>
              <w:rPr>
                <w:rFonts w:eastAsia="Times New Roman" w:cstheme="minorHAnsi"/>
                <w:color w:val="000000"/>
              </w:rPr>
            </w:pPr>
            <w:r w:rsidRPr="0087246C">
              <w:rPr>
                <w:rFonts w:cstheme="minorHAnsi"/>
                <w:color w:val="000000"/>
              </w:rPr>
              <w:t>Procéder à l’évaluation des performances à la fin de la mission.</w:t>
            </w:r>
          </w:p>
        </w:tc>
      </w:tr>
      <w:tr w:rsidR="00342695" w:rsidRPr="0087246C" w14:paraId="2D711AF5" w14:textId="77777777" w:rsidTr="00342695">
        <w:tc>
          <w:tcPr>
            <w:tcW w:w="3006" w:type="dxa"/>
          </w:tcPr>
          <w:p w14:paraId="272AF75D" w14:textId="77777777" w:rsidR="00342695" w:rsidRPr="0087246C" w:rsidRDefault="00342695" w:rsidP="00342695">
            <w:pPr>
              <w:shd w:val="clear" w:color="auto" w:fill="FFFFFF"/>
              <w:spacing w:after="0" w:line="240" w:lineRule="auto"/>
              <w:jc w:val="both"/>
              <w:textAlignment w:val="top"/>
              <w:rPr>
                <w:rFonts w:eastAsia="Times New Roman" w:cstheme="minorHAnsi"/>
                <w:color w:val="000000"/>
              </w:rPr>
            </w:pPr>
            <w:r w:rsidRPr="0087246C">
              <w:rPr>
                <w:rFonts w:cstheme="minorHAnsi"/>
              </w:rPr>
              <w:t>Unité des achats</w:t>
            </w:r>
          </w:p>
        </w:tc>
        <w:tc>
          <w:tcPr>
            <w:tcW w:w="6169" w:type="dxa"/>
          </w:tcPr>
          <w:p w14:paraId="366074E4" w14:textId="77777777" w:rsidR="00342695" w:rsidRPr="0087246C" w:rsidRDefault="00342695" w:rsidP="00342695">
            <w:pPr>
              <w:shd w:val="clear" w:color="auto" w:fill="FFFFFF"/>
              <w:spacing w:after="0" w:line="240" w:lineRule="auto"/>
              <w:jc w:val="both"/>
              <w:textAlignment w:val="top"/>
              <w:rPr>
                <w:rFonts w:eastAsia="Times New Roman" w:cstheme="minorHAnsi"/>
                <w:color w:val="000000"/>
              </w:rPr>
            </w:pPr>
            <w:r w:rsidRPr="0087246C">
              <w:rPr>
                <w:rFonts w:cstheme="minorHAnsi"/>
                <w:color w:val="000000"/>
              </w:rPr>
              <w:t xml:space="preserve">Tenir à jour la documentation et les dossiers appropriés du processus à des fins de vérification.  </w:t>
            </w:r>
          </w:p>
        </w:tc>
      </w:tr>
      <w:tr w:rsidR="00342695" w:rsidRPr="0087246C" w14:paraId="4E8C49D5" w14:textId="77777777" w:rsidTr="00342695">
        <w:tc>
          <w:tcPr>
            <w:tcW w:w="3006" w:type="dxa"/>
          </w:tcPr>
          <w:p w14:paraId="6723F175" w14:textId="77777777" w:rsidR="00342695" w:rsidRPr="0087246C" w:rsidRDefault="00342695" w:rsidP="00342695">
            <w:pPr>
              <w:shd w:val="clear" w:color="auto" w:fill="FFFFFF"/>
              <w:spacing w:after="0" w:line="240" w:lineRule="auto"/>
              <w:jc w:val="both"/>
              <w:textAlignment w:val="top"/>
              <w:rPr>
                <w:rFonts w:eastAsia="Times New Roman" w:cstheme="minorHAnsi"/>
                <w:color w:val="000000"/>
              </w:rPr>
            </w:pPr>
            <w:r w:rsidRPr="0087246C">
              <w:rPr>
                <w:rFonts w:cstheme="minorHAnsi"/>
              </w:rPr>
              <w:t>Unité des achats</w:t>
            </w:r>
          </w:p>
        </w:tc>
        <w:tc>
          <w:tcPr>
            <w:tcW w:w="6169" w:type="dxa"/>
          </w:tcPr>
          <w:p w14:paraId="68F30824" w14:textId="77777777" w:rsidR="00342695" w:rsidRPr="0087246C" w:rsidRDefault="00342695" w:rsidP="00342695">
            <w:pPr>
              <w:shd w:val="clear" w:color="auto" w:fill="FFFFFF"/>
              <w:spacing w:after="0" w:line="240" w:lineRule="auto"/>
              <w:jc w:val="both"/>
              <w:textAlignment w:val="top"/>
              <w:rPr>
                <w:rFonts w:eastAsia="Times New Roman" w:cstheme="minorHAnsi"/>
                <w:color w:val="000000"/>
              </w:rPr>
            </w:pPr>
            <w:r w:rsidRPr="0087246C">
              <w:rPr>
                <w:rFonts w:cstheme="minorHAnsi"/>
                <w:color w:val="000000"/>
              </w:rPr>
              <w:t>Tenir et mettre à jour une liste d’abonnés qualifiés, présélectionnés et de consultants ayant de bonnes performances (en collaboration avec d’autres agences des Nations Unies, le cas échéant)</w:t>
            </w:r>
          </w:p>
        </w:tc>
      </w:tr>
      <w:tr w:rsidR="00342695" w:rsidRPr="0087246C" w14:paraId="75EC94C0" w14:textId="77777777" w:rsidTr="00342695">
        <w:tc>
          <w:tcPr>
            <w:tcW w:w="3006" w:type="dxa"/>
          </w:tcPr>
          <w:p w14:paraId="76F95AC6" w14:textId="77777777" w:rsidR="00342695" w:rsidRPr="0087246C" w:rsidRDefault="00342695" w:rsidP="00342695">
            <w:pPr>
              <w:shd w:val="clear" w:color="auto" w:fill="FFFFFF"/>
              <w:spacing w:after="0" w:line="240" w:lineRule="auto"/>
              <w:jc w:val="both"/>
              <w:textAlignment w:val="top"/>
              <w:rPr>
                <w:rFonts w:cstheme="minorHAnsi"/>
              </w:rPr>
            </w:pPr>
            <w:r w:rsidRPr="0087246C">
              <w:rPr>
                <w:rFonts w:cstheme="minorHAnsi"/>
              </w:rPr>
              <w:t>Unité des services d’achat</w:t>
            </w:r>
          </w:p>
        </w:tc>
        <w:tc>
          <w:tcPr>
            <w:tcW w:w="6169" w:type="dxa"/>
          </w:tcPr>
          <w:p w14:paraId="571C5B6F" w14:textId="77777777" w:rsidR="00342695" w:rsidRPr="0087246C" w:rsidRDefault="00342695" w:rsidP="00342695">
            <w:pPr>
              <w:shd w:val="clear" w:color="auto" w:fill="FFFFFF"/>
              <w:spacing w:after="0" w:line="240" w:lineRule="auto"/>
              <w:jc w:val="both"/>
              <w:textAlignment w:val="top"/>
              <w:rPr>
                <w:rFonts w:eastAsia="Times New Roman" w:cstheme="minorHAnsi"/>
                <w:color w:val="000000"/>
              </w:rPr>
            </w:pPr>
            <w:r w:rsidRPr="0087246C">
              <w:rPr>
                <w:rFonts w:cstheme="minorHAnsi"/>
              </w:rPr>
              <w:t xml:space="preserve"> </w:t>
            </w:r>
            <w:r w:rsidRPr="0087246C">
              <w:rPr>
                <w:rFonts w:cstheme="minorHAnsi"/>
                <w:color w:val="000000"/>
              </w:rPr>
              <w:t>Fournir la politique et les instruments permettant d’administrer, de superviser et de contrôler l’utilisation correcte et appropriée de la modalité du contrat individuel.</w:t>
            </w:r>
          </w:p>
        </w:tc>
      </w:tr>
      <w:tr w:rsidR="00342695" w:rsidRPr="0087246C" w14:paraId="42509D1E" w14:textId="77777777" w:rsidTr="00342695">
        <w:tc>
          <w:tcPr>
            <w:tcW w:w="3006" w:type="dxa"/>
          </w:tcPr>
          <w:p w14:paraId="10138B61" w14:textId="77777777" w:rsidR="00342695" w:rsidRPr="0087246C" w:rsidRDefault="00342695" w:rsidP="00342695">
            <w:pPr>
              <w:shd w:val="clear" w:color="auto" w:fill="FFFFFF"/>
              <w:spacing w:after="0" w:line="240" w:lineRule="auto"/>
              <w:jc w:val="both"/>
              <w:textAlignment w:val="top"/>
              <w:rPr>
                <w:rFonts w:eastAsia="Times New Roman" w:cstheme="minorHAnsi"/>
                <w:color w:val="000000"/>
              </w:rPr>
            </w:pPr>
            <w:r w:rsidRPr="0087246C">
              <w:rPr>
                <w:rFonts w:cstheme="minorHAnsi"/>
              </w:rPr>
              <w:t>Unité des services d’achat</w:t>
            </w:r>
          </w:p>
        </w:tc>
        <w:tc>
          <w:tcPr>
            <w:tcW w:w="6169" w:type="dxa"/>
          </w:tcPr>
          <w:p w14:paraId="58D6C501" w14:textId="77777777" w:rsidR="00342695" w:rsidRPr="0087246C" w:rsidRDefault="00342695" w:rsidP="00342695">
            <w:pPr>
              <w:shd w:val="clear" w:color="auto" w:fill="FFFFFF"/>
              <w:spacing w:after="0" w:line="240" w:lineRule="auto"/>
              <w:jc w:val="both"/>
              <w:textAlignment w:val="top"/>
              <w:rPr>
                <w:rFonts w:eastAsia="Times New Roman" w:cstheme="minorHAnsi"/>
                <w:color w:val="000000"/>
              </w:rPr>
            </w:pPr>
            <w:r w:rsidRPr="0087246C">
              <w:rPr>
                <w:rFonts w:cstheme="minorHAnsi"/>
                <w:color w:val="000000"/>
              </w:rPr>
              <w:t>Fournir des clarifications et des interprétations de la politique, si nécessaire.</w:t>
            </w:r>
          </w:p>
        </w:tc>
      </w:tr>
      <w:tr w:rsidR="00342695" w:rsidRPr="0087246C" w14:paraId="3D7281DB" w14:textId="77777777" w:rsidTr="00342695">
        <w:tc>
          <w:tcPr>
            <w:tcW w:w="3006" w:type="dxa"/>
          </w:tcPr>
          <w:p w14:paraId="29A85500" w14:textId="77777777" w:rsidR="00342695" w:rsidRPr="0087246C" w:rsidRDefault="00342695" w:rsidP="00342695">
            <w:pPr>
              <w:shd w:val="clear" w:color="auto" w:fill="FFFFFF"/>
              <w:spacing w:after="0" w:line="240" w:lineRule="auto"/>
              <w:jc w:val="both"/>
              <w:textAlignment w:val="top"/>
              <w:rPr>
                <w:rFonts w:eastAsia="Times New Roman" w:cstheme="minorHAnsi"/>
                <w:color w:val="000000"/>
              </w:rPr>
            </w:pPr>
            <w:r w:rsidRPr="0087246C">
              <w:rPr>
                <w:rFonts w:cstheme="minorHAnsi"/>
              </w:rPr>
              <w:t>Bureau d’appui juridique</w:t>
            </w:r>
          </w:p>
        </w:tc>
        <w:tc>
          <w:tcPr>
            <w:tcW w:w="6169" w:type="dxa"/>
          </w:tcPr>
          <w:p w14:paraId="39D1B751" w14:textId="77777777" w:rsidR="00342695" w:rsidRPr="0087246C" w:rsidRDefault="00342695" w:rsidP="00342695">
            <w:pPr>
              <w:shd w:val="clear" w:color="auto" w:fill="FFFFFF"/>
              <w:spacing w:after="0" w:line="240" w:lineRule="auto"/>
              <w:jc w:val="both"/>
              <w:textAlignment w:val="top"/>
              <w:rPr>
                <w:rFonts w:eastAsia="Times New Roman" w:cstheme="minorHAnsi"/>
                <w:color w:val="000000"/>
              </w:rPr>
            </w:pPr>
            <w:r w:rsidRPr="0087246C">
              <w:rPr>
                <w:rFonts w:cstheme="minorHAnsi"/>
                <w:color w:val="000000"/>
              </w:rPr>
              <w:t>Répondre à des questions juridiques, y compris l’interprétation et/ou l’application des conditions générales d’un contrat individuel.</w:t>
            </w:r>
          </w:p>
        </w:tc>
      </w:tr>
      <w:tr w:rsidR="00342695" w:rsidRPr="0087246C" w14:paraId="6D92CEF4" w14:textId="77777777" w:rsidTr="00342695">
        <w:tc>
          <w:tcPr>
            <w:tcW w:w="3006" w:type="dxa"/>
          </w:tcPr>
          <w:p w14:paraId="6CEC89D2" w14:textId="77777777" w:rsidR="00342695" w:rsidRPr="0087246C" w:rsidRDefault="00342695" w:rsidP="00342695">
            <w:pPr>
              <w:shd w:val="clear" w:color="auto" w:fill="FFFFFF"/>
              <w:spacing w:after="0" w:line="240" w:lineRule="auto"/>
              <w:jc w:val="both"/>
              <w:textAlignment w:val="top"/>
              <w:rPr>
                <w:rFonts w:eastAsia="Times New Roman" w:cstheme="minorHAnsi"/>
                <w:color w:val="000000"/>
              </w:rPr>
            </w:pPr>
            <w:r w:rsidRPr="0087246C">
              <w:rPr>
                <w:rFonts w:cstheme="minorHAnsi"/>
              </w:rPr>
              <w:t>Bureau d’appui juridique</w:t>
            </w:r>
          </w:p>
        </w:tc>
        <w:tc>
          <w:tcPr>
            <w:tcW w:w="6169" w:type="dxa"/>
          </w:tcPr>
          <w:p w14:paraId="49702045" w14:textId="77777777" w:rsidR="00342695" w:rsidRPr="0087246C" w:rsidRDefault="00342695" w:rsidP="00342695">
            <w:pPr>
              <w:shd w:val="clear" w:color="auto" w:fill="FFFFFF"/>
              <w:spacing w:after="0" w:line="240" w:lineRule="auto"/>
              <w:jc w:val="both"/>
              <w:textAlignment w:val="top"/>
              <w:rPr>
                <w:rFonts w:eastAsia="Times New Roman" w:cstheme="minorHAnsi"/>
                <w:color w:val="000000"/>
              </w:rPr>
            </w:pPr>
            <w:r w:rsidRPr="0087246C">
              <w:rPr>
                <w:rFonts w:cstheme="minorHAnsi"/>
                <w:color w:val="000000"/>
              </w:rPr>
              <w:t>Donner des directives en ce qui concerne la suspension ou la résiliation, notamment lorsque la violation faite par le consultant est le motif de cette résiliation.</w:t>
            </w:r>
          </w:p>
        </w:tc>
      </w:tr>
      <w:tr w:rsidR="00342695" w:rsidRPr="0087246C" w14:paraId="66B86ADC" w14:textId="77777777" w:rsidTr="00342695">
        <w:tc>
          <w:tcPr>
            <w:tcW w:w="3006" w:type="dxa"/>
          </w:tcPr>
          <w:p w14:paraId="341A6951" w14:textId="77777777" w:rsidR="00342695" w:rsidRPr="0087246C" w:rsidRDefault="00342695" w:rsidP="00342695">
            <w:pPr>
              <w:shd w:val="clear" w:color="auto" w:fill="FFFFFF"/>
              <w:spacing w:after="0" w:line="240" w:lineRule="auto"/>
              <w:jc w:val="both"/>
              <w:textAlignment w:val="top"/>
              <w:rPr>
                <w:rFonts w:eastAsia="Times New Roman" w:cstheme="minorHAnsi"/>
                <w:color w:val="000000"/>
              </w:rPr>
            </w:pPr>
            <w:r w:rsidRPr="0087246C">
              <w:rPr>
                <w:rFonts w:cstheme="minorHAnsi"/>
              </w:rPr>
              <w:t>Bureau d’appui juridique</w:t>
            </w:r>
          </w:p>
        </w:tc>
        <w:tc>
          <w:tcPr>
            <w:tcW w:w="6169" w:type="dxa"/>
          </w:tcPr>
          <w:p w14:paraId="744719DF" w14:textId="77777777" w:rsidR="00342695" w:rsidRPr="0087246C" w:rsidRDefault="00342695" w:rsidP="00342695">
            <w:pPr>
              <w:shd w:val="clear" w:color="auto" w:fill="FFFFFF"/>
              <w:spacing w:after="0" w:line="240" w:lineRule="auto"/>
              <w:jc w:val="both"/>
              <w:textAlignment w:val="top"/>
              <w:rPr>
                <w:rFonts w:eastAsia="Times New Roman" w:cstheme="minorHAnsi"/>
                <w:color w:val="000000"/>
              </w:rPr>
            </w:pPr>
            <w:proofErr w:type="gramStart"/>
            <w:r w:rsidRPr="0087246C">
              <w:rPr>
                <w:rFonts w:cstheme="minorHAnsi"/>
                <w:color w:val="000000"/>
              </w:rPr>
              <w:t>Donner</w:t>
            </w:r>
            <w:proofErr w:type="gramEnd"/>
            <w:r w:rsidRPr="0087246C">
              <w:rPr>
                <w:rFonts w:cstheme="minorHAnsi"/>
                <w:color w:val="000000"/>
              </w:rPr>
              <w:t xml:space="preserve"> des conseils juridiques concernant les différends entre le PNUD et le consultant, en particulier lorsqu’ils ne sont pas réglés à l’amiable, et gérer les procédures d’arbitrage, le cas échéant.</w:t>
            </w:r>
          </w:p>
        </w:tc>
      </w:tr>
      <w:tr w:rsidR="00342695" w:rsidRPr="0087246C" w14:paraId="6DDF3EAA" w14:textId="77777777" w:rsidTr="00342695">
        <w:tc>
          <w:tcPr>
            <w:tcW w:w="3006" w:type="dxa"/>
          </w:tcPr>
          <w:p w14:paraId="4BE854A9" w14:textId="77777777" w:rsidR="00342695" w:rsidRPr="0087246C" w:rsidRDefault="00342695" w:rsidP="00342695">
            <w:pPr>
              <w:shd w:val="clear" w:color="auto" w:fill="FFFFFF"/>
              <w:spacing w:after="0" w:line="240" w:lineRule="auto"/>
              <w:jc w:val="both"/>
              <w:textAlignment w:val="top"/>
              <w:rPr>
                <w:rFonts w:eastAsia="Times New Roman" w:cstheme="minorHAnsi"/>
                <w:color w:val="000000"/>
              </w:rPr>
            </w:pPr>
            <w:r w:rsidRPr="0087246C">
              <w:rPr>
                <w:rFonts w:cstheme="minorHAnsi"/>
              </w:rPr>
              <w:t>Bureau de l’audit et des investigations</w:t>
            </w:r>
          </w:p>
        </w:tc>
        <w:tc>
          <w:tcPr>
            <w:tcW w:w="6169" w:type="dxa"/>
          </w:tcPr>
          <w:p w14:paraId="2B04AFF6" w14:textId="77777777" w:rsidR="00342695" w:rsidRPr="0087246C" w:rsidRDefault="00342695" w:rsidP="00342695">
            <w:pPr>
              <w:shd w:val="clear" w:color="auto" w:fill="FFFFFF"/>
              <w:spacing w:after="0" w:line="240" w:lineRule="auto"/>
              <w:jc w:val="both"/>
              <w:textAlignment w:val="top"/>
              <w:rPr>
                <w:rFonts w:eastAsia="Times New Roman" w:cstheme="minorHAnsi"/>
                <w:color w:val="000000"/>
              </w:rPr>
            </w:pPr>
            <w:r w:rsidRPr="0087246C">
              <w:rPr>
                <w:rFonts w:cstheme="minorHAnsi"/>
                <w:color w:val="000000"/>
              </w:rPr>
              <w:t>Contrôler l’utilisation des contrats individuels par les personnes habilitées et présenter ses conclusions.</w:t>
            </w:r>
          </w:p>
        </w:tc>
      </w:tr>
    </w:tbl>
    <w:p w14:paraId="2873F8D8" w14:textId="77777777" w:rsidR="00342695" w:rsidRPr="0087246C" w:rsidRDefault="00342695" w:rsidP="00342695">
      <w:pPr>
        <w:spacing w:before="120" w:after="120"/>
        <w:jc w:val="both"/>
        <w:rPr>
          <w:rFonts w:cstheme="minorHAnsi"/>
          <w:b/>
        </w:rPr>
      </w:pPr>
    </w:p>
    <w:p w14:paraId="33F5CC55" w14:textId="77777777" w:rsidR="00B6184E" w:rsidRPr="0087246C" w:rsidRDefault="00B6184E" w:rsidP="00342695">
      <w:pPr>
        <w:rPr>
          <w:rFonts w:cstheme="minorHAnsi"/>
        </w:rPr>
      </w:pPr>
    </w:p>
    <w:sectPr w:rsidR="00B6184E" w:rsidRPr="0087246C" w:rsidSect="001766E0">
      <w:headerReference w:type="default" r:id="rId46"/>
      <w:footerReference w:type="default" r:id="rId47"/>
      <w:pgSz w:w="12240" w:h="15840"/>
      <w:pgMar w:top="956" w:right="1440" w:bottom="630" w:left="1440" w:header="450" w:footer="5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93E5E" w14:textId="77777777" w:rsidR="00EE5BBB" w:rsidRDefault="00EE5BBB" w:rsidP="00B536E5">
      <w:pPr>
        <w:spacing w:after="0" w:line="240" w:lineRule="auto"/>
      </w:pPr>
      <w:r>
        <w:separator/>
      </w:r>
    </w:p>
  </w:endnote>
  <w:endnote w:type="continuationSeparator" w:id="0">
    <w:p w14:paraId="0BEE143C" w14:textId="77777777" w:rsidR="00EE5BBB" w:rsidRDefault="00EE5BBB" w:rsidP="00B536E5">
      <w:pPr>
        <w:spacing w:after="0" w:line="240" w:lineRule="auto"/>
      </w:pPr>
      <w:r>
        <w:continuationSeparator/>
      </w:r>
    </w:p>
  </w:endnote>
  <w:endnote w:id="1">
    <w:p w14:paraId="35399899" w14:textId="77777777" w:rsidR="0087246C" w:rsidRPr="00552782" w:rsidRDefault="0087246C" w:rsidP="00342695">
      <w:pPr>
        <w:pStyle w:val="EndnoteText"/>
        <w:rPr>
          <w:sz w:val="22"/>
          <w:szCs w:val="22"/>
          <w:lang w:val="en-US"/>
        </w:rPr>
      </w:pPr>
    </w:p>
    <w:p w14:paraId="62A6AC50" w14:textId="77777777" w:rsidR="0007540B" w:rsidRDefault="0007540B" w:rsidP="0007540B">
      <w:pPr>
        <w:pStyle w:val="EndnoteText"/>
        <w:jc w:val="center"/>
        <w:rPr>
          <w:i/>
          <w:iCs/>
          <w:sz w:val="22"/>
          <w:szCs w:val="22"/>
          <w:lang w:val="en-US"/>
        </w:rPr>
      </w:pPr>
      <w:r w:rsidRPr="0007540B">
        <w:rPr>
          <w:b/>
          <w:bCs/>
          <w:i/>
          <w:iCs/>
          <w:sz w:val="22"/>
          <w:szCs w:val="22"/>
          <w:u w:val="single"/>
          <w:lang w:val="en-US"/>
        </w:rPr>
        <w:t xml:space="preserve">Disclaimer: </w:t>
      </w:r>
      <w:r w:rsidRPr="0007540B">
        <w:rPr>
          <w:i/>
          <w:iCs/>
          <w:sz w:val="22"/>
          <w:szCs w:val="22"/>
          <w:lang w:val="en-US"/>
        </w:rPr>
        <w:t>This document was translated from English into French. In the event of any discrepancy between this translation and the original English document, the original English document shall prevail.</w:t>
      </w:r>
    </w:p>
    <w:p w14:paraId="44397786" w14:textId="77777777" w:rsidR="0007540B" w:rsidRPr="0007540B" w:rsidRDefault="0007540B" w:rsidP="0007540B">
      <w:pPr>
        <w:pStyle w:val="EndnoteText"/>
        <w:jc w:val="center"/>
        <w:rPr>
          <w:i/>
          <w:iCs/>
          <w:sz w:val="22"/>
          <w:szCs w:val="22"/>
          <w:lang w:val="en-US"/>
        </w:rPr>
      </w:pPr>
    </w:p>
    <w:p w14:paraId="7C2B298C" w14:textId="3BE12585" w:rsidR="0007540B" w:rsidRPr="0007540B" w:rsidRDefault="0007540B" w:rsidP="0007540B">
      <w:pPr>
        <w:pStyle w:val="EndnoteText"/>
        <w:jc w:val="center"/>
        <w:rPr>
          <w:rFonts w:cs="Times New Roman"/>
          <w:i/>
          <w:iCs/>
          <w:color w:val="000000"/>
          <w:lang w:val="en-US"/>
        </w:rPr>
      </w:pPr>
      <w:r w:rsidRPr="0007540B">
        <w:rPr>
          <w:b/>
          <w:bCs/>
          <w:i/>
          <w:iCs/>
          <w:sz w:val="22"/>
          <w:szCs w:val="22"/>
          <w:u w:val="single"/>
          <w:lang w:val="en-US"/>
        </w:rPr>
        <w:t>Avertissement :</w:t>
      </w:r>
      <w:r w:rsidRPr="0007540B">
        <w:rPr>
          <w:i/>
          <w:iCs/>
          <w:sz w:val="22"/>
          <w:szCs w:val="22"/>
          <w:lang w:val="en-US"/>
        </w:rPr>
        <w:t xml:space="preserve"> Ce document a été traduit de l'anglais vers le français. En cas de divergence entre cette traduction et le document anglais original, le document anglais original prévaudra.</w:t>
      </w:r>
    </w:p>
    <w:p w14:paraId="7B030757" w14:textId="57957F97" w:rsidR="0087246C" w:rsidRPr="0007540B" w:rsidRDefault="0087246C" w:rsidP="00342695">
      <w:pPr>
        <w:spacing w:after="0" w:line="240" w:lineRule="auto"/>
        <w:rPr>
          <w:rFonts w:ascii="Times New Roman" w:eastAsia="Times New Roman" w:hAnsi="Times New Roman" w:cs="Times New Roman"/>
          <w:sz w:val="24"/>
          <w:szCs w:val="24"/>
        </w:rPr>
      </w:pPr>
    </w:p>
    <w:p w14:paraId="1D4C9D79" w14:textId="77777777" w:rsidR="0087246C" w:rsidRPr="001D3E85" w:rsidRDefault="0087246C" w:rsidP="00342695">
      <w:pPr>
        <w:spacing w:after="0" w:line="240" w:lineRule="auto"/>
        <w:rPr>
          <w:rFonts w:ascii="Times New Roman" w:eastAsia="Times New Roman" w:hAnsi="Times New Roman" w:cs="Times New Roman"/>
          <w:sz w:val="24"/>
          <w:szCs w:val="24"/>
        </w:rPr>
      </w:pPr>
    </w:p>
    <w:p w14:paraId="3E3D7EA1" w14:textId="77777777" w:rsidR="0087246C" w:rsidRPr="001D3E85" w:rsidRDefault="0087246C" w:rsidP="00342695">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A00002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5CC5C" w14:textId="27C2CEF1" w:rsidR="0087246C" w:rsidRPr="00BB2A74" w:rsidRDefault="0087246C" w:rsidP="00BB2A74">
    <w:pPr>
      <w:rPr>
        <w:rFonts w:cstheme="minorHAnsi"/>
      </w:rPr>
    </w:pPr>
    <w:r>
      <w:t xml:space="preserve">Page </w:t>
    </w:r>
    <w:r>
      <w:rPr>
        <w:b/>
        <w:bCs/>
      </w:rPr>
      <w:fldChar w:fldCharType="begin"/>
    </w:r>
    <w:r>
      <w:rPr>
        <w:b/>
        <w:bCs/>
      </w:rPr>
      <w:instrText>PAGE</w:instrText>
    </w:r>
    <w:r w:rsidRPr="00BB2A74">
      <w:rPr>
        <w:b/>
        <w:bCs/>
      </w:rPr>
      <w:instrText xml:space="preserve">  \* </w:instrText>
    </w:r>
    <w:r>
      <w:rPr>
        <w:b/>
        <w:bCs/>
      </w:rPr>
      <w:instrText>Arabic</w:instrText>
    </w:r>
    <w:r w:rsidRPr="00BB2A74">
      <w:rPr>
        <w:b/>
        <w:bCs/>
      </w:rPr>
      <w:instrText xml:space="preserve">  \* </w:instrText>
    </w:r>
    <w:r>
      <w:rPr>
        <w:b/>
        <w:bCs/>
      </w:rPr>
      <w:instrText>MERGEFORMAT</w:instrText>
    </w:r>
    <w:r>
      <w:rPr>
        <w:b/>
        <w:bCs/>
      </w:rPr>
      <w:fldChar w:fldCharType="separate"/>
    </w:r>
    <w:r>
      <w:rPr>
        <w:b/>
        <w:bCs/>
        <w:noProof/>
      </w:rPr>
      <w:t>47</w:t>
    </w:r>
    <w:r>
      <w:rPr>
        <w:b/>
        <w:bCs/>
      </w:rPr>
      <w:fldChar w:fldCharType="end"/>
    </w:r>
    <w:r>
      <w:t xml:space="preserve"> sur </w:t>
    </w:r>
    <w:r>
      <w:rPr>
        <w:b/>
        <w:bCs/>
      </w:rPr>
      <w:fldChar w:fldCharType="begin"/>
    </w:r>
    <w:r>
      <w:rPr>
        <w:b/>
        <w:bCs/>
      </w:rPr>
      <w:instrText>NUMPAGES</w:instrText>
    </w:r>
    <w:r w:rsidRPr="00BB2A74">
      <w:rPr>
        <w:b/>
        <w:bCs/>
      </w:rPr>
      <w:instrText xml:space="preserve">  \* </w:instrText>
    </w:r>
    <w:r>
      <w:rPr>
        <w:b/>
        <w:bCs/>
      </w:rPr>
      <w:instrText>Arabic</w:instrText>
    </w:r>
    <w:r w:rsidRPr="00BB2A74">
      <w:rPr>
        <w:b/>
        <w:bCs/>
      </w:rPr>
      <w:instrText xml:space="preserve">  \* </w:instrText>
    </w:r>
    <w:r>
      <w:rPr>
        <w:b/>
        <w:bCs/>
      </w:rPr>
      <w:instrText>MERGEFORMAT</w:instrText>
    </w:r>
    <w:r>
      <w:rPr>
        <w:b/>
        <w:bCs/>
      </w:rPr>
      <w:fldChar w:fldCharType="separate"/>
    </w:r>
    <w:r>
      <w:rPr>
        <w:b/>
        <w:bCs/>
        <w:noProof/>
      </w:rPr>
      <w:t>49</w:t>
    </w:r>
    <w:r>
      <w:rPr>
        <w:b/>
        <w:bCs/>
      </w:rPr>
      <w:fldChar w:fldCharType="end"/>
    </w:r>
    <w:r>
      <w:t xml:space="preserve">           </w:t>
    </w:r>
    <w:r w:rsidR="00A258FD">
      <w:t xml:space="preserve">               </w:t>
    </w:r>
    <w:r>
      <w:t xml:space="preserve">        Date d’entrée en vigueur :</w:t>
    </w:r>
    <w:r w:rsidR="00744354" w:rsidRPr="00744354">
      <w:t xml:space="preserve"> </w:t>
    </w:r>
    <w:r w:rsidR="001448BA">
      <w:t>15/09/2025</w:t>
    </w:r>
    <w:r>
      <w:t xml:space="preserve">         </w:t>
    </w:r>
    <w:r w:rsidR="00A258FD">
      <w:t xml:space="preserve">            </w:t>
    </w:r>
    <w:r>
      <w:t xml:space="preserve">            </w:t>
    </w:r>
    <w:r w:rsidR="00A258FD">
      <w:t>V</w:t>
    </w:r>
    <w:r>
      <w:t>ersion</w:t>
    </w:r>
    <w:r w:rsidR="00A258FD">
      <w:t xml:space="preserve"> #</w:t>
    </w:r>
    <w:r>
      <w:t xml:space="preserve"> : </w:t>
    </w:r>
    <w:sdt>
      <w:sdtPr>
        <w:rPr>
          <w:rFonts w:cstheme="minorHAnsi"/>
        </w:rPr>
        <w:alias w:val="POPPRefItemVersion"/>
        <w:tag w:val="UNDP_POPP_REFITEM_VERSION"/>
        <w:id w:val="-1096557605"/>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844E4008-CF36-4382-89E5-02101D7157CF}"/>
        <w:text/>
      </w:sdtPr>
      <w:sdtEndPr/>
      <w:sdtContent>
        <w:r w:rsidR="001448BA">
          <w:rPr>
            <w:rFonts w:cstheme="minorHAnsi"/>
          </w:rPr>
          <w:t>11</w:t>
        </w:r>
      </w:sdtContent>
    </w:sdt>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3B30B" w14:textId="77777777" w:rsidR="00EE5BBB" w:rsidRDefault="00EE5BBB" w:rsidP="00B536E5">
      <w:pPr>
        <w:spacing w:after="0" w:line="240" w:lineRule="auto"/>
      </w:pPr>
      <w:r>
        <w:separator/>
      </w:r>
    </w:p>
  </w:footnote>
  <w:footnote w:type="continuationSeparator" w:id="0">
    <w:p w14:paraId="12DF1B3F" w14:textId="77777777" w:rsidR="00EE5BBB" w:rsidRDefault="00EE5BBB" w:rsidP="00B536E5">
      <w:pPr>
        <w:spacing w:after="0" w:line="240" w:lineRule="auto"/>
      </w:pPr>
      <w:r>
        <w:continuationSeparator/>
      </w:r>
    </w:p>
  </w:footnote>
  <w:footnote w:id="1">
    <w:p w14:paraId="041E3E54" w14:textId="77777777" w:rsidR="0087246C" w:rsidRDefault="0087246C" w:rsidP="00034DCE">
      <w:pPr>
        <w:pStyle w:val="FootnoteText"/>
        <w:jc w:val="both"/>
      </w:pPr>
      <w:r>
        <w:rPr>
          <w:rStyle w:val="FootnoteReference"/>
        </w:rPr>
        <w:footnoteRef/>
      </w:r>
      <w:r>
        <w:t xml:space="preserve"> </w:t>
      </w:r>
      <w:r>
        <w:rPr>
          <w:rFonts w:asciiTheme="minorHAnsi" w:hAnsiTheme="minorHAnsi"/>
          <w:sz w:val="20"/>
        </w:rPr>
        <w:t>À titre d’illustration, si un membre A du personnel est en congé, le membre B du personnel doit être désigné comme suppléant intérimaire pour s’acquitter des obligations propres au membre A du personnel. Un consultant doit être embauché pour assister le membre B du personnel dans l’exercice de ses fonctions/tâches temporairement étendues, excepté celles qui ne doivent être réalisées que par le « personnel » conformément aux politiques du PNUD. Toute fonction liée à un poste temporairement vacant, en raison d’une quelconque absence ou d’un quelconque congé, doit toujours être déléguée de façon officielle à un autre membre du personnel de manière à s’assurer que le consultant embauché pour assister un membre du personnel n’assume pas des fonctions principales réservées au personnel. Pour en savoir plus sur la délimitation des fonctions principales réservées au personnel et la répartition des tâches, voir le dispositif de contrôle interne.</w:t>
      </w:r>
    </w:p>
  </w:footnote>
  <w:footnote w:id="2">
    <w:p w14:paraId="1749D769" w14:textId="77777777" w:rsidR="0087246C" w:rsidRDefault="0087246C" w:rsidP="00342695">
      <w:pPr>
        <w:pStyle w:val="FootnoteText"/>
      </w:pPr>
      <w:r>
        <w:rPr>
          <w:rStyle w:val="FootnoteReference"/>
        </w:rPr>
        <w:footnoteRef/>
      </w:r>
      <w:r>
        <w:t xml:space="preserve"> </w:t>
      </w:r>
      <w:r>
        <w:rPr>
          <w:rFonts w:asciiTheme="minorHAnsi" w:hAnsiTheme="minorHAnsi"/>
          <w:sz w:val="20"/>
          <w:szCs w:val="20"/>
        </w:rPr>
        <w:t>Cette condition doit être distincte du cas décrit à la section « utilisation appropriée » au paragraphe (d). Dans le cas d’espèce, un consultant remplace directement un membre du personnel en congé, ce qui est interdit, car cela implique pour le consultant la réalisation de tâches exclusivement réservées aux membres du personnel.</w:t>
      </w:r>
    </w:p>
    <w:p w14:paraId="06D9A825" w14:textId="77777777" w:rsidR="0087246C" w:rsidRDefault="0087246C" w:rsidP="00342695">
      <w:pPr>
        <w:pStyle w:val="FootnoteText"/>
      </w:pPr>
    </w:p>
    <w:p w14:paraId="6714547A" w14:textId="77777777" w:rsidR="0087246C" w:rsidRDefault="0087246C" w:rsidP="00342695">
      <w:pPr>
        <w:pStyle w:val="FootnoteText"/>
      </w:pPr>
    </w:p>
  </w:footnote>
  <w:footnote w:id="3">
    <w:p w14:paraId="11F9BFA3" w14:textId="73EA1EC0" w:rsidR="0087246C" w:rsidRDefault="0087246C" w:rsidP="00342695">
      <w:pPr>
        <w:pStyle w:val="FootnoteText"/>
      </w:pPr>
      <w:r>
        <w:rPr>
          <w:rStyle w:val="FootnoteReference"/>
        </w:rPr>
        <w:footnoteRef/>
      </w:r>
      <w:r>
        <w:t xml:space="preserve"> </w:t>
      </w:r>
      <w:r>
        <w:rPr>
          <w:rFonts w:asciiTheme="minorHAnsi" w:hAnsiTheme="minorHAnsi"/>
          <w:sz w:val="20"/>
          <w:szCs w:val="20"/>
        </w:rPr>
        <w:t>Calculées à partir de 21,75 jours ouvrables par mois x 24 mois = 521 jours ouvrables par an</w:t>
      </w:r>
      <w:r w:rsidR="009436B1">
        <w:rPr>
          <w:rFonts w:asciiTheme="minorHAnsi" w:hAnsiTheme="minorHAnsi"/>
          <w:sz w:val="20"/>
          <w:szCs w:val="20"/>
        </w:rPr>
        <w:t>.</w:t>
      </w:r>
    </w:p>
  </w:footnote>
  <w:footnote w:id="4">
    <w:p w14:paraId="1EAFB2C6" w14:textId="77777777" w:rsidR="00E9677F" w:rsidRPr="00A8635F" w:rsidRDefault="00E9677F" w:rsidP="00A8635F">
      <w:pPr>
        <w:pStyle w:val="FootnoteText"/>
        <w:jc w:val="both"/>
        <w:rPr>
          <w:rFonts w:ascii="Calibri" w:hAnsi="Calibri" w:cs="Calibri"/>
          <w:sz w:val="20"/>
          <w:szCs w:val="20"/>
        </w:rPr>
      </w:pPr>
      <w:r w:rsidRPr="00A8635F">
        <w:rPr>
          <w:rStyle w:val="FootnoteReference"/>
          <w:rFonts w:ascii="Calibri" w:hAnsi="Calibri" w:cs="Calibri"/>
          <w:sz w:val="20"/>
          <w:szCs w:val="20"/>
        </w:rPr>
        <w:footnoteRef/>
      </w:r>
      <w:r w:rsidRPr="00A8635F">
        <w:rPr>
          <w:rFonts w:ascii="Calibri" w:hAnsi="Calibri" w:cs="Calibri"/>
          <w:sz w:val="20"/>
          <w:szCs w:val="20"/>
        </w:rPr>
        <w:t xml:space="preserve"> La soumission de demandes d'habilitation de sécurité pour les déplacements personnels des contractants individuels est également fortement encouragée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5CC5A" w14:textId="796F543C" w:rsidR="0087246C" w:rsidRDefault="001766E0" w:rsidP="001766E0">
    <w:pPr>
      <w:pStyle w:val="Header"/>
      <w:tabs>
        <w:tab w:val="left" w:pos="557"/>
        <w:tab w:val="right" w:pos="9360"/>
      </w:tabs>
    </w:pPr>
    <w:r>
      <w:tab/>
    </w:r>
    <w:r>
      <w:tab/>
    </w:r>
    <w:r>
      <w:tab/>
    </w:r>
    <w:r w:rsidR="008E46DE" w:rsidRPr="008A4958">
      <w:rPr>
        <w:rFonts w:ascii="Calibri" w:eastAsia="Calibri" w:hAnsi="Calibri" w:cs="Times New Roman"/>
        <w:noProof/>
        <w:lang w:val="es-ES"/>
      </w:rPr>
      <w:drawing>
        <wp:inline distT="0" distB="0" distL="0" distR="0" wp14:anchorId="3EFF6D2B" wp14:editId="680BEFB2">
          <wp:extent cx="328361" cy="658086"/>
          <wp:effectExtent l="0" t="0" r="0" b="8890"/>
          <wp:docPr id="1849313357" name="Picture 1849313357" descr="PNUD-Logo-Blue-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UD-Logo-Blue-Larg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4148" t="16003" r="24351" b="16186"/>
                  <a:stretch/>
                </pic:blipFill>
                <pic:spPr bwMode="auto">
                  <a:xfrm>
                    <a:off x="0" y="0"/>
                    <a:ext cx="330543" cy="662460"/>
                  </a:xfrm>
                  <a:prstGeom prst="rect">
                    <a:avLst/>
                  </a:prstGeom>
                  <a:extLst>
                    <a:ext uri="{53640926-AAD7-44D8-BBD7-CCE9431645EC}">
                      <a14:shadowObscured xmlns:a14="http://schemas.microsoft.com/office/drawing/2010/main"/>
                    </a:ext>
                  </a:extLst>
                </pic:spPr>
              </pic:pic>
            </a:graphicData>
          </a:graphic>
        </wp:inline>
      </w:drawing>
    </w:r>
  </w:p>
  <w:p w14:paraId="33F5CC5B" w14:textId="77777777" w:rsidR="0087246C" w:rsidRDefault="008724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7A6F"/>
    <w:multiLevelType w:val="hybridMultilevel"/>
    <w:tmpl w:val="77E04DF0"/>
    <w:lvl w:ilvl="0" w:tplc="81588080">
      <w:start w:val="1"/>
      <w:numFmt w:val="lowerLetter"/>
      <w:lvlText w:val="%1."/>
      <w:lvlJc w:val="left"/>
      <w:pPr>
        <w:ind w:left="1125" w:hanging="405"/>
      </w:pPr>
      <w:rPr>
        <w:rFonts w:asciiTheme="minorHAnsi" w:hAnsiTheme="minorHAns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B55A3E"/>
    <w:multiLevelType w:val="hybridMultilevel"/>
    <w:tmpl w:val="96326D5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F3613C"/>
    <w:multiLevelType w:val="hybridMultilevel"/>
    <w:tmpl w:val="02CA69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084EAD"/>
    <w:multiLevelType w:val="hybridMultilevel"/>
    <w:tmpl w:val="14E0190C"/>
    <w:lvl w:ilvl="0" w:tplc="53BA729E">
      <w:start w:val="1"/>
      <w:numFmt w:val="lowerLetter"/>
      <w:lvlText w:val="%1."/>
      <w:lvlJc w:val="left"/>
      <w:pPr>
        <w:ind w:left="1125" w:hanging="405"/>
      </w:pPr>
      <w:rPr>
        <w:rFonts w:asciiTheme="minorHAnsi" w:hAnsiTheme="minorHAnsi" w:hint="default"/>
      </w:rPr>
    </w:lvl>
    <w:lvl w:ilvl="1" w:tplc="649C1DD8">
      <w:start w:val="3"/>
      <w:numFmt w:val="bullet"/>
      <w:lvlText w:val=""/>
      <w:lvlJc w:val="left"/>
      <w:pPr>
        <w:ind w:left="1845" w:hanging="405"/>
      </w:pPr>
      <w:rPr>
        <w:rFonts w:ascii="Symbol" w:eastAsia="Times New Roman" w:hAnsi="Symbol" w:cs="Arial" w:hint="default"/>
      </w:rPr>
    </w:lvl>
    <w:lvl w:ilvl="2" w:tplc="02D87050">
      <w:start w:val="1"/>
      <w:numFmt w:val="bullet"/>
      <w:lvlText w:val="-"/>
      <w:lvlJc w:val="left"/>
      <w:pPr>
        <w:ind w:left="2700" w:hanging="360"/>
      </w:pPr>
      <w:rPr>
        <w:rFonts w:ascii="Arial" w:eastAsia="Times New Roman" w:hAnsi="Arial" w:cs="Aria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320DD3"/>
    <w:multiLevelType w:val="hybridMultilevel"/>
    <w:tmpl w:val="367C7DB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3C02B6"/>
    <w:multiLevelType w:val="hybridMultilevel"/>
    <w:tmpl w:val="7804B0A8"/>
    <w:lvl w:ilvl="0" w:tplc="C6A68080">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240491"/>
    <w:multiLevelType w:val="hybridMultilevel"/>
    <w:tmpl w:val="DAE03F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5F3573"/>
    <w:multiLevelType w:val="hybridMultilevel"/>
    <w:tmpl w:val="77CADA8A"/>
    <w:lvl w:ilvl="0" w:tplc="7D7C865E">
      <w:start w:val="1"/>
      <w:numFmt w:val="lowerLetter"/>
      <w:lvlText w:val="%1."/>
      <w:lvlJc w:val="left"/>
      <w:pPr>
        <w:ind w:left="1125" w:hanging="405"/>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C800C0"/>
    <w:multiLevelType w:val="multilevel"/>
    <w:tmpl w:val="9C84FC7C"/>
    <w:lvl w:ilvl="0">
      <w:start w:val="1"/>
      <w:numFmt w:val="decimal"/>
      <w:pStyle w:val="Calibri11"/>
      <w:lvlText w:val="%1."/>
      <w:lvlJc w:val="left"/>
      <w:pPr>
        <w:ind w:left="360" w:hanging="360"/>
      </w:pPr>
      <w:rPr>
        <w:rFonts w:asciiTheme="minorHAnsi" w:hAnsiTheme="minorHAnsi" w:hint="default"/>
        <w:b/>
      </w:rPr>
    </w:lvl>
    <w:lvl w:ilvl="1">
      <w:start w:val="1"/>
      <w:numFmt w:val="decimal"/>
      <w:pStyle w:val="Calibri11Sub"/>
      <w:lvlText w:val="%1.%2."/>
      <w:lvlJc w:val="left"/>
      <w:pPr>
        <w:ind w:left="882" w:hanging="432"/>
      </w:pPr>
    </w:lvl>
    <w:lvl w:ilvl="2">
      <w:start w:val="1"/>
      <w:numFmt w:val="decimal"/>
      <w:pStyle w:val="Calibri11SubSubSub"/>
      <w:lvlText w:val="%1.%2.%3."/>
      <w:lvlJc w:val="left"/>
      <w:pPr>
        <w:ind w:left="1224" w:hanging="504"/>
      </w:pPr>
      <w:rPr>
        <w:rFonts w:asciiTheme="minorHAnsi" w:hAnsiTheme="minorHAnsi"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1D1285A"/>
    <w:multiLevelType w:val="hybridMultilevel"/>
    <w:tmpl w:val="6E46DB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54A7874"/>
    <w:multiLevelType w:val="hybridMultilevel"/>
    <w:tmpl w:val="A40E2B5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7CF0613"/>
    <w:multiLevelType w:val="hybridMultilevel"/>
    <w:tmpl w:val="C0A2BEA2"/>
    <w:lvl w:ilvl="0" w:tplc="480A210C">
      <w:start w:val="1"/>
      <w:numFmt w:val="decimal"/>
      <w:lvlText w:val="%1."/>
      <w:lvlJc w:val="left"/>
      <w:pPr>
        <w:ind w:left="720" w:hanging="360"/>
      </w:pPr>
      <w:rPr>
        <w:rFonts w:asciiTheme="minorHAnsi" w:hAnsi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3F43A9"/>
    <w:multiLevelType w:val="hybridMultilevel"/>
    <w:tmpl w:val="C86082B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A043359"/>
    <w:multiLevelType w:val="hybridMultilevel"/>
    <w:tmpl w:val="3A58BBF6"/>
    <w:lvl w:ilvl="0" w:tplc="037AB6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AC81E47"/>
    <w:multiLevelType w:val="hybridMultilevel"/>
    <w:tmpl w:val="A94067A0"/>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10C6F59"/>
    <w:multiLevelType w:val="hybridMultilevel"/>
    <w:tmpl w:val="91FE40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50F76E3"/>
    <w:multiLevelType w:val="hybridMultilevel"/>
    <w:tmpl w:val="4D0889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936242B"/>
    <w:multiLevelType w:val="hybridMultilevel"/>
    <w:tmpl w:val="52AADAB6"/>
    <w:lvl w:ilvl="0" w:tplc="09CA0ABC">
      <w:start w:val="1"/>
      <w:numFmt w:val="decimal"/>
      <w:lvlText w:val="%1."/>
      <w:lvlJc w:val="left"/>
      <w:pPr>
        <w:ind w:left="1800" w:hanging="360"/>
      </w:pPr>
      <w:rPr>
        <w:rFonts w:asciiTheme="minorHAnsi" w:hAnsiTheme="minorHAnsi" w:hint="default"/>
        <w:b w:val="0"/>
        <w:sz w:val="22"/>
        <w:szCs w:val="22"/>
      </w:rPr>
    </w:lvl>
    <w:lvl w:ilvl="1" w:tplc="F62A456C">
      <w:start w:val="1"/>
      <w:numFmt w:val="lowerLetter"/>
      <w:pStyle w:val="Calibri11a"/>
      <w:lvlText w:val="%2."/>
      <w:lvlJc w:val="left"/>
      <w:pPr>
        <w:ind w:left="2160" w:hanging="360"/>
      </w:pPr>
    </w:lvl>
    <w:lvl w:ilvl="2" w:tplc="041C001B">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18" w15:restartNumberingAfterBreak="0">
    <w:nsid w:val="294031E7"/>
    <w:multiLevelType w:val="hybridMultilevel"/>
    <w:tmpl w:val="91FE40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B2D2A9E"/>
    <w:multiLevelType w:val="hybridMultilevel"/>
    <w:tmpl w:val="747C1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3434870"/>
    <w:multiLevelType w:val="hybridMultilevel"/>
    <w:tmpl w:val="7B12D8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824DED"/>
    <w:multiLevelType w:val="hybridMultilevel"/>
    <w:tmpl w:val="91FE40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B143C27"/>
    <w:multiLevelType w:val="hybridMultilevel"/>
    <w:tmpl w:val="D12C432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FF25AE8"/>
    <w:multiLevelType w:val="hybridMultilevel"/>
    <w:tmpl w:val="5BFA063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0E836B5"/>
    <w:multiLevelType w:val="hybridMultilevel"/>
    <w:tmpl w:val="0E66DBB0"/>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 w15:restartNumberingAfterBreak="0">
    <w:nsid w:val="40F52829"/>
    <w:multiLevelType w:val="hybridMultilevel"/>
    <w:tmpl w:val="C92299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4E7177C"/>
    <w:multiLevelType w:val="hybridMultilevel"/>
    <w:tmpl w:val="383474F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5BE4B55"/>
    <w:multiLevelType w:val="hybridMultilevel"/>
    <w:tmpl w:val="88E405AE"/>
    <w:lvl w:ilvl="0" w:tplc="65865154">
      <w:start w:val="70"/>
      <w:numFmt w:val="decimal"/>
      <w:lvlText w:val="%1."/>
      <w:lvlJc w:val="left"/>
      <w:pPr>
        <w:ind w:left="720" w:hanging="360"/>
      </w:pPr>
      <w:rPr>
        <w:rFonts w:asciiTheme="minorHAnsi" w:hAnsi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F335AA"/>
    <w:multiLevelType w:val="hybridMultilevel"/>
    <w:tmpl w:val="D9A645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E87656E"/>
    <w:multiLevelType w:val="hybridMultilevel"/>
    <w:tmpl w:val="D11CC78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ED179AA"/>
    <w:multiLevelType w:val="hybridMultilevel"/>
    <w:tmpl w:val="8156272C"/>
    <w:lvl w:ilvl="0" w:tplc="04090001">
      <w:start w:val="1"/>
      <w:numFmt w:val="bullet"/>
      <w:lvlText w:val=""/>
      <w:lvlJc w:val="left"/>
      <w:pPr>
        <w:ind w:left="1530" w:hanging="405"/>
      </w:pPr>
      <w:rPr>
        <w:rFonts w:ascii="Symbol" w:hAnsi="Symbol" w:hint="default"/>
        <w:b/>
        <w:color w:val="auto"/>
      </w:rPr>
    </w:lvl>
    <w:lvl w:ilvl="1" w:tplc="FFFFFFFF">
      <w:start w:val="2"/>
      <w:numFmt w:val="bullet"/>
      <w:lvlText w:val=""/>
      <w:lvlJc w:val="left"/>
      <w:pPr>
        <w:ind w:left="2250" w:hanging="405"/>
      </w:pPr>
      <w:rPr>
        <w:rFonts w:ascii="Symbol" w:eastAsia="Times New Roman" w:hAnsi="Symbol" w:cs="Arial" w:hint="default"/>
      </w:rPr>
    </w:lvl>
    <w:lvl w:ilvl="2" w:tplc="FFFFFFFF" w:tentative="1">
      <w:start w:val="1"/>
      <w:numFmt w:val="lowerRoman"/>
      <w:lvlText w:val="%3."/>
      <w:lvlJc w:val="right"/>
      <w:pPr>
        <w:ind w:left="2925" w:hanging="180"/>
      </w:pPr>
    </w:lvl>
    <w:lvl w:ilvl="3" w:tplc="FFFFFFFF" w:tentative="1">
      <w:start w:val="1"/>
      <w:numFmt w:val="decimal"/>
      <w:lvlText w:val="%4."/>
      <w:lvlJc w:val="left"/>
      <w:pPr>
        <w:ind w:left="3645" w:hanging="360"/>
      </w:pPr>
    </w:lvl>
    <w:lvl w:ilvl="4" w:tplc="FFFFFFFF" w:tentative="1">
      <w:start w:val="1"/>
      <w:numFmt w:val="lowerLetter"/>
      <w:lvlText w:val="%5."/>
      <w:lvlJc w:val="left"/>
      <w:pPr>
        <w:ind w:left="4365" w:hanging="360"/>
      </w:pPr>
    </w:lvl>
    <w:lvl w:ilvl="5" w:tplc="FFFFFFFF" w:tentative="1">
      <w:start w:val="1"/>
      <w:numFmt w:val="lowerRoman"/>
      <w:lvlText w:val="%6."/>
      <w:lvlJc w:val="right"/>
      <w:pPr>
        <w:ind w:left="5085" w:hanging="180"/>
      </w:pPr>
    </w:lvl>
    <w:lvl w:ilvl="6" w:tplc="FFFFFFFF" w:tentative="1">
      <w:start w:val="1"/>
      <w:numFmt w:val="decimal"/>
      <w:lvlText w:val="%7."/>
      <w:lvlJc w:val="left"/>
      <w:pPr>
        <w:ind w:left="5805" w:hanging="360"/>
      </w:pPr>
    </w:lvl>
    <w:lvl w:ilvl="7" w:tplc="FFFFFFFF" w:tentative="1">
      <w:start w:val="1"/>
      <w:numFmt w:val="lowerLetter"/>
      <w:lvlText w:val="%8."/>
      <w:lvlJc w:val="left"/>
      <w:pPr>
        <w:ind w:left="6525" w:hanging="360"/>
      </w:pPr>
    </w:lvl>
    <w:lvl w:ilvl="8" w:tplc="FFFFFFFF" w:tentative="1">
      <w:start w:val="1"/>
      <w:numFmt w:val="lowerRoman"/>
      <w:lvlText w:val="%9."/>
      <w:lvlJc w:val="right"/>
      <w:pPr>
        <w:ind w:left="7245" w:hanging="180"/>
      </w:pPr>
    </w:lvl>
  </w:abstractNum>
  <w:abstractNum w:abstractNumId="31" w15:restartNumberingAfterBreak="0">
    <w:nsid w:val="56C1658C"/>
    <w:multiLevelType w:val="hybridMultilevel"/>
    <w:tmpl w:val="DBC499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76A4D90"/>
    <w:multiLevelType w:val="hybridMultilevel"/>
    <w:tmpl w:val="AFAE44A8"/>
    <w:lvl w:ilvl="0" w:tplc="480A210C">
      <w:start w:val="1"/>
      <w:numFmt w:val="decimal"/>
      <w:lvlText w:val="%1."/>
      <w:lvlJc w:val="left"/>
      <w:pPr>
        <w:ind w:left="720" w:hanging="360"/>
      </w:pPr>
      <w:rPr>
        <w:rFonts w:asciiTheme="minorHAnsi" w:hAnsi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A547A5"/>
    <w:multiLevelType w:val="hybridMultilevel"/>
    <w:tmpl w:val="826A860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CD06AB6"/>
    <w:multiLevelType w:val="hybridMultilevel"/>
    <w:tmpl w:val="4A0035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E5A005E"/>
    <w:multiLevelType w:val="hybridMultilevel"/>
    <w:tmpl w:val="88EC40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12E64D7"/>
    <w:multiLevelType w:val="hybridMultilevel"/>
    <w:tmpl w:val="91FE40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4392DB4"/>
    <w:multiLevelType w:val="hybridMultilevel"/>
    <w:tmpl w:val="01FC65CC"/>
    <w:lvl w:ilvl="0" w:tplc="04090019">
      <w:start w:val="1"/>
      <w:numFmt w:val="lowerLetter"/>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46364D6"/>
    <w:multiLevelType w:val="hybridMultilevel"/>
    <w:tmpl w:val="5B1E251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9EC63AC"/>
    <w:multiLevelType w:val="hybridMultilevel"/>
    <w:tmpl w:val="FB36D5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B4E4FB1"/>
    <w:multiLevelType w:val="hybridMultilevel"/>
    <w:tmpl w:val="34C0FA6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C7A6415"/>
    <w:multiLevelType w:val="hybridMultilevel"/>
    <w:tmpl w:val="96C0E2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D2A38DC"/>
    <w:multiLevelType w:val="hybridMultilevel"/>
    <w:tmpl w:val="0762B6A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6FA549E1"/>
    <w:multiLevelType w:val="hybridMultilevel"/>
    <w:tmpl w:val="1EAE7A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3ED177F"/>
    <w:multiLevelType w:val="hybridMultilevel"/>
    <w:tmpl w:val="34C0FA6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68800F0"/>
    <w:multiLevelType w:val="hybridMultilevel"/>
    <w:tmpl w:val="4358DA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0712C0"/>
    <w:multiLevelType w:val="hybridMultilevel"/>
    <w:tmpl w:val="5DFCF34A"/>
    <w:lvl w:ilvl="0" w:tplc="480A210C">
      <w:start w:val="1"/>
      <w:numFmt w:val="decimal"/>
      <w:lvlText w:val="%1."/>
      <w:lvlJc w:val="left"/>
      <w:pPr>
        <w:ind w:left="720" w:hanging="360"/>
      </w:pPr>
      <w:rPr>
        <w:rFonts w:asciiTheme="minorHAnsi" w:hAnsi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313D45"/>
    <w:multiLevelType w:val="hybridMultilevel"/>
    <w:tmpl w:val="A3EC1E98"/>
    <w:lvl w:ilvl="0" w:tplc="04090019">
      <w:start w:val="1"/>
      <w:numFmt w:val="lowerLetter"/>
      <w:lvlText w:val="%1."/>
      <w:lvlJc w:val="left"/>
      <w:pPr>
        <w:ind w:left="1080" w:hanging="360"/>
      </w:pPr>
    </w:lvl>
    <w:lvl w:ilvl="1" w:tplc="041C0019">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48" w15:restartNumberingAfterBreak="0">
    <w:nsid w:val="7C440742"/>
    <w:multiLevelType w:val="hybridMultilevel"/>
    <w:tmpl w:val="877C2D62"/>
    <w:lvl w:ilvl="0" w:tplc="04090001">
      <w:start w:val="1"/>
      <w:numFmt w:val="bullet"/>
      <w:lvlText w:val=""/>
      <w:lvlJc w:val="left"/>
      <w:pPr>
        <w:ind w:left="1530" w:hanging="405"/>
      </w:pPr>
      <w:rPr>
        <w:rFonts w:ascii="Symbol" w:hAnsi="Symbol" w:hint="default"/>
        <w:b/>
        <w:color w:val="auto"/>
      </w:rPr>
    </w:lvl>
    <w:lvl w:ilvl="1" w:tplc="231EBA94">
      <w:start w:val="2"/>
      <w:numFmt w:val="bullet"/>
      <w:lvlText w:val=""/>
      <w:lvlJc w:val="left"/>
      <w:pPr>
        <w:ind w:left="2250" w:hanging="405"/>
      </w:pPr>
      <w:rPr>
        <w:rFonts w:ascii="Symbol" w:eastAsia="Times New Roman" w:hAnsi="Symbol" w:cs="Arial" w:hint="default"/>
      </w:r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49" w15:restartNumberingAfterBreak="0">
    <w:nsid w:val="7E167326"/>
    <w:multiLevelType w:val="hybridMultilevel"/>
    <w:tmpl w:val="67C66DC2"/>
    <w:lvl w:ilvl="0" w:tplc="480A210C">
      <w:start w:val="1"/>
      <w:numFmt w:val="decimal"/>
      <w:lvlText w:val="%1."/>
      <w:lvlJc w:val="left"/>
      <w:pPr>
        <w:ind w:left="720" w:hanging="360"/>
      </w:pPr>
      <w:rPr>
        <w:rFonts w:asciiTheme="minorHAnsi" w:hAnsi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1336572">
    <w:abstractNumId w:val="5"/>
  </w:num>
  <w:num w:numId="2" w16cid:durableId="703289734">
    <w:abstractNumId w:val="8"/>
  </w:num>
  <w:num w:numId="3" w16cid:durableId="511726395">
    <w:abstractNumId w:val="48"/>
  </w:num>
  <w:num w:numId="4" w16cid:durableId="214195751">
    <w:abstractNumId w:val="17"/>
  </w:num>
  <w:num w:numId="5" w16cid:durableId="587928115">
    <w:abstractNumId w:val="3"/>
  </w:num>
  <w:num w:numId="6" w16cid:durableId="438069690">
    <w:abstractNumId w:val="7"/>
  </w:num>
  <w:num w:numId="7" w16cid:durableId="496112504">
    <w:abstractNumId w:val="0"/>
  </w:num>
  <w:num w:numId="8" w16cid:durableId="882134268">
    <w:abstractNumId w:val="47"/>
  </w:num>
  <w:num w:numId="9" w16cid:durableId="624501795">
    <w:abstractNumId w:val="25"/>
  </w:num>
  <w:num w:numId="10" w16cid:durableId="1715737823">
    <w:abstractNumId w:val="12"/>
  </w:num>
  <w:num w:numId="11" w16cid:durableId="340553117">
    <w:abstractNumId w:val="9"/>
  </w:num>
  <w:num w:numId="12" w16cid:durableId="610478184">
    <w:abstractNumId w:val="13"/>
  </w:num>
  <w:num w:numId="13" w16cid:durableId="1387293168">
    <w:abstractNumId w:val="36"/>
  </w:num>
  <w:num w:numId="14" w16cid:durableId="1201628306">
    <w:abstractNumId w:val="18"/>
  </w:num>
  <w:num w:numId="15" w16cid:durableId="1371689584">
    <w:abstractNumId w:val="2"/>
  </w:num>
  <w:num w:numId="16" w16cid:durableId="921529728">
    <w:abstractNumId w:val="21"/>
  </w:num>
  <w:num w:numId="17" w16cid:durableId="1737194095">
    <w:abstractNumId w:val="15"/>
  </w:num>
  <w:num w:numId="18" w16cid:durableId="941692220">
    <w:abstractNumId w:val="16"/>
  </w:num>
  <w:num w:numId="19" w16cid:durableId="951783830">
    <w:abstractNumId w:val="28"/>
  </w:num>
  <w:num w:numId="20" w16cid:durableId="1235706189">
    <w:abstractNumId w:val="1"/>
  </w:num>
  <w:num w:numId="21" w16cid:durableId="1842499103">
    <w:abstractNumId w:val="41"/>
  </w:num>
  <w:num w:numId="22" w16cid:durableId="1938559669">
    <w:abstractNumId w:val="39"/>
  </w:num>
  <w:num w:numId="23" w16cid:durableId="1337880407">
    <w:abstractNumId w:val="22"/>
  </w:num>
  <w:num w:numId="24" w16cid:durableId="2125073477">
    <w:abstractNumId w:val="34"/>
  </w:num>
  <w:num w:numId="25" w16cid:durableId="532353032">
    <w:abstractNumId w:val="43"/>
  </w:num>
  <w:num w:numId="26" w16cid:durableId="1720392780">
    <w:abstractNumId w:val="23"/>
  </w:num>
  <w:num w:numId="27" w16cid:durableId="1232934560">
    <w:abstractNumId w:val="26"/>
  </w:num>
  <w:num w:numId="28" w16cid:durableId="1335258537">
    <w:abstractNumId w:val="19"/>
  </w:num>
  <w:num w:numId="29" w16cid:durableId="1127239784">
    <w:abstractNumId w:val="42"/>
  </w:num>
  <w:num w:numId="30" w16cid:durableId="1193225978">
    <w:abstractNumId w:val="20"/>
  </w:num>
  <w:num w:numId="31" w16cid:durableId="1305358291">
    <w:abstractNumId w:val="6"/>
  </w:num>
  <w:num w:numId="32" w16cid:durableId="1645313133">
    <w:abstractNumId w:val="33"/>
  </w:num>
  <w:num w:numId="33" w16cid:durableId="151726982">
    <w:abstractNumId w:val="10"/>
  </w:num>
  <w:num w:numId="34" w16cid:durableId="2088334148">
    <w:abstractNumId w:val="45"/>
  </w:num>
  <w:num w:numId="35" w16cid:durableId="915940149">
    <w:abstractNumId w:val="31"/>
  </w:num>
  <w:num w:numId="36" w16cid:durableId="1004431670">
    <w:abstractNumId w:val="46"/>
  </w:num>
  <w:num w:numId="37" w16cid:durableId="285619462">
    <w:abstractNumId w:val="29"/>
  </w:num>
  <w:num w:numId="38" w16cid:durableId="1335188556">
    <w:abstractNumId w:val="4"/>
  </w:num>
  <w:num w:numId="39" w16cid:durableId="1265579954">
    <w:abstractNumId w:val="37"/>
  </w:num>
  <w:num w:numId="40" w16cid:durableId="518200935">
    <w:abstractNumId w:val="24"/>
  </w:num>
  <w:num w:numId="41" w16cid:durableId="1407459817">
    <w:abstractNumId w:val="35"/>
  </w:num>
  <w:num w:numId="42" w16cid:durableId="578442215">
    <w:abstractNumId w:val="44"/>
  </w:num>
  <w:num w:numId="43" w16cid:durableId="1157304603">
    <w:abstractNumId w:val="40"/>
  </w:num>
  <w:num w:numId="44" w16cid:durableId="1597905866">
    <w:abstractNumId w:val="27"/>
  </w:num>
  <w:num w:numId="45" w16cid:durableId="753863243">
    <w:abstractNumId w:val="38"/>
  </w:num>
  <w:num w:numId="46" w16cid:durableId="213080438">
    <w:abstractNumId w:val="32"/>
  </w:num>
  <w:num w:numId="47" w16cid:durableId="1725173741">
    <w:abstractNumId w:val="11"/>
  </w:num>
  <w:num w:numId="48" w16cid:durableId="1928494986">
    <w:abstractNumId w:val="49"/>
  </w:num>
  <w:num w:numId="49" w16cid:durableId="2013798122">
    <w:abstractNumId w:val="8"/>
  </w:num>
  <w:num w:numId="50" w16cid:durableId="1295714565">
    <w:abstractNumId w:val="30"/>
  </w:num>
  <w:num w:numId="51" w16cid:durableId="773211586">
    <w:abstractNumId w:val="1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EwMzUxNjA3MDI0s7BU0lEKTi0uzszPAykwrAUAoIgR9CwAAAA="/>
  </w:docVars>
  <w:rsids>
    <w:rsidRoot w:val="00444FE7"/>
    <w:rsid w:val="0000128A"/>
    <w:rsid w:val="0000417B"/>
    <w:rsid w:val="00005EB7"/>
    <w:rsid w:val="00011142"/>
    <w:rsid w:val="00012BC4"/>
    <w:rsid w:val="0002066E"/>
    <w:rsid w:val="00027E5F"/>
    <w:rsid w:val="0003386B"/>
    <w:rsid w:val="00034DCE"/>
    <w:rsid w:val="00036C95"/>
    <w:rsid w:val="000400D1"/>
    <w:rsid w:val="00040792"/>
    <w:rsid w:val="00042453"/>
    <w:rsid w:val="000467FD"/>
    <w:rsid w:val="000473DD"/>
    <w:rsid w:val="00051EFB"/>
    <w:rsid w:val="00062B2B"/>
    <w:rsid w:val="000641EB"/>
    <w:rsid w:val="0006530D"/>
    <w:rsid w:val="0006657F"/>
    <w:rsid w:val="00067A0F"/>
    <w:rsid w:val="00073B92"/>
    <w:rsid w:val="0007540B"/>
    <w:rsid w:val="000772EB"/>
    <w:rsid w:val="00077CD2"/>
    <w:rsid w:val="00077E3E"/>
    <w:rsid w:val="00082455"/>
    <w:rsid w:val="00085CF5"/>
    <w:rsid w:val="0008796E"/>
    <w:rsid w:val="000A057B"/>
    <w:rsid w:val="000A0E47"/>
    <w:rsid w:val="000A2EA6"/>
    <w:rsid w:val="000A31B1"/>
    <w:rsid w:val="000A67F5"/>
    <w:rsid w:val="000A7D3A"/>
    <w:rsid w:val="000B24B2"/>
    <w:rsid w:val="000B2A48"/>
    <w:rsid w:val="000B5A63"/>
    <w:rsid w:val="000C33B0"/>
    <w:rsid w:val="000C3C6B"/>
    <w:rsid w:val="000C5471"/>
    <w:rsid w:val="000C6936"/>
    <w:rsid w:val="000D454E"/>
    <w:rsid w:val="000E01FE"/>
    <w:rsid w:val="000E0EBF"/>
    <w:rsid w:val="000E4727"/>
    <w:rsid w:val="000E717A"/>
    <w:rsid w:val="000F0B9A"/>
    <w:rsid w:val="000F3743"/>
    <w:rsid w:val="000F51A1"/>
    <w:rsid w:val="000F5BBD"/>
    <w:rsid w:val="00115773"/>
    <w:rsid w:val="0012303D"/>
    <w:rsid w:val="001249E5"/>
    <w:rsid w:val="00125E07"/>
    <w:rsid w:val="001269CE"/>
    <w:rsid w:val="00130A1E"/>
    <w:rsid w:val="001342DC"/>
    <w:rsid w:val="00134AF4"/>
    <w:rsid w:val="001355A8"/>
    <w:rsid w:val="001448BA"/>
    <w:rsid w:val="00153695"/>
    <w:rsid w:val="001542EA"/>
    <w:rsid w:val="0015722B"/>
    <w:rsid w:val="0015738A"/>
    <w:rsid w:val="00157842"/>
    <w:rsid w:val="00164A1B"/>
    <w:rsid w:val="001653DD"/>
    <w:rsid w:val="00174284"/>
    <w:rsid w:val="001766E0"/>
    <w:rsid w:val="00181340"/>
    <w:rsid w:val="00183FF4"/>
    <w:rsid w:val="00185F50"/>
    <w:rsid w:val="0018791D"/>
    <w:rsid w:val="00190DF3"/>
    <w:rsid w:val="00192F89"/>
    <w:rsid w:val="0019719F"/>
    <w:rsid w:val="001A0FB0"/>
    <w:rsid w:val="001A3565"/>
    <w:rsid w:val="001A7450"/>
    <w:rsid w:val="001B1565"/>
    <w:rsid w:val="001B3AD6"/>
    <w:rsid w:val="001B50E9"/>
    <w:rsid w:val="001C1ECF"/>
    <w:rsid w:val="001D187F"/>
    <w:rsid w:val="001D1D3D"/>
    <w:rsid w:val="001D24FA"/>
    <w:rsid w:val="001D6C29"/>
    <w:rsid w:val="001D753F"/>
    <w:rsid w:val="001E2159"/>
    <w:rsid w:val="001E2ADC"/>
    <w:rsid w:val="001E2D47"/>
    <w:rsid w:val="001E45DB"/>
    <w:rsid w:val="001E4F22"/>
    <w:rsid w:val="001F2EA4"/>
    <w:rsid w:val="001F7D2E"/>
    <w:rsid w:val="00201C6A"/>
    <w:rsid w:val="0020366C"/>
    <w:rsid w:val="00205D45"/>
    <w:rsid w:val="002069A3"/>
    <w:rsid w:val="002140BB"/>
    <w:rsid w:val="00222846"/>
    <w:rsid w:val="002239AA"/>
    <w:rsid w:val="0022405B"/>
    <w:rsid w:val="0022448A"/>
    <w:rsid w:val="00225187"/>
    <w:rsid w:val="00226566"/>
    <w:rsid w:val="002278E5"/>
    <w:rsid w:val="00230D9E"/>
    <w:rsid w:val="002319FA"/>
    <w:rsid w:val="0023364E"/>
    <w:rsid w:val="002354F6"/>
    <w:rsid w:val="002362C7"/>
    <w:rsid w:val="00237D21"/>
    <w:rsid w:val="00244100"/>
    <w:rsid w:val="0024429E"/>
    <w:rsid w:val="00244979"/>
    <w:rsid w:val="00250735"/>
    <w:rsid w:val="00253A6C"/>
    <w:rsid w:val="00254526"/>
    <w:rsid w:val="002614D4"/>
    <w:rsid w:val="00261D17"/>
    <w:rsid w:val="002637F2"/>
    <w:rsid w:val="002642DB"/>
    <w:rsid w:val="00266945"/>
    <w:rsid w:val="00267E29"/>
    <w:rsid w:val="002711B8"/>
    <w:rsid w:val="00271A25"/>
    <w:rsid w:val="00272281"/>
    <w:rsid w:val="00274954"/>
    <w:rsid w:val="00291B8E"/>
    <w:rsid w:val="0029207C"/>
    <w:rsid w:val="002921B8"/>
    <w:rsid w:val="002941D0"/>
    <w:rsid w:val="002950ED"/>
    <w:rsid w:val="002A765D"/>
    <w:rsid w:val="002B3AD9"/>
    <w:rsid w:val="002B506A"/>
    <w:rsid w:val="002B5EF4"/>
    <w:rsid w:val="002D031A"/>
    <w:rsid w:val="002D2947"/>
    <w:rsid w:val="002D2E96"/>
    <w:rsid w:val="002D57AF"/>
    <w:rsid w:val="002D6081"/>
    <w:rsid w:val="002E3703"/>
    <w:rsid w:val="002E47DE"/>
    <w:rsid w:val="002E5E6D"/>
    <w:rsid w:val="002E63ED"/>
    <w:rsid w:val="002F7C74"/>
    <w:rsid w:val="00301220"/>
    <w:rsid w:val="003058CE"/>
    <w:rsid w:val="003138E5"/>
    <w:rsid w:val="003152B0"/>
    <w:rsid w:val="003156F5"/>
    <w:rsid w:val="00317B79"/>
    <w:rsid w:val="00321072"/>
    <w:rsid w:val="00321545"/>
    <w:rsid w:val="00321D5D"/>
    <w:rsid w:val="003224D3"/>
    <w:rsid w:val="00325724"/>
    <w:rsid w:val="003314A4"/>
    <w:rsid w:val="00336F83"/>
    <w:rsid w:val="00337034"/>
    <w:rsid w:val="003422AE"/>
    <w:rsid w:val="00342695"/>
    <w:rsid w:val="00343BF8"/>
    <w:rsid w:val="00344CE0"/>
    <w:rsid w:val="00347A7F"/>
    <w:rsid w:val="00355D3D"/>
    <w:rsid w:val="00356ABA"/>
    <w:rsid w:val="00361249"/>
    <w:rsid w:val="0036310D"/>
    <w:rsid w:val="003667BF"/>
    <w:rsid w:val="00370C4F"/>
    <w:rsid w:val="00371443"/>
    <w:rsid w:val="0037342A"/>
    <w:rsid w:val="0038526A"/>
    <w:rsid w:val="00385D97"/>
    <w:rsid w:val="00386B16"/>
    <w:rsid w:val="00395F36"/>
    <w:rsid w:val="003A0F0B"/>
    <w:rsid w:val="003A19ED"/>
    <w:rsid w:val="003A304B"/>
    <w:rsid w:val="003A37CE"/>
    <w:rsid w:val="003A4282"/>
    <w:rsid w:val="003A4299"/>
    <w:rsid w:val="003A4667"/>
    <w:rsid w:val="003B199E"/>
    <w:rsid w:val="003B3E0E"/>
    <w:rsid w:val="003B55F3"/>
    <w:rsid w:val="003B6805"/>
    <w:rsid w:val="003B7473"/>
    <w:rsid w:val="003B7741"/>
    <w:rsid w:val="003C10DC"/>
    <w:rsid w:val="003C1FC9"/>
    <w:rsid w:val="003C3497"/>
    <w:rsid w:val="003C5FB6"/>
    <w:rsid w:val="003C635A"/>
    <w:rsid w:val="003C686A"/>
    <w:rsid w:val="003D0DC8"/>
    <w:rsid w:val="003D2BF1"/>
    <w:rsid w:val="003D5B9D"/>
    <w:rsid w:val="003D7C60"/>
    <w:rsid w:val="003E1D8A"/>
    <w:rsid w:val="003E6CD4"/>
    <w:rsid w:val="003E7C21"/>
    <w:rsid w:val="003F0249"/>
    <w:rsid w:val="003F2208"/>
    <w:rsid w:val="003F304F"/>
    <w:rsid w:val="003F4742"/>
    <w:rsid w:val="003F49DD"/>
    <w:rsid w:val="003F4CF9"/>
    <w:rsid w:val="00401609"/>
    <w:rsid w:val="00402F49"/>
    <w:rsid w:val="00403C4E"/>
    <w:rsid w:val="004046F0"/>
    <w:rsid w:val="00407131"/>
    <w:rsid w:val="00417849"/>
    <w:rsid w:val="0042062C"/>
    <w:rsid w:val="00425ABF"/>
    <w:rsid w:val="00433A2A"/>
    <w:rsid w:val="00436181"/>
    <w:rsid w:val="00444FE7"/>
    <w:rsid w:val="00445779"/>
    <w:rsid w:val="0045176F"/>
    <w:rsid w:val="00451C00"/>
    <w:rsid w:val="00453912"/>
    <w:rsid w:val="00454A4A"/>
    <w:rsid w:val="00461114"/>
    <w:rsid w:val="0046396C"/>
    <w:rsid w:val="00464C4E"/>
    <w:rsid w:val="00466286"/>
    <w:rsid w:val="00472F3F"/>
    <w:rsid w:val="00474568"/>
    <w:rsid w:val="0047541E"/>
    <w:rsid w:val="00475922"/>
    <w:rsid w:val="004807CA"/>
    <w:rsid w:val="004845CA"/>
    <w:rsid w:val="00487C78"/>
    <w:rsid w:val="00492A44"/>
    <w:rsid w:val="004942C7"/>
    <w:rsid w:val="004A6252"/>
    <w:rsid w:val="004B13ED"/>
    <w:rsid w:val="004B5A04"/>
    <w:rsid w:val="004B6203"/>
    <w:rsid w:val="004C5DDE"/>
    <w:rsid w:val="004C7085"/>
    <w:rsid w:val="004C7B94"/>
    <w:rsid w:val="004D1D95"/>
    <w:rsid w:val="004D37ED"/>
    <w:rsid w:val="004E3502"/>
    <w:rsid w:val="004E4D01"/>
    <w:rsid w:val="004E75A2"/>
    <w:rsid w:val="004E75AF"/>
    <w:rsid w:val="004E7C10"/>
    <w:rsid w:val="004F06F4"/>
    <w:rsid w:val="004F2B8F"/>
    <w:rsid w:val="004F31EC"/>
    <w:rsid w:val="004F31FF"/>
    <w:rsid w:val="004F42BB"/>
    <w:rsid w:val="004F65CC"/>
    <w:rsid w:val="004F68D4"/>
    <w:rsid w:val="00501DE9"/>
    <w:rsid w:val="00503A15"/>
    <w:rsid w:val="00507652"/>
    <w:rsid w:val="00511637"/>
    <w:rsid w:val="005166EF"/>
    <w:rsid w:val="005256E6"/>
    <w:rsid w:val="005335E9"/>
    <w:rsid w:val="0053466B"/>
    <w:rsid w:val="0053523D"/>
    <w:rsid w:val="0053652D"/>
    <w:rsid w:val="00540932"/>
    <w:rsid w:val="00544677"/>
    <w:rsid w:val="00545494"/>
    <w:rsid w:val="00546D00"/>
    <w:rsid w:val="00552782"/>
    <w:rsid w:val="00553CBC"/>
    <w:rsid w:val="0056058D"/>
    <w:rsid w:val="00560F7E"/>
    <w:rsid w:val="00561CD4"/>
    <w:rsid w:val="005632BE"/>
    <w:rsid w:val="00564A2F"/>
    <w:rsid w:val="00574BED"/>
    <w:rsid w:val="00575035"/>
    <w:rsid w:val="00576A85"/>
    <w:rsid w:val="00577036"/>
    <w:rsid w:val="00583557"/>
    <w:rsid w:val="00583693"/>
    <w:rsid w:val="00584A1F"/>
    <w:rsid w:val="0058681A"/>
    <w:rsid w:val="00595527"/>
    <w:rsid w:val="005B1022"/>
    <w:rsid w:val="005B115B"/>
    <w:rsid w:val="005B417B"/>
    <w:rsid w:val="005B72A7"/>
    <w:rsid w:val="005B7744"/>
    <w:rsid w:val="005C133F"/>
    <w:rsid w:val="005C1602"/>
    <w:rsid w:val="005C48B5"/>
    <w:rsid w:val="005C49B3"/>
    <w:rsid w:val="005C5E54"/>
    <w:rsid w:val="005C6F2C"/>
    <w:rsid w:val="005D2B72"/>
    <w:rsid w:val="005E2CCD"/>
    <w:rsid w:val="005E54FB"/>
    <w:rsid w:val="005E6367"/>
    <w:rsid w:val="005F1EF8"/>
    <w:rsid w:val="005F601B"/>
    <w:rsid w:val="005F68A5"/>
    <w:rsid w:val="005F7947"/>
    <w:rsid w:val="0060230E"/>
    <w:rsid w:val="00605BD0"/>
    <w:rsid w:val="00607FA0"/>
    <w:rsid w:val="00610F6B"/>
    <w:rsid w:val="0061183B"/>
    <w:rsid w:val="00612B60"/>
    <w:rsid w:val="00612D42"/>
    <w:rsid w:val="0061650D"/>
    <w:rsid w:val="00617A57"/>
    <w:rsid w:val="00621680"/>
    <w:rsid w:val="00624ACF"/>
    <w:rsid w:val="006310F5"/>
    <w:rsid w:val="00636FAD"/>
    <w:rsid w:val="00641C6F"/>
    <w:rsid w:val="00642B75"/>
    <w:rsid w:val="006465A5"/>
    <w:rsid w:val="00660BC1"/>
    <w:rsid w:val="0066775A"/>
    <w:rsid w:val="00674AF0"/>
    <w:rsid w:val="006754A0"/>
    <w:rsid w:val="006802D3"/>
    <w:rsid w:val="00684682"/>
    <w:rsid w:val="00684BD9"/>
    <w:rsid w:val="006860E2"/>
    <w:rsid w:val="00687B15"/>
    <w:rsid w:val="006901CB"/>
    <w:rsid w:val="00690C34"/>
    <w:rsid w:val="006910BF"/>
    <w:rsid w:val="00693190"/>
    <w:rsid w:val="006A1A29"/>
    <w:rsid w:val="006A2768"/>
    <w:rsid w:val="006A2D8F"/>
    <w:rsid w:val="006A36B9"/>
    <w:rsid w:val="006B1EC9"/>
    <w:rsid w:val="006B4C4D"/>
    <w:rsid w:val="006B65B2"/>
    <w:rsid w:val="006C020B"/>
    <w:rsid w:val="006C1996"/>
    <w:rsid w:val="006C67F6"/>
    <w:rsid w:val="006D0A7D"/>
    <w:rsid w:val="006D2D5B"/>
    <w:rsid w:val="006D39AA"/>
    <w:rsid w:val="006E1AC4"/>
    <w:rsid w:val="006E3516"/>
    <w:rsid w:val="006E3526"/>
    <w:rsid w:val="006E413E"/>
    <w:rsid w:val="006E6456"/>
    <w:rsid w:val="006F6184"/>
    <w:rsid w:val="006F6685"/>
    <w:rsid w:val="006F763E"/>
    <w:rsid w:val="00705480"/>
    <w:rsid w:val="007056B7"/>
    <w:rsid w:val="0070787E"/>
    <w:rsid w:val="00707880"/>
    <w:rsid w:val="00710D53"/>
    <w:rsid w:val="00712BC6"/>
    <w:rsid w:val="00715383"/>
    <w:rsid w:val="00716DA6"/>
    <w:rsid w:val="00734495"/>
    <w:rsid w:val="0074035E"/>
    <w:rsid w:val="00742A6D"/>
    <w:rsid w:val="00744354"/>
    <w:rsid w:val="00752AD9"/>
    <w:rsid w:val="00756CDA"/>
    <w:rsid w:val="00756F63"/>
    <w:rsid w:val="00757549"/>
    <w:rsid w:val="00761D7D"/>
    <w:rsid w:val="00764B22"/>
    <w:rsid w:val="00766DF1"/>
    <w:rsid w:val="00771296"/>
    <w:rsid w:val="007815C0"/>
    <w:rsid w:val="0078205D"/>
    <w:rsid w:val="00785610"/>
    <w:rsid w:val="007954DC"/>
    <w:rsid w:val="007A0294"/>
    <w:rsid w:val="007B2CB7"/>
    <w:rsid w:val="007B5B0D"/>
    <w:rsid w:val="007C0AE7"/>
    <w:rsid w:val="007C3B00"/>
    <w:rsid w:val="007C3E60"/>
    <w:rsid w:val="007C6E10"/>
    <w:rsid w:val="007D0B5F"/>
    <w:rsid w:val="007D115C"/>
    <w:rsid w:val="007D1A7F"/>
    <w:rsid w:val="007D21F0"/>
    <w:rsid w:val="007D63AB"/>
    <w:rsid w:val="007D734D"/>
    <w:rsid w:val="007D7434"/>
    <w:rsid w:val="007D7C5C"/>
    <w:rsid w:val="007E7305"/>
    <w:rsid w:val="007E73AD"/>
    <w:rsid w:val="007F0832"/>
    <w:rsid w:val="007F0D43"/>
    <w:rsid w:val="007F683C"/>
    <w:rsid w:val="007F6FBC"/>
    <w:rsid w:val="008016F2"/>
    <w:rsid w:val="0080189B"/>
    <w:rsid w:val="0080498E"/>
    <w:rsid w:val="00806646"/>
    <w:rsid w:val="008070E5"/>
    <w:rsid w:val="00825A2E"/>
    <w:rsid w:val="00827B1E"/>
    <w:rsid w:val="00830CA5"/>
    <w:rsid w:val="00832084"/>
    <w:rsid w:val="0083446F"/>
    <w:rsid w:val="0083494E"/>
    <w:rsid w:val="008378A0"/>
    <w:rsid w:val="008416DC"/>
    <w:rsid w:val="00845C86"/>
    <w:rsid w:val="00850379"/>
    <w:rsid w:val="00853ADC"/>
    <w:rsid w:val="008578E2"/>
    <w:rsid w:val="0087246C"/>
    <w:rsid w:val="00876F33"/>
    <w:rsid w:val="00881671"/>
    <w:rsid w:val="0088507D"/>
    <w:rsid w:val="0089535F"/>
    <w:rsid w:val="0089634F"/>
    <w:rsid w:val="008A00A4"/>
    <w:rsid w:val="008A0F0C"/>
    <w:rsid w:val="008A1E24"/>
    <w:rsid w:val="008A3942"/>
    <w:rsid w:val="008B14AF"/>
    <w:rsid w:val="008B1E65"/>
    <w:rsid w:val="008B2615"/>
    <w:rsid w:val="008C2376"/>
    <w:rsid w:val="008C3C58"/>
    <w:rsid w:val="008C5D8B"/>
    <w:rsid w:val="008D7125"/>
    <w:rsid w:val="008E0C5A"/>
    <w:rsid w:val="008E1968"/>
    <w:rsid w:val="008E46DE"/>
    <w:rsid w:val="008E685A"/>
    <w:rsid w:val="008F1721"/>
    <w:rsid w:val="008F2B14"/>
    <w:rsid w:val="008F741D"/>
    <w:rsid w:val="00902656"/>
    <w:rsid w:val="00902B03"/>
    <w:rsid w:val="00903891"/>
    <w:rsid w:val="0090539F"/>
    <w:rsid w:val="00906477"/>
    <w:rsid w:val="00907CCD"/>
    <w:rsid w:val="0091437A"/>
    <w:rsid w:val="009167BE"/>
    <w:rsid w:val="0092229A"/>
    <w:rsid w:val="009258B1"/>
    <w:rsid w:val="00927FE9"/>
    <w:rsid w:val="00932369"/>
    <w:rsid w:val="009369BA"/>
    <w:rsid w:val="00941C5C"/>
    <w:rsid w:val="009436B1"/>
    <w:rsid w:val="00952D56"/>
    <w:rsid w:val="00953B82"/>
    <w:rsid w:val="00954537"/>
    <w:rsid w:val="00956E76"/>
    <w:rsid w:val="00957AFB"/>
    <w:rsid w:val="0096014C"/>
    <w:rsid w:val="00960CA1"/>
    <w:rsid w:val="00963698"/>
    <w:rsid w:val="009646CB"/>
    <w:rsid w:val="00981F76"/>
    <w:rsid w:val="0098691A"/>
    <w:rsid w:val="00992FFE"/>
    <w:rsid w:val="0099302A"/>
    <w:rsid w:val="009950C8"/>
    <w:rsid w:val="009A0F48"/>
    <w:rsid w:val="009A2960"/>
    <w:rsid w:val="009A3653"/>
    <w:rsid w:val="009B68D7"/>
    <w:rsid w:val="009B7406"/>
    <w:rsid w:val="009B7677"/>
    <w:rsid w:val="009D0C8B"/>
    <w:rsid w:val="009D2D56"/>
    <w:rsid w:val="009D39CD"/>
    <w:rsid w:val="009E10D3"/>
    <w:rsid w:val="009E1420"/>
    <w:rsid w:val="009E1960"/>
    <w:rsid w:val="009E48B2"/>
    <w:rsid w:val="009E5812"/>
    <w:rsid w:val="009E6FB0"/>
    <w:rsid w:val="009F2F17"/>
    <w:rsid w:val="009F524F"/>
    <w:rsid w:val="009F6177"/>
    <w:rsid w:val="009F739D"/>
    <w:rsid w:val="009F793A"/>
    <w:rsid w:val="00A02F22"/>
    <w:rsid w:val="00A06896"/>
    <w:rsid w:val="00A13BF9"/>
    <w:rsid w:val="00A16C93"/>
    <w:rsid w:val="00A20DD7"/>
    <w:rsid w:val="00A22CC7"/>
    <w:rsid w:val="00A258FD"/>
    <w:rsid w:val="00A25E15"/>
    <w:rsid w:val="00A27253"/>
    <w:rsid w:val="00A33B5F"/>
    <w:rsid w:val="00A36AA7"/>
    <w:rsid w:val="00A427AD"/>
    <w:rsid w:val="00A43239"/>
    <w:rsid w:val="00A43C30"/>
    <w:rsid w:val="00A43FAA"/>
    <w:rsid w:val="00A44DAA"/>
    <w:rsid w:val="00A46A70"/>
    <w:rsid w:val="00A50EDE"/>
    <w:rsid w:val="00A513B1"/>
    <w:rsid w:val="00A5433B"/>
    <w:rsid w:val="00A666F7"/>
    <w:rsid w:val="00A672C3"/>
    <w:rsid w:val="00A77A36"/>
    <w:rsid w:val="00A8635F"/>
    <w:rsid w:val="00A90638"/>
    <w:rsid w:val="00A927DE"/>
    <w:rsid w:val="00A94898"/>
    <w:rsid w:val="00A94D2B"/>
    <w:rsid w:val="00AA0873"/>
    <w:rsid w:val="00AA244D"/>
    <w:rsid w:val="00AA2675"/>
    <w:rsid w:val="00AA3CAE"/>
    <w:rsid w:val="00AA4446"/>
    <w:rsid w:val="00AB0498"/>
    <w:rsid w:val="00AB0EC6"/>
    <w:rsid w:val="00AB1B97"/>
    <w:rsid w:val="00AB27B1"/>
    <w:rsid w:val="00AB30AB"/>
    <w:rsid w:val="00AB4ED6"/>
    <w:rsid w:val="00AB72C8"/>
    <w:rsid w:val="00AC44D4"/>
    <w:rsid w:val="00AD0772"/>
    <w:rsid w:val="00AD5316"/>
    <w:rsid w:val="00AD585F"/>
    <w:rsid w:val="00AD7469"/>
    <w:rsid w:val="00AE5E9B"/>
    <w:rsid w:val="00AE6EF6"/>
    <w:rsid w:val="00AF0D5D"/>
    <w:rsid w:val="00AF1A13"/>
    <w:rsid w:val="00AF4BFD"/>
    <w:rsid w:val="00AF6CC7"/>
    <w:rsid w:val="00AF7EF8"/>
    <w:rsid w:val="00B13A01"/>
    <w:rsid w:val="00B15185"/>
    <w:rsid w:val="00B161C0"/>
    <w:rsid w:val="00B26EA0"/>
    <w:rsid w:val="00B30DE0"/>
    <w:rsid w:val="00B31B40"/>
    <w:rsid w:val="00B408B2"/>
    <w:rsid w:val="00B4160A"/>
    <w:rsid w:val="00B5198A"/>
    <w:rsid w:val="00B535A3"/>
    <w:rsid w:val="00B536E5"/>
    <w:rsid w:val="00B60255"/>
    <w:rsid w:val="00B6184E"/>
    <w:rsid w:val="00B67874"/>
    <w:rsid w:val="00B72BFD"/>
    <w:rsid w:val="00B7335B"/>
    <w:rsid w:val="00B7586A"/>
    <w:rsid w:val="00B8682B"/>
    <w:rsid w:val="00B86E27"/>
    <w:rsid w:val="00B876D6"/>
    <w:rsid w:val="00B8780F"/>
    <w:rsid w:val="00B878B1"/>
    <w:rsid w:val="00B9396B"/>
    <w:rsid w:val="00B95D8A"/>
    <w:rsid w:val="00BA1D3C"/>
    <w:rsid w:val="00BB0A3B"/>
    <w:rsid w:val="00BB125B"/>
    <w:rsid w:val="00BB29B5"/>
    <w:rsid w:val="00BB2A74"/>
    <w:rsid w:val="00BB45AB"/>
    <w:rsid w:val="00BC4BE0"/>
    <w:rsid w:val="00BC5568"/>
    <w:rsid w:val="00BD10C4"/>
    <w:rsid w:val="00BD5B92"/>
    <w:rsid w:val="00BD5C08"/>
    <w:rsid w:val="00BD6E58"/>
    <w:rsid w:val="00BE030B"/>
    <w:rsid w:val="00BE63B6"/>
    <w:rsid w:val="00BE6582"/>
    <w:rsid w:val="00BE7EF4"/>
    <w:rsid w:val="00BF09B6"/>
    <w:rsid w:val="00C0089F"/>
    <w:rsid w:val="00C01ED3"/>
    <w:rsid w:val="00C03B3F"/>
    <w:rsid w:val="00C03C01"/>
    <w:rsid w:val="00C1074B"/>
    <w:rsid w:val="00C22914"/>
    <w:rsid w:val="00C22BC2"/>
    <w:rsid w:val="00C23A8F"/>
    <w:rsid w:val="00C2594E"/>
    <w:rsid w:val="00C2657E"/>
    <w:rsid w:val="00C26FBA"/>
    <w:rsid w:val="00C27EE3"/>
    <w:rsid w:val="00C30E23"/>
    <w:rsid w:val="00C30E68"/>
    <w:rsid w:val="00C33207"/>
    <w:rsid w:val="00C33480"/>
    <w:rsid w:val="00C3568F"/>
    <w:rsid w:val="00C37BFD"/>
    <w:rsid w:val="00C37E03"/>
    <w:rsid w:val="00C42F0C"/>
    <w:rsid w:val="00C44CB9"/>
    <w:rsid w:val="00C452B2"/>
    <w:rsid w:val="00C453B2"/>
    <w:rsid w:val="00C4598B"/>
    <w:rsid w:val="00C45E55"/>
    <w:rsid w:val="00C514E4"/>
    <w:rsid w:val="00C55DD8"/>
    <w:rsid w:val="00C570A9"/>
    <w:rsid w:val="00C57682"/>
    <w:rsid w:val="00C613E4"/>
    <w:rsid w:val="00C64ADC"/>
    <w:rsid w:val="00C663DE"/>
    <w:rsid w:val="00C66720"/>
    <w:rsid w:val="00C67721"/>
    <w:rsid w:val="00C7111C"/>
    <w:rsid w:val="00C7216D"/>
    <w:rsid w:val="00C74390"/>
    <w:rsid w:val="00C75607"/>
    <w:rsid w:val="00C7686E"/>
    <w:rsid w:val="00C81D24"/>
    <w:rsid w:val="00C85D85"/>
    <w:rsid w:val="00C927BA"/>
    <w:rsid w:val="00C936EB"/>
    <w:rsid w:val="00C95835"/>
    <w:rsid w:val="00CA08E5"/>
    <w:rsid w:val="00CA0ABD"/>
    <w:rsid w:val="00CA300E"/>
    <w:rsid w:val="00CB6C4E"/>
    <w:rsid w:val="00CC6FC1"/>
    <w:rsid w:val="00CD127B"/>
    <w:rsid w:val="00CD142A"/>
    <w:rsid w:val="00CD195F"/>
    <w:rsid w:val="00CD3272"/>
    <w:rsid w:val="00CD646E"/>
    <w:rsid w:val="00CE0606"/>
    <w:rsid w:val="00CE1A77"/>
    <w:rsid w:val="00CE68D3"/>
    <w:rsid w:val="00CE76A1"/>
    <w:rsid w:val="00CE7C54"/>
    <w:rsid w:val="00CE7E99"/>
    <w:rsid w:val="00CF709D"/>
    <w:rsid w:val="00D03387"/>
    <w:rsid w:val="00D0526F"/>
    <w:rsid w:val="00D10B22"/>
    <w:rsid w:val="00D11B40"/>
    <w:rsid w:val="00D133C2"/>
    <w:rsid w:val="00D153AE"/>
    <w:rsid w:val="00D16365"/>
    <w:rsid w:val="00D2491B"/>
    <w:rsid w:val="00D24D90"/>
    <w:rsid w:val="00D26790"/>
    <w:rsid w:val="00D31BAA"/>
    <w:rsid w:val="00D33F17"/>
    <w:rsid w:val="00D36153"/>
    <w:rsid w:val="00D41010"/>
    <w:rsid w:val="00D440E4"/>
    <w:rsid w:val="00D44C13"/>
    <w:rsid w:val="00D604C8"/>
    <w:rsid w:val="00D65937"/>
    <w:rsid w:val="00D67905"/>
    <w:rsid w:val="00D73B79"/>
    <w:rsid w:val="00D7411B"/>
    <w:rsid w:val="00D74AF1"/>
    <w:rsid w:val="00D80426"/>
    <w:rsid w:val="00D82F96"/>
    <w:rsid w:val="00D856C1"/>
    <w:rsid w:val="00D865CA"/>
    <w:rsid w:val="00D87594"/>
    <w:rsid w:val="00D903E8"/>
    <w:rsid w:val="00D9462D"/>
    <w:rsid w:val="00D9655F"/>
    <w:rsid w:val="00D97335"/>
    <w:rsid w:val="00DA02A5"/>
    <w:rsid w:val="00DA0453"/>
    <w:rsid w:val="00DB2CA8"/>
    <w:rsid w:val="00DB5BB6"/>
    <w:rsid w:val="00DB7178"/>
    <w:rsid w:val="00DC08EC"/>
    <w:rsid w:val="00DD1412"/>
    <w:rsid w:val="00DD2EE9"/>
    <w:rsid w:val="00DD5BA3"/>
    <w:rsid w:val="00DD7E20"/>
    <w:rsid w:val="00DE3338"/>
    <w:rsid w:val="00DE6032"/>
    <w:rsid w:val="00DF476B"/>
    <w:rsid w:val="00DF48D0"/>
    <w:rsid w:val="00DF61F1"/>
    <w:rsid w:val="00DF787A"/>
    <w:rsid w:val="00E0149F"/>
    <w:rsid w:val="00E10466"/>
    <w:rsid w:val="00E137AF"/>
    <w:rsid w:val="00E20A2C"/>
    <w:rsid w:val="00E21494"/>
    <w:rsid w:val="00E21899"/>
    <w:rsid w:val="00E22A28"/>
    <w:rsid w:val="00E22B0C"/>
    <w:rsid w:val="00E22DA9"/>
    <w:rsid w:val="00E266D9"/>
    <w:rsid w:val="00E27A6D"/>
    <w:rsid w:val="00E35948"/>
    <w:rsid w:val="00E42B55"/>
    <w:rsid w:val="00E45CE9"/>
    <w:rsid w:val="00E47CA3"/>
    <w:rsid w:val="00E52B7D"/>
    <w:rsid w:val="00E5425D"/>
    <w:rsid w:val="00E5697A"/>
    <w:rsid w:val="00E61152"/>
    <w:rsid w:val="00E63B56"/>
    <w:rsid w:val="00E66DE5"/>
    <w:rsid w:val="00E70124"/>
    <w:rsid w:val="00E72A24"/>
    <w:rsid w:val="00E73023"/>
    <w:rsid w:val="00E768B5"/>
    <w:rsid w:val="00E8120F"/>
    <w:rsid w:val="00E8383C"/>
    <w:rsid w:val="00E9075D"/>
    <w:rsid w:val="00E91410"/>
    <w:rsid w:val="00E9572C"/>
    <w:rsid w:val="00E9677F"/>
    <w:rsid w:val="00E97160"/>
    <w:rsid w:val="00E97705"/>
    <w:rsid w:val="00EA2547"/>
    <w:rsid w:val="00EA599E"/>
    <w:rsid w:val="00EB0C05"/>
    <w:rsid w:val="00EB0E43"/>
    <w:rsid w:val="00EB243F"/>
    <w:rsid w:val="00EB3BF7"/>
    <w:rsid w:val="00EB4281"/>
    <w:rsid w:val="00EB67D6"/>
    <w:rsid w:val="00EB67F2"/>
    <w:rsid w:val="00EB695F"/>
    <w:rsid w:val="00EC0642"/>
    <w:rsid w:val="00EC28B4"/>
    <w:rsid w:val="00EC5672"/>
    <w:rsid w:val="00EC774A"/>
    <w:rsid w:val="00ED1BCF"/>
    <w:rsid w:val="00ED7CE1"/>
    <w:rsid w:val="00EE0F51"/>
    <w:rsid w:val="00EE550B"/>
    <w:rsid w:val="00EE5BBB"/>
    <w:rsid w:val="00EE79FD"/>
    <w:rsid w:val="00EE7BEE"/>
    <w:rsid w:val="00EF1D46"/>
    <w:rsid w:val="00EF1FC9"/>
    <w:rsid w:val="00EF57AC"/>
    <w:rsid w:val="00EF622A"/>
    <w:rsid w:val="00EF62DE"/>
    <w:rsid w:val="00EF6E63"/>
    <w:rsid w:val="00F10A59"/>
    <w:rsid w:val="00F17A07"/>
    <w:rsid w:val="00F207A0"/>
    <w:rsid w:val="00F32B06"/>
    <w:rsid w:val="00F36012"/>
    <w:rsid w:val="00F3606F"/>
    <w:rsid w:val="00F4245D"/>
    <w:rsid w:val="00F45C38"/>
    <w:rsid w:val="00F50A3F"/>
    <w:rsid w:val="00F52E20"/>
    <w:rsid w:val="00F6249B"/>
    <w:rsid w:val="00F654FF"/>
    <w:rsid w:val="00F675E5"/>
    <w:rsid w:val="00F677D7"/>
    <w:rsid w:val="00F67C96"/>
    <w:rsid w:val="00F71772"/>
    <w:rsid w:val="00F71857"/>
    <w:rsid w:val="00F83411"/>
    <w:rsid w:val="00F83FF9"/>
    <w:rsid w:val="00F84F8D"/>
    <w:rsid w:val="00F85F2B"/>
    <w:rsid w:val="00F860D6"/>
    <w:rsid w:val="00F97024"/>
    <w:rsid w:val="00FA2F1F"/>
    <w:rsid w:val="00FA4789"/>
    <w:rsid w:val="00FA7543"/>
    <w:rsid w:val="00FB20AE"/>
    <w:rsid w:val="00FB32CE"/>
    <w:rsid w:val="00FB7DA0"/>
    <w:rsid w:val="00FC0C44"/>
    <w:rsid w:val="00FC4138"/>
    <w:rsid w:val="00FC5488"/>
    <w:rsid w:val="00FC6335"/>
    <w:rsid w:val="00FC70E6"/>
    <w:rsid w:val="00FD115D"/>
    <w:rsid w:val="00FE1C4C"/>
    <w:rsid w:val="00FE5ABB"/>
    <w:rsid w:val="00FF0010"/>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5C8FF"/>
  <w15:docId w15:val="{4A3D2F53-6F3E-4692-8804-F738EEB75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695"/>
  </w:style>
  <w:style w:type="paragraph" w:styleId="Heading1">
    <w:name w:val="heading 1"/>
    <w:basedOn w:val="Normal"/>
    <w:next w:val="Normal"/>
    <w:link w:val="Heading1Char"/>
    <w:uiPriority w:val="9"/>
    <w:qFormat/>
    <w:rsid w:val="000473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61CD4"/>
    <w:pPr>
      <w:keepNext/>
      <w:keepLines/>
      <w:numPr>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754A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Heading">
    <w:name w:val="My Heading"/>
    <w:basedOn w:val="Normal"/>
    <w:link w:val="MyHeadingChar"/>
    <w:qFormat/>
    <w:rsid w:val="00C3568F"/>
    <w:pPr>
      <w:widowControl w:val="0"/>
      <w:overflowPunct w:val="0"/>
      <w:adjustRightInd w:val="0"/>
      <w:spacing w:after="0" w:line="240" w:lineRule="auto"/>
      <w:jc w:val="center"/>
    </w:pPr>
    <w:rPr>
      <w:rFonts w:ascii="Myriad Pro" w:eastAsiaTheme="minorEastAsia" w:hAnsi="Myriad Pro"/>
      <w:b/>
      <w:bCs/>
      <w:kern w:val="28"/>
      <w:sz w:val="32"/>
      <w:szCs w:val="32"/>
    </w:rPr>
  </w:style>
  <w:style w:type="character" w:customStyle="1" w:styleId="MyHeadingChar">
    <w:name w:val="My Heading Char"/>
    <w:basedOn w:val="DefaultParagraphFont"/>
    <w:link w:val="MyHeading"/>
    <w:rsid w:val="00C3568F"/>
    <w:rPr>
      <w:rFonts w:ascii="Myriad Pro" w:eastAsiaTheme="minorEastAsia" w:hAnsi="Myriad Pro"/>
      <w:b/>
      <w:bCs/>
      <w:kern w:val="28"/>
      <w:sz w:val="32"/>
      <w:szCs w:val="32"/>
      <w:lang w:val="fr-FR"/>
    </w:rPr>
  </w:style>
  <w:style w:type="character" w:customStyle="1" w:styleId="Heading2Char">
    <w:name w:val="Heading 2 Char"/>
    <w:basedOn w:val="DefaultParagraphFont"/>
    <w:link w:val="Heading2"/>
    <w:uiPriority w:val="9"/>
    <w:rsid w:val="00561CD4"/>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444FE7"/>
  </w:style>
  <w:style w:type="paragraph" w:styleId="NormalWeb">
    <w:name w:val="Normal (Web)"/>
    <w:basedOn w:val="Normal"/>
    <w:uiPriority w:val="99"/>
    <w:semiHidden/>
    <w:unhideWhenUsed/>
    <w:rsid w:val="00444FE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44FE7"/>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444F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rsid w:val="00444FE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F2B14"/>
    <w:rPr>
      <w:sz w:val="16"/>
      <w:szCs w:val="16"/>
    </w:rPr>
  </w:style>
  <w:style w:type="paragraph" w:styleId="CommentText">
    <w:name w:val="annotation text"/>
    <w:basedOn w:val="Normal"/>
    <w:link w:val="CommentTextChar"/>
    <w:uiPriority w:val="99"/>
    <w:unhideWhenUsed/>
    <w:rsid w:val="008F2B14"/>
    <w:pPr>
      <w:spacing w:line="240" w:lineRule="auto"/>
    </w:pPr>
    <w:rPr>
      <w:sz w:val="20"/>
      <w:szCs w:val="20"/>
    </w:rPr>
  </w:style>
  <w:style w:type="character" w:customStyle="1" w:styleId="CommentTextChar">
    <w:name w:val="Comment Text Char"/>
    <w:basedOn w:val="DefaultParagraphFont"/>
    <w:link w:val="CommentText"/>
    <w:uiPriority w:val="99"/>
    <w:rsid w:val="008F2B14"/>
    <w:rPr>
      <w:sz w:val="20"/>
      <w:szCs w:val="20"/>
    </w:rPr>
  </w:style>
  <w:style w:type="paragraph" w:styleId="CommentSubject">
    <w:name w:val="annotation subject"/>
    <w:basedOn w:val="CommentText"/>
    <w:next w:val="CommentText"/>
    <w:link w:val="CommentSubjectChar"/>
    <w:uiPriority w:val="99"/>
    <w:semiHidden/>
    <w:unhideWhenUsed/>
    <w:rsid w:val="008F2B14"/>
    <w:rPr>
      <w:b/>
      <w:bCs/>
    </w:rPr>
  </w:style>
  <w:style w:type="character" w:customStyle="1" w:styleId="CommentSubjectChar">
    <w:name w:val="Comment Subject Char"/>
    <w:basedOn w:val="CommentTextChar"/>
    <w:link w:val="CommentSubject"/>
    <w:uiPriority w:val="99"/>
    <w:semiHidden/>
    <w:rsid w:val="008F2B14"/>
    <w:rPr>
      <w:b/>
      <w:bCs/>
      <w:sz w:val="20"/>
      <w:szCs w:val="20"/>
    </w:rPr>
  </w:style>
  <w:style w:type="paragraph" w:styleId="BalloonText">
    <w:name w:val="Balloon Text"/>
    <w:basedOn w:val="Normal"/>
    <w:link w:val="BalloonTextChar"/>
    <w:uiPriority w:val="99"/>
    <w:semiHidden/>
    <w:unhideWhenUsed/>
    <w:rsid w:val="008F2B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B14"/>
    <w:rPr>
      <w:rFonts w:ascii="Segoe UI" w:hAnsi="Segoe UI" w:cs="Segoe UI"/>
      <w:sz w:val="18"/>
      <w:szCs w:val="18"/>
    </w:rPr>
  </w:style>
  <w:style w:type="table" w:styleId="TableGrid">
    <w:name w:val="Table Grid"/>
    <w:basedOn w:val="TableNormal"/>
    <w:uiPriority w:val="59"/>
    <w:rsid w:val="00761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30E23"/>
    <w:pPr>
      <w:spacing w:after="0" w:line="240" w:lineRule="auto"/>
    </w:pPr>
  </w:style>
  <w:style w:type="character" w:customStyle="1" w:styleId="Heading1Char">
    <w:name w:val="Heading 1 Char"/>
    <w:basedOn w:val="DefaultParagraphFont"/>
    <w:link w:val="Heading1"/>
    <w:uiPriority w:val="9"/>
    <w:rsid w:val="000473D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6754A0"/>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5B72A7"/>
    <w:pPr>
      <w:outlineLvl w:val="9"/>
    </w:pPr>
  </w:style>
  <w:style w:type="paragraph" w:styleId="TOC1">
    <w:name w:val="toc 1"/>
    <w:basedOn w:val="Normal"/>
    <w:next w:val="Normal"/>
    <w:autoRedefine/>
    <w:uiPriority w:val="39"/>
    <w:unhideWhenUsed/>
    <w:rsid w:val="005B72A7"/>
    <w:pPr>
      <w:spacing w:after="100"/>
    </w:pPr>
  </w:style>
  <w:style w:type="character" w:styleId="FootnoteReference">
    <w:name w:val="footnote reference"/>
    <w:basedOn w:val="DefaultParagraphFont"/>
    <w:uiPriority w:val="99"/>
    <w:unhideWhenUsed/>
    <w:rsid w:val="00B536E5"/>
    <w:rPr>
      <w:vertAlign w:val="superscript"/>
    </w:rPr>
  </w:style>
  <w:style w:type="character" w:customStyle="1" w:styleId="ms-rtethemeforecolor-2-01">
    <w:name w:val="ms-rtethemeforecolor-2-01"/>
    <w:rsid w:val="006A2D8F"/>
    <w:rPr>
      <w:color w:val="000000"/>
    </w:rPr>
  </w:style>
  <w:style w:type="paragraph" w:styleId="TOC2">
    <w:name w:val="toc 2"/>
    <w:basedOn w:val="Normal"/>
    <w:next w:val="Normal"/>
    <w:autoRedefine/>
    <w:uiPriority w:val="39"/>
    <w:unhideWhenUsed/>
    <w:rsid w:val="00607FA0"/>
    <w:pPr>
      <w:spacing w:after="100"/>
      <w:ind w:left="220"/>
    </w:pPr>
  </w:style>
  <w:style w:type="paragraph" w:styleId="TOC3">
    <w:name w:val="toc 3"/>
    <w:basedOn w:val="Normal"/>
    <w:next w:val="Normal"/>
    <w:autoRedefine/>
    <w:uiPriority w:val="39"/>
    <w:unhideWhenUsed/>
    <w:rsid w:val="00607FA0"/>
    <w:pPr>
      <w:spacing w:after="100"/>
      <w:ind w:left="440"/>
    </w:pPr>
    <w:rPr>
      <w:rFonts w:eastAsiaTheme="minorEastAsia"/>
      <w:lang w:eastAsia="ja-JP"/>
    </w:rPr>
  </w:style>
  <w:style w:type="paragraph" w:styleId="TOC4">
    <w:name w:val="toc 4"/>
    <w:basedOn w:val="Normal"/>
    <w:next w:val="Normal"/>
    <w:autoRedefine/>
    <w:uiPriority w:val="39"/>
    <w:unhideWhenUsed/>
    <w:rsid w:val="00607FA0"/>
    <w:pPr>
      <w:spacing w:after="100"/>
      <w:ind w:left="660"/>
    </w:pPr>
    <w:rPr>
      <w:rFonts w:eastAsiaTheme="minorEastAsia"/>
      <w:lang w:eastAsia="ja-JP"/>
    </w:rPr>
  </w:style>
  <w:style w:type="paragraph" w:styleId="TOC5">
    <w:name w:val="toc 5"/>
    <w:basedOn w:val="Normal"/>
    <w:next w:val="Normal"/>
    <w:autoRedefine/>
    <w:uiPriority w:val="39"/>
    <w:unhideWhenUsed/>
    <w:rsid w:val="00607FA0"/>
    <w:pPr>
      <w:spacing w:after="100"/>
      <w:ind w:left="880"/>
    </w:pPr>
    <w:rPr>
      <w:rFonts w:eastAsiaTheme="minorEastAsia"/>
      <w:lang w:eastAsia="ja-JP"/>
    </w:rPr>
  </w:style>
  <w:style w:type="paragraph" w:styleId="TOC6">
    <w:name w:val="toc 6"/>
    <w:basedOn w:val="Normal"/>
    <w:next w:val="Normal"/>
    <w:autoRedefine/>
    <w:uiPriority w:val="39"/>
    <w:unhideWhenUsed/>
    <w:rsid w:val="00607FA0"/>
    <w:pPr>
      <w:spacing w:after="100"/>
      <w:ind w:left="1100"/>
    </w:pPr>
    <w:rPr>
      <w:rFonts w:eastAsiaTheme="minorEastAsia"/>
      <w:lang w:eastAsia="ja-JP"/>
    </w:rPr>
  </w:style>
  <w:style w:type="paragraph" w:styleId="TOC7">
    <w:name w:val="toc 7"/>
    <w:basedOn w:val="Normal"/>
    <w:next w:val="Normal"/>
    <w:autoRedefine/>
    <w:uiPriority w:val="39"/>
    <w:unhideWhenUsed/>
    <w:rsid w:val="00607FA0"/>
    <w:pPr>
      <w:spacing w:after="100"/>
      <w:ind w:left="1320"/>
    </w:pPr>
    <w:rPr>
      <w:rFonts w:eastAsiaTheme="minorEastAsia"/>
      <w:lang w:eastAsia="ja-JP"/>
    </w:rPr>
  </w:style>
  <w:style w:type="paragraph" w:styleId="TOC8">
    <w:name w:val="toc 8"/>
    <w:basedOn w:val="Normal"/>
    <w:next w:val="Normal"/>
    <w:autoRedefine/>
    <w:uiPriority w:val="39"/>
    <w:unhideWhenUsed/>
    <w:rsid w:val="00607FA0"/>
    <w:pPr>
      <w:spacing w:after="100"/>
      <w:ind w:left="1540"/>
    </w:pPr>
    <w:rPr>
      <w:rFonts w:eastAsiaTheme="minorEastAsia"/>
      <w:lang w:eastAsia="ja-JP"/>
    </w:rPr>
  </w:style>
  <w:style w:type="paragraph" w:styleId="TOC9">
    <w:name w:val="toc 9"/>
    <w:basedOn w:val="Normal"/>
    <w:next w:val="Normal"/>
    <w:autoRedefine/>
    <w:uiPriority w:val="39"/>
    <w:unhideWhenUsed/>
    <w:rsid w:val="00607FA0"/>
    <w:pPr>
      <w:spacing w:after="100"/>
      <w:ind w:left="1760"/>
    </w:pPr>
    <w:rPr>
      <w:rFonts w:eastAsiaTheme="minorEastAsia"/>
      <w:lang w:eastAsia="ja-JP"/>
    </w:rPr>
  </w:style>
  <w:style w:type="paragraph" w:styleId="NoSpacing">
    <w:name w:val="No Spacing"/>
    <w:uiPriority w:val="1"/>
    <w:qFormat/>
    <w:rsid w:val="00361249"/>
    <w:pPr>
      <w:spacing w:after="0" w:line="240" w:lineRule="auto"/>
    </w:pPr>
  </w:style>
  <w:style w:type="paragraph" w:customStyle="1" w:styleId="Calibri11">
    <w:name w:val="Calibri 11"/>
    <w:basedOn w:val="Heading1"/>
    <w:link w:val="Calibri11Char"/>
    <w:qFormat/>
    <w:rsid w:val="00756CDA"/>
    <w:pPr>
      <w:numPr>
        <w:numId w:val="2"/>
      </w:numPr>
    </w:pPr>
    <w:rPr>
      <w:rFonts w:ascii="Calibri" w:hAnsi="Calibri"/>
      <w:b/>
      <w:color w:val="auto"/>
      <w:sz w:val="22"/>
    </w:rPr>
  </w:style>
  <w:style w:type="paragraph" w:customStyle="1" w:styleId="Calibri11Sub">
    <w:name w:val="Calibri 11 Sub"/>
    <w:basedOn w:val="Heading2"/>
    <w:link w:val="Calibri11SubChar"/>
    <w:qFormat/>
    <w:rsid w:val="00756CDA"/>
    <w:pPr>
      <w:numPr>
        <w:ilvl w:val="1"/>
        <w:numId w:val="2"/>
      </w:numPr>
      <w:tabs>
        <w:tab w:val="left" w:pos="900"/>
      </w:tabs>
    </w:pPr>
    <w:rPr>
      <w:rFonts w:asciiTheme="minorHAnsi" w:eastAsia="Times New Roman" w:hAnsiTheme="minorHAnsi"/>
      <w:b/>
      <w:color w:val="auto"/>
      <w:sz w:val="22"/>
    </w:rPr>
  </w:style>
  <w:style w:type="character" w:customStyle="1" w:styleId="Calibri11Char">
    <w:name w:val="Calibri 11 Char"/>
    <w:basedOn w:val="Heading1Char"/>
    <w:link w:val="Calibri11"/>
    <w:rsid w:val="00756CDA"/>
    <w:rPr>
      <w:rFonts w:ascii="Calibri" w:eastAsiaTheme="majorEastAsia" w:hAnsi="Calibri" w:cstheme="majorBidi"/>
      <w:b/>
      <w:color w:val="2E74B5" w:themeColor="accent1" w:themeShade="BF"/>
      <w:sz w:val="32"/>
      <w:szCs w:val="32"/>
    </w:rPr>
  </w:style>
  <w:style w:type="paragraph" w:customStyle="1" w:styleId="Calibri11SubSubSub">
    <w:name w:val="Calibri 11 Sub Sub Sub"/>
    <w:basedOn w:val="Heading1"/>
    <w:link w:val="Calibri11SubSubSubChar"/>
    <w:qFormat/>
    <w:rsid w:val="00756CDA"/>
    <w:pPr>
      <w:numPr>
        <w:ilvl w:val="2"/>
        <w:numId w:val="2"/>
      </w:numPr>
      <w:tabs>
        <w:tab w:val="left" w:pos="900"/>
      </w:tabs>
    </w:pPr>
    <w:rPr>
      <w:rFonts w:ascii="Calibri" w:eastAsia="Times New Roman" w:hAnsi="Calibri"/>
      <w:b/>
      <w:color w:val="auto"/>
      <w:sz w:val="22"/>
    </w:rPr>
  </w:style>
  <w:style w:type="character" w:customStyle="1" w:styleId="Calibri11SubChar">
    <w:name w:val="Calibri 11 Sub Char"/>
    <w:basedOn w:val="Heading2Char"/>
    <w:link w:val="Calibri11Sub"/>
    <w:rsid w:val="00756CDA"/>
    <w:rPr>
      <w:rFonts w:asciiTheme="majorHAnsi" w:eastAsia="Times New Roman" w:hAnsiTheme="majorHAnsi" w:cstheme="majorBidi"/>
      <w:b/>
      <w:color w:val="2E74B5" w:themeColor="accent1" w:themeShade="BF"/>
      <w:sz w:val="26"/>
      <w:szCs w:val="26"/>
      <w:lang w:val="fr-FR"/>
    </w:rPr>
  </w:style>
  <w:style w:type="paragraph" w:customStyle="1" w:styleId="Calibri11a">
    <w:name w:val="Calibri 11 a"/>
    <w:basedOn w:val="Heading3"/>
    <w:link w:val="Calibri11aChar"/>
    <w:qFormat/>
    <w:rsid w:val="008B2615"/>
    <w:pPr>
      <w:numPr>
        <w:ilvl w:val="1"/>
        <w:numId w:val="4"/>
      </w:numPr>
      <w:tabs>
        <w:tab w:val="left" w:pos="900"/>
      </w:tabs>
    </w:pPr>
    <w:rPr>
      <w:rFonts w:ascii="Calibri" w:eastAsia="Times New Roman" w:hAnsi="Calibri"/>
      <w:b/>
      <w:color w:val="auto"/>
      <w:sz w:val="22"/>
    </w:rPr>
  </w:style>
  <w:style w:type="character" w:customStyle="1" w:styleId="Calibri11SubSubSubChar">
    <w:name w:val="Calibri 11 Sub Sub Sub Char"/>
    <w:basedOn w:val="Heading1Char"/>
    <w:link w:val="Calibri11SubSubSub"/>
    <w:rsid w:val="00756CDA"/>
    <w:rPr>
      <w:rFonts w:ascii="Calibri" w:eastAsia="Times New Roman" w:hAnsi="Calibri" w:cstheme="majorBidi"/>
      <w:b/>
      <w:color w:val="2E74B5" w:themeColor="accent1" w:themeShade="BF"/>
      <w:sz w:val="32"/>
      <w:szCs w:val="32"/>
      <w:lang w:val="fr-FR"/>
    </w:rPr>
  </w:style>
  <w:style w:type="character" w:customStyle="1" w:styleId="Calibri11aChar">
    <w:name w:val="Calibri 11 a Char"/>
    <w:basedOn w:val="Heading3Char"/>
    <w:link w:val="Calibri11a"/>
    <w:rsid w:val="008B2615"/>
    <w:rPr>
      <w:rFonts w:ascii="Calibri" w:eastAsia="Times New Roman" w:hAnsi="Calibri" w:cstheme="majorBidi"/>
      <w:b/>
      <w:color w:val="1F4D78" w:themeColor="accent1" w:themeShade="7F"/>
      <w:sz w:val="24"/>
      <w:szCs w:val="24"/>
      <w:lang w:val="fr-FR"/>
    </w:rPr>
  </w:style>
  <w:style w:type="paragraph" w:styleId="Header">
    <w:name w:val="header"/>
    <w:basedOn w:val="Normal"/>
    <w:link w:val="HeaderChar"/>
    <w:uiPriority w:val="99"/>
    <w:unhideWhenUsed/>
    <w:rsid w:val="00F860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60D6"/>
  </w:style>
  <w:style w:type="paragraph" w:styleId="Footer">
    <w:name w:val="footer"/>
    <w:basedOn w:val="Normal"/>
    <w:link w:val="FooterChar"/>
    <w:uiPriority w:val="99"/>
    <w:unhideWhenUsed/>
    <w:rsid w:val="00F860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60D6"/>
  </w:style>
  <w:style w:type="character" w:styleId="FollowedHyperlink">
    <w:name w:val="FollowedHyperlink"/>
    <w:basedOn w:val="DefaultParagraphFont"/>
    <w:uiPriority w:val="99"/>
    <w:semiHidden/>
    <w:unhideWhenUsed/>
    <w:rsid w:val="003C5FB6"/>
    <w:rPr>
      <w:color w:val="954F72" w:themeColor="followedHyperlink"/>
      <w:u w:val="single"/>
    </w:rPr>
  </w:style>
  <w:style w:type="character" w:styleId="PlaceholderText">
    <w:name w:val="Placeholder Text"/>
    <w:basedOn w:val="DefaultParagraphFont"/>
    <w:uiPriority w:val="99"/>
    <w:semiHidden/>
    <w:rsid w:val="00FC70E6"/>
    <w:rPr>
      <w:color w:val="808080"/>
    </w:rPr>
  </w:style>
  <w:style w:type="paragraph" w:styleId="EndnoteText">
    <w:name w:val="endnote text"/>
    <w:basedOn w:val="Normal"/>
    <w:link w:val="EndnoteTextChar"/>
    <w:uiPriority w:val="99"/>
    <w:unhideWhenUsed/>
    <w:rsid w:val="00E97160"/>
    <w:pPr>
      <w:spacing w:after="0" w:line="240" w:lineRule="auto"/>
    </w:pPr>
    <w:rPr>
      <w:sz w:val="20"/>
      <w:szCs w:val="20"/>
    </w:rPr>
  </w:style>
  <w:style w:type="character" w:customStyle="1" w:styleId="EndnoteTextChar">
    <w:name w:val="Endnote Text Char"/>
    <w:basedOn w:val="DefaultParagraphFont"/>
    <w:link w:val="EndnoteText"/>
    <w:uiPriority w:val="99"/>
    <w:rsid w:val="00E97160"/>
    <w:rPr>
      <w:sz w:val="20"/>
      <w:szCs w:val="20"/>
    </w:rPr>
  </w:style>
  <w:style w:type="character" w:styleId="EndnoteReference">
    <w:name w:val="endnote reference"/>
    <w:basedOn w:val="DefaultParagraphFont"/>
    <w:uiPriority w:val="99"/>
    <w:semiHidden/>
    <w:unhideWhenUsed/>
    <w:rsid w:val="00E97160"/>
    <w:rPr>
      <w:vertAlign w:val="superscript"/>
    </w:rPr>
  </w:style>
  <w:style w:type="paragraph" w:styleId="PlainText">
    <w:name w:val="Plain Text"/>
    <w:basedOn w:val="Normal"/>
    <w:link w:val="PlainTextChar"/>
    <w:uiPriority w:val="99"/>
    <w:unhideWhenUsed/>
    <w:rsid w:val="00027E5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27E5F"/>
    <w:rPr>
      <w:rFonts w:ascii="Calibri" w:hAnsi="Calibri"/>
      <w:szCs w:val="21"/>
    </w:rPr>
  </w:style>
  <w:style w:type="character" w:styleId="UnresolvedMention">
    <w:name w:val="Unresolved Mention"/>
    <w:basedOn w:val="DefaultParagraphFont"/>
    <w:uiPriority w:val="99"/>
    <w:semiHidden/>
    <w:unhideWhenUsed/>
    <w:rsid w:val="00FC5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00103">
      <w:bodyDiv w:val="1"/>
      <w:marLeft w:val="0"/>
      <w:marRight w:val="0"/>
      <w:marTop w:val="0"/>
      <w:marBottom w:val="0"/>
      <w:divBdr>
        <w:top w:val="none" w:sz="0" w:space="0" w:color="auto"/>
        <w:left w:val="none" w:sz="0" w:space="0" w:color="auto"/>
        <w:bottom w:val="none" w:sz="0" w:space="0" w:color="auto"/>
        <w:right w:val="none" w:sz="0" w:space="0" w:color="auto"/>
      </w:divBdr>
      <w:divsChild>
        <w:div w:id="869151618">
          <w:marLeft w:val="0"/>
          <w:marRight w:val="0"/>
          <w:marTop w:val="0"/>
          <w:marBottom w:val="0"/>
          <w:divBdr>
            <w:top w:val="none" w:sz="0" w:space="0" w:color="auto"/>
            <w:left w:val="none" w:sz="0" w:space="0" w:color="auto"/>
            <w:bottom w:val="none" w:sz="0" w:space="0" w:color="auto"/>
            <w:right w:val="none" w:sz="0" w:space="0" w:color="auto"/>
          </w:divBdr>
          <w:divsChild>
            <w:div w:id="2045786267">
              <w:marLeft w:val="0"/>
              <w:marRight w:val="0"/>
              <w:marTop w:val="0"/>
              <w:marBottom w:val="0"/>
              <w:divBdr>
                <w:top w:val="none" w:sz="0" w:space="0" w:color="auto"/>
                <w:left w:val="none" w:sz="0" w:space="0" w:color="auto"/>
                <w:bottom w:val="none" w:sz="0" w:space="0" w:color="auto"/>
                <w:right w:val="none" w:sz="0" w:space="0" w:color="auto"/>
              </w:divBdr>
              <w:divsChild>
                <w:div w:id="1687560958">
                  <w:marLeft w:val="0"/>
                  <w:marRight w:val="0"/>
                  <w:marTop w:val="0"/>
                  <w:marBottom w:val="300"/>
                  <w:divBdr>
                    <w:top w:val="none" w:sz="0" w:space="0" w:color="auto"/>
                    <w:left w:val="none" w:sz="0" w:space="0" w:color="auto"/>
                    <w:bottom w:val="none" w:sz="0" w:space="0" w:color="auto"/>
                    <w:right w:val="none" w:sz="0" w:space="0" w:color="auto"/>
                  </w:divBdr>
                  <w:divsChild>
                    <w:div w:id="1410155397">
                      <w:marLeft w:val="2325"/>
                      <w:marRight w:val="0"/>
                      <w:marTop w:val="0"/>
                      <w:marBottom w:val="0"/>
                      <w:divBdr>
                        <w:top w:val="none" w:sz="0" w:space="0" w:color="auto"/>
                        <w:left w:val="none" w:sz="0" w:space="0" w:color="auto"/>
                        <w:bottom w:val="none" w:sz="0" w:space="0" w:color="auto"/>
                        <w:right w:val="none" w:sz="0" w:space="0" w:color="auto"/>
                      </w:divBdr>
                      <w:divsChild>
                        <w:div w:id="2032026898">
                          <w:marLeft w:val="0"/>
                          <w:marRight w:val="0"/>
                          <w:marTop w:val="0"/>
                          <w:marBottom w:val="0"/>
                          <w:divBdr>
                            <w:top w:val="none" w:sz="0" w:space="0" w:color="auto"/>
                            <w:left w:val="none" w:sz="0" w:space="0" w:color="auto"/>
                            <w:bottom w:val="none" w:sz="0" w:space="0" w:color="auto"/>
                            <w:right w:val="none" w:sz="0" w:space="0" w:color="auto"/>
                          </w:divBdr>
                          <w:divsChild>
                            <w:div w:id="1172453016">
                              <w:marLeft w:val="0"/>
                              <w:marRight w:val="0"/>
                              <w:marTop w:val="0"/>
                              <w:marBottom w:val="0"/>
                              <w:divBdr>
                                <w:top w:val="none" w:sz="0" w:space="0" w:color="auto"/>
                                <w:left w:val="none" w:sz="0" w:space="0" w:color="auto"/>
                                <w:bottom w:val="none" w:sz="0" w:space="0" w:color="auto"/>
                                <w:right w:val="none" w:sz="0" w:space="0" w:color="auto"/>
                              </w:divBdr>
                              <w:divsChild>
                                <w:div w:id="1876772807">
                                  <w:marLeft w:val="0"/>
                                  <w:marRight w:val="0"/>
                                  <w:marTop w:val="0"/>
                                  <w:marBottom w:val="0"/>
                                  <w:divBdr>
                                    <w:top w:val="none" w:sz="0" w:space="0" w:color="auto"/>
                                    <w:left w:val="none" w:sz="0" w:space="0" w:color="auto"/>
                                    <w:bottom w:val="none" w:sz="0" w:space="0" w:color="auto"/>
                                    <w:right w:val="none" w:sz="0" w:space="0" w:color="auto"/>
                                  </w:divBdr>
                                  <w:divsChild>
                                    <w:div w:id="828256235">
                                      <w:marLeft w:val="0"/>
                                      <w:marRight w:val="0"/>
                                      <w:marTop w:val="0"/>
                                      <w:marBottom w:val="0"/>
                                      <w:divBdr>
                                        <w:top w:val="none" w:sz="0" w:space="0" w:color="auto"/>
                                        <w:left w:val="none" w:sz="0" w:space="0" w:color="auto"/>
                                        <w:bottom w:val="none" w:sz="0" w:space="0" w:color="auto"/>
                                        <w:right w:val="none" w:sz="0" w:space="0" w:color="auto"/>
                                      </w:divBdr>
                                      <w:divsChild>
                                        <w:div w:id="326371106">
                                          <w:marLeft w:val="0"/>
                                          <w:marRight w:val="-3525"/>
                                          <w:marTop w:val="0"/>
                                          <w:marBottom w:val="0"/>
                                          <w:divBdr>
                                            <w:top w:val="none" w:sz="0" w:space="0" w:color="auto"/>
                                            <w:left w:val="none" w:sz="0" w:space="0" w:color="auto"/>
                                            <w:bottom w:val="none" w:sz="0" w:space="0" w:color="auto"/>
                                            <w:right w:val="none" w:sz="0" w:space="0" w:color="auto"/>
                                          </w:divBdr>
                                          <w:divsChild>
                                            <w:div w:id="472602464">
                                              <w:marLeft w:val="0"/>
                                              <w:marRight w:val="3225"/>
                                              <w:marTop w:val="0"/>
                                              <w:marBottom w:val="0"/>
                                              <w:divBdr>
                                                <w:top w:val="none" w:sz="0" w:space="0" w:color="auto"/>
                                                <w:left w:val="none" w:sz="0" w:space="0" w:color="auto"/>
                                                <w:bottom w:val="none" w:sz="0" w:space="0" w:color="auto"/>
                                                <w:right w:val="none" w:sz="0" w:space="0" w:color="auto"/>
                                              </w:divBdr>
                                              <w:divsChild>
                                                <w:div w:id="2094354562">
                                                  <w:marLeft w:val="15"/>
                                                  <w:marRight w:val="15"/>
                                                  <w:marTop w:val="15"/>
                                                  <w:marBottom w:val="15"/>
                                                  <w:divBdr>
                                                    <w:top w:val="none" w:sz="0" w:space="0" w:color="auto"/>
                                                    <w:left w:val="none" w:sz="0" w:space="0" w:color="auto"/>
                                                    <w:bottom w:val="none" w:sz="0" w:space="0" w:color="auto"/>
                                                    <w:right w:val="none" w:sz="0" w:space="0" w:color="auto"/>
                                                  </w:divBdr>
                                                  <w:divsChild>
                                                    <w:div w:id="1180387533">
                                                      <w:marLeft w:val="0"/>
                                                      <w:marRight w:val="0"/>
                                                      <w:marTop w:val="0"/>
                                                      <w:marBottom w:val="0"/>
                                                      <w:divBdr>
                                                        <w:top w:val="none" w:sz="0" w:space="0" w:color="auto"/>
                                                        <w:left w:val="none" w:sz="0" w:space="0" w:color="auto"/>
                                                        <w:bottom w:val="none" w:sz="0" w:space="0" w:color="auto"/>
                                                        <w:right w:val="none" w:sz="0" w:space="0" w:color="auto"/>
                                                      </w:divBdr>
                                                      <w:divsChild>
                                                        <w:div w:id="4477299">
                                                          <w:marLeft w:val="0"/>
                                                          <w:marRight w:val="0"/>
                                                          <w:marTop w:val="0"/>
                                                          <w:marBottom w:val="0"/>
                                                          <w:divBdr>
                                                            <w:top w:val="none" w:sz="0" w:space="0" w:color="auto"/>
                                                            <w:left w:val="none" w:sz="0" w:space="0" w:color="auto"/>
                                                            <w:bottom w:val="none" w:sz="0" w:space="0" w:color="auto"/>
                                                            <w:right w:val="none" w:sz="0" w:space="0" w:color="auto"/>
                                                          </w:divBdr>
                                                          <w:divsChild>
                                                            <w:div w:id="849568321">
                                                              <w:marLeft w:val="0"/>
                                                              <w:marRight w:val="0"/>
                                                              <w:marTop w:val="0"/>
                                                              <w:marBottom w:val="0"/>
                                                              <w:divBdr>
                                                                <w:top w:val="none" w:sz="0" w:space="0" w:color="auto"/>
                                                                <w:left w:val="none" w:sz="0" w:space="0" w:color="auto"/>
                                                                <w:bottom w:val="none" w:sz="0" w:space="0" w:color="auto"/>
                                                                <w:right w:val="none" w:sz="0" w:space="0" w:color="auto"/>
                                                              </w:divBdr>
                                                              <w:divsChild>
                                                                <w:div w:id="201349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35763863">
      <w:bodyDiv w:val="1"/>
      <w:marLeft w:val="0"/>
      <w:marRight w:val="0"/>
      <w:marTop w:val="0"/>
      <w:marBottom w:val="0"/>
      <w:divBdr>
        <w:top w:val="none" w:sz="0" w:space="0" w:color="auto"/>
        <w:left w:val="none" w:sz="0" w:space="0" w:color="auto"/>
        <w:bottom w:val="none" w:sz="0" w:space="0" w:color="auto"/>
        <w:right w:val="none" w:sz="0" w:space="0" w:color="auto"/>
      </w:divBdr>
    </w:div>
    <w:div w:id="402290503">
      <w:bodyDiv w:val="1"/>
      <w:marLeft w:val="0"/>
      <w:marRight w:val="0"/>
      <w:marTop w:val="0"/>
      <w:marBottom w:val="0"/>
      <w:divBdr>
        <w:top w:val="none" w:sz="0" w:space="0" w:color="auto"/>
        <w:left w:val="none" w:sz="0" w:space="0" w:color="auto"/>
        <w:bottom w:val="none" w:sz="0" w:space="0" w:color="auto"/>
        <w:right w:val="none" w:sz="0" w:space="0" w:color="auto"/>
      </w:divBdr>
      <w:divsChild>
        <w:div w:id="1936866890">
          <w:marLeft w:val="0"/>
          <w:marRight w:val="0"/>
          <w:marTop w:val="0"/>
          <w:marBottom w:val="0"/>
          <w:divBdr>
            <w:top w:val="none" w:sz="0" w:space="0" w:color="auto"/>
            <w:left w:val="none" w:sz="0" w:space="0" w:color="auto"/>
            <w:bottom w:val="none" w:sz="0" w:space="0" w:color="auto"/>
            <w:right w:val="none" w:sz="0" w:space="0" w:color="auto"/>
          </w:divBdr>
        </w:div>
        <w:div w:id="713774535">
          <w:marLeft w:val="0"/>
          <w:marRight w:val="0"/>
          <w:marTop w:val="0"/>
          <w:marBottom w:val="0"/>
          <w:divBdr>
            <w:top w:val="none" w:sz="0" w:space="0" w:color="auto"/>
            <w:left w:val="none" w:sz="0" w:space="0" w:color="auto"/>
            <w:bottom w:val="none" w:sz="0" w:space="0" w:color="auto"/>
            <w:right w:val="none" w:sz="0" w:space="0" w:color="auto"/>
          </w:divBdr>
        </w:div>
        <w:div w:id="1278830393">
          <w:marLeft w:val="0"/>
          <w:marRight w:val="0"/>
          <w:marTop w:val="0"/>
          <w:marBottom w:val="0"/>
          <w:divBdr>
            <w:top w:val="none" w:sz="0" w:space="0" w:color="auto"/>
            <w:left w:val="none" w:sz="0" w:space="0" w:color="auto"/>
            <w:bottom w:val="none" w:sz="0" w:space="0" w:color="auto"/>
            <w:right w:val="none" w:sz="0" w:space="0" w:color="auto"/>
          </w:divBdr>
        </w:div>
        <w:div w:id="372970935">
          <w:marLeft w:val="0"/>
          <w:marRight w:val="0"/>
          <w:marTop w:val="0"/>
          <w:marBottom w:val="0"/>
          <w:divBdr>
            <w:top w:val="none" w:sz="0" w:space="0" w:color="auto"/>
            <w:left w:val="none" w:sz="0" w:space="0" w:color="auto"/>
            <w:bottom w:val="none" w:sz="0" w:space="0" w:color="auto"/>
            <w:right w:val="none" w:sz="0" w:space="0" w:color="auto"/>
          </w:divBdr>
        </w:div>
      </w:divsChild>
    </w:div>
    <w:div w:id="568420811">
      <w:bodyDiv w:val="1"/>
      <w:marLeft w:val="0"/>
      <w:marRight w:val="0"/>
      <w:marTop w:val="0"/>
      <w:marBottom w:val="0"/>
      <w:divBdr>
        <w:top w:val="none" w:sz="0" w:space="0" w:color="auto"/>
        <w:left w:val="none" w:sz="0" w:space="0" w:color="auto"/>
        <w:bottom w:val="none" w:sz="0" w:space="0" w:color="auto"/>
        <w:right w:val="none" w:sz="0" w:space="0" w:color="auto"/>
      </w:divBdr>
      <w:divsChild>
        <w:div w:id="1883901030">
          <w:marLeft w:val="0"/>
          <w:marRight w:val="0"/>
          <w:marTop w:val="0"/>
          <w:marBottom w:val="0"/>
          <w:divBdr>
            <w:top w:val="none" w:sz="0" w:space="0" w:color="auto"/>
            <w:left w:val="none" w:sz="0" w:space="0" w:color="auto"/>
            <w:bottom w:val="none" w:sz="0" w:space="0" w:color="auto"/>
            <w:right w:val="none" w:sz="0" w:space="0" w:color="auto"/>
          </w:divBdr>
          <w:divsChild>
            <w:div w:id="2073655978">
              <w:marLeft w:val="0"/>
              <w:marRight w:val="0"/>
              <w:marTop w:val="0"/>
              <w:marBottom w:val="0"/>
              <w:divBdr>
                <w:top w:val="none" w:sz="0" w:space="0" w:color="auto"/>
                <w:left w:val="none" w:sz="0" w:space="0" w:color="auto"/>
                <w:bottom w:val="none" w:sz="0" w:space="0" w:color="auto"/>
                <w:right w:val="none" w:sz="0" w:space="0" w:color="auto"/>
              </w:divBdr>
              <w:divsChild>
                <w:div w:id="1624387047">
                  <w:marLeft w:val="0"/>
                  <w:marRight w:val="0"/>
                  <w:marTop w:val="0"/>
                  <w:marBottom w:val="300"/>
                  <w:divBdr>
                    <w:top w:val="none" w:sz="0" w:space="0" w:color="auto"/>
                    <w:left w:val="none" w:sz="0" w:space="0" w:color="auto"/>
                    <w:bottom w:val="none" w:sz="0" w:space="0" w:color="auto"/>
                    <w:right w:val="none" w:sz="0" w:space="0" w:color="auto"/>
                  </w:divBdr>
                  <w:divsChild>
                    <w:div w:id="93482351">
                      <w:marLeft w:val="2325"/>
                      <w:marRight w:val="0"/>
                      <w:marTop w:val="0"/>
                      <w:marBottom w:val="0"/>
                      <w:divBdr>
                        <w:top w:val="none" w:sz="0" w:space="0" w:color="auto"/>
                        <w:left w:val="none" w:sz="0" w:space="0" w:color="auto"/>
                        <w:bottom w:val="none" w:sz="0" w:space="0" w:color="auto"/>
                        <w:right w:val="none" w:sz="0" w:space="0" w:color="auto"/>
                      </w:divBdr>
                      <w:divsChild>
                        <w:div w:id="1763724440">
                          <w:marLeft w:val="0"/>
                          <w:marRight w:val="0"/>
                          <w:marTop w:val="0"/>
                          <w:marBottom w:val="0"/>
                          <w:divBdr>
                            <w:top w:val="none" w:sz="0" w:space="0" w:color="auto"/>
                            <w:left w:val="none" w:sz="0" w:space="0" w:color="auto"/>
                            <w:bottom w:val="none" w:sz="0" w:space="0" w:color="auto"/>
                            <w:right w:val="none" w:sz="0" w:space="0" w:color="auto"/>
                          </w:divBdr>
                          <w:divsChild>
                            <w:div w:id="2040735039">
                              <w:marLeft w:val="0"/>
                              <w:marRight w:val="0"/>
                              <w:marTop w:val="0"/>
                              <w:marBottom w:val="0"/>
                              <w:divBdr>
                                <w:top w:val="none" w:sz="0" w:space="0" w:color="auto"/>
                                <w:left w:val="none" w:sz="0" w:space="0" w:color="auto"/>
                                <w:bottom w:val="none" w:sz="0" w:space="0" w:color="auto"/>
                                <w:right w:val="none" w:sz="0" w:space="0" w:color="auto"/>
                              </w:divBdr>
                              <w:divsChild>
                                <w:div w:id="1488092802">
                                  <w:marLeft w:val="0"/>
                                  <w:marRight w:val="0"/>
                                  <w:marTop w:val="0"/>
                                  <w:marBottom w:val="0"/>
                                  <w:divBdr>
                                    <w:top w:val="none" w:sz="0" w:space="0" w:color="auto"/>
                                    <w:left w:val="none" w:sz="0" w:space="0" w:color="auto"/>
                                    <w:bottom w:val="none" w:sz="0" w:space="0" w:color="auto"/>
                                    <w:right w:val="none" w:sz="0" w:space="0" w:color="auto"/>
                                  </w:divBdr>
                                  <w:divsChild>
                                    <w:div w:id="2120757644">
                                      <w:marLeft w:val="0"/>
                                      <w:marRight w:val="0"/>
                                      <w:marTop w:val="0"/>
                                      <w:marBottom w:val="0"/>
                                      <w:divBdr>
                                        <w:top w:val="none" w:sz="0" w:space="0" w:color="auto"/>
                                        <w:left w:val="none" w:sz="0" w:space="0" w:color="auto"/>
                                        <w:bottom w:val="none" w:sz="0" w:space="0" w:color="auto"/>
                                        <w:right w:val="none" w:sz="0" w:space="0" w:color="auto"/>
                                      </w:divBdr>
                                      <w:divsChild>
                                        <w:div w:id="1606304969">
                                          <w:marLeft w:val="0"/>
                                          <w:marRight w:val="-3525"/>
                                          <w:marTop w:val="0"/>
                                          <w:marBottom w:val="0"/>
                                          <w:divBdr>
                                            <w:top w:val="none" w:sz="0" w:space="0" w:color="auto"/>
                                            <w:left w:val="none" w:sz="0" w:space="0" w:color="auto"/>
                                            <w:bottom w:val="none" w:sz="0" w:space="0" w:color="auto"/>
                                            <w:right w:val="none" w:sz="0" w:space="0" w:color="auto"/>
                                          </w:divBdr>
                                          <w:divsChild>
                                            <w:div w:id="1411005944">
                                              <w:marLeft w:val="0"/>
                                              <w:marRight w:val="3225"/>
                                              <w:marTop w:val="0"/>
                                              <w:marBottom w:val="0"/>
                                              <w:divBdr>
                                                <w:top w:val="none" w:sz="0" w:space="0" w:color="auto"/>
                                                <w:left w:val="none" w:sz="0" w:space="0" w:color="auto"/>
                                                <w:bottom w:val="none" w:sz="0" w:space="0" w:color="auto"/>
                                                <w:right w:val="none" w:sz="0" w:space="0" w:color="auto"/>
                                              </w:divBdr>
                                              <w:divsChild>
                                                <w:div w:id="1497915480">
                                                  <w:marLeft w:val="0"/>
                                                  <w:marRight w:val="0"/>
                                                  <w:marTop w:val="0"/>
                                                  <w:marBottom w:val="150"/>
                                                  <w:divBdr>
                                                    <w:top w:val="none" w:sz="0" w:space="0" w:color="auto"/>
                                                    <w:left w:val="none" w:sz="0" w:space="0" w:color="auto"/>
                                                    <w:bottom w:val="none" w:sz="0" w:space="0" w:color="auto"/>
                                                    <w:right w:val="none" w:sz="0" w:space="0" w:color="auto"/>
                                                  </w:divBdr>
                                                </w:div>
                                                <w:div w:id="129903886">
                                                  <w:marLeft w:val="0"/>
                                                  <w:marRight w:val="0"/>
                                                  <w:marTop w:val="0"/>
                                                  <w:marBottom w:val="0"/>
                                                  <w:divBdr>
                                                    <w:top w:val="none" w:sz="0" w:space="0" w:color="auto"/>
                                                    <w:left w:val="none" w:sz="0" w:space="0" w:color="auto"/>
                                                    <w:bottom w:val="none" w:sz="0" w:space="0" w:color="auto"/>
                                                    <w:right w:val="none" w:sz="0" w:space="0" w:color="auto"/>
                                                  </w:divBdr>
                                                  <w:divsChild>
                                                    <w:div w:id="383530261">
                                                      <w:marLeft w:val="0"/>
                                                      <w:marRight w:val="0"/>
                                                      <w:marTop w:val="0"/>
                                                      <w:marBottom w:val="0"/>
                                                      <w:divBdr>
                                                        <w:top w:val="none" w:sz="0" w:space="0" w:color="auto"/>
                                                        <w:left w:val="none" w:sz="0" w:space="0" w:color="auto"/>
                                                        <w:bottom w:val="none" w:sz="0" w:space="0" w:color="auto"/>
                                                        <w:right w:val="none" w:sz="0" w:space="0" w:color="auto"/>
                                                      </w:divBdr>
                                                    </w:div>
                                                  </w:divsChild>
                                                </w:div>
                                                <w:div w:id="483547224">
                                                  <w:marLeft w:val="15"/>
                                                  <w:marRight w:val="15"/>
                                                  <w:marTop w:val="15"/>
                                                  <w:marBottom w:val="15"/>
                                                  <w:divBdr>
                                                    <w:top w:val="none" w:sz="0" w:space="0" w:color="auto"/>
                                                    <w:left w:val="none" w:sz="0" w:space="0" w:color="auto"/>
                                                    <w:bottom w:val="none" w:sz="0" w:space="0" w:color="auto"/>
                                                    <w:right w:val="none" w:sz="0" w:space="0" w:color="auto"/>
                                                  </w:divBdr>
                                                  <w:divsChild>
                                                    <w:div w:id="2120297053">
                                                      <w:marLeft w:val="0"/>
                                                      <w:marRight w:val="0"/>
                                                      <w:marTop w:val="0"/>
                                                      <w:marBottom w:val="0"/>
                                                      <w:divBdr>
                                                        <w:top w:val="none" w:sz="0" w:space="0" w:color="auto"/>
                                                        <w:left w:val="none" w:sz="0" w:space="0" w:color="auto"/>
                                                        <w:bottom w:val="none" w:sz="0" w:space="0" w:color="auto"/>
                                                        <w:right w:val="none" w:sz="0" w:space="0" w:color="auto"/>
                                                      </w:divBdr>
                                                    </w:div>
                                                    <w:div w:id="884605680">
                                                      <w:marLeft w:val="0"/>
                                                      <w:marRight w:val="0"/>
                                                      <w:marTop w:val="0"/>
                                                      <w:marBottom w:val="0"/>
                                                      <w:divBdr>
                                                        <w:top w:val="none" w:sz="0" w:space="0" w:color="auto"/>
                                                        <w:left w:val="none" w:sz="0" w:space="0" w:color="auto"/>
                                                        <w:bottom w:val="none" w:sz="0" w:space="0" w:color="auto"/>
                                                        <w:right w:val="none" w:sz="0" w:space="0" w:color="auto"/>
                                                      </w:divBdr>
                                                    </w:div>
                                                    <w:div w:id="681930902">
                                                      <w:marLeft w:val="0"/>
                                                      <w:marRight w:val="0"/>
                                                      <w:marTop w:val="0"/>
                                                      <w:marBottom w:val="0"/>
                                                      <w:divBdr>
                                                        <w:top w:val="none" w:sz="0" w:space="0" w:color="auto"/>
                                                        <w:left w:val="none" w:sz="0" w:space="0" w:color="auto"/>
                                                        <w:bottom w:val="none" w:sz="0" w:space="0" w:color="auto"/>
                                                        <w:right w:val="none" w:sz="0" w:space="0" w:color="auto"/>
                                                      </w:divBdr>
                                                    </w:div>
                                                    <w:div w:id="1167131364">
                                                      <w:marLeft w:val="0"/>
                                                      <w:marRight w:val="0"/>
                                                      <w:marTop w:val="0"/>
                                                      <w:marBottom w:val="0"/>
                                                      <w:divBdr>
                                                        <w:top w:val="none" w:sz="0" w:space="0" w:color="auto"/>
                                                        <w:left w:val="none" w:sz="0" w:space="0" w:color="auto"/>
                                                        <w:bottom w:val="none" w:sz="0" w:space="0" w:color="auto"/>
                                                        <w:right w:val="none" w:sz="0" w:space="0" w:color="auto"/>
                                                      </w:divBdr>
                                                    </w:div>
                                                    <w:div w:id="1736590764">
                                                      <w:marLeft w:val="0"/>
                                                      <w:marRight w:val="0"/>
                                                      <w:marTop w:val="0"/>
                                                      <w:marBottom w:val="0"/>
                                                      <w:divBdr>
                                                        <w:top w:val="none" w:sz="0" w:space="0" w:color="auto"/>
                                                        <w:left w:val="none" w:sz="0" w:space="0" w:color="auto"/>
                                                        <w:bottom w:val="none" w:sz="0" w:space="0" w:color="auto"/>
                                                        <w:right w:val="none" w:sz="0" w:space="0" w:color="auto"/>
                                                      </w:divBdr>
                                                    </w:div>
                                                    <w:div w:id="2015181702">
                                                      <w:marLeft w:val="0"/>
                                                      <w:marRight w:val="0"/>
                                                      <w:marTop w:val="0"/>
                                                      <w:marBottom w:val="0"/>
                                                      <w:divBdr>
                                                        <w:top w:val="none" w:sz="0" w:space="0" w:color="auto"/>
                                                        <w:left w:val="none" w:sz="0" w:space="0" w:color="auto"/>
                                                        <w:bottom w:val="none" w:sz="0" w:space="0" w:color="auto"/>
                                                        <w:right w:val="none" w:sz="0" w:space="0" w:color="auto"/>
                                                      </w:divBdr>
                                                    </w:div>
                                                    <w:div w:id="1998606623">
                                                      <w:marLeft w:val="0"/>
                                                      <w:marRight w:val="0"/>
                                                      <w:marTop w:val="0"/>
                                                      <w:marBottom w:val="0"/>
                                                      <w:divBdr>
                                                        <w:top w:val="none" w:sz="0" w:space="0" w:color="auto"/>
                                                        <w:left w:val="none" w:sz="0" w:space="0" w:color="auto"/>
                                                        <w:bottom w:val="none" w:sz="0" w:space="0" w:color="auto"/>
                                                        <w:right w:val="none" w:sz="0" w:space="0" w:color="auto"/>
                                                      </w:divBdr>
                                                      <w:divsChild>
                                                        <w:div w:id="666637720">
                                                          <w:marLeft w:val="0"/>
                                                          <w:marRight w:val="0"/>
                                                          <w:marTop w:val="0"/>
                                                          <w:marBottom w:val="0"/>
                                                          <w:divBdr>
                                                            <w:top w:val="none" w:sz="0" w:space="0" w:color="auto"/>
                                                            <w:left w:val="none" w:sz="0" w:space="0" w:color="auto"/>
                                                            <w:bottom w:val="none" w:sz="0" w:space="0" w:color="auto"/>
                                                            <w:right w:val="none" w:sz="0" w:space="0" w:color="auto"/>
                                                          </w:divBdr>
                                                        </w:div>
                                                        <w:div w:id="1949966441">
                                                          <w:marLeft w:val="0"/>
                                                          <w:marRight w:val="0"/>
                                                          <w:marTop w:val="0"/>
                                                          <w:marBottom w:val="0"/>
                                                          <w:divBdr>
                                                            <w:top w:val="none" w:sz="0" w:space="0" w:color="auto"/>
                                                            <w:left w:val="none" w:sz="0" w:space="0" w:color="auto"/>
                                                            <w:bottom w:val="none" w:sz="0" w:space="0" w:color="auto"/>
                                                            <w:right w:val="none" w:sz="0" w:space="0" w:color="auto"/>
                                                          </w:divBdr>
                                                        </w:div>
                                                      </w:divsChild>
                                                    </w:div>
                                                    <w:div w:id="789933897">
                                                      <w:marLeft w:val="0"/>
                                                      <w:marRight w:val="0"/>
                                                      <w:marTop w:val="0"/>
                                                      <w:marBottom w:val="0"/>
                                                      <w:divBdr>
                                                        <w:top w:val="none" w:sz="0" w:space="0" w:color="auto"/>
                                                        <w:left w:val="none" w:sz="0" w:space="0" w:color="auto"/>
                                                        <w:bottom w:val="none" w:sz="0" w:space="0" w:color="auto"/>
                                                        <w:right w:val="none" w:sz="0" w:space="0" w:color="auto"/>
                                                      </w:divBdr>
                                                    </w:div>
                                                    <w:div w:id="1905069404">
                                                      <w:marLeft w:val="0"/>
                                                      <w:marRight w:val="0"/>
                                                      <w:marTop w:val="0"/>
                                                      <w:marBottom w:val="0"/>
                                                      <w:divBdr>
                                                        <w:top w:val="none" w:sz="0" w:space="0" w:color="auto"/>
                                                        <w:left w:val="none" w:sz="0" w:space="0" w:color="auto"/>
                                                        <w:bottom w:val="none" w:sz="0" w:space="0" w:color="auto"/>
                                                        <w:right w:val="none" w:sz="0" w:space="0" w:color="auto"/>
                                                      </w:divBdr>
                                                    </w:div>
                                                    <w:div w:id="294139147">
                                                      <w:marLeft w:val="0"/>
                                                      <w:marRight w:val="0"/>
                                                      <w:marTop w:val="0"/>
                                                      <w:marBottom w:val="0"/>
                                                      <w:divBdr>
                                                        <w:top w:val="none" w:sz="0" w:space="0" w:color="auto"/>
                                                        <w:left w:val="none" w:sz="0" w:space="0" w:color="auto"/>
                                                        <w:bottom w:val="none" w:sz="0" w:space="0" w:color="auto"/>
                                                        <w:right w:val="none" w:sz="0" w:space="0" w:color="auto"/>
                                                      </w:divBdr>
                                                    </w:div>
                                                    <w:div w:id="169026152">
                                                      <w:marLeft w:val="0"/>
                                                      <w:marRight w:val="0"/>
                                                      <w:marTop w:val="0"/>
                                                      <w:marBottom w:val="0"/>
                                                      <w:divBdr>
                                                        <w:top w:val="none" w:sz="0" w:space="0" w:color="auto"/>
                                                        <w:left w:val="none" w:sz="0" w:space="0" w:color="auto"/>
                                                        <w:bottom w:val="none" w:sz="0" w:space="0" w:color="auto"/>
                                                        <w:right w:val="none" w:sz="0" w:space="0" w:color="auto"/>
                                                      </w:divBdr>
                                                    </w:div>
                                                    <w:div w:id="2092434116">
                                                      <w:marLeft w:val="0"/>
                                                      <w:marRight w:val="0"/>
                                                      <w:marTop w:val="0"/>
                                                      <w:marBottom w:val="0"/>
                                                      <w:divBdr>
                                                        <w:top w:val="none" w:sz="0" w:space="0" w:color="auto"/>
                                                        <w:left w:val="none" w:sz="0" w:space="0" w:color="auto"/>
                                                        <w:bottom w:val="none" w:sz="0" w:space="0" w:color="auto"/>
                                                        <w:right w:val="none" w:sz="0" w:space="0" w:color="auto"/>
                                                      </w:divBdr>
                                                    </w:div>
                                                    <w:div w:id="622733007">
                                                      <w:marLeft w:val="0"/>
                                                      <w:marRight w:val="0"/>
                                                      <w:marTop w:val="0"/>
                                                      <w:marBottom w:val="0"/>
                                                      <w:divBdr>
                                                        <w:top w:val="none" w:sz="0" w:space="0" w:color="auto"/>
                                                        <w:left w:val="none" w:sz="0" w:space="0" w:color="auto"/>
                                                        <w:bottom w:val="none" w:sz="0" w:space="0" w:color="auto"/>
                                                        <w:right w:val="none" w:sz="0" w:space="0" w:color="auto"/>
                                                      </w:divBdr>
                                                    </w:div>
                                                    <w:div w:id="1586647410">
                                                      <w:marLeft w:val="0"/>
                                                      <w:marRight w:val="0"/>
                                                      <w:marTop w:val="0"/>
                                                      <w:marBottom w:val="0"/>
                                                      <w:divBdr>
                                                        <w:top w:val="none" w:sz="0" w:space="0" w:color="auto"/>
                                                        <w:left w:val="none" w:sz="0" w:space="0" w:color="auto"/>
                                                        <w:bottom w:val="none" w:sz="0" w:space="0" w:color="auto"/>
                                                        <w:right w:val="none" w:sz="0" w:space="0" w:color="auto"/>
                                                      </w:divBdr>
                                                    </w:div>
                                                    <w:div w:id="2036034628">
                                                      <w:marLeft w:val="0"/>
                                                      <w:marRight w:val="0"/>
                                                      <w:marTop w:val="0"/>
                                                      <w:marBottom w:val="0"/>
                                                      <w:divBdr>
                                                        <w:top w:val="none" w:sz="0" w:space="0" w:color="auto"/>
                                                        <w:left w:val="none" w:sz="0" w:space="0" w:color="auto"/>
                                                        <w:bottom w:val="none" w:sz="0" w:space="0" w:color="auto"/>
                                                        <w:right w:val="none" w:sz="0" w:space="0" w:color="auto"/>
                                                      </w:divBdr>
                                                      <w:divsChild>
                                                        <w:div w:id="1285695900">
                                                          <w:marLeft w:val="0"/>
                                                          <w:marRight w:val="0"/>
                                                          <w:marTop w:val="0"/>
                                                          <w:marBottom w:val="0"/>
                                                          <w:divBdr>
                                                            <w:top w:val="none" w:sz="0" w:space="0" w:color="auto"/>
                                                            <w:left w:val="none" w:sz="0" w:space="0" w:color="auto"/>
                                                            <w:bottom w:val="none" w:sz="0" w:space="0" w:color="auto"/>
                                                            <w:right w:val="none" w:sz="0" w:space="0" w:color="auto"/>
                                                          </w:divBdr>
                                                        </w:div>
                                                        <w:div w:id="1395004161">
                                                          <w:marLeft w:val="0"/>
                                                          <w:marRight w:val="0"/>
                                                          <w:marTop w:val="0"/>
                                                          <w:marBottom w:val="0"/>
                                                          <w:divBdr>
                                                            <w:top w:val="none" w:sz="0" w:space="0" w:color="auto"/>
                                                            <w:left w:val="none" w:sz="0" w:space="0" w:color="auto"/>
                                                            <w:bottom w:val="none" w:sz="0" w:space="0" w:color="auto"/>
                                                            <w:right w:val="none" w:sz="0" w:space="0" w:color="auto"/>
                                                          </w:divBdr>
                                                        </w:div>
                                                        <w:div w:id="304899180">
                                                          <w:marLeft w:val="0"/>
                                                          <w:marRight w:val="0"/>
                                                          <w:marTop w:val="0"/>
                                                          <w:marBottom w:val="0"/>
                                                          <w:divBdr>
                                                            <w:top w:val="none" w:sz="0" w:space="0" w:color="auto"/>
                                                            <w:left w:val="none" w:sz="0" w:space="0" w:color="auto"/>
                                                            <w:bottom w:val="none" w:sz="0" w:space="0" w:color="auto"/>
                                                            <w:right w:val="none" w:sz="0" w:space="0" w:color="auto"/>
                                                          </w:divBdr>
                                                        </w:div>
                                                        <w:div w:id="1012032188">
                                                          <w:marLeft w:val="0"/>
                                                          <w:marRight w:val="0"/>
                                                          <w:marTop w:val="0"/>
                                                          <w:marBottom w:val="0"/>
                                                          <w:divBdr>
                                                            <w:top w:val="none" w:sz="0" w:space="0" w:color="auto"/>
                                                            <w:left w:val="none" w:sz="0" w:space="0" w:color="auto"/>
                                                            <w:bottom w:val="none" w:sz="0" w:space="0" w:color="auto"/>
                                                            <w:right w:val="none" w:sz="0" w:space="0" w:color="auto"/>
                                                          </w:divBdr>
                                                        </w:div>
                                                        <w:div w:id="1675066987">
                                                          <w:marLeft w:val="0"/>
                                                          <w:marRight w:val="0"/>
                                                          <w:marTop w:val="0"/>
                                                          <w:marBottom w:val="0"/>
                                                          <w:divBdr>
                                                            <w:top w:val="none" w:sz="0" w:space="0" w:color="auto"/>
                                                            <w:left w:val="none" w:sz="0" w:space="0" w:color="auto"/>
                                                            <w:bottom w:val="none" w:sz="0" w:space="0" w:color="auto"/>
                                                            <w:right w:val="none" w:sz="0" w:space="0" w:color="auto"/>
                                                          </w:divBdr>
                                                        </w:div>
                                                        <w:div w:id="81099971">
                                                          <w:marLeft w:val="0"/>
                                                          <w:marRight w:val="0"/>
                                                          <w:marTop w:val="0"/>
                                                          <w:marBottom w:val="0"/>
                                                          <w:divBdr>
                                                            <w:top w:val="none" w:sz="0" w:space="0" w:color="auto"/>
                                                            <w:left w:val="none" w:sz="0" w:space="0" w:color="auto"/>
                                                            <w:bottom w:val="none" w:sz="0" w:space="0" w:color="auto"/>
                                                            <w:right w:val="none" w:sz="0" w:space="0" w:color="auto"/>
                                                          </w:divBdr>
                                                        </w:div>
                                                        <w:div w:id="1931237984">
                                                          <w:marLeft w:val="0"/>
                                                          <w:marRight w:val="0"/>
                                                          <w:marTop w:val="0"/>
                                                          <w:marBottom w:val="0"/>
                                                          <w:divBdr>
                                                            <w:top w:val="none" w:sz="0" w:space="0" w:color="auto"/>
                                                            <w:left w:val="none" w:sz="0" w:space="0" w:color="auto"/>
                                                            <w:bottom w:val="none" w:sz="0" w:space="0" w:color="auto"/>
                                                            <w:right w:val="none" w:sz="0" w:space="0" w:color="auto"/>
                                                          </w:divBdr>
                                                        </w:div>
                                                        <w:div w:id="1244995440">
                                                          <w:marLeft w:val="0"/>
                                                          <w:marRight w:val="0"/>
                                                          <w:marTop w:val="0"/>
                                                          <w:marBottom w:val="0"/>
                                                          <w:divBdr>
                                                            <w:top w:val="none" w:sz="0" w:space="0" w:color="auto"/>
                                                            <w:left w:val="none" w:sz="0" w:space="0" w:color="auto"/>
                                                            <w:bottom w:val="none" w:sz="0" w:space="0" w:color="auto"/>
                                                            <w:right w:val="none" w:sz="0" w:space="0" w:color="auto"/>
                                                          </w:divBdr>
                                                        </w:div>
                                                        <w:div w:id="1768043381">
                                                          <w:marLeft w:val="0"/>
                                                          <w:marRight w:val="0"/>
                                                          <w:marTop w:val="0"/>
                                                          <w:marBottom w:val="0"/>
                                                          <w:divBdr>
                                                            <w:top w:val="none" w:sz="0" w:space="0" w:color="auto"/>
                                                            <w:left w:val="none" w:sz="0" w:space="0" w:color="auto"/>
                                                            <w:bottom w:val="none" w:sz="0" w:space="0" w:color="auto"/>
                                                            <w:right w:val="none" w:sz="0" w:space="0" w:color="auto"/>
                                                          </w:divBdr>
                                                          <w:divsChild>
                                                            <w:div w:id="267616197">
                                                              <w:marLeft w:val="0"/>
                                                              <w:marRight w:val="0"/>
                                                              <w:marTop w:val="0"/>
                                                              <w:marBottom w:val="0"/>
                                                              <w:divBdr>
                                                                <w:top w:val="none" w:sz="0" w:space="0" w:color="auto"/>
                                                                <w:left w:val="none" w:sz="0" w:space="0" w:color="auto"/>
                                                                <w:bottom w:val="none" w:sz="0" w:space="0" w:color="auto"/>
                                                                <w:right w:val="none" w:sz="0" w:space="0" w:color="auto"/>
                                                              </w:divBdr>
                                                            </w:div>
                                                          </w:divsChild>
                                                        </w:div>
                                                        <w:div w:id="482163848">
                                                          <w:marLeft w:val="0"/>
                                                          <w:marRight w:val="0"/>
                                                          <w:marTop w:val="0"/>
                                                          <w:marBottom w:val="0"/>
                                                          <w:divBdr>
                                                            <w:top w:val="none" w:sz="0" w:space="0" w:color="auto"/>
                                                            <w:left w:val="none" w:sz="0" w:space="0" w:color="auto"/>
                                                            <w:bottom w:val="none" w:sz="0" w:space="0" w:color="auto"/>
                                                            <w:right w:val="none" w:sz="0" w:space="0" w:color="auto"/>
                                                          </w:divBdr>
                                                        </w:div>
                                                        <w:div w:id="1226337048">
                                                          <w:marLeft w:val="0"/>
                                                          <w:marRight w:val="0"/>
                                                          <w:marTop w:val="0"/>
                                                          <w:marBottom w:val="0"/>
                                                          <w:divBdr>
                                                            <w:top w:val="none" w:sz="0" w:space="0" w:color="auto"/>
                                                            <w:left w:val="none" w:sz="0" w:space="0" w:color="auto"/>
                                                            <w:bottom w:val="none" w:sz="0" w:space="0" w:color="auto"/>
                                                            <w:right w:val="none" w:sz="0" w:space="0" w:color="auto"/>
                                                          </w:divBdr>
                                                        </w:div>
                                                        <w:div w:id="241840812">
                                                          <w:marLeft w:val="0"/>
                                                          <w:marRight w:val="0"/>
                                                          <w:marTop w:val="0"/>
                                                          <w:marBottom w:val="0"/>
                                                          <w:divBdr>
                                                            <w:top w:val="none" w:sz="0" w:space="0" w:color="auto"/>
                                                            <w:left w:val="none" w:sz="0" w:space="0" w:color="auto"/>
                                                            <w:bottom w:val="none" w:sz="0" w:space="0" w:color="auto"/>
                                                            <w:right w:val="none" w:sz="0" w:space="0" w:color="auto"/>
                                                          </w:divBdr>
                                                        </w:div>
                                                        <w:div w:id="401609646">
                                                          <w:marLeft w:val="0"/>
                                                          <w:marRight w:val="0"/>
                                                          <w:marTop w:val="0"/>
                                                          <w:marBottom w:val="0"/>
                                                          <w:divBdr>
                                                            <w:top w:val="none" w:sz="0" w:space="0" w:color="auto"/>
                                                            <w:left w:val="none" w:sz="0" w:space="0" w:color="auto"/>
                                                            <w:bottom w:val="none" w:sz="0" w:space="0" w:color="auto"/>
                                                            <w:right w:val="none" w:sz="0" w:space="0" w:color="auto"/>
                                                          </w:divBdr>
                                                        </w:div>
                                                        <w:div w:id="339504070">
                                                          <w:marLeft w:val="0"/>
                                                          <w:marRight w:val="0"/>
                                                          <w:marTop w:val="0"/>
                                                          <w:marBottom w:val="0"/>
                                                          <w:divBdr>
                                                            <w:top w:val="none" w:sz="0" w:space="0" w:color="auto"/>
                                                            <w:left w:val="none" w:sz="0" w:space="0" w:color="auto"/>
                                                            <w:bottom w:val="none" w:sz="0" w:space="0" w:color="auto"/>
                                                            <w:right w:val="none" w:sz="0" w:space="0" w:color="auto"/>
                                                          </w:divBdr>
                                                        </w:div>
                                                        <w:div w:id="1121805475">
                                                          <w:marLeft w:val="0"/>
                                                          <w:marRight w:val="0"/>
                                                          <w:marTop w:val="0"/>
                                                          <w:marBottom w:val="0"/>
                                                          <w:divBdr>
                                                            <w:top w:val="none" w:sz="0" w:space="0" w:color="auto"/>
                                                            <w:left w:val="none" w:sz="0" w:space="0" w:color="auto"/>
                                                            <w:bottom w:val="none" w:sz="0" w:space="0" w:color="auto"/>
                                                            <w:right w:val="none" w:sz="0" w:space="0" w:color="auto"/>
                                                          </w:divBdr>
                                                        </w:div>
                                                        <w:div w:id="1555002051">
                                                          <w:marLeft w:val="0"/>
                                                          <w:marRight w:val="0"/>
                                                          <w:marTop w:val="0"/>
                                                          <w:marBottom w:val="0"/>
                                                          <w:divBdr>
                                                            <w:top w:val="none" w:sz="0" w:space="0" w:color="auto"/>
                                                            <w:left w:val="none" w:sz="0" w:space="0" w:color="auto"/>
                                                            <w:bottom w:val="none" w:sz="0" w:space="0" w:color="auto"/>
                                                            <w:right w:val="none" w:sz="0" w:space="0" w:color="auto"/>
                                                          </w:divBdr>
                                                        </w:div>
                                                        <w:div w:id="1553541044">
                                                          <w:marLeft w:val="0"/>
                                                          <w:marRight w:val="0"/>
                                                          <w:marTop w:val="0"/>
                                                          <w:marBottom w:val="0"/>
                                                          <w:divBdr>
                                                            <w:top w:val="none" w:sz="0" w:space="0" w:color="auto"/>
                                                            <w:left w:val="none" w:sz="0" w:space="0" w:color="auto"/>
                                                            <w:bottom w:val="none" w:sz="0" w:space="0" w:color="auto"/>
                                                            <w:right w:val="none" w:sz="0" w:space="0" w:color="auto"/>
                                                          </w:divBdr>
                                                        </w:div>
                                                        <w:div w:id="1155100415">
                                                          <w:marLeft w:val="0"/>
                                                          <w:marRight w:val="0"/>
                                                          <w:marTop w:val="0"/>
                                                          <w:marBottom w:val="0"/>
                                                          <w:divBdr>
                                                            <w:top w:val="none" w:sz="0" w:space="0" w:color="auto"/>
                                                            <w:left w:val="none" w:sz="0" w:space="0" w:color="auto"/>
                                                            <w:bottom w:val="none" w:sz="0" w:space="0" w:color="auto"/>
                                                            <w:right w:val="none" w:sz="0" w:space="0" w:color="auto"/>
                                                          </w:divBdr>
                                                        </w:div>
                                                        <w:div w:id="1666592004">
                                                          <w:marLeft w:val="0"/>
                                                          <w:marRight w:val="0"/>
                                                          <w:marTop w:val="0"/>
                                                          <w:marBottom w:val="0"/>
                                                          <w:divBdr>
                                                            <w:top w:val="none" w:sz="0" w:space="0" w:color="auto"/>
                                                            <w:left w:val="none" w:sz="0" w:space="0" w:color="auto"/>
                                                            <w:bottom w:val="none" w:sz="0" w:space="0" w:color="auto"/>
                                                            <w:right w:val="none" w:sz="0" w:space="0" w:color="auto"/>
                                                          </w:divBdr>
                                                          <w:divsChild>
                                                            <w:div w:id="1357460720">
                                                              <w:marLeft w:val="0"/>
                                                              <w:marRight w:val="0"/>
                                                              <w:marTop w:val="0"/>
                                                              <w:marBottom w:val="0"/>
                                                              <w:divBdr>
                                                                <w:top w:val="none" w:sz="0" w:space="0" w:color="auto"/>
                                                                <w:left w:val="none" w:sz="0" w:space="0" w:color="auto"/>
                                                                <w:bottom w:val="none" w:sz="0" w:space="0" w:color="auto"/>
                                                                <w:right w:val="none" w:sz="0" w:space="0" w:color="auto"/>
                                                              </w:divBdr>
                                                            </w:div>
                                                          </w:divsChild>
                                                        </w:div>
                                                        <w:div w:id="433868213">
                                                          <w:marLeft w:val="0"/>
                                                          <w:marRight w:val="0"/>
                                                          <w:marTop w:val="0"/>
                                                          <w:marBottom w:val="0"/>
                                                          <w:divBdr>
                                                            <w:top w:val="none" w:sz="0" w:space="0" w:color="auto"/>
                                                            <w:left w:val="none" w:sz="0" w:space="0" w:color="auto"/>
                                                            <w:bottom w:val="none" w:sz="0" w:space="0" w:color="auto"/>
                                                            <w:right w:val="none" w:sz="0" w:space="0" w:color="auto"/>
                                                          </w:divBdr>
                                                        </w:div>
                                                        <w:div w:id="1169634070">
                                                          <w:marLeft w:val="0"/>
                                                          <w:marRight w:val="0"/>
                                                          <w:marTop w:val="0"/>
                                                          <w:marBottom w:val="0"/>
                                                          <w:divBdr>
                                                            <w:top w:val="none" w:sz="0" w:space="0" w:color="auto"/>
                                                            <w:left w:val="none" w:sz="0" w:space="0" w:color="auto"/>
                                                            <w:bottom w:val="none" w:sz="0" w:space="0" w:color="auto"/>
                                                            <w:right w:val="none" w:sz="0" w:space="0" w:color="auto"/>
                                                          </w:divBdr>
                                                        </w:div>
                                                        <w:div w:id="2074350764">
                                                          <w:marLeft w:val="0"/>
                                                          <w:marRight w:val="0"/>
                                                          <w:marTop w:val="0"/>
                                                          <w:marBottom w:val="0"/>
                                                          <w:divBdr>
                                                            <w:top w:val="none" w:sz="0" w:space="0" w:color="auto"/>
                                                            <w:left w:val="none" w:sz="0" w:space="0" w:color="auto"/>
                                                            <w:bottom w:val="none" w:sz="0" w:space="0" w:color="auto"/>
                                                            <w:right w:val="none" w:sz="0" w:space="0" w:color="auto"/>
                                                          </w:divBdr>
                                                        </w:div>
                                                        <w:div w:id="193270592">
                                                          <w:marLeft w:val="0"/>
                                                          <w:marRight w:val="0"/>
                                                          <w:marTop w:val="0"/>
                                                          <w:marBottom w:val="0"/>
                                                          <w:divBdr>
                                                            <w:top w:val="none" w:sz="0" w:space="0" w:color="auto"/>
                                                            <w:left w:val="none" w:sz="0" w:space="0" w:color="auto"/>
                                                            <w:bottom w:val="none" w:sz="0" w:space="0" w:color="auto"/>
                                                            <w:right w:val="none" w:sz="0" w:space="0" w:color="auto"/>
                                                          </w:divBdr>
                                                        </w:div>
                                                        <w:div w:id="2090543735">
                                                          <w:marLeft w:val="0"/>
                                                          <w:marRight w:val="0"/>
                                                          <w:marTop w:val="0"/>
                                                          <w:marBottom w:val="0"/>
                                                          <w:divBdr>
                                                            <w:top w:val="none" w:sz="0" w:space="0" w:color="auto"/>
                                                            <w:left w:val="none" w:sz="0" w:space="0" w:color="auto"/>
                                                            <w:bottom w:val="none" w:sz="0" w:space="0" w:color="auto"/>
                                                            <w:right w:val="none" w:sz="0" w:space="0" w:color="auto"/>
                                                          </w:divBdr>
                                                        </w:div>
                                                        <w:div w:id="995063545">
                                                          <w:marLeft w:val="0"/>
                                                          <w:marRight w:val="0"/>
                                                          <w:marTop w:val="0"/>
                                                          <w:marBottom w:val="0"/>
                                                          <w:divBdr>
                                                            <w:top w:val="none" w:sz="0" w:space="0" w:color="auto"/>
                                                            <w:left w:val="none" w:sz="0" w:space="0" w:color="auto"/>
                                                            <w:bottom w:val="none" w:sz="0" w:space="0" w:color="auto"/>
                                                            <w:right w:val="none" w:sz="0" w:space="0" w:color="auto"/>
                                                          </w:divBdr>
                                                        </w:div>
                                                        <w:div w:id="1450660709">
                                                          <w:marLeft w:val="0"/>
                                                          <w:marRight w:val="0"/>
                                                          <w:marTop w:val="0"/>
                                                          <w:marBottom w:val="0"/>
                                                          <w:divBdr>
                                                            <w:top w:val="none" w:sz="0" w:space="0" w:color="auto"/>
                                                            <w:left w:val="none" w:sz="0" w:space="0" w:color="auto"/>
                                                            <w:bottom w:val="none" w:sz="0" w:space="0" w:color="auto"/>
                                                            <w:right w:val="none" w:sz="0" w:space="0" w:color="auto"/>
                                                          </w:divBdr>
                                                        </w:div>
                                                        <w:div w:id="1562980415">
                                                          <w:marLeft w:val="0"/>
                                                          <w:marRight w:val="0"/>
                                                          <w:marTop w:val="0"/>
                                                          <w:marBottom w:val="0"/>
                                                          <w:divBdr>
                                                            <w:top w:val="none" w:sz="0" w:space="0" w:color="auto"/>
                                                            <w:left w:val="none" w:sz="0" w:space="0" w:color="auto"/>
                                                            <w:bottom w:val="none" w:sz="0" w:space="0" w:color="auto"/>
                                                            <w:right w:val="none" w:sz="0" w:space="0" w:color="auto"/>
                                                          </w:divBdr>
                                                          <w:divsChild>
                                                            <w:div w:id="1494493112">
                                                              <w:marLeft w:val="0"/>
                                                              <w:marRight w:val="0"/>
                                                              <w:marTop w:val="0"/>
                                                              <w:marBottom w:val="0"/>
                                                              <w:divBdr>
                                                                <w:top w:val="none" w:sz="0" w:space="0" w:color="auto"/>
                                                                <w:left w:val="none" w:sz="0" w:space="0" w:color="auto"/>
                                                                <w:bottom w:val="none" w:sz="0" w:space="0" w:color="auto"/>
                                                                <w:right w:val="none" w:sz="0" w:space="0" w:color="auto"/>
                                                              </w:divBdr>
                                                              <w:divsChild>
                                                                <w:div w:id="1231647947">
                                                                  <w:marLeft w:val="0"/>
                                                                  <w:marRight w:val="0"/>
                                                                  <w:marTop w:val="0"/>
                                                                  <w:marBottom w:val="0"/>
                                                                  <w:divBdr>
                                                                    <w:top w:val="none" w:sz="0" w:space="0" w:color="auto"/>
                                                                    <w:left w:val="none" w:sz="0" w:space="0" w:color="auto"/>
                                                                    <w:bottom w:val="none" w:sz="0" w:space="0" w:color="auto"/>
                                                                    <w:right w:val="none" w:sz="0" w:space="0" w:color="auto"/>
                                                                  </w:divBdr>
                                                                </w:div>
                                                                <w:div w:id="961612237">
                                                                  <w:marLeft w:val="0"/>
                                                                  <w:marRight w:val="0"/>
                                                                  <w:marTop w:val="0"/>
                                                                  <w:marBottom w:val="0"/>
                                                                  <w:divBdr>
                                                                    <w:top w:val="none" w:sz="0" w:space="0" w:color="auto"/>
                                                                    <w:left w:val="none" w:sz="0" w:space="0" w:color="auto"/>
                                                                    <w:bottom w:val="none" w:sz="0" w:space="0" w:color="auto"/>
                                                                    <w:right w:val="none" w:sz="0" w:space="0" w:color="auto"/>
                                                                  </w:divBdr>
                                                                </w:div>
                                                                <w:div w:id="384988357">
                                                                  <w:marLeft w:val="0"/>
                                                                  <w:marRight w:val="0"/>
                                                                  <w:marTop w:val="0"/>
                                                                  <w:marBottom w:val="0"/>
                                                                  <w:divBdr>
                                                                    <w:top w:val="none" w:sz="0" w:space="0" w:color="auto"/>
                                                                    <w:left w:val="none" w:sz="0" w:space="0" w:color="auto"/>
                                                                    <w:bottom w:val="none" w:sz="0" w:space="0" w:color="auto"/>
                                                                    <w:right w:val="none" w:sz="0" w:space="0" w:color="auto"/>
                                                                  </w:divBdr>
                                                                </w:div>
                                                                <w:div w:id="145294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35137747">
      <w:bodyDiv w:val="1"/>
      <w:marLeft w:val="0"/>
      <w:marRight w:val="0"/>
      <w:marTop w:val="0"/>
      <w:marBottom w:val="0"/>
      <w:divBdr>
        <w:top w:val="none" w:sz="0" w:space="0" w:color="auto"/>
        <w:left w:val="none" w:sz="0" w:space="0" w:color="auto"/>
        <w:bottom w:val="none" w:sz="0" w:space="0" w:color="auto"/>
        <w:right w:val="none" w:sz="0" w:space="0" w:color="auto"/>
      </w:divBdr>
    </w:div>
    <w:div w:id="638611896">
      <w:bodyDiv w:val="1"/>
      <w:marLeft w:val="0"/>
      <w:marRight w:val="0"/>
      <w:marTop w:val="0"/>
      <w:marBottom w:val="0"/>
      <w:divBdr>
        <w:top w:val="none" w:sz="0" w:space="0" w:color="auto"/>
        <w:left w:val="none" w:sz="0" w:space="0" w:color="auto"/>
        <w:bottom w:val="none" w:sz="0" w:space="0" w:color="auto"/>
        <w:right w:val="none" w:sz="0" w:space="0" w:color="auto"/>
      </w:divBdr>
    </w:div>
    <w:div w:id="730351077">
      <w:bodyDiv w:val="1"/>
      <w:marLeft w:val="0"/>
      <w:marRight w:val="0"/>
      <w:marTop w:val="0"/>
      <w:marBottom w:val="0"/>
      <w:divBdr>
        <w:top w:val="none" w:sz="0" w:space="0" w:color="auto"/>
        <w:left w:val="none" w:sz="0" w:space="0" w:color="auto"/>
        <w:bottom w:val="none" w:sz="0" w:space="0" w:color="auto"/>
        <w:right w:val="none" w:sz="0" w:space="0" w:color="auto"/>
      </w:divBdr>
      <w:divsChild>
        <w:div w:id="1275669101">
          <w:marLeft w:val="0"/>
          <w:marRight w:val="0"/>
          <w:marTop w:val="0"/>
          <w:marBottom w:val="0"/>
          <w:divBdr>
            <w:top w:val="none" w:sz="0" w:space="0" w:color="auto"/>
            <w:left w:val="none" w:sz="0" w:space="0" w:color="auto"/>
            <w:bottom w:val="none" w:sz="0" w:space="0" w:color="auto"/>
            <w:right w:val="none" w:sz="0" w:space="0" w:color="auto"/>
          </w:divBdr>
          <w:divsChild>
            <w:div w:id="653948488">
              <w:marLeft w:val="0"/>
              <w:marRight w:val="0"/>
              <w:marTop w:val="0"/>
              <w:marBottom w:val="0"/>
              <w:divBdr>
                <w:top w:val="none" w:sz="0" w:space="0" w:color="auto"/>
                <w:left w:val="none" w:sz="0" w:space="0" w:color="auto"/>
                <w:bottom w:val="none" w:sz="0" w:space="0" w:color="auto"/>
                <w:right w:val="none" w:sz="0" w:space="0" w:color="auto"/>
              </w:divBdr>
              <w:divsChild>
                <w:div w:id="457337998">
                  <w:marLeft w:val="0"/>
                  <w:marRight w:val="0"/>
                  <w:marTop w:val="0"/>
                  <w:marBottom w:val="300"/>
                  <w:divBdr>
                    <w:top w:val="none" w:sz="0" w:space="0" w:color="auto"/>
                    <w:left w:val="none" w:sz="0" w:space="0" w:color="auto"/>
                    <w:bottom w:val="none" w:sz="0" w:space="0" w:color="auto"/>
                    <w:right w:val="none" w:sz="0" w:space="0" w:color="auto"/>
                  </w:divBdr>
                  <w:divsChild>
                    <w:div w:id="246578159">
                      <w:marLeft w:val="2325"/>
                      <w:marRight w:val="0"/>
                      <w:marTop w:val="0"/>
                      <w:marBottom w:val="0"/>
                      <w:divBdr>
                        <w:top w:val="none" w:sz="0" w:space="0" w:color="auto"/>
                        <w:left w:val="none" w:sz="0" w:space="0" w:color="auto"/>
                        <w:bottom w:val="none" w:sz="0" w:space="0" w:color="auto"/>
                        <w:right w:val="none" w:sz="0" w:space="0" w:color="auto"/>
                      </w:divBdr>
                      <w:divsChild>
                        <w:div w:id="1500538898">
                          <w:marLeft w:val="0"/>
                          <w:marRight w:val="0"/>
                          <w:marTop w:val="0"/>
                          <w:marBottom w:val="0"/>
                          <w:divBdr>
                            <w:top w:val="none" w:sz="0" w:space="0" w:color="auto"/>
                            <w:left w:val="none" w:sz="0" w:space="0" w:color="auto"/>
                            <w:bottom w:val="none" w:sz="0" w:space="0" w:color="auto"/>
                            <w:right w:val="none" w:sz="0" w:space="0" w:color="auto"/>
                          </w:divBdr>
                          <w:divsChild>
                            <w:div w:id="756512161">
                              <w:marLeft w:val="0"/>
                              <w:marRight w:val="0"/>
                              <w:marTop w:val="0"/>
                              <w:marBottom w:val="0"/>
                              <w:divBdr>
                                <w:top w:val="none" w:sz="0" w:space="0" w:color="auto"/>
                                <w:left w:val="none" w:sz="0" w:space="0" w:color="auto"/>
                                <w:bottom w:val="none" w:sz="0" w:space="0" w:color="auto"/>
                                <w:right w:val="none" w:sz="0" w:space="0" w:color="auto"/>
                              </w:divBdr>
                              <w:divsChild>
                                <w:div w:id="1901356681">
                                  <w:marLeft w:val="0"/>
                                  <w:marRight w:val="0"/>
                                  <w:marTop w:val="0"/>
                                  <w:marBottom w:val="0"/>
                                  <w:divBdr>
                                    <w:top w:val="none" w:sz="0" w:space="0" w:color="auto"/>
                                    <w:left w:val="none" w:sz="0" w:space="0" w:color="auto"/>
                                    <w:bottom w:val="none" w:sz="0" w:space="0" w:color="auto"/>
                                    <w:right w:val="none" w:sz="0" w:space="0" w:color="auto"/>
                                  </w:divBdr>
                                  <w:divsChild>
                                    <w:div w:id="1775860240">
                                      <w:marLeft w:val="0"/>
                                      <w:marRight w:val="0"/>
                                      <w:marTop w:val="0"/>
                                      <w:marBottom w:val="0"/>
                                      <w:divBdr>
                                        <w:top w:val="none" w:sz="0" w:space="0" w:color="auto"/>
                                        <w:left w:val="none" w:sz="0" w:space="0" w:color="auto"/>
                                        <w:bottom w:val="none" w:sz="0" w:space="0" w:color="auto"/>
                                        <w:right w:val="none" w:sz="0" w:space="0" w:color="auto"/>
                                      </w:divBdr>
                                      <w:divsChild>
                                        <w:div w:id="1015110642">
                                          <w:marLeft w:val="0"/>
                                          <w:marRight w:val="-3525"/>
                                          <w:marTop w:val="0"/>
                                          <w:marBottom w:val="0"/>
                                          <w:divBdr>
                                            <w:top w:val="none" w:sz="0" w:space="0" w:color="auto"/>
                                            <w:left w:val="none" w:sz="0" w:space="0" w:color="auto"/>
                                            <w:bottom w:val="none" w:sz="0" w:space="0" w:color="auto"/>
                                            <w:right w:val="none" w:sz="0" w:space="0" w:color="auto"/>
                                          </w:divBdr>
                                          <w:divsChild>
                                            <w:div w:id="1481075618">
                                              <w:marLeft w:val="0"/>
                                              <w:marRight w:val="3225"/>
                                              <w:marTop w:val="0"/>
                                              <w:marBottom w:val="0"/>
                                              <w:divBdr>
                                                <w:top w:val="none" w:sz="0" w:space="0" w:color="auto"/>
                                                <w:left w:val="none" w:sz="0" w:space="0" w:color="auto"/>
                                                <w:bottom w:val="none" w:sz="0" w:space="0" w:color="auto"/>
                                                <w:right w:val="none" w:sz="0" w:space="0" w:color="auto"/>
                                              </w:divBdr>
                                              <w:divsChild>
                                                <w:div w:id="1069424504">
                                                  <w:marLeft w:val="0"/>
                                                  <w:marRight w:val="0"/>
                                                  <w:marTop w:val="0"/>
                                                  <w:marBottom w:val="150"/>
                                                  <w:divBdr>
                                                    <w:top w:val="none" w:sz="0" w:space="0" w:color="auto"/>
                                                    <w:left w:val="none" w:sz="0" w:space="0" w:color="auto"/>
                                                    <w:bottom w:val="none" w:sz="0" w:space="0" w:color="auto"/>
                                                    <w:right w:val="none" w:sz="0" w:space="0" w:color="auto"/>
                                                  </w:divBdr>
                                                </w:div>
                                                <w:div w:id="1487429413">
                                                  <w:marLeft w:val="0"/>
                                                  <w:marRight w:val="0"/>
                                                  <w:marTop w:val="0"/>
                                                  <w:marBottom w:val="0"/>
                                                  <w:divBdr>
                                                    <w:top w:val="none" w:sz="0" w:space="0" w:color="auto"/>
                                                    <w:left w:val="none" w:sz="0" w:space="0" w:color="auto"/>
                                                    <w:bottom w:val="none" w:sz="0" w:space="0" w:color="auto"/>
                                                    <w:right w:val="none" w:sz="0" w:space="0" w:color="auto"/>
                                                  </w:divBdr>
                                                  <w:divsChild>
                                                    <w:div w:id="721707911">
                                                      <w:marLeft w:val="0"/>
                                                      <w:marRight w:val="0"/>
                                                      <w:marTop w:val="0"/>
                                                      <w:marBottom w:val="0"/>
                                                      <w:divBdr>
                                                        <w:top w:val="none" w:sz="0" w:space="0" w:color="auto"/>
                                                        <w:left w:val="none" w:sz="0" w:space="0" w:color="auto"/>
                                                        <w:bottom w:val="none" w:sz="0" w:space="0" w:color="auto"/>
                                                        <w:right w:val="none" w:sz="0" w:space="0" w:color="auto"/>
                                                      </w:divBdr>
                                                    </w:div>
                                                  </w:divsChild>
                                                </w:div>
                                                <w:div w:id="1731659385">
                                                  <w:marLeft w:val="15"/>
                                                  <w:marRight w:val="15"/>
                                                  <w:marTop w:val="15"/>
                                                  <w:marBottom w:val="15"/>
                                                  <w:divBdr>
                                                    <w:top w:val="none" w:sz="0" w:space="0" w:color="auto"/>
                                                    <w:left w:val="none" w:sz="0" w:space="0" w:color="auto"/>
                                                    <w:bottom w:val="none" w:sz="0" w:space="0" w:color="auto"/>
                                                    <w:right w:val="none" w:sz="0" w:space="0" w:color="auto"/>
                                                  </w:divBdr>
                                                  <w:divsChild>
                                                    <w:div w:id="174227028">
                                                      <w:marLeft w:val="0"/>
                                                      <w:marRight w:val="0"/>
                                                      <w:marTop w:val="0"/>
                                                      <w:marBottom w:val="0"/>
                                                      <w:divBdr>
                                                        <w:top w:val="none" w:sz="0" w:space="0" w:color="auto"/>
                                                        <w:left w:val="none" w:sz="0" w:space="0" w:color="auto"/>
                                                        <w:bottom w:val="none" w:sz="0" w:space="0" w:color="auto"/>
                                                        <w:right w:val="none" w:sz="0" w:space="0" w:color="auto"/>
                                                      </w:divBdr>
                                                    </w:div>
                                                    <w:div w:id="420642422">
                                                      <w:marLeft w:val="0"/>
                                                      <w:marRight w:val="0"/>
                                                      <w:marTop w:val="0"/>
                                                      <w:marBottom w:val="0"/>
                                                      <w:divBdr>
                                                        <w:top w:val="none" w:sz="0" w:space="0" w:color="auto"/>
                                                        <w:left w:val="none" w:sz="0" w:space="0" w:color="auto"/>
                                                        <w:bottom w:val="none" w:sz="0" w:space="0" w:color="auto"/>
                                                        <w:right w:val="none" w:sz="0" w:space="0" w:color="auto"/>
                                                      </w:divBdr>
                                                    </w:div>
                                                    <w:div w:id="828249707">
                                                      <w:marLeft w:val="0"/>
                                                      <w:marRight w:val="0"/>
                                                      <w:marTop w:val="0"/>
                                                      <w:marBottom w:val="0"/>
                                                      <w:divBdr>
                                                        <w:top w:val="none" w:sz="0" w:space="0" w:color="auto"/>
                                                        <w:left w:val="none" w:sz="0" w:space="0" w:color="auto"/>
                                                        <w:bottom w:val="none" w:sz="0" w:space="0" w:color="auto"/>
                                                        <w:right w:val="none" w:sz="0" w:space="0" w:color="auto"/>
                                                      </w:divBdr>
                                                    </w:div>
                                                    <w:div w:id="537546466">
                                                      <w:marLeft w:val="0"/>
                                                      <w:marRight w:val="0"/>
                                                      <w:marTop w:val="0"/>
                                                      <w:marBottom w:val="0"/>
                                                      <w:divBdr>
                                                        <w:top w:val="none" w:sz="0" w:space="0" w:color="auto"/>
                                                        <w:left w:val="none" w:sz="0" w:space="0" w:color="auto"/>
                                                        <w:bottom w:val="none" w:sz="0" w:space="0" w:color="auto"/>
                                                        <w:right w:val="none" w:sz="0" w:space="0" w:color="auto"/>
                                                      </w:divBdr>
                                                    </w:div>
                                                    <w:div w:id="1494486475">
                                                      <w:marLeft w:val="0"/>
                                                      <w:marRight w:val="0"/>
                                                      <w:marTop w:val="0"/>
                                                      <w:marBottom w:val="0"/>
                                                      <w:divBdr>
                                                        <w:top w:val="none" w:sz="0" w:space="0" w:color="auto"/>
                                                        <w:left w:val="none" w:sz="0" w:space="0" w:color="auto"/>
                                                        <w:bottom w:val="none" w:sz="0" w:space="0" w:color="auto"/>
                                                        <w:right w:val="none" w:sz="0" w:space="0" w:color="auto"/>
                                                      </w:divBdr>
                                                    </w:div>
                                                    <w:div w:id="981888321">
                                                      <w:marLeft w:val="0"/>
                                                      <w:marRight w:val="0"/>
                                                      <w:marTop w:val="0"/>
                                                      <w:marBottom w:val="0"/>
                                                      <w:divBdr>
                                                        <w:top w:val="none" w:sz="0" w:space="0" w:color="auto"/>
                                                        <w:left w:val="none" w:sz="0" w:space="0" w:color="auto"/>
                                                        <w:bottom w:val="none" w:sz="0" w:space="0" w:color="auto"/>
                                                        <w:right w:val="none" w:sz="0" w:space="0" w:color="auto"/>
                                                      </w:divBdr>
                                                    </w:div>
                                                    <w:div w:id="1825463768">
                                                      <w:marLeft w:val="0"/>
                                                      <w:marRight w:val="0"/>
                                                      <w:marTop w:val="0"/>
                                                      <w:marBottom w:val="0"/>
                                                      <w:divBdr>
                                                        <w:top w:val="none" w:sz="0" w:space="0" w:color="auto"/>
                                                        <w:left w:val="none" w:sz="0" w:space="0" w:color="auto"/>
                                                        <w:bottom w:val="none" w:sz="0" w:space="0" w:color="auto"/>
                                                        <w:right w:val="none" w:sz="0" w:space="0" w:color="auto"/>
                                                      </w:divBdr>
                                                    </w:div>
                                                    <w:div w:id="1791973503">
                                                      <w:marLeft w:val="0"/>
                                                      <w:marRight w:val="0"/>
                                                      <w:marTop w:val="0"/>
                                                      <w:marBottom w:val="0"/>
                                                      <w:divBdr>
                                                        <w:top w:val="none" w:sz="0" w:space="0" w:color="auto"/>
                                                        <w:left w:val="none" w:sz="0" w:space="0" w:color="auto"/>
                                                        <w:bottom w:val="none" w:sz="0" w:space="0" w:color="auto"/>
                                                        <w:right w:val="none" w:sz="0" w:space="0" w:color="auto"/>
                                                      </w:divBdr>
                                                      <w:divsChild>
                                                        <w:div w:id="1005549019">
                                                          <w:marLeft w:val="0"/>
                                                          <w:marRight w:val="0"/>
                                                          <w:marTop w:val="0"/>
                                                          <w:marBottom w:val="0"/>
                                                          <w:divBdr>
                                                            <w:top w:val="none" w:sz="0" w:space="0" w:color="auto"/>
                                                            <w:left w:val="none" w:sz="0" w:space="0" w:color="auto"/>
                                                            <w:bottom w:val="none" w:sz="0" w:space="0" w:color="auto"/>
                                                            <w:right w:val="none" w:sz="0" w:space="0" w:color="auto"/>
                                                          </w:divBdr>
                                                        </w:div>
                                                      </w:divsChild>
                                                    </w:div>
                                                    <w:div w:id="431167368">
                                                      <w:marLeft w:val="0"/>
                                                      <w:marRight w:val="0"/>
                                                      <w:marTop w:val="0"/>
                                                      <w:marBottom w:val="0"/>
                                                      <w:divBdr>
                                                        <w:top w:val="none" w:sz="0" w:space="0" w:color="auto"/>
                                                        <w:left w:val="none" w:sz="0" w:space="0" w:color="auto"/>
                                                        <w:bottom w:val="none" w:sz="0" w:space="0" w:color="auto"/>
                                                        <w:right w:val="none" w:sz="0" w:space="0" w:color="auto"/>
                                                      </w:divBdr>
                                                    </w:div>
                                                    <w:div w:id="1175652024">
                                                      <w:marLeft w:val="0"/>
                                                      <w:marRight w:val="0"/>
                                                      <w:marTop w:val="0"/>
                                                      <w:marBottom w:val="0"/>
                                                      <w:divBdr>
                                                        <w:top w:val="none" w:sz="0" w:space="0" w:color="auto"/>
                                                        <w:left w:val="none" w:sz="0" w:space="0" w:color="auto"/>
                                                        <w:bottom w:val="none" w:sz="0" w:space="0" w:color="auto"/>
                                                        <w:right w:val="none" w:sz="0" w:space="0" w:color="auto"/>
                                                      </w:divBdr>
                                                    </w:div>
                                                    <w:div w:id="1308702184">
                                                      <w:marLeft w:val="0"/>
                                                      <w:marRight w:val="0"/>
                                                      <w:marTop w:val="0"/>
                                                      <w:marBottom w:val="0"/>
                                                      <w:divBdr>
                                                        <w:top w:val="none" w:sz="0" w:space="0" w:color="auto"/>
                                                        <w:left w:val="none" w:sz="0" w:space="0" w:color="auto"/>
                                                        <w:bottom w:val="none" w:sz="0" w:space="0" w:color="auto"/>
                                                        <w:right w:val="none" w:sz="0" w:space="0" w:color="auto"/>
                                                      </w:divBdr>
                                                    </w:div>
                                                    <w:div w:id="304550053">
                                                      <w:marLeft w:val="0"/>
                                                      <w:marRight w:val="0"/>
                                                      <w:marTop w:val="0"/>
                                                      <w:marBottom w:val="0"/>
                                                      <w:divBdr>
                                                        <w:top w:val="none" w:sz="0" w:space="0" w:color="auto"/>
                                                        <w:left w:val="none" w:sz="0" w:space="0" w:color="auto"/>
                                                        <w:bottom w:val="none" w:sz="0" w:space="0" w:color="auto"/>
                                                        <w:right w:val="none" w:sz="0" w:space="0" w:color="auto"/>
                                                      </w:divBdr>
                                                    </w:div>
                                                    <w:div w:id="364410670">
                                                      <w:marLeft w:val="0"/>
                                                      <w:marRight w:val="0"/>
                                                      <w:marTop w:val="0"/>
                                                      <w:marBottom w:val="0"/>
                                                      <w:divBdr>
                                                        <w:top w:val="none" w:sz="0" w:space="0" w:color="auto"/>
                                                        <w:left w:val="none" w:sz="0" w:space="0" w:color="auto"/>
                                                        <w:bottom w:val="none" w:sz="0" w:space="0" w:color="auto"/>
                                                        <w:right w:val="none" w:sz="0" w:space="0" w:color="auto"/>
                                                      </w:divBdr>
                                                    </w:div>
                                                    <w:div w:id="1431197371">
                                                      <w:marLeft w:val="0"/>
                                                      <w:marRight w:val="0"/>
                                                      <w:marTop w:val="0"/>
                                                      <w:marBottom w:val="0"/>
                                                      <w:divBdr>
                                                        <w:top w:val="none" w:sz="0" w:space="0" w:color="auto"/>
                                                        <w:left w:val="none" w:sz="0" w:space="0" w:color="auto"/>
                                                        <w:bottom w:val="none" w:sz="0" w:space="0" w:color="auto"/>
                                                        <w:right w:val="none" w:sz="0" w:space="0" w:color="auto"/>
                                                      </w:divBdr>
                                                    </w:div>
                                                    <w:div w:id="1960258194">
                                                      <w:marLeft w:val="0"/>
                                                      <w:marRight w:val="0"/>
                                                      <w:marTop w:val="0"/>
                                                      <w:marBottom w:val="0"/>
                                                      <w:divBdr>
                                                        <w:top w:val="none" w:sz="0" w:space="0" w:color="auto"/>
                                                        <w:left w:val="none" w:sz="0" w:space="0" w:color="auto"/>
                                                        <w:bottom w:val="none" w:sz="0" w:space="0" w:color="auto"/>
                                                        <w:right w:val="none" w:sz="0" w:space="0" w:color="auto"/>
                                                      </w:divBdr>
                                                    </w:div>
                                                    <w:div w:id="488715053">
                                                      <w:marLeft w:val="0"/>
                                                      <w:marRight w:val="0"/>
                                                      <w:marTop w:val="0"/>
                                                      <w:marBottom w:val="0"/>
                                                      <w:divBdr>
                                                        <w:top w:val="none" w:sz="0" w:space="0" w:color="auto"/>
                                                        <w:left w:val="none" w:sz="0" w:space="0" w:color="auto"/>
                                                        <w:bottom w:val="none" w:sz="0" w:space="0" w:color="auto"/>
                                                        <w:right w:val="none" w:sz="0" w:space="0" w:color="auto"/>
                                                      </w:divBdr>
                                                      <w:divsChild>
                                                        <w:div w:id="638270292">
                                                          <w:marLeft w:val="0"/>
                                                          <w:marRight w:val="0"/>
                                                          <w:marTop w:val="0"/>
                                                          <w:marBottom w:val="0"/>
                                                          <w:divBdr>
                                                            <w:top w:val="none" w:sz="0" w:space="0" w:color="auto"/>
                                                            <w:left w:val="none" w:sz="0" w:space="0" w:color="auto"/>
                                                            <w:bottom w:val="none" w:sz="0" w:space="0" w:color="auto"/>
                                                            <w:right w:val="none" w:sz="0" w:space="0" w:color="auto"/>
                                                          </w:divBdr>
                                                          <w:divsChild>
                                                            <w:div w:id="202678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77875116">
      <w:bodyDiv w:val="1"/>
      <w:marLeft w:val="0"/>
      <w:marRight w:val="0"/>
      <w:marTop w:val="0"/>
      <w:marBottom w:val="0"/>
      <w:divBdr>
        <w:top w:val="none" w:sz="0" w:space="0" w:color="auto"/>
        <w:left w:val="none" w:sz="0" w:space="0" w:color="auto"/>
        <w:bottom w:val="none" w:sz="0" w:space="0" w:color="auto"/>
        <w:right w:val="none" w:sz="0" w:space="0" w:color="auto"/>
      </w:divBdr>
    </w:div>
    <w:div w:id="1171406084">
      <w:bodyDiv w:val="1"/>
      <w:marLeft w:val="0"/>
      <w:marRight w:val="0"/>
      <w:marTop w:val="0"/>
      <w:marBottom w:val="0"/>
      <w:divBdr>
        <w:top w:val="none" w:sz="0" w:space="0" w:color="auto"/>
        <w:left w:val="none" w:sz="0" w:space="0" w:color="auto"/>
        <w:bottom w:val="none" w:sz="0" w:space="0" w:color="auto"/>
        <w:right w:val="none" w:sz="0" w:space="0" w:color="auto"/>
      </w:divBdr>
      <w:divsChild>
        <w:div w:id="312023814">
          <w:marLeft w:val="0"/>
          <w:marRight w:val="0"/>
          <w:marTop w:val="0"/>
          <w:marBottom w:val="0"/>
          <w:divBdr>
            <w:top w:val="none" w:sz="0" w:space="0" w:color="auto"/>
            <w:left w:val="none" w:sz="0" w:space="0" w:color="auto"/>
            <w:bottom w:val="none" w:sz="0" w:space="0" w:color="auto"/>
            <w:right w:val="none" w:sz="0" w:space="0" w:color="auto"/>
          </w:divBdr>
          <w:divsChild>
            <w:div w:id="1629777841">
              <w:marLeft w:val="0"/>
              <w:marRight w:val="0"/>
              <w:marTop w:val="0"/>
              <w:marBottom w:val="0"/>
              <w:divBdr>
                <w:top w:val="none" w:sz="0" w:space="0" w:color="auto"/>
                <w:left w:val="none" w:sz="0" w:space="0" w:color="auto"/>
                <w:bottom w:val="none" w:sz="0" w:space="0" w:color="auto"/>
                <w:right w:val="none" w:sz="0" w:space="0" w:color="auto"/>
              </w:divBdr>
              <w:divsChild>
                <w:div w:id="1604265889">
                  <w:marLeft w:val="0"/>
                  <w:marRight w:val="0"/>
                  <w:marTop w:val="0"/>
                  <w:marBottom w:val="300"/>
                  <w:divBdr>
                    <w:top w:val="none" w:sz="0" w:space="0" w:color="auto"/>
                    <w:left w:val="none" w:sz="0" w:space="0" w:color="auto"/>
                    <w:bottom w:val="none" w:sz="0" w:space="0" w:color="auto"/>
                    <w:right w:val="none" w:sz="0" w:space="0" w:color="auto"/>
                  </w:divBdr>
                  <w:divsChild>
                    <w:div w:id="219950212">
                      <w:marLeft w:val="2325"/>
                      <w:marRight w:val="0"/>
                      <w:marTop w:val="0"/>
                      <w:marBottom w:val="0"/>
                      <w:divBdr>
                        <w:top w:val="none" w:sz="0" w:space="0" w:color="auto"/>
                        <w:left w:val="none" w:sz="0" w:space="0" w:color="auto"/>
                        <w:bottom w:val="none" w:sz="0" w:space="0" w:color="auto"/>
                        <w:right w:val="none" w:sz="0" w:space="0" w:color="auto"/>
                      </w:divBdr>
                      <w:divsChild>
                        <w:div w:id="145323046">
                          <w:marLeft w:val="0"/>
                          <w:marRight w:val="0"/>
                          <w:marTop w:val="0"/>
                          <w:marBottom w:val="0"/>
                          <w:divBdr>
                            <w:top w:val="none" w:sz="0" w:space="0" w:color="auto"/>
                            <w:left w:val="none" w:sz="0" w:space="0" w:color="auto"/>
                            <w:bottom w:val="none" w:sz="0" w:space="0" w:color="auto"/>
                            <w:right w:val="none" w:sz="0" w:space="0" w:color="auto"/>
                          </w:divBdr>
                          <w:divsChild>
                            <w:div w:id="741948687">
                              <w:marLeft w:val="0"/>
                              <w:marRight w:val="0"/>
                              <w:marTop w:val="0"/>
                              <w:marBottom w:val="0"/>
                              <w:divBdr>
                                <w:top w:val="none" w:sz="0" w:space="0" w:color="auto"/>
                                <w:left w:val="none" w:sz="0" w:space="0" w:color="auto"/>
                                <w:bottom w:val="none" w:sz="0" w:space="0" w:color="auto"/>
                                <w:right w:val="none" w:sz="0" w:space="0" w:color="auto"/>
                              </w:divBdr>
                              <w:divsChild>
                                <w:div w:id="1874733140">
                                  <w:marLeft w:val="0"/>
                                  <w:marRight w:val="0"/>
                                  <w:marTop w:val="0"/>
                                  <w:marBottom w:val="0"/>
                                  <w:divBdr>
                                    <w:top w:val="none" w:sz="0" w:space="0" w:color="auto"/>
                                    <w:left w:val="none" w:sz="0" w:space="0" w:color="auto"/>
                                    <w:bottom w:val="none" w:sz="0" w:space="0" w:color="auto"/>
                                    <w:right w:val="none" w:sz="0" w:space="0" w:color="auto"/>
                                  </w:divBdr>
                                  <w:divsChild>
                                    <w:div w:id="1767840966">
                                      <w:marLeft w:val="0"/>
                                      <w:marRight w:val="0"/>
                                      <w:marTop w:val="0"/>
                                      <w:marBottom w:val="0"/>
                                      <w:divBdr>
                                        <w:top w:val="none" w:sz="0" w:space="0" w:color="auto"/>
                                        <w:left w:val="none" w:sz="0" w:space="0" w:color="auto"/>
                                        <w:bottom w:val="none" w:sz="0" w:space="0" w:color="auto"/>
                                        <w:right w:val="none" w:sz="0" w:space="0" w:color="auto"/>
                                      </w:divBdr>
                                      <w:divsChild>
                                        <w:div w:id="1755934283">
                                          <w:marLeft w:val="0"/>
                                          <w:marRight w:val="-3525"/>
                                          <w:marTop w:val="0"/>
                                          <w:marBottom w:val="0"/>
                                          <w:divBdr>
                                            <w:top w:val="none" w:sz="0" w:space="0" w:color="auto"/>
                                            <w:left w:val="none" w:sz="0" w:space="0" w:color="auto"/>
                                            <w:bottom w:val="none" w:sz="0" w:space="0" w:color="auto"/>
                                            <w:right w:val="none" w:sz="0" w:space="0" w:color="auto"/>
                                          </w:divBdr>
                                          <w:divsChild>
                                            <w:div w:id="458037539">
                                              <w:marLeft w:val="0"/>
                                              <w:marRight w:val="3225"/>
                                              <w:marTop w:val="0"/>
                                              <w:marBottom w:val="0"/>
                                              <w:divBdr>
                                                <w:top w:val="none" w:sz="0" w:space="0" w:color="auto"/>
                                                <w:left w:val="none" w:sz="0" w:space="0" w:color="auto"/>
                                                <w:bottom w:val="none" w:sz="0" w:space="0" w:color="auto"/>
                                                <w:right w:val="none" w:sz="0" w:space="0" w:color="auto"/>
                                              </w:divBdr>
                                              <w:divsChild>
                                                <w:div w:id="1553468495">
                                                  <w:marLeft w:val="0"/>
                                                  <w:marRight w:val="0"/>
                                                  <w:marTop w:val="0"/>
                                                  <w:marBottom w:val="150"/>
                                                  <w:divBdr>
                                                    <w:top w:val="none" w:sz="0" w:space="0" w:color="auto"/>
                                                    <w:left w:val="none" w:sz="0" w:space="0" w:color="auto"/>
                                                    <w:bottom w:val="none" w:sz="0" w:space="0" w:color="auto"/>
                                                    <w:right w:val="none" w:sz="0" w:space="0" w:color="auto"/>
                                                  </w:divBdr>
                                                </w:div>
                                                <w:div w:id="188377386">
                                                  <w:marLeft w:val="0"/>
                                                  <w:marRight w:val="0"/>
                                                  <w:marTop w:val="0"/>
                                                  <w:marBottom w:val="0"/>
                                                  <w:divBdr>
                                                    <w:top w:val="none" w:sz="0" w:space="0" w:color="auto"/>
                                                    <w:left w:val="none" w:sz="0" w:space="0" w:color="auto"/>
                                                    <w:bottom w:val="none" w:sz="0" w:space="0" w:color="auto"/>
                                                    <w:right w:val="none" w:sz="0" w:space="0" w:color="auto"/>
                                                  </w:divBdr>
                                                  <w:divsChild>
                                                    <w:div w:id="529539375">
                                                      <w:marLeft w:val="0"/>
                                                      <w:marRight w:val="0"/>
                                                      <w:marTop w:val="0"/>
                                                      <w:marBottom w:val="0"/>
                                                      <w:divBdr>
                                                        <w:top w:val="none" w:sz="0" w:space="0" w:color="auto"/>
                                                        <w:left w:val="none" w:sz="0" w:space="0" w:color="auto"/>
                                                        <w:bottom w:val="none" w:sz="0" w:space="0" w:color="auto"/>
                                                        <w:right w:val="none" w:sz="0" w:space="0" w:color="auto"/>
                                                      </w:divBdr>
                                                    </w:div>
                                                  </w:divsChild>
                                                </w:div>
                                                <w:div w:id="413281911">
                                                  <w:marLeft w:val="15"/>
                                                  <w:marRight w:val="15"/>
                                                  <w:marTop w:val="15"/>
                                                  <w:marBottom w:val="15"/>
                                                  <w:divBdr>
                                                    <w:top w:val="none" w:sz="0" w:space="0" w:color="auto"/>
                                                    <w:left w:val="none" w:sz="0" w:space="0" w:color="auto"/>
                                                    <w:bottom w:val="none" w:sz="0" w:space="0" w:color="auto"/>
                                                    <w:right w:val="none" w:sz="0" w:space="0" w:color="auto"/>
                                                  </w:divBdr>
                                                  <w:divsChild>
                                                    <w:div w:id="1774473268">
                                                      <w:marLeft w:val="0"/>
                                                      <w:marRight w:val="0"/>
                                                      <w:marTop w:val="0"/>
                                                      <w:marBottom w:val="0"/>
                                                      <w:divBdr>
                                                        <w:top w:val="none" w:sz="0" w:space="0" w:color="auto"/>
                                                        <w:left w:val="none" w:sz="0" w:space="0" w:color="auto"/>
                                                        <w:bottom w:val="none" w:sz="0" w:space="0" w:color="auto"/>
                                                        <w:right w:val="none" w:sz="0" w:space="0" w:color="auto"/>
                                                      </w:divBdr>
                                                    </w:div>
                                                    <w:div w:id="33696583">
                                                      <w:marLeft w:val="0"/>
                                                      <w:marRight w:val="0"/>
                                                      <w:marTop w:val="0"/>
                                                      <w:marBottom w:val="0"/>
                                                      <w:divBdr>
                                                        <w:top w:val="none" w:sz="0" w:space="0" w:color="auto"/>
                                                        <w:left w:val="none" w:sz="0" w:space="0" w:color="auto"/>
                                                        <w:bottom w:val="none" w:sz="0" w:space="0" w:color="auto"/>
                                                        <w:right w:val="none" w:sz="0" w:space="0" w:color="auto"/>
                                                      </w:divBdr>
                                                    </w:div>
                                                    <w:div w:id="1790515926">
                                                      <w:marLeft w:val="0"/>
                                                      <w:marRight w:val="0"/>
                                                      <w:marTop w:val="0"/>
                                                      <w:marBottom w:val="0"/>
                                                      <w:divBdr>
                                                        <w:top w:val="none" w:sz="0" w:space="0" w:color="auto"/>
                                                        <w:left w:val="none" w:sz="0" w:space="0" w:color="auto"/>
                                                        <w:bottom w:val="none" w:sz="0" w:space="0" w:color="auto"/>
                                                        <w:right w:val="none" w:sz="0" w:space="0" w:color="auto"/>
                                                      </w:divBdr>
                                                    </w:div>
                                                    <w:div w:id="201792484">
                                                      <w:marLeft w:val="0"/>
                                                      <w:marRight w:val="0"/>
                                                      <w:marTop w:val="0"/>
                                                      <w:marBottom w:val="0"/>
                                                      <w:divBdr>
                                                        <w:top w:val="none" w:sz="0" w:space="0" w:color="auto"/>
                                                        <w:left w:val="none" w:sz="0" w:space="0" w:color="auto"/>
                                                        <w:bottom w:val="none" w:sz="0" w:space="0" w:color="auto"/>
                                                        <w:right w:val="none" w:sz="0" w:space="0" w:color="auto"/>
                                                      </w:divBdr>
                                                    </w:div>
                                                    <w:div w:id="77598479">
                                                      <w:marLeft w:val="0"/>
                                                      <w:marRight w:val="0"/>
                                                      <w:marTop w:val="0"/>
                                                      <w:marBottom w:val="0"/>
                                                      <w:divBdr>
                                                        <w:top w:val="none" w:sz="0" w:space="0" w:color="auto"/>
                                                        <w:left w:val="none" w:sz="0" w:space="0" w:color="auto"/>
                                                        <w:bottom w:val="none" w:sz="0" w:space="0" w:color="auto"/>
                                                        <w:right w:val="none" w:sz="0" w:space="0" w:color="auto"/>
                                                      </w:divBdr>
                                                    </w:div>
                                                    <w:div w:id="875311130">
                                                      <w:marLeft w:val="0"/>
                                                      <w:marRight w:val="0"/>
                                                      <w:marTop w:val="0"/>
                                                      <w:marBottom w:val="0"/>
                                                      <w:divBdr>
                                                        <w:top w:val="none" w:sz="0" w:space="0" w:color="auto"/>
                                                        <w:left w:val="none" w:sz="0" w:space="0" w:color="auto"/>
                                                        <w:bottom w:val="none" w:sz="0" w:space="0" w:color="auto"/>
                                                        <w:right w:val="none" w:sz="0" w:space="0" w:color="auto"/>
                                                      </w:divBdr>
                                                    </w:div>
                                                    <w:div w:id="1703093032">
                                                      <w:marLeft w:val="0"/>
                                                      <w:marRight w:val="0"/>
                                                      <w:marTop w:val="0"/>
                                                      <w:marBottom w:val="0"/>
                                                      <w:divBdr>
                                                        <w:top w:val="none" w:sz="0" w:space="0" w:color="auto"/>
                                                        <w:left w:val="none" w:sz="0" w:space="0" w:color="auto"/>
                                                        <w:bottom w:val="none" w:sz="0" w:space="0" w:color="auto"/>
                                                        <w:right w:val="none" w:sz="0" w:space="0" w:color="auto"/>
                                                      </w:divBdr>
                                                    </w:div>
                                                    <w:div w:id="920069706">
                                                      <w:marLeft w:val="0"/>
                                                      <w:marRight w:val="0"/>
                                                      <w:marTop w:val="0"/>
                                                      <w:marBottom w:val="0"/>
                                                      <w:divBdr>
                                                        <w:top w:val="none" w:sz="0" w:space="0" w:color="auto"/>
                                                        <w:left w:val="none" w:sz="0" w:space="0" w:color="auto"/>
                                                        <w:bottom w:val="none" w:sz="0" w:space="0" w:color="auto"/>
                                                        <w:right w:val="none" w:sz="0" w:space="0" w:color="auto"/>
                                                      </w:divBdr>
                                                    </w:div>
                                                    <w:div w:id="2086144090">
                                                      <w:marLeft w:val="0"/>
                                                      <w:marRight w:val="0"/>
                                                      <w:marTop w:val="0"/>
                                                      <w:marBottom w:val="0"/>
                                                      <w:divBdr>
                                                        <w:top w:val="none" w:sz="0" w:space="0" w:color="auto"/>
                                                        <w:left w:val="none" w:sz="0" w:space="0" w:color="auto"/>
                                                        <w:bottom w:val="none" w:sz="0" w:space="0" w:color="auto"/>
                                                        <w:right w:val="none" w:sz="0" w:space="0" w:color="auto"/>
                                                      </w:divBdr>
                                                    </w:div>
                                                    <w:div w:id="1955288967">
                                                      <w:marLeft w:val="0"/>
                                                      <w:marRight w:val="0"/>
                                                      <w:marTop w:val="0"/>
                                                      <w:marBottom w:val="0"/>
                                                      <w:divBdr>
                                                        <w:top w:val="none" w:sz="0" w:space="0" w:color="auto"/>
                                                        <w:left w:val="none" w:sz="0" w:space="0" w:color="auto"/>
                                                        <w:bottom w:val="none" w:sz="0" w:space="0" w:color="auto"/>
                                                        <w:right w:val="none" w:sz="0" w:space="0" w:color="auto"/>
                                                      </w:divBdr>
                                                    </w:div>
                                                    <w:div w:id="45227148">
                                                      <w:marLeft w:val="0"/>
                                                      <w:marRight w:val="0"/>
                                                      <w:marTop w:val="0"/>
                                                      <w:marBottom w:val="0"/>
                                                      <w:divBdr>
                                                        <w:top w:val="none" w:sz="0" w:space="0" w:color="auto"/>
                                                        <w:left w:val="none" w:sz="0" w:space="0" w:color="auto"/>
                                                        <w:bottom w:val="none" w:sz="0" w:space="0" w:color="auto"/>
                                                        <w:right w:val="none" w:sz="0" w:space="0" w:color="auto"/>
                                                      </w:divBdr>
                                                    </w:div>
                                                    <w:div w:id="829560096">
                                                      <w:marLeft w:val="0"/>
                                                      <w:marRight w:val="0"/>
                                                      <w:marTop w:val="0"/>
                                                      <w:marBottom w:val="0"/>
                                                      <w:divBdr>
                                                        <w:top w:val="none" w:sz="0" w:space="0" w:color="auto"/>
                                                        <w:left w:val="none" w:sz="0" w:space="0" w:color="auto"/>
                                                        <w:bottom w:val="none" w:sz="0" w:space="0" w:color="auto"/>
                                                        <w:right w:val="none" w:sz="0" w:space="0" w:color="auto"/>
                                                      </w:divBdr>
                                                    </w:div>
                                                    <w:div w:id="102043278">
                                                      <w:marLeft w:val="0"/>
                                                      <w:marRight w:val="0"/>
                                                      <w:marTop w:val="0"/>
                                                      <w:marBottom w:val="0"/>
                                                      <w:divBdr>
                                                        <w:top w:val="none" w:sz="0" w:space="0" w:color="auto"/>
                                                        <w:left w:val="none" w:sz="0" w:space="0" w:color="auto"/>
                                                        <w:bottom w:val="none" w:sz="0" w:space="0" w:color="auto"/>
                                                        <w:right w:val="none" w:sz="0" w:space="0" w:color="auto"/>
                                                      </w:divBdr>
                                                    </w:div>
                                                    <w:div w:id="1708487758">
                                                      <w:marLeft w:val="0"/>
                                                      <w:marRight w:val="0"/>
                                                      <w:marTop w:val="0"/>
                                                      <w:marBottom w:val="0"/>
                                                      <w:divBdr>
                                                        <w:top w:val="none" w:sz="0" w:space="0" w:color="auto"/>
                                                        <w:left w:val="none" w:sz="0" w:space="0" w:color="auto"/>
                                                        <w:bottom w:val="none" w:sz="0" w:space="0" w:color="auto"/>
                                                        <w:right w:val="none" w:sz="0" w:space="0" w:color="auto"/>
                                                      </w:divBdr>
                                                    </w:div>
                                                    <w:div w:id="411852200">
                                                      <w:marLeft w:val="0"/>
                                                      <w:marRight w:val="0"/>
                                                      <w:marTop w:val="0"/>
                                                      <w:marBottom w:val="0"/>
                                                      <w:divBdr>
                                                        <w:top w:val="none" w:sz="0" w:space="0" w:color="auto"/>
                                                        <w:left w:val="none" w:sz="0" w:space="0" w:color="auto"/>
                                                        <w:bottom w:val="none" w:sz="0" w:space="0" w:color="auto"/>
                                                        <w:right w:val="none" w:sz="0" w:space="0" w:color="auto"/>
                                                      </w:divBdr>
                                                      <w:divsChild>
                                                        <w:div w:id="165633699">
                                                          <w:marLeft w:val="0"/>
                                                          <w:marRight w:val="0"/>
                                                          <w:marTop w:val="0"/>
                                                          <w:marBottom w:val="0"/>
                                                          <w:divBdr>
                                                            <w:top w:val="none" w:sz="0" w:space="0" w:color="auto"/>
                                                            <w:left w:val="none" w:sz="0" w:space="0" w:color="auto"/>
                                                            <w:bottom w:val="none" w:sz="0" w:space="0" w:color="auto"/>
                                                            <w:right w:val="none" w:sz="0" w:space="0" w:color="auto"/>
                                                          </w:divBdr>
                                                        </w:div>
                                                        <w:div w:id="350568079">
                                                          <w:marLeft w:val="0"/>
                                                          <w:marRight w:val="0"/>
                                                          <w:marTop w:val="0"/>
                                                          <w:marBottom w:val="0"/>
                                                          <w:divBdr>
                                                            <w:top w:val="none" w:sz="0" w:space="0" w:color="auto"/>
                                                            <w:left w:val="none" w:sz="0" w:space="0" w:color="auto"/>
                                                            <w:bottom w:val="none" w:sz="0" w:space="0" w:color="auto"/>
                                                            <w:right w:val="none" w:sz="0" w:space="0" w:color="auto"/>
                                                          </w:divBdr>
                                                          <w:divsChild>
                                                            <w:div w:id="84667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85975641">
      <w:bodyDiv w:val="1"/>
      <w:marLeft w:val="0"/>
      <w:marRight w:val="0"/>
      <w:marTop w:val="0"/>
      <w:marBottom w:val="0"/>
      <w:divBdr>
        <w:top w:val="none" w:sz="0" w:space="0" w:color="auto"/>
        <w:left w:val="none" w:sz="0" w:space="0" w:color="auto"/>
        <w:bottom w:val="none" w:sz="0" w:space="0" w:color="auto"/>
        <w:right w:val="none" w:sz="0" w:space="0" w:color="auto"/>
      </w:divBdr>
    </w:div>
    <w:div w:id="1678071025">
      <w:bodyDiv w:val="1"/>
      <w:marLeft w:val="0"/>
      <w:marRight w:val="0"/>
      <w:marTop w:val="0"/>
      <w:marBottom w:val="0"/>
      <w:divBdr>
        <w:top w:val="none" w:sz="0" w:space="0" w:color="auto"/>
        <w:left w:val="none" w:sz="0" w:space="0" w:color="auto"/>
        <w:bottom w:val="none" w:sz="0" w:space="0" w:color="auto"/>
        <w:right w:val="none" w:sz="0" w:space="0" w:color="auto"/>
      </w:divBdr>
      <w:divsChild>
        <w:div w:id="1917666006">
          <w:marLeft w:val="0"/>
          <w:marRight w:val="0"/>
          <w:marTop w:val="0"/>
          <w:marBottom w:val="0"/>
          <w:divBdr>
            <w:top w:val="none" w:sz="0" w:space="0" w:color="auto"/>
            <w:left w:val="none" w:sz="0" w:space="0" w:color="auto"/>
            <w:bottom w:val="none" w:sz="0" w:space="0" w:color="auto"/>
            <w:right w:val="none" w:sz="0" w:space="0" w:color="auto"/>
          </w:divBdr>
        </w:div>
        <w:div w:id="426194691">
          <w:marLeft w:val="0"/>
          <w:marRight w:val="0"/>
          <w:marTop w:val="0"/>
          <w:marBottom w:val="0"/>
          <w:divBdr>
            <w:top w:val="none" w:sz="0" w:space="0" w:color="auto"/>
            <w:left w:val="none" w:sz="0" w:space="0" w:color="auto"/>
            <w:bottom w:val="none" w:sz="0" w:space="0" w:color="auto"/>
            <w:right w:val="none" w:sz="0" w:space="0" w:color="auto"/>
          </w:divBdr>
        </w:div>
        <w:div w:id="2515627">
          <w:marLeft w:val="0"/>
          <w:marRight w:val="0"/>
          <w:marTop w:val="0"/>
          <w:marBottom w:val="0"/>
          <w:divBdr>
            <w:top w:val="none" w:sz="0" w:space="0" w:color="auto"/>
            <w:left w:val="none" w:sz="0" w:space="0" w:color="auto"/>
            <w:bottom w:val="none" w:sz="0" w:space="0" w:color="auto"/>
            <w:right w:val="none" w:sz="0" w:space="0" w:color="auto"/>
          </w:divBdr>
        </w:div>
        <w:div w:id="1507865599">
          <w:marLeft w:val="0"/>
          <w:marRight w:val="0"/>
          <w:marTop w:val="0"/>
          <w:marBottom w:val="0"/>
          <w:divBdr>
            <w:top w:val="none" w:sz="0" w:space="0" w:color="auto"/>
            <w:left w:val="none" w:sz="0" w:space="0" w:color="auto"/>
            <w:bottom w:val="none" w:sz="0" w:space="0" w:color="auto"/>
            <w:right w:val="none" w:sz="0" w:space="0" w:color="auto"/>
          </w:divBdr>
        </w:div>
      </w:divsChild>
    </w:div>
    <w:div w:id="1809123560">
      <w:bodyDiv w:val="1"/>
      <w:marLeft w:val="0"/>
      <w:marRight w:val="0"/>
      <w:marTop w:val="0"/>
      <w:marBottom w:val="0"/>
      <w:divBdr>
        <w:top w:val="none" w:sz="0" w:space="0" w:color="auto"/>
        <w:left w:val="none" w:sz="0" w:space="0" w:color="auto"/>
        <w:bottom w:val="none" w:sz="0" w:space="0" w:color="auto"/>
        <w:right w:val="none" w:sz="0" w:space="0" w:color="auto"/>
      </w:divBdr>
    </w:div>
    <w:div w:id="1942912906">
      <w:bodyDiv w:val="1"/>
      <w:marLeft w:val="0"/>
      <w:marRight w:val="0"/>
      <w:marTop w:val="0"/>
      <w:marBottom w:val="0"/>
      <w:divBdr>
        <w:top w:val="none" w:sz="0" w:space="0" w:color="auto"/>
        <w:left w:val="none" w:sz="0" w:space="0" w:color="auto"/>
        <w:bottom w:val="none" w:sz="0" w:space="0" w:color="auto"/>
        <w:right w:val="none" w:sz="0" w:space="0" w:color="auto"/>
      </w:divBdr>
    </w:div>
    <w:div w:id="208622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pp.undp.org/node/731" TargetMode="External"/><Relationship Id="rId18" Type="http://schemas.openxmlformats.org/officeDocument/2006/relationships/hyperlink" Target="https://popp.undp.org/fr/document/invitation-soumettre-une-offre-pour-indiquer-le-titre-de-la-mission" TargetMode="External"/><Relationship Id="rId26" Type="http://schemas.openxmlformats.org/officeDocument/2006/relationships/hyperlink" Target="https://popp.undp.org/node/691" TargetMode="External"/><Relationship Id="rId39" Type="http://schemas.openxmlformats.org/officeDocument/2006/relationships/hyperlink" Target="https://popp.undp.org/node/3246" TargetMode="External"/><Relationship Id="rId21" Type="http://schemas.openxmlformats.org/officeDocument/2006/relationships/hyperlink" Target="http://procurement-notices.undp.org/" TargetMode="External"/><Relationship Id="rId34" Type="http://schemas.openxmlformats.org/officeDocument/2006/relationships/hyperlink" Target="https://intranet.undp.org/global/documents/cap/UN_Staff_Rules_and_Staff_Regulations.pdf" TargetMode="External"/><Relationship Id="rId42" Type="http://schemas.openxmlformats.org/officeDocument/2006/relationships/hyperlink" Target="https://popp.undp.org/document/tts3-form-request-exception-standard-accommodation-air-travel" TargetMode="External"/><Relationship Id="rId47"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opp.undp.org/document/guide-writing-terms-reference-individual-contract" TargetMode="External"/><Relationship Id="rId29" Type="http://schemas.openxmlformats.org/officeDocument/2006/relationships/hyperlink" Target="https://popp.undp.org/fr/node/10781" TargetMode="External"/><Relationship Id="rId11" Type="http://schemas.openxmlformats.org/officeDocument/2006/relationships/hyperlink" Target="https://popp.undp.org/node/731" TargetMode="External"/><Relationship Id="rId24" Type="http://schemas.openxmlformats.org/officeDocument/2006/relationships/hyperlink" Target="https://popp.undp.org/node/4746" TargetMode="External"/><Relationship Id="rId32" Type="http://schemas.openxmlformats.org/officeDocument/2006/relationships/hyperlink" Target="https://popp.undp.org/fr/node/11686" TargetMode="External"/><Relationship Id="rId37" Type="http://schemas.openxmlformats.org/officeDocument/2006/relationships/hyperlink" Target="https://intranet.undp.org/unit/bom/lso/SBAA%20Documents/Forms/AllItems.aspx?&amp;View=%7bCDEEA8E3-389B-4013-BA97-E10AFC480F33%7d&amp;FilterClear=1" TargetMode="External"/><Relationship Id="rId40" Type="http://schemas.openxmlformats.org/officeDocument/2006/relationships/hyperlink" Target="https://popp.undp.org/node/5286" TargetMode="External"/><Relationship Id="rId45" Type="http://schemas.openxmlformats.org/officeDocument/2006/relationships/hyperlink" Target="https://popp.undp.org/node/5276" TargetMode="External"/><Relationship Id="rId5" Type="http://schemas.openxmlformats.org/officeDocument/2006/relationships/numbering" Target="numbering.xml"/><Relationship Id="rId15" Type="http://schemas.openxmlformats.org/officeDocument/2006/relationships/hyperlink" Target="https://popp.undp.org/node/2001" TargetMode="External"/><Relationship Id="rId23" Type="http://schemas.openxmlformats.org/officeDocument/2006/relationships/hyperlink" Target="https://popp.undp.org/fr/node/4851" TargetMode="External"/><Relationship Id="rId28" Type="http://schemas.openxmlformats.org/officeDocument/2006/relationships/hyperlink" Target="https://popp.undp.org/fr/human-resources-management/separation-des-services" TargetMode="External"/><Relationship Id="rId36" Type="http://schemas.openxmlformats.org/officeDocument/2006/relationships/hyperlink" Target="https://popp.undp.org/fr/document/circulaire-du-secretaire-general-sur-les-restrictions-applicables-apres-la-cessation-de"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opp.undp.org/fr/document/lettre-de-soumission-au-pnud-confirmant-linteret-et-la-disponibilite-du-prestataire" TargetMode="External"/><Relationship Id="rId31" Type="http://schemas.openxmlformats.org/officeDocument/2006/relationships/hyperlink" Target="https://popp.undp.org/fr/node/4596" TargetMode="External"/><Relationship Id="rId44" Type="http://schemas.openxmlformats.org/officeDocument/2006/relationships/hyperlink" Target="https://popp.undp.org/fr/document/politique-dhabilitation-de-securit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pp.undp.org/node/731" TargetMode="External"/><Relationship Id="rId22" Type="http://schemas.openxmlformats.org/officeDocument/2006/relationships/hyperlink" Target="https://popp.undp.org/fr/node/4756" TargetMode="External"/><Relationship Id="rId27" Type="http://schemas.openxmlformats.org/officeDocument/2006/relationships/hyperlink" Target="https://popp.undp.org/SitePages/POPPChapter.aspx?TermID=2a1a7fd1-bb10-44ea-915c-2edd73dc4df7&amp;Menu=BusinessUnit" TargetMode="External"/><Relationship Id="rId30" Type="http://schemas.openxmlformats.org/officeDocument/2006/relationships/hyperlink" Target="https://popp.undp.org/fr/document/contrat-relatif-aux-services-dun-prestataire-individuel-0" TargetMode="External"/><Relationship Id="rId35" Type="http://schemas.openxmlformats.org/officeDocument/2006/relationships/hyperlink" Target="https://dss.un.org/dssweb/" TargetMode="External"/><Relationship Id="rId43" Type="http://schemas.openxmlformats.org/officeDocument/2006/relationships/hyperlink" Target="https://popp.undp.org/node/5291"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intranet.undp.org/unit/bom/pso/Support%20documents%20on%20IC%20Guidelines/IC%20-%20Timesheet.doc" TargetMode="External"/><Relationship Id="rId17" Type="http://schemas.openxmlformats.org/officeDocument/2006/relationships/hyperlink" Target="https://popp.undp.org/fr/node/4851" TargetMode="External"/><Relationship Id="rId25" Type="http://schemas.openxmlformats.org/officeDocument/2006/relationships/hyperlink" Target="https://popp.undp.org/node/5271" TargetMode="External"/><Relationship Id="rId33" Type="http://schemas.openxmlformats.org/officeDocument/2006/relationships/hyperlink" Target="https://popp.undp.org/node/11336" TargetMode="External"/><Relationship Id="rId38" Type="http://schemas.openxmlformats.org/officeDocument/2006/relationships/hyperlink" Target="https://popp.undp.org/fr/document/avis-de-recrutement-dun-consultant-individuel" TargetMode="External"/><Relationship Id="rId46" Type="http://schemas.openxmlformats.org/officeDocument/2006/relationships/header" Target="header1.xml"/><Relationship Id="rId20" Type="http://schemas.openxmlformats.org/officeDocument/2006/relationships/hyperlink" Target="https://popp.undp.org/fr/document/lettre-de-soumission-au-pnud-confirmant-linteret-et-la-disponibilite-du-prestataire" TargetMode="External"/><Relationship Id="rId41" Type="http://schemas.openxmlformats.org/officeDocument/2006/relationships/hyperlink" Target="https://digitallibrary.un.org/record/735332/files/A_67_356-FR.pdf"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temID xmlns="fddaab28-9e0d-43e4-bba5-b10dc6482117" xsi:nil="true"/>
    <lcf76f155ced4ddcb4097134ff3c332f xmlns="fddaab28-9e0d-43e4-bba5-b10dc648211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0F73A2AE89CE449729E57D6FAEEE2D" ma:contentTypeVersion="16" ma:contentTypeDescription="Create a new document." ma:contentTypeScope="" ma:versionID="a0ed9f78efea4347045c0944232ef0b0">
  <xsd:schema xmlns:xsd="http://www.w3.org/2001/XMLSchema" xmlns:xs="http://www.w3.org/2001/XMLSchema" xmlns:p="http://schemas.microsoft.com/office/2006/metadata/properties" xmlns:ns2="fddaab28-9e0d-43e4-bba5-b10dc6482117" xmlns:ns3="732b066f-0761-4b6b-a787-5234024dd955" targetNamespace="http://schemas.microsoft.com/office/2006/metadata/properties" ma:root="true" ma:fieldsID="1b023126e6e233fe1f6f5372e773abaf" ns2:_="" ns3:_="">
    <xsd:import namespace="fddaab28-9e0d-43e4-bba5-b10dc6482117"/>
    <xsd:import namespace="732b066f-0761-4b6b-a787-5234024dd9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ItemID"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aab28-9e0d-43e4-bba5-b10dc6482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ItemID" ma:index="16" nillable="true" ma:displayName="ListItem" ma:format="Dropdown" ma:internalName="ItemID">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b066f-0761-4b6b-a787-5234024dd9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0257B1-909C-4A82-BC85-55C534B2ED18}">
  <ds:schemaRefs>
    <ds:schemaRef ds:uri="http://schemas.openxmlformats.org/officeDocument/2006/bibliography"/>
  </ds:schemaRefs>
</ds:datastoreItem>
</file>

<file path=customXml/itemProps2.xml><?xml version="1.0" encoding="utf-8"?>
<ds:datastoreItem xmlns:ds="http://schemas.openxmlformats.org/officeDocument/2006/customXml" ds:itemID="{844E4008-CF36-4382-89E5-02101D7157CF}">
  <ds:schemaRefs>
    <ds:schemaRef ds:uri="http://schemas.microsoft.com/office/2006/metadata/properties"/>
    <ds:schemaRef ds:uri="http://schemas.microsoft.com/office/infopath/2007/PartnerControls"/>
    <ds:schemaRef ds:uri="fddaab28-9e0d-43e4-bba5-b10dc6482117"/>
  </ds:schemaRefs>
</ds:datastoreItem>
</file>

<file path=customXml/itemProps3.xml><?xml version="1.0" encoding="utf-8"?>
<ds:datastoreItem xmlns:ds="http://schemas.openxmlformats.org/officeDocument/2006/customXml" ds:itemID="{14BDCA82-5090-4B9E-9953-7CB8583E9470}">
  <ds:schemaRefs>
    <ds:schemaRef ds:uri="http://schemas.microsoft.com/sharepoint/v3/contenttype/forms"/>
  </ds:schemaRefs>
</ds:datastoreItem>
</file>

<file path=customXml/itemProps4.xml><?xml version="1.0" encoding="utf-8"?>
<ds:datastoreItem xmlns:ds="http://schemas.openxmlformats.org/officeDocument/2006/customXml" ds:itemID="{81928DDA-5589-4298-9161-0DE4D0963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aab28-9e0d-43e4-bba5-b10dc6482117"/>
    <ds:schemaRef ds:uri="732b066f-0761-4b6b-a787-5234024dd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46</Pages>
  <Words>20669</Words>
  <Characters>117814</Characters>
  <Application>Microsoft Office Word</Application>
  <DocSecurity>0</DocSecurity>
  <Lines>981</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Ravshan Yakubov</dc:creator>
  <cp:keywords/>
  <dc:description/>
  <cp:lastModifiedBy>Emiliana Zhivkova</cp:lastModifiedBy>
  <cp:revision>38</cp:revision>
  <cp:lastPrinted>2016-03-21T13:35:00Z</cp:lastPrinted>
  <dcterms:created xsi:type="dcterms:W3CDTF">2025-09-04T11:07:00Z</dcterms:created>
  <dcterms:modified xsi:type="dcterms:W3CDTF">2025-09-12T19:29:00Z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0x010100AF0F73A2AE89CE449729E57D6FAEEE2D</vt:lpwstr>
  </property>
  <property fmtid="{D5CDD505-2E9C-101B-9397-08002B2CF9AE}" pid="3" name="POPPBusinessProcess">
    <vt:lpwstr/>
  </property>
  <property fmtid="{D5CDD505-2E9C-101B-9397-08002B2CF9AE}" pid="4" name="_dlc_DocIdItemGuid">
    <vt:lpwstr>1780151f-068a-44f1-8067-85f496a464cb</vt:lpwstr>
  </property>
  <property fmtid="{D5CDD505-2E9C-101B-9397-08002B2CF9AE}" pid="5" name="UNDP_POPP_BUSINESSUNIT">
    <vt:lpwstr>355;#Procurement|254a9f96-b883-476a-8ef8-e81f93a2b38d</vt:lpwstr>
  </property>
  <property fmtid="{D5CDD505-2E9C-101B-9397-08002B2CF9AE}" pid="6" name="docLang">
    <vt:lpwstr>fr</vt:lpwstr>
  </property>
  <property fmtid="{D5CDD505-2E9C-101B-9397-08002B2CF9AE}" pid="7" name="MediaServiceImageTags">
    <vt:lpwstr/>
  </property>
</Properties>
</file>