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8954" w14:textId="77777777" w:rsidR="004F2B46" w:rsidRPr="004F2B46" w:rsidRDefault="004F2B46" w:rsidP="004F2B46">
      <w:pPr>
        <w:keepNext/>
        <w:overflowPunct w:val="0"/>
        <w:autoSpaceDE w:val="0"/>
        <w:autoSpaceDN w:val="0"/>
        <w:adjustRightInd w:val="0"/>
        <w:spacing w:after="0" w:line="240" w:lineRule="auto"/>
        <w:textAlignment w:val="baseline"/>
        <w:outlineLvl w:val="0"/>
        <w:rPr>
          <w:rFonts w:ascii="Calibri" w:eastAsia="Times New Roman" w:hAnsi="Calibri" w:cs="Times New Roman"/>
          <w:b/>
          <w:kern w:val="0"/>
          <w:sz w:val="28"/>
          <w:szCs w:val="22"/>
          <w:lang w:val="fr-FR"/>
          <w14:ligatures w14:val="none"/>
        </w:rPr>
      </w:pPr>
      <w:r w:rsidRPr="004F2B46">
        <w:rPr>
          <w:rFonts w:ascii="Calibri" w:eastAsia="Times New Roman" w:hAnsi="Calibri" w:cs="Times New Roman"/>
          <w:b/>
          <w:kern w:val="0"/>
          <w:sz w:val="28"/>
          <w:szCs w:val="22"/>
          <w:lang w:val="fr-FR"/>
          <w14:ligatures w14:val="none"/>
        </w:rPr>
        <w:t xml:space="preserve">Frais de sécurité pour les contrats individuels </w:t>
      </w:r>
    </w:p>
    <w:p w14:paraId="58D04ED4" w14:textId="77777777" w:rsidR="004F2B46" w:rsidRPr="004F2B46" w:rsidRDefault="004F2B46" w:rsidP="004F2B46">
      <w:pPr>
        <w:spacing w:after="0" w:line="240" w:lineRule="auto"/>
        <w:rPr>
          <w:rFonts w:ascii="Calibri" w:eastAsia="Times New Roman" w:hAnsi="Calibri" w:cs="Arial"/>
          <w:b/>
          <w:bCs/>
          <w:kern w:val="0"/>
          <w:sz w:val="22"/>
          <w:szCs w:val="22"/>
          <w:lang w:val="fr-FR"/>
          <w14:ligatures w14:val="none"/>
        </w:rPr>
      </w:pPr>
    </w:p>
    <w:p w14:paraId="4A6D09D6" w14:textId="77777777" w:rsidR="004F2B46" w:rsidRDefault="004F2B46" w:rsidP="004F2B46">
      <w:pPr>
        <w:spacing w:after="0" w:line="240" w:lineRule="auto"/>
        <w:rPr>
          <w:rFonts w:ascii="Calibri" w:eastAsia="Times New Roman" w:hAnsi="Calibri" w:cs="Times New Roman"/>
          <w:b/>
          <w:bCs/>
          <w:kern w:val="0"/>
          <w:sz w:val="22"/>
          <w:szCs w:val="22"/>
          <w:lang w:val="fr-FR"/>
          <w14:ligatures w14:val="none"/>
        </w:rPr>
      </w:pPr>
      <w:r w:rsidRPr="004F2B46">
        <w:rPr>
          <w:rFonts w:ascii="Calibri" w:eastAsia="Times New Roman" w:hAnsi="Calibri" w:cs="Times New Roman"/>
          <w:b/>
          <w:bCs/>
          <w:kern w:val="0"/>
          <w:sz w:val="22"/>
          <w:szCs w:val="22"/>
          <w:lang w:val="fr-FR"/>
          <w14:ligatures w14:val="none"/>
        </w:rPr>
        <w:t>Contributions au système de sécurité</w:t>
      </w:r>
    </w:p>
    <w:p w14:paraId="7EDD296C" w14:textId="77777777" w:rsidR="00144D8B" w:rsidRPr="004F2B46" w:rsidRDefault="00144D8B" w:rsidP="004F2B46">
      <w:pPr>
        <w:spacing w:after="0" w:line="240" w:lineRule="auto"/>
        <w:rPr>
          <w:rFonts w:ascii="Calibri" w:eastAsia="Times New Roman" w:hAnsi="Calibri" w:cs="Arial"/>
          <w:b/>
          <w:bCs/>
          <w:kern w:val="0"/>
          <w:sz w:val="22"/>
          <w:szCs w:val="22"/>
          <w:u w:val="single"/>
          <w:lang w:val="fr-FR"/>
          <w14:ligatures w14:val="none"/>
        </w:rPr>
      </w:pPr>
    </w:p>
    <w:p w14:paraId="541F2305" w14:textId="77777777" w:rsidR="004F2B46" w:rsidRPr="004F2B46" w:rsidRDefault="004F2B46" w:rsidP="004F2B46">
      <w:pPr>
        <w:numPr>
          <w:ilvl w:val="0"/>
          <w:numId w:val="1"/>
        </w:numPr>
        <w:spacing w:before="240" w:after="240" w:line="276" w:lineRule="auto"/>
        <w:contextualSpacing/>
        <w:rPr>
          <w:rFonts w:ascii="Calibri" w:eastAsia="MS Mincho" w:hAnsi="Calibri" w:cs="Times New Roman"/>
          <w:iCs/>
          <w:kern w:val="0"/>
          <w:sz w:val="22"/>
          <w:szCs w:val="22"/>
          <w:lang w:val="fr-FR"/>
          <w14:ligatures w14:val="none"/>
        </w:rPr>
      </w:pPr>
      <w:r w:rsidRPr="004F2B46">
        <w:rPr>
          <w:rFonts w:ascii="Calibri" w:eastAsia="MS Mincho" w:hAnsi="Calibri" w:cs="Times New Roman"/>
          <w:iCs/>
          <w:kern w:val="0"/>
          <w:sz w:val="22"/>
          <w:szCs w:val="22"/>
          <w:lang w:val="fr-FR"/>
          <w14:ligatures w14:val="none"/>
        </w:rPr>
        <w:t xml:space="preserve">Les projets PNID sont responsables de la couverture des coûts des contributions UNSMS et des coûts relatifs aux normes minimales de sécurité opérationnelle (MOSS) des </w:t>
      </w:r>
      <w:proofErr w:type="spellStart"/>
      <w:r w:rsidRPr="004F2B46">
        <w:rPr>
          <w:rFonts w:ascii="Calibri" w:eastAsia="MS Mincho" w:hAnsi="Calibri" w:cs="Times New Roman"/>
          <w:iCs/>
          <w:kern w:val="0"/>
          <w:sz w:val="22"/>
          <w:szCs w:val="22"/>
          <w:lang w:val="fr-FR"/>
          <w14:ligatures w14:val="none"/>
        </w:rPr>
        <w:t>IC’s</w:t>
      </w:r>
      <w:proofErr w:type="spellEnd"/>
      <w:r w:rsidRPr="004F2B46">
        <w:rPr>
          <w:rFonts w:ascii="Calibri" w:eastAsia="MS Mincho" w:hAnsi="Calibri" w:cs="Times New Roman"/>
          <w:iCs/>
          <w:kern w:val="0"/>
          <w:sz w:val="22"/>
          <w:szCs w:val="22"/>
          <w:lang w:val="fr-FR"/>
          <w14:ligatures w14:val="none"/>
        </w:rPr>
        <w:t>. Les contributions et coûts sont basés sur le total des paiements à un IC pour ses honoraires professionnels, en excluant ceux effectués pour le déplacement et/ou comme indemnisation journalière (DSA)</w:t>
      </w:r>
      <w:proofErr w:type="gramStart"/>
      <w:r w:rsidRPr="004F2B46">
        <w:rPr>
          <w:rFonts w:ascii="Calibri" w:eastAsia="MS Mincho" w:hAnsi="Calibri" w:cs="Times New Roman"/>
          <w:iCs/>
          <w:kern w:val="0"/>
          <w:sz w:val="22"/>
          <w:szCs w:val="22"/>
          <w:lang w:val="fr-FR"/>
          <w14:ligatures w14:val="none"/>
        </w:rPr>
        <w:t>, .</w:t>
      </w:r>
      <w:proofErr w:type="gramEnd"/>
      <w:r w:rsidRPr="004F2B46">
        <w:rPr>
          <w:rFonts w:ascii="Calibri" w:eastAsia="MS Mincho" w:hAnsi="Calibri" w:cs="Times New Roman"/>
          <w:iCs/>
          <w:kern w:val="0"/>
          <w:sz w:val="22"/>
          <w:szCs w:val="22"/>
          <w:lang w:val="fr-FR"/>
          <w14:ligatures w14:val="none"/>
        </w:rPr>
        <w:t xml:space="preserve"> Un pourcentage de frais sera automatiquement facturé sur une base régulière en fonction du ou des budget(s) utilisés pour le paiement des IC.</w:t>
      </w:r>
    </w:p>
    <w:p w14:paraId="498F4D35" w14:textId="77777777" w:rsidR="004F2B46" w:rsidRPr="004F2B46" w:rsidRDefault="004F2B46" w:rsidP="004F2B46">
      <w:pPr>
        <w:spacing w:before="240" w:after="240" w:line="276" w:lineRule="auto"/>
        <w:ind w:left="720"/>
        <w:contextualSpacing/>
        <w:rPr>
          <w:rFonts w:ascii="Calibri" w:eastAsia="MS Mincho" w:hAnsi="Calibri" w:cs="Times New Roman"/>
          <w:iCs/>
          <w:kern w:val="0"/>
          <w:sz w:val="22"/>
          <w:szCs w:val="22"/>
          <w:lang w:val="fr-FR"/>
          <w14:ligatures w14:val="none"/>
        </w:rPr>
      </w:pPr>
    </w:p>
    <w:p w14:paraId="1991D4A8" w14:textId="77777777" w:rsidR="004F2B46" w:rsidRPr="004F2B46" w:rsidRDefault="004F2B46" w:rsidP="004F2B46">
      <w:pPr>
        <w:numPr>
          <w:ilvl w:val="0"/>
          <w:numId w:val="1"/>
        </w:numPr>
        <w:spacing w:before="240" w:after="240" w:line="276" w:lineRule="auto"/>
        <w:contextualSpacing/>
        <w:rPr>
          <w:rFonts w:ascii="Calibri" w:eastAsia="MS Mincho" w:hAnsi="Calibri" w:cs="Times New Roman"/>
          <w:iCs/>
          <w:kern w:val="0"/>
          <w:sz w:val="22"/>
          <w:szCs w:val="22"/>
          <w:lang w:val="fr-FR"/>
          <w14:ligatures w14:val="none"/>
        </w:rPr>
      </w:pPr>
      <w:r w:rsidRPr="004F2B46">
        <w:rPr>
          <w:rFonts w:ascii="Calibri" w:eastAsia="MS Mincho" w:hAnsi="Calibri" w:cs="Times New Roman"/>
          <w:iCs/>
          <w:kern w:val="0"/>
          <w:sz w:val="22"/>
          <w:szCs w:val="22"/>
          <w:lang w:val="fr-FR"/>
          <w14:ligatures w14:val="none"/>
        </w:rPr>
        <w:t xml:space="preserve">Certains contrats IC, relatifs à l’embauche de main-d’œuvre payée à l’heure, ne font pas l’objet de cette pratique récurrente.  </w:t>
      </w:r>
    </w:p>
    <w:p w14:paraId="0A97E1D0" w14:textId="77777777" w:rsidR="004F2B46" w:rsidRPr="004F2B46" w:rsidRDefault="004F2B46" w:rsidP="004F2B46">
      <w:pPr>
        <w:spacing w:before="240" w:after="240" w:line="276" w:lineRule="auto"/>
        <w:ind w:left="720"/>
        <w:contextualSpacing/>
        <w:rPr>
          <w:rFonts w:ascii="Calibri" w:eastAsia="MS Mincho" w:hAnsi="Calibri" w:cs="Times New Roman"/>
          <w:iCs/>
          <w:kern w:val="0"/>
          <w:sz w:val="22"/>
          <w:szCs w:val="22"/>
          <w:lang w:val="fr-FR"/>
          <w14:ligatures w14:val="none"/>
        </w:rPr>
      </w:pPr>
    </w:p>
    <w:p w14:paraId="7FBEA58D" w14:textId="77777777" w:rsidR="004F2B46" w:rsidRPr="004F2B46" w:rsidRDefault="004F2B46" w:rsidP="004F2B46">
      <w:pPr>
        <w:numPr>
          <w:ilvl w:val="0"/>
          <w:numId w:val="1"/>
        </w:numPr>
        <w:spacing w:before="240" w:after="240" w:line="276" w:lineRule="auto"/>
        <w:contextualSpacing/>
        <w:rPr>
          <w:rFonts w:ascii="Calibri" w:eastAsia="MS Mincho" w:hAnsi="Calibri" w:cs="Times New Roman"/>
          <w:iCs/>
          <w:kern w:val="0"/>
          <w:sz w:val="22"/>
          <w:szCs w:val="22"/>
          <w:lang w:val="fr-FR"/>
          <w14:ligatures w14:val="none"/>
        </w:rPr>
      </w:pPr>
      <w:r w:rsidRPr="004F2B46">
        <w:rPr>
          <w:rFonts w:ascii="Calibri" w:eastAsia="MS Mincho" w:hAnsi="Calibri" w:cs="Times New Roman"/>
          <w:iCs/>
          <w:kern w:val="0"/>
          <w:sz w:val="22"/>
          <w:szCs w:val="22"/>
          <w:lang w:val="fr-FR"/>
          <w14:ligatures w14:val="none"/>
        </w:rPr>
        <w:t xml:space="preserve">Le pourcentage de frais facturé est calculé selon la classification de difficulté du lieu d’affectation et les dépenses annuelles obligatoires en matière de sécurité estimées lors de l’Assemblée générale (GA). Le personnel du BP du PNUD est responsable d’assurer la juste correspondance entre les bordereaux de comptes créditeurs et les honoraires professionnels. </w:t>
      </w:r>
    </w:p>
    <w:p w14:paraId="4FE20CE1" w14:textId="77777777" w:rsidR="004F2B46" w:rsidRPr="004F2B46" w:rsidRDefault="004F2B46" w:rsidP="004F2B46">
      <w:pPr>
        <w:spacing w:after="200" w:line="276" w:lineRule="auto"/>
        <w:ind w:left="720"/>
        <w:contextualSpacing/>
        <w:rPr>
          <w:rFonts w:ascii="Calibri" w:eastAsia="MS Mincho" w:hAnsi="Calibri" w:cs="Times New Roman"/>
          <w:iCs/>
          <w:kern w:val="0"/>
          <w:sz w:val="22"/>
          <w:szCs w:val="22"/>
          <w:lang w:val="fr-FR"/>
          <w14:ligatures w14:val="none"/>
        </w:rPr>
      </w:pPr>
    </w:p>
    <w:p w14:paraId="2E14FAEA" w14:textId="77777777" w:rsidR="004F2B46" w:rsidRPr="004F2B46" w:rsidRDefault="004F2B46" w:rsidP="004F2B46">
      <w:pPr>
        <w:numPr>
          <w:ilvl w:val="0"/>
          <w:numId w:val="1"/>
        </w:numPr>
        <w:spacing w:after="200" w:line="276" w:lineRule="auto"/>
        <w:contextualSpacing/>
        <w:rPr>
          <w:rFonts w:ascii="Calibri" w:eastAsia="MS Mincho" w:hAnsi="Calibri" w:cs="Times New Roman"/>
          <w:iCs/>
          <w:kern w:val="0"/>
          <w:sz w:val="22"/>
          <w:szCs w:val="22"/>
          <w:lang w:val="fr-FR"/>
          <w14:ligatures w14:val="none"/>
        </w:rPr>
      </w:pPr>
      <w:r w:rsidRPr="004F2B46">
        <w:rPr>
          <w:rFonts w:ascii="Calibri" w:eastAsia="MS Mincho" w:hAnsi="Calibri" w:cs="Times New Roman"/>
          <w:iCs/>
          <w:kern w:val="0"/>
          <w:sz w:val="22"/>
          <w:szCs w:val="22"/>
          <w:lang w:val="fr-FR"/>
          <w14:ligatures w14:val="none"/>
        </w:rPr>
        <w:t xml:space="preserve">Comme les frais de sécurité sont prélevés uniquement sur les honoraires professionnels, il est essentiel qu'il y ait une distinction claire entre les honoraires professionnels d'IC et les autres dépenses (allocation de subsistance, déplacements, etc.). Si les honoraires professionnels ne sont pas séparés des autres dépenses, des frais de sécurité seront prélevés sur le montant total du paiement. </w:t>
      </w:r>
    </w:p>
    <w:p w14:paraId="75EAC16A" w14:textId="77777777" w:rsidR="004F2B46" w:rsidRPr="004F2B46" w:rsidRDefault="004F2B46" w:rsidP="004F2B46">
      <w:pPr>
        <w:spacing w:after="0" w:line="240" w:lineRule="auto"/>
        <w:ind w:left="540"/>
        <w:rPr>
          <w:rFonts w:ascii="Calibri" w:eastAsia="MS Mincho" w:hAnsi="Calibri" w:cs="Times New Roman"/>
          <w:iCs/>
          <w:kern w:val="0"/>
          <w:sz w:val="22"/>
          <w:szCs w:val="22"/>
          <w:lang w:val="fr-FR"/>
          <w14:ligatures w14:val="none"/>
        </w:rPr>
      </w:pPr>
    </w:p>
    <w:p w14:paraId="4E59D3A4" w14:textId="77777777" w:rsidR="004F2B46" w:rsidRDefault="004F2B46" w:rsidP="004F2B46">
      <w:pPr>
        <w:spacing w:line="259" w:lineRule="auto"/>
        <w:rPr>
          <w:rFonts w:ascii="Calibri" w:eastAsia="MS Mincho" w:hAnsi="Calibri" w:cs="Calibri"/>
          <w:b/>
          <w:i/>
          <w:iCs/>
          <w:sz w:val="22"/>
          <w:szCs w:val="22"/>
          <w:lang w:val="fr-FR"/>
        </w:rPr>
      </w:pPr>
    </w:p>
    <w:p w14:paraId="638B9941" w14:textId="77777777" w:rsidR="004F2B46" w:rsidRDefault="004F2B46" w:rsidP="004F2B46">
      <w:pPr>
        <w:spacing w:line="259" w:lineRule="auto"/>
        <w:rPr>
          <w:rFonts w:ascii="Calibri" w:eastAsia="MS Mincho" w:hAnsi="Calibri" w:cs="Calibri"/>
          <w:b/>
          <w:i/>
          <w:iCs/>
          <w:sz w:val="22"/>
          <w:szCs w:val="22"/>
          <w:lang w:val="fr-FR"/>
        </w:rPr>
      </w:pPr>
    </w:p>
    <w:p w14:paraId="20C5DA7B" w14:textId="77777777" w:rsidR="004F2B46" w:rsidRDefault="004F2B46" w:rsidP="004F2B46">
      <w:pPr>
        <w:spacing w:line="259" w:lineRule="auto"/>
        <w:rPr>
          <w:rFonts w:ascii="Calibri" w:eastAsia="MS Mincho" w:hAnsi="Calibri" w:cs="Calibri"/>
          <w:b/>
          <w:i/>
          <w:iCs/>
          <w:sz w:val="22"/>
          <w:szCs w:val="22"/>
          <w:lang w:val="fr-FR"/>
        </w:rPr>
      </w:pPr>
    </w:p>
    <w:p w14:paraId="0777E749" w14:textId="4E5EAAA8" w:rsidR="004F2B46" w:rsidRPr="0027752C" w:rsidRDefault="004F2B46" w:rsidP="004F2B46">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23597014" w14:textId="28CFE51B" w:rsidR="004F2B46" w:rsidRPr="004F2B46" w:rsidRDefault="004F2B46" w:rsidP="004F2B46">
      <w:pPr>
        <w:spacing w:after="0" w:line="240" w:lineRule="auto"/>
        <w:rPr>
          <w:rFonts w:ascii="Arial" w:eastAsia="Times New Roman" w:hAnsi="Arial" w:cs="Arial"/>
          <w:kern w:val="0"/>
          <w:sz w:val="22"/>
          <w:szCs w:val="22"/>
          <w:lang w:val="fr-FR"/>
          <w14:ligatures w14:val="none"/>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p w14:paraId="3806D676" w14:textId="77777777" w:rsidR="00DA504D" w:rsidRDefault="00DA504D"/>
    <w:sectPr w:rsidR="00DA504D" w:rsidSect="00BD397B">
      <w:headerReference w:type="default" r:id="rId7"/>
      <w:footerReference w:type="default" r:id="rId8"/>
      <w:pgSz w:w="12240" w:h="15840"/>
      <w:pgMar w:top="1974"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07B8" w14:textId="77777777" w:rsidR="006D252E" w:rsidRDefault="006D252E" w:rsidP="004F2B46">
      <w:pPr>
        <w:spacing w:after="0" w:line="240" w:lineRule="auto"/>
      </w:pPr>
      <w:r>
        <w:separator/>
      </w:r>
    </w:p>
  </w:endnote>
  <w:endnote w:type="continuationSeparator" w:id="0">
    <w:p w14:paraId="2A9F68E8" w14:textId="77777777" w:rsidR="006D252E" w:rsidRDefault="006D252E" w:rsidP="004F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AA17" w14:textId="294198F7" w:rsidR="004F2B46" w:rsidRPr="00BD397B" w:rsidRDefault="00000000">
    <w:pPr>
      <w:pStyle w:val="Footer"/>
      <w:rPr>
        <w:rFonts w:ascii="Calibri" w:hAnsi="Calibri" w:cs="Calibri"/>
        <w:sz w:val="22"/>
        <w:szCs w:val="22"/>
      </w:rPr>
    </w:pPr>
    <w:sdt>
      <w:sdtPr>
        <w:rPr>
          <w:rFonts w:ascii="Calibri" w:hAnsi="Calibri" w:cs="Calibri"/>
          <w:sz w:val="22"/>
          <w:szCs w:val="22"/>
        </w:rPr>
        <w:id w:val="-315034692"/>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r w:rsidR="004F2B46" w:rsidRPr="00BD397B">
              <w:rPr>
                <w:rFonts w:ascii="Calibri" w:hAnsi="Calibri" w:cs="Calibri"/>
                <w:sz w:val="22"/>
                <w:szCs w:val="22"/>
              </w:rPr>
              <w:t>P</w:t>
            </w:r>
            <w:r w:rsidR="004F2B46" w:rsidRPr="004F2B46">
              <w:rPr>
                <w:rFonts w:ascii="Calibri" w:hAnsi="Calibri" w:cs="Calibri"/>
                <w:sz w:val="22"/>
                <w:szCs w:val="22"/>
              </w:rPr>
              <w:t xml:space="preserve">age </w:t>
            </w:r>
            <w:r w:rsidR="004F2B46" w:rsidRPr="004F2B46">
              <w:rPr>
                <w:rFonts w:ascii="Calibri" w:hAnsi="Calibri" w:cs="Calibri"/>
                <w:bCs/>
                <w:sz w:val="22"/>
                <w:szCs w:val="22"/>
              </w:rPr>
              <w:fldChar w:fldCharType="begin"/>
            </w:r>
            <w:r w:rsidR="004F2B46" w:rsidRPr="004F2B46">
              <w:rPr>
                <w:rFonts w:ascii="Calibri" w:hAnsi="Calibri" w:cs="Calibri"/>
                <w:bCs/>
                <w:sz w:val="22"/>
                <w:szCs w:val="22"/>
              </w:rPr>
              <w:instrText xml:space="preserve"> PAGE </w:instrText>
            </w:r>
            <w:r w:rsidR="004F2B46" w:rsidRPr="004F2B46">
              <w:rPr>
                <w:rFonts w:ascii="Calibri" w:hAnsi="Calibri" w:cs="Calibri"/>
                <w:bCs/>
                <w:sz w:val="22"/>
                <w:szCs w:val="22"/>
              </w:rPr>
              <w:fldChar w:fldCharType="separate"/>
            </w:r>
            <w:r w:rsidR="004F2B46" w:rsidRPr="004F2B46">
              <w:rPr>
                <w:rFonts w:ascii="Calibri" w:hAnsi="Calibri" w:cs="Calibri"/>
                <w:bCs/>
                <w:noProof/>
                <w:sz w:val="22"/>
                <w:szCs w:val="22"/>
              </w:rPr>
              <w:t>1</w:t>
            </w:r>
            <w:r w:rsidR="004F2B46" w:rsidRPr="004F2B46">
              <w:rPr>
                <w:rFonts w:ascii="Calibri" w:hAnsi="Calibri" w:cs="Calibri"/>
                <w:bCs/>
                <w:sz w:val="22"/>
                <w:szCs w:val="22"/>
              </w:rPr>
              <w:fldChar w:fldCharType="end"/>
            </w:r>
            <w:r w:rsidR="004F2B46" w:rsidRPr="004F2B46">
              <w:rPr>
                <w:rFonts w:ascii="Calibri" w:hAnsi="Calibri" w:cs="Calibri"/>
                <w:sz w:val="22"/>
                <w:szCs w:val="22"/>
              </w:rPr>
              <w:t xml:space="preserve"> sur </w:t>
            </w:r>
            <w:r w:rsidR="004F2B46" w:rsidRPr="004F2B46">
              <w:rPr>
                <w:rFonts w:ascii="Calibri" w:hAnsi="Calibri" w:cs="Calibri"/>
                <w:bCs/>
                <w:sz w:val="22"/>
                <w:szCs w:val="22"/>
              </w:rPr>
              <w:fldChar w:fldCharType="begin"/>
            </w:r>
            <w:r w:rsidR="004F2B46" w:rsidRPr="004F2B46">
              <w:rPr>
                <w:rFonts w:ascii="Calibri" w:hAnsi="Calibri" w:cs="Calibri"/>
                <w:bCs/>
                <w:sz w:val="22"/>
                <w:szCs w:val="22"/>
              </w:rPr>
              <w:instrText xml:space="preserve"> NUMPAGES  </w:instrText>
            </w:r>
            <w:r w:rsidR="004F2B46" w:rsidRPr="004F2B46">
              <w:rPr>
                <w:rFonts w:ascii="Calibri" w:hAnsi="Calibri" w:cs="Calibri"/>
                <w:bCs/>
                <w:sz w:val="22"/>
                <w:szCs w:val="22"/>
              </w:rPr>
              <w:fldChar w:fldCharType="separate"/>
            </w:r>
            <w:r w:rsidR="004F2B46" w:rsidRPr="004F2B46">
              <w:rPr>
                <w:rFonts w:ascii="Calibri" w:hAnsi="Calibri" w:cs="Calibri"/>
                <w:bCs/>
                <w:noProof/>
                <w:sz w:val="22"/>
                <w:szCs w:val="22"/>
              </w:rPr>
              <w:t>1</w:t>
            </w:r>
            <w:r w:rsidR="004F2B46" w:rsidRPr="004F2B46">
              <w:rPr>
                <w:rFonts w:ascii="Calibri" w:hAnsi="Calibri" w:cs="Calibri"/>
                <w:bCs/>
                <w:sz w:val="22"/>
                <w:szCs w:val="22"/>
              </w:rPr>
              <w:fldChar w:fldCharType="end"/>
            </w:r>
            <w:r w:rsidR="004F2B46" w:rsidRPr="004F2B46">
              <w:rPr>
                <w:rFonts w:ascii="Calibri" w:hAnsi="Calibri" w:cs="Calibri"/>
                <w:bCs/>
                <w:sz w:val="22"/>
                <w:szCs w:val="22"/>
              </w:rPr>
              <w:tab/>
              <w:t xml:space="preserve">Date d’entrée en vigueur : </w:t>
            </w:r>
            <w:sdt>
              <w:sdtPr>
                <w:rPr>
                  <w:rFonts w:ascii="Calibri" w:hAnsi="Calibri" w:cs="Calibri"/>
                  <w:bCs/>
                  <w:sz w:val="22"/>
                  <w:szCs w:val="22"/>
                </w:rPr>
                <w:alias w:val="Date d’entrée en vigueur"/>
                <w:tag w:val="UNDP_POPP_EFFECTIVEDATE"/>
                <w:id w:val="-46165177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C012E26-69EC-4E84-8DAC-46C0EBBC6CC2}"/>
                <w:date w:fullDate="2015-02-09T00:00:00Z">
                  <w:dateFormat w:val="dd/MM/yyyy"/>
                  <w:lid w:val="fr-FR"/>
                  <w:storeMappedDataAs w:val="dateTime"/>
                  <w:calendar w:val="gregorian"/>
                </w:date>
              </w:sdtPr>
              <w:sdtEndPr>
                <w:rPr>
                  <w:bCs w:val="0"/>
                </w:rPr>
              </w:sdtEndPr>
              <w:sdtContent>
                <w:r w:rsidR="004F2B46">
                  <w:rPr>
                    <w:rFonts w:ascii="Calibri" w:hAnsi="Calibri" w:cs="Calibri"/>
                    <w:bCs/>
                    <w:sz w:val="22"/>
                    <w:szCs w:val="22"/>
                  </w:rPr>
                  <w:t>09/02/2015</w:t>
                </w:r>
              </w:sdtContent>
            </w:sdt>
          </w:sdtContent>
        </w:sdt>
      </w:sdtContent>
    </w:sdt>
    <w:r w:rsidR="004F2B46" w:rsidRPr="004F2B46">
      <w:rPr>
        <w:rFonts w:ascii="Calibri" w:hAnsi="Calibri" w:cs="Calibri"/>
        <w:sz w:val="22"/>
        <w:szCs w:val="22"/>
      </w:rPr>
      <w:t xml:space="preserve">     </w:t>
    </w:r>
    <w:r w:rsidR="004F2B46" w:rsidRPr="004F2B46">
      <w:rPr>
        <w:rFonts w:ascii="Calibri" w:hAnsi="Calibri" w:cs="Calibri"/>
        <w:sz w:val="22"/>
        <w:szCs w:val="22"/>
      </w:rPr>
      <w:tab/>
      <w:t xml:space="preserve">   Version #</w:t>
    </w:r>
    <w:r w:rsidR="004F2B46">
      <w:rPr>
        <w:rFonts w:ascii="Calibri" w:hAnsi="Calibri" w:cs="Calibri"/>
        <w:sz w:val="22"/>
        <w:szCs w:val="22"/>
      </w:rPr>
      <w:t xml:space="preserve"> </w:t>
    </w:r>
    <w:r w:rsidR="004F2B46" w:rsidRPr="004F2B46">
      <w:rPr>
        <w:rFonts w:ascii="Calibri" w:hAnsi="Calibri" w:cs="Calibri"/>
        <w:sz w:val="22"/>
        <w:szCs w:val="22"/>
      </w:rPr>
      <w:t xml:space="preserve">: </w:t>
    </w:r>
    <w:sdt>
      <w:sdtPr>
        <w:rPr>
          <w:rFonts w:ascii="Calibri" w:hAnsi="Calibri" w:cs="Calibri"/>
          <w:sz w:val="22"/>
          <w:szCs w:val="22"/>
        </w:rPr>
        <w:alias w:val="VersionPOPPRefItem"/>
        <w:tag w:val="UNDP_POPP_REFITEM_VERSION"/>
        <w:id w:val="-75627976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C012E26-69EC-4E84-8DAC-46C0EBBC6CC2}"/>
        <w:text/>
      </w:sdtPr>
      <w:sdtContent>
        <w:r w:rsidR="004F2B46" w:rsidRPr="004F2B46">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F54C" w14:textId="77777777" w:rsidR="006D252E" w:rsidRDefault="006D252E" w:rsidP="004F2B46">
      <w:pPr>
        <w:spacing w:after="0" w:line="240" w:lineRule="auto"/>
      </w:pPr>
      <w:r>
        <w:separator/>
      </w:r>
    </w:p>
  </w:footnote>
  <w:footnote w:type="continuationSeparator" w:id="0">
    <w:p w14:paraId="56EDBEE7" w14:textId="77777777" w:rsidR="006D252E" w:rsidRDefault="006D252E" w:rsidP="004F2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6A3A" w14:textId="75EAB755" w:rsidR="004F2B46" w:rsidRDefault="004F2B46" w:rsidP="00851719">
    <w:pPr>
      <w:pStyle w:val="Header"/>
      <w:ind w:left="8640"/>
    </w:pPr>
    <w:r>
      <w:rPr>
        <w:noProof/>
      </w:rPr>
      <w:drawing>
        <wp:anchor distT="0" distB="0" distL="114300" distR="114300" simplePos="0" relativeHeight="251659264" behindDoc="0" locked="0" layoutInCell="1" allowOverlap="1" wp14:anchorId="7FFDC5D9" wp14:editId="2428CF07">
          <wp:simplePos x="0" y="0"/>
          <wp:positionH relativeFrom="rightMargin">
            <wp:posOffset>190500</wp:posOffset>
          </wp:positionH>
          <wp:positionV relativeFrom="paragraph">
            <wp:posOffset>-15240</wp:posOffset>
          </wp:positionV>
          <wp:extent cx="283210" cy="553085"/>
          <wp:effectExtent l="0" t="0" r="2540" b="0"/>
          <wp:wrapNone/>
          <wp:docPr id="1726318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92620"/>
    <w:multiLevelType w:val="hybridMultilevel"/>
    <w:tmpl w:val="BDECB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623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46"/>
    <w:rsid w:val="000379F9"/>
    <w:rsid w:val="00144D8B"/>
    <w:rsid w:val="002974E9"/>
    <w:rsid w:val="004405AF"/>
    <w:rsid w:val="004F2B46"/>
    <w:rsid w:val="006D252E"/>
    <w:rsid w:val="00BD397B"/>
    <w:rsid w:val="00C61B9D"/>
    <w:rsid w:val="00DA504D"/>
    <w:rsid w:val="00E00EBF"/>
    <w:rsid w:val="00E57C99"/>
    <w:rsid w:val="00FF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AD8C9"/>
  <w15:chartTrackingRefBased/>
  <w15:docId w15:val="{703461A7-CECC-428D-BF87-84B362D8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B46"/>
    <w:rPr>
      <w:rFonts w:eastAsiaTheme="majorEastAsia" w:cstheme="majorBidi"/>
      <w:color w:val="272727" w:themeColor="text1" w:themeTint="D8"/>
    </w:rPr>
  </w:style>
  <w:style w:type="paragraph" w:styleId="Title">
    <w:name w:val="Title"/>
    <w:basedOn w:val="Normal"/>
    <w:next w:val="Normal"/>
    <w:link w:val="TitleChar"/>
    <w:uiPriority w:val="10"/>
    <w:qFormat/>
    <w:rsid w:val="004F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B46"/>
    <w:pPr>
      <w:spacing w:before="160"/>
      <w:jc w:val="center"/>
    </w:pPr>
    <w:rPr>
      <w:i/>
      <w:iCs/>
      <w:color w:val="404040" w:themeColor="text1" w:themeTint="BF"/>
    </w:rPr>
  </w:style>
  <w:style w:type="character" w:customStyle="1" w:styleId="QuoteChar">
    <w:name w:val="Quote Char"/>
    <w:basedOn w:val="DefaultParagraphFont"/>
    <w:link w:val="Quote"/>
    <w:uiPriority w:val="29"/>
    <w:rsid w:val="004F2B46"/>
    <w:rPr>
      <w:i/>
      <w:iCs/>
      <w:color w:val="404040" w:themeColor="text1" w:themeTint="BF"/>
    </w:rPr>
  </w:style>
  <w:style w:type="paragraph" w:styleId="ListParagraph">
    <w:name w:val="List Paragraph"/>
    <w:basedOn w:val="Normal"/>
    <w:uiPriority w:val="34"/>
    <w:qFormat/>
    <w:rsid w:val="004F2B46"/>
    <w:pPr>
      <w:ind w:left="720"/>
      <w:contextualSpacing/>
    </w:pPr>
  </w:style>
  <w:style w:type="character" w:styleId="IntenseEmphasis">
    <w:name w:val="Intense Emphasis"/>
    <w:basedOn w:val="DefaultParagraphFont"/>
    <w:uiPriority w:val="21"/>
    <w:qFormat/>
    <w:rsid w:val="004F2B46"/>
    <w:rPr>
      <w:i/>
      <w:iCs/>
      <w:color w:val="0F4761" w:themeColor="accent1" w:themeShade="BF"/>
    </w:rPr>
  </w:style>
  <w:style w:type="paragraph" w:styleId="IntenseQuote">
    <w:name w:val="Intense Quote"/>
    <w:basedOn w:val="Normal"/>
    <w:next w:val="Normal"/>
    <w:link w:val="IntenseQuoteChar"/>
    <w:uiPriority w:val="30"/>
    <w:qFormat/>
    <w:rsid w:val="004F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B46"/>
    <w:rPr>
      <w:i/>
      <w:iCs/>
      <w:color w:val="0F4761" w:themeColor="accent1" w:themeShade="BF"/>
    </w:rPr>
  </w:style>
  <w:style w:type="character" w:styleId="IntenseReference">
    <w:name w:val="Intense Reference"/>
    <w:basedOn w:val="DefaultParagraphFont"/>
    <w:uiPriority w:val="32"/>
    <w:qFormat/>
    <w:rsid w:val="004F2B46"/>
    <w:rPr>
      <w:b/>
      <w:bCs/>
      <w:smallCaps/>
      <w:color w:val="0F4761" w:themeColor="accent1" w:themeShade="BF"/>
      <w:spacing w:val="5"/>
    </w:rPr>
  </w:style>
  <w:style w:type="paragraph" w:styleId="Header">
    <w:name w:val="header"/>
    <w:basedOn w:val="Normal"/>
    <w:link w:val="HeaderChar"/>
    <w:uiPriority w:val="99"/>
    <w:unhideWhenUsed/>
    <w:rsid w:val="004F2B46"/>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4F2B46"/>
    <w:rPr>
      <w:rFonts w:ascii="Times New Roman" w:eastAsia="Times New Roman" w:hAnsi="Times New Roman" w:cs="Times New Roman"/>
      <w:kern w:val="0"/>
      <w:lang w:val="fr-FR"/>
      <w14:ligatures w14:val="none"/>
    </w:rPr>
  </w:style>
  <w:style w:type="paragraph" w:styleId="Footer">
    <w:name w:val="footer"/>
    <w:basedOn w:val="Normal"/>
    <w:link w:val="FooterChar"/>
    <w:uiPriority w:val="99"/>
    <w:unhideWhenUsed/>
    <w:rsid w:val="004F2B46"/>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FooterChar">
    <w:name w:val="Footer Char"/>
    <w:basedOn w:val="DefaultParagraphFont"/>
    <w:link w:val="Footer"/>
    <w:uiPriority w:val="99"/>
    <w:rsid w:val="004F2B46"/>
    <w:rPr>
      <w:rFonts w:ascii="Times New Roman" w:eastAsia="Times New Roman" w:hAnsi="Times New Roman" w:cs="Times New Roman"/>
      <w:kern w:val="0"/>
      <w:lang w:val="fr-FR"/>
      <w14:ligatures w14:val="none"/>
    </w:rPr>
  </w:style>
  <w:style w:type="paragraph" w:styleId="Revision">
    <w:name w:val="Revision"/>
    <w:hidden/>
    <w:uiPriority w:val="99"/>
    <w:semiHidden/>
    <w:rsid w:val="004F2B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2026-05-13T01:30:00Z</dcterms:created>
  <dcterms:modified xsi:type="dcterms:W3CDTF">2026-05-13T01:40:00Z</dcterms:modified>
</cp:coreProperties>
</file>