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29A2" w14:textId="5808C479" w:rsidR="006A295A" w:rsidRPr="00D44B4A" w:rsidRDefault="00D44B4A" w:rsidP="006A295A">
      <w:pPr>
        <w:pStyle w:val="Heading1"/>
        <w:overflowPunct w:val="0"/>
        <w:autoSpaceDE w:val="0"/>
        <w:autoSpaceDN w:val="0"/>
        <w:adjustRightInd w:val="0"/>
        <w:ind w:left="0"/>
        <w:jc w:val="left"/>
        <w:textAlignment w:val="baseline"/>
        <w:rPr>
          <w:rFonts w:ascii="Calibri" w:hAnsi="Calibri"/>
          <w:b/>
          <w:sz w:val="28"/>
          <w:szCs w:val="22"/>
        </w:rPr>
      </w:pPr>
      <w:r>
        <w:rPr>
          <w:rFonts w:ascii="Calibri" w:hAnsi="Calibri"/>
          <w:b/>
          <w:sz w:val="28"/>
          <w:szCs w:val="22"/>
        </w:rPr>
        <w:t xml:space="preserve">Frais de sécurité pour les contrats individuels </w:t>
      </w:r>
    </w:p>
    <w:p w14:paraId="194CFBBA" w14:textId="77777777" w:rsidR="00FE4EF9" w:rsidRDefault="00FE4EF9" w:rsidP="00556283">
      <w:pPr>
        <w:rPr>
          <w:rFonts w:asciiTheme="majorHAnsi" w:hAnsiTheme="majorHAnsi" w:cs="Arial"/>
          <w:b/>
          <w:bCs/>
          <w:sz w:val="22"/>
          <w:szCs w:val="22"/>
        </w:rPr>
      </w:pPr>
    </w:p>
    <w:p w14:paraId="7E4D4908" w14:textId="40E12B75" w:rsidR="00556283" w:rsidRPr="00D44B4A" w:rsidRDefault="00D406DE" w:rsidP="00556283">
      <w:pPr>
        <w:rPr>
          <w:rFonts w:asciiTheme="majorHAnsi" w:hAnsiTheme="majorHAnsi" w:cs="Arial"/>
          <w:b/>
          <w:bCs/>
          <w:sz w:val="22"/>
          <w:szCs w:val="22"/>
          <w:u w:val="single"/>
        </w:rPr>
      </w:pPr>
      <w:r>
        <w:rPr>
          <w:rFonts w:asciiTheme="majorHAnsi" w:hAnsiTheme="majorHAnsi"/>
          <w:b/>
          <w:bCs/>
          <w:sz w:val="22"/>
          <w:szCs w:val="22"/>
        </w:rPr>
        <w:t>Contributions au système de sécurité</w:t>
      </w:r>
    </w:p>
    <w:p w14:paraId="0ACEF40D" w14:textId="658033F1" w:rsidR="00EB4CB9" w:rsidRDefault="00EE42AD" w:rsidP="00FE4EF9">
      <w:pPr>
        <w:pStyle w:val="ListParagraph"/>
        <w:numPr>
          <w:ilvl w:val="0"/>
          <w:numId w:val="18"/>
        </w:numPr>
        <w:spacing w:before="240" w:after="240"/>
        <w:rPr>
          <w:rFonts w:asciiTheme="majorHAnsi" w:hAnsiTheme="majorHAnsi"/>
          <w:iCs/>
        </w:rPr>
      </w:pPr>
      <w:r>
        <w:rPr>
          <w:rFonts w:asciiTheme="majorHAnsi" w:hAnsiTheme="majorHAnsi"/>
          <w:iCs/>
        </w:rPr>
        <w:t>Les projets PNID sont responsables de la couverture des coûts d</w:t>
      </w:r>
      <w:r w:rsidR="00556283">
        <w:rPr>
          <w:rFonts w:asciiTheme="majorHAnsi" w:hAnsiTheme="majorHAnsi"/>
          <w:iCs/>
        </w:rPr>
        <w:t xml:space="preserve">es contributions UNSMS et des coûts relatifs aux normes minimales de sécurité opérationnelle (MOSS) </w:t>
      </w:r>
      <w:r>
        <w:rPr>
          <w:rFonts w:asciiTheme="majorHAnsi" w:hAnsiTheme="majorHAnsi"/>
          <w:iCs/>
        </w:rPr>
        <w:t>des IC’s</w:t>
      </w:r>
      <w:r w:rsidR="00556283">
        <w:rPr>
          <w:rFonts w:asciiTheme="majorHAnsi" w:hAnsiTheme="majorHAnsi"/>
          <w:iCs/>
        </w:rPr>
        <w:t xml:space="preserve">. Les contributions et coûts sont basés sur le total </w:t>
      </w:r>
      <w:r>
        <w:rPr>
          <w:rFonts w:asciiTheme="majorHAnsi" w:hAnsiTheme="majorHAnsi"/>
          <w:iCs/>
        </w:rPr>
        <w:t>des paiements à un IC</w:t>
      </w:r>
      <w:r w:rsidR="00556283">
        <w:rPr>
          <w:rFonts w:asciiTheme="majorHAnsi" w:hAnsiTheme="majorHAnsi"/>
          <w:iCs/>
        </w:rPr>
        <w:t xml:space="preserve"> pour </w:t>
      </w:r>
      <w:r>
        <w:rPr>
          <w:rFonts w:asciiTheme="majorHAnsi" w:hAnsiTheme="majorHAnsi"/>
          <w:iCs/>
        </w:rPr>
        <w:t>s</w:t>
      </w:r>
      <w:r w:rsidR="00556283">
        <w:rPr>
          <w:rFonts w:asciiTheme="majorHAnsi" w:hAnsiTheme="majorHAnsi"/>
          <w:iCs/>
        </w:rPr>
        <w:t>es honoraires professionnels, en excluant ceux effectués pour le déplacement et/ou comme indemnisation journalière (DSA), . Un pourcentage de frais sera automatiquement facturé sur une base régulière en fonction du ou des budget(s) utilisés pour le paiement des IC.</w:t>
      </w:r>
    </w:p>
    <w:p w14:paraId="508124CB" w14:textId="77777777" w:rsidR="00FE4EF9" w:rsidRDefault="00FE4EF9" w:rsidP="00FE4EF9">
      <w:pPr>
        <w:pStyle w:val="ListParagraph"/>
        <w:spacing w:before="240" w:after="240"/>
        <w:rPr>
          <w:rFonts w:asciiTheme="majorHAnsi" w:hAnsiTheme="majorHAnsi"/>
          <w:iCs/>
        </w:rPr>
      </w:pPr>
    </w:p>
    <w:p w14:paraId="0FCF3265" w14:textId="2D9BE3DB" w:rsidR="00EB4CB9" w:rsidRPr="00FE4EF9" w:rsidRDefault="00EB4CB9" w:rsidP="00EB4CB9">
      <w:pPr>
        <w:pStyle w:val="ListParagraph"/>
        <w:numPr>
          <w:ilvl w:val="0"/>
          <w:numId w:val="18"/>
        </w:numPr>
        <w:spacing w:before="240" w:after="240"/>
        <w:rPr>
          <w:rFonts w:asciiTheme="majorHAnsi" w:hAnsiTheme="majorHAnsi"/>
          <w:iCs/>
        </w:rPr>
      </w:pPr>
      <w:r>
        <w:rPr>
          <w:rFonts w:asciiTheme="majorHAnsi" w:hAnsiTheme="majorHAnsi"/>
          <w:iCs/>
        </w:rPr>
        <w:t xml:space="preserve">Certains contrats IC, relatifs à l’embauche de main-d’œuvre payée à l’heure, ne font pas l’objet de cette pratique récurrente.  </w:t>
      </w:r>
    </w:p>
    <w:p w14:paraId="134A0C06" w14:textId="77777777" w:rsidR="00FE4EF9" w:rsidRDefault="00FE4EF9" w:rsidP="00FE4EF9">
      <w:pPr>
        <w:pStyle w:val="ListParagraph"/>
        <w:spacing w:before="240" w:after="240"/>
        <w:rPr>
          <w:rFonts w:asciiTheme="majorHAnsi" w:hAnsiTheme="majorHAnsi"/>
          <w:iCs/>
        </w:rPr>
      </w:pPr>
    </w:p>
    <w:p w14:paraId="3A264A62" w14:textId="02559579" w:rsidR="00556283" w:rsidRPr="00FE4EF9" w:rsidRDefault="001F6E04" w:rsidP="00FE4EF9">
      <w:pPr>
        <w:pStyle w:val="ListParagraph"/>
        <w:numPr>
          <w:ilvl w:val="0"/>
          <w:numId w:val="18"/>
        </w:numPr>
        <w:spacing w:before="240" w:after="240"/>
        <w:rPr>
          <w:rFonts w:asciiTheme="majorHAnsi" w:hAnsiTheme="majorHAnsi"/>
          <w:iCs/>
        </w:rPr>
      </w:pPr>
      <w:r>
        <w:rPr>
          <w:rFonts w:asciiTheme="majorHAnsi" w:hAnsiTheme="majorHAnsi"/>
          <w:iCs/>
        </w:rPr>
        <w:t>Le pourcentage de frais facturé est calculé selon la</w:t>
      </w:r>
      <w:r w:rsidR="00583FC5">
        <w:rPr>
          <w:rFonts w:asciiTheme="majorHAnsi" w:hAnsiTheme="majorHAnsi"/>
          <w:iCs/>
        </w:rPr>
        <w:t xml:space="preserve"> classification de difficulté du</w:t>
      </w:r>
      <w:r>
        <w:rPr>
          <w:rFonts w:asciiTheme="majorHAnsi" w:hAnsiTheme="majorHAnsi"/>
          <w:iCs/>
        </w:rPr>
        <w:t xml:space="preserve"> lieu d’affectation et les dépenses annuelles obligatoires en matière de sécurité estimées lors de l’Assemblée générale (GA). Le personnel du BP du PNUD est responsable d’assurer la juste correspondance entre les bordereaux de comptes créditeurs et les honoraires professionnels. </w:t>
      </w:r>
    </w:p>
    <w:p w14:paraId="7C13025E" w14:textId="77777777" w:rsidR="00FE4EF9" w:rsidRDefault="00FE4EF9" w:rsidP="00FE4EF9">
      <w:pPr>
        <w:pStyle w:val="ListParagraph"/>
        <w:rPr>
          <w:rFonts w:asciiTheme="majorHAnsi" w:hAnsiTheme="majorHAnsi"/>
          <w:iCs/>
        </w:rPr>
      </w:pPr>
    </w:p>
    <w:p w14:paraId="7B8903D8" w14:textId="75C4057A" w:rsidR="00DE03C3" w:rsidRPr="00533697" w:rsidRDefault="00D406DE" w:rsidP="00FE4EF9">
      <w:pPr>
        <w:pStyle w:val="ListParagraph"/>
        <w:numPr>
          <w:ilvl w:val="0"/>
          <w:numId w:val="18"/>
        </w:numPr>
        <w:rPr>
          <w:rFonts w:asciiTheme="majorHAnsi" w:hAnsiTheme="majorHAnsi"/>
          <w:iCs/>
        </w:rPr>
      </w:pPr>
      <w:r>
        <w:rPr>
          <w:rFonts w:asciiTheme="majorHAnsi" w:hAnsiTheme="majorHAnsi"/>
          <w:iCs/>
        </w:rPr>
        <w:t xml:space="preserve">Comme les frais de sécurité sont prélevés uniquement sur les honoraires professionnels, il est essentiel qu'il y ait une distinction claire entre les honoraires professionnels d'IC et les autres dépenses (allocation de subsistance, déplacements, etc.). Si les honoraires professionnels ne sont pas séparés des autres dépenses, des frais de sécurité seront </w:t>
      </w:r>
      <w:r w:rsidRPr="00827817">
        <w:rPr>
          <w:rFonts w:asciiTheme="majorHAnsi" w:hAnsiTheme="majorHAnsi"/>
          <w:iCs/>
        </w:rPr>
        <w:t xml:space="preserve">prélevés sur le montant total du paiement. </w:t>
      </w:r>
    </w:p>
    <w:p w14:paraId="731C9345" w14:textId="77777777" w:rsidR="00817C22" w:rsidRPr="00533697" w:rsidRDefault="00817C22" w:rsidP="00817C22">
      <w:pPr>
        <w:pStyle w:val="ListParagraph"/>
        <w:spacing w:after="0" w:line="240" w:lineRule="auto"/>
        <w:ind w:left="540"/>
        <w:contextualSpacing w:val="0"/>
        <w:rPr>
          <w:rFonts w:asciiTheme="majorHAnsi" w:hAnsiTheme="majorHAnsi"/>
          <w:iCs/>
        </w:rPr>
      </w:pPr>
    </w:p>
    <w:p w14:paraId="3E6347F7" w14:textId="77777777" w:rsidR="00827817" w:rsidRPr="00533697" w:rsidRDefault="00827817" w:rsidP="00827817">
      <w:pPr>
        <w:pStyle w:val="NormalWeb"/>
        <w:jc w:val="center"/>
        <w:rPr>
          <w:rFonts w:asciiTheme="majorHAnsi" w:hAnsiTheme="majorHAnsi"/>
          <w:color w:val="000000"/>
          <w:sz w:val="22"/>
          <w:szCs w:val="22"/>
          <w:lang w:val="en-US" w:eastAsia="en-US"/>
        </w:rPr>
      </w:pPr>
      <w:r w:rsidRPr="00F13120">
        <w:rPr>
          <w:rFonts w:asciiTheme="majorHAnsi" w:hAnsiTheme="majorHAnsi"/>
          <w:color w:val="000000"/>
          <w:sz w:val="22"/>
          <w:szCs w:val="22"/>
          <w:lang w:val="en-US"/>
        </w:rPr>
        <w:t>Disclaimer: This document was translated from English into French. In the event of any discrepancy between this translation and the original English document, the original English document shall prevail.</w:t>
      </w:r>
    </w:p>
    <w:p w14:paraId="01CCAFFE" w14:textId="77777777" w:rsidR="00827817" w:rsidRPr="00533697" w:rsidRDefault="00827817" w:rsidP="00827817">
      <w:pPr>
        <w:pStyle w:val="NormalWeb"/>
        <w:jc w:val="center"/>
        <w:rPr>
          <w:rFonts w:asciiTheme="majorHAnsi" w:hAnsiTheme="majorHAnsi"/>
          <w:color w:val="000000"/>
          <w:sz w:val="22"/>
          <w:szCs w:val="22"/>
        </w:rPr>
      </w:pPr>
      <w:r w:rsidRPr="00533697">
        <w:rPr>
          <w:rFonts w:asciiTheme="majorHAnsi" w:hAnsiTheme="majorHAnsi"/>
          <w:color w:val="000000"/>
          <w:sz w:val="22"/>
          <w:szCs w:val="22"/>
        </w:rPr>
        <w:t>Avertissement: Ce document a été traduit de l'anglais vers le français. En cas de divergence entre cette traduction et le document anglais original, le document anglais original prévaudra.</w:t>
      </w:r>
    </w:p>
    <w:p w14:paraId="448F27EC" w14:textId="22FDB0D5" w:rsidR="00C2526E" w:rsidRPr="00FE4EF9" w:rsidRDefault="00C2526E" w:rsidP="00C2526E">
      <w:pPr>
        <w:rPr>
          <w:rFonts w:ascii="Arial" w:hAnsi="Arial" w:cs="Arial"/>
          <w:sz w:val="22"/>
          <w:szCs w:val="22"/>
        </w:rPr>
      </w:pPr>
    </w:p>
    <w:sectPr w:rsidR="00C2526E" w:rsidRPr="00FE4EF9" w:rsidSect="0087309B">
      <w:headerReference w:type="even" r:id="rId13"/>
      <w:headerReference w:type="default" r:id="rId14"/>
      <w:footerReference w:type="even" r:id="rId15"/>
      <w:footerReference w:type="default" r:id="rId16"/>
      <w:headerReference w:type="first" r:id="rId17"/>
      <w:footerReference w:type="first" r:id="rId1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18E8" w14:textId="77777777" w:rsidR="0087309B" w:rsidRDefault="0087309B" w:rsidP="006A295A">
      <w:r>
        <w:separator/>
      </w:r>
    </w:p>
  </w:endnote>
  <w:endnote w:type="continuationSeparator" w:id="0">
    <w:p w14:paraId="7BACE16B" w14:textId="77777777" w:rsidR="0087309B" w:rsidRDefault="0087309B"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5AA0" w14:textId="77777777" w:rsidR="00851719" w:rsidRDefault="00851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BEB6" w14:textId="07B14FE1" w:rsidR="00404D7C" w:rsidRPr="00FD4068" w:rsidRDefault="00000000">
    <w:pPr>
      <w:pStyle w:val="Footer"/>
      <w:rPr>
        <w:rFonts w:asciiTheme="majorHAnsi" w:hAnsiTheme="majorHAnsi"/>
      </w:rPr>
    </w:pPr>
    <w:sdt>
      <w:sdtPr>
        <w:rPr>
          <w:rFonts w:asciiTheme="majorHAnsi" w:hAnsiTheme="majorHAnsi"/>
        </w:rPr>
        <w:id w:val="-315034692"/>
        <w:docPartObj>
          <w:docPartGallery w:val="Page Numbers (Bottom of Page)"/>
          <w:docPartUnique/>
        </w:docPartObj>
      </w:sdtPr>
      <w:sdtEndPr>
        <w:rPr>
          <w:sz w:val="22"/>
        </w:rPr>
      </w:sdtEndPr>
      <w:sdtContent>
        <w:sdt>
          <w:sdtPr>
            <w:rPr>
              <w:rFonts w:asciiTheme="majorHAnsi" w:hAnsiTheme="majorHAnsi"/>
            </w:rPr>
            <w:id w:val="-1705238520"/>
            <w:docPartObj>
              <w:docPartGallery w:val="Page Numbers (Top of Page)"/>
              <w:docPartUnique/>
            </w:docPartObj>
          </w:sdtPr>
          <w:sdtEndPr>
            <w:rPr>
              <w:sz w:val="22"/>
            </w:rPr>
          </w:sdtEndPr>
          <w:sdtContent>
            <w:r w:rsidR="00F50E96">
              <w:rPr>
                <w:rFonts w:asciiTheme="majorHAnsi" w:hAnsiTheme="majorHAnsi"/>
              </w:rPr>
              <w:t>P</w:t>
            </w:r>
            <w:r w:rsidR="00F50E96">
              <w:rPr>
                <w:rFonts w:asciiTheme="majorHAnsi" w:hAnsiTheme="majorHAnsi"/>
                <w:sz w:val="22"/>
              </w:rPr>
              <w:t xml:space="preserve">age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PAGE </w:instrText>
            </w:r>
            <w:r w:rsidR="00FD4068" w:rsidRPr="00FD4068">
              <w:rPr>
                <w:rFonts w:asciiTheme="majorHAnsi" w:hAnsiTheme="majorHAnsi"/>
                <w:bCs/>
                <w:sz w:val="22"/>
              </w:rPr>
              <w:fldChar w:fldCharType="separate"/>
            </w:r>
            <w:r w:rsidR="00533697">
              <w:rPr>
                <w:rFonts w:asciiTheme="majorHAnsi" w:hAnsiTheme="majorHAnsi"/>
                <w:bCs/>
                <w:noProof/>
                <w:sz w:val="22"/>
              </w:rPr>
              <w:t>1</w:t>
            </w:r>
            <w:r w:rsidR="00FD4068" w:rsidRPr="00FD4068">
              <w:rPr>
                <w:rFonts w:asciiTheme="majorHAnsi" w:hAnsiTheme="majorHAnsi"/>
                <w:bCs/>
                <w:sz w:val="22"/>
              </w:rPr>
              <w:fldChar w:fldCharType="end"/>
            </w:r>
            <w:r w:rsidR="00F50E96">
              <w:rPr>
                <w:rFonts w:asciiTheme="majorHAnsi" w:hAnsiTheme="majorHAnsi"/>
                <w:sz w:val="22"/>
              </w:rPr>
              <w:t xml:space="preserve"> sur </w:t>
            </w:r>
            <w:r w:rsidR="00FD4068" w:rsidRPr="00FD4068">
              <w:rPr>
                <w:rFonts w:asciiTheme="majorHAnsi" w:hAnsiTheme="majorHAnsi"/>
                <w:bCs/>
                <w:sz w:val="22"/>
              </w:rPr>
              <w:fldChar w:fldCharType="begin"/>
            </w:r>
            <w:r w:rsidR="00FD4068" w:rsidRPr="00FD4068">
              <w:rPr>
                <w:rFonts w:asciiTheme="majorHAnsi" w:hAnsiTheme="majorHAnsi"/>
                <w:bCs/>
                <w:sz w:val="22"/>
              </w:rPr>
              <w:instrText xml:space="preserve"> NUMPAGES  </w:instrText>
            </w:r>
            <w:r w:rsidR="00FD4068" w:rsidRPr="00FD4068">
              <w:rPr>
                <w:rFonts w:asciiTheme="majorHAnsi" w:hAnsiTheme="majorHAnsi"/>
                <w:bCs/>
                <w:sz w:val="22"/>
              </w:rPr>
              <w:fldChar w:fldCharType="separate"/>
            </w:r>
            <w:r w:rsidR="00533697">
              <w:rPr>
                <w:rFonts w:asciiTheme="majorHAnsi" w:hAnsiTheme="majorHAnsi"/>
                <w:bCs/>
                <w:noProof/>
                <w:sz w:val="22"/>
              </w:rPr>
              <w:t>1</w:t>
            </w:r>
            <w:r w:rsidR="00FD4068" w:rsidRPr="00FD4068">
              <w:rPr>
                <w:rFonts w:asciiTheme="majorHAnsi" w:hAnsiTheme="majorHAnsi"/>
                <w:bCs/>
                <w:sz w:val="22"/>
              </w:rPr>
              <w:fldChar w:fldCharType="end"/>
            </w:r>
            <w:r w:rsidR="00F50E96">
              <w:rPr>
                <w:rFonts w:asciiTheme="majorHAnsi" w:hAnsiTheme="majorHAnsi"/>
                <w:bCs/>
                <w:sz w:val="22"/>
              </w:rPr>
              <w:tab/>
              <w:t xml:space="preserve">Date d’entrée en vigueur : </w:t>
            </w:r>
            <w:sdt>
              <w:sdtPr>
                <w:rPr>
                  <w:rFonts w:asciiTheme="majorHAnsi" w:hAnsiTheme="majorHAnsi"/>
                  <w:bCs/>
                  <w:sz w:val="22"/>
                </w:rPr>
                <w:alias w:val="Date d’entrée en vigueur"/>
                <w:tag w:val="UNDP_POPP_EFFECTIVEDATE"/>
                <w:id w:val="-46165177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C012E26-69EC-4E84-8DAC-46C0EBBC6CC2}"/>
                <w:date w:fullDate="2015-09-03T00:00:00Z">
                  <w:dateFormat w:val="dd/MM/yyyy"/>
                  <w:lid w:val="fr-FR"/>
                  <w:storeMappedDataAs w:val="dateTime"/>
                  <w:calendar w:val="gregorian"/>
                </w:date>
              </w:sdtPr>
              <w:sdtContent>
                <w:r w:rsidR="00F13120">
                  <w:rPr>
                    <w:rFonts w:asciiTheme="majorHAnsi" w:hAnsiTheme="majorHAnsi"/>
                    <w:bCs/>
                    <w:sz w:val="22"/>
                  </w:rPr>
                  <w:t>03/09/2015</w:t>
                </w:r>
              </w:sdtContent>
            </w:sdt>
          </w:sdtContent>
        </w:sdt>
      </w:sdtContent>
    </w:sdt>
    <w:r w:rsidR="00F50E96">
      <w:rPr>
        <w:rFonts w:asciiTheme="majorHAnsi" w:hAnsiTheme="majorHAnsi"/>
        <w:sz w:val="22"/>
      </w:rPr>
      <w:t xml:space="preserve">    </w:t>
    </w:r>
    <w:r w:rsidR="00F50E96">
      <w:rPr>
        <w:rFonts w:asciiTheme="majorHAnsi" w:hAnsiTheme="majorHAnsi"/>
        <w:sz w:val="22"/>
      </w:rPr>
      <w:tab/>
      <w:t xml:space="preserve">Numéro de version : </w:t>
    </w:r>
    <w:sdt>
      <w:sdtPr>
        <w:rPr>
          <w:rFonts w:asciiTheme="majorHAnsi" w:hAnsiTheme="majorHAnsi"/>
          <w:sz w:val="22"/>
        </w:rPr>
        <w:alias w:val="VersionPOPPRefItem"/>
        <w:tag w:val="UNDP_POPP_REFITEM_VERSION"/>
        <w:id w:val="-75627976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C012E26-69EC-4E84-8DAC-46C0EBBC6CC2}"/>
        <w:text/>
      </w:sdtPr>
      <w:sdtContent>
        <w:r w:rsidR="00851719">
          <w:rPr>
            <w:rFonts w:asciiTheme="majorHAnsi" w:hAnsiTheme="majorHAnsi"/>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69D4" w14:textId="77777777" w:rsidR="00851719" w:rsidRDefault="0085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F16E" w14:textId="77777777" w:rsidR="0087309B" w:rsidRDefault="0087309B" w:rsidP="006A295A">
      <w:r>
        <w:separator/>
      </w:r>
    </w:p>
  </w:footnote>
  <w:footnote w:type="continuationSeparator" w:id="0">
    <w:p w14:paraId="255A1F7E" w14:textId="77777777" w:rsidR="0087309B" w:rsidRDefault="0087309B"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35C4" w14:textId="77777777" w:rsidR="00851719" w:rsidRDefault="0085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6AD" w14:textId="4D85F4C5" w:rsidR="00F50E96" w:rsidRDefault="00851719" w:rsidP="00851719">
    <w:pPr>
      <w:pStyle w:val="Header"/>
      <w:ind w:left="8640"/>
    </w:pPr>
    <w:r>
      <w:rPr>
        <w:noProof/>
      </w:rPr>
      <w:drawing>
        <wp:inline distT="0" distB="0" distL="0" distR="0" wp14:anchorId="270BFBEA" wp14:editId="11CC0B64">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16E1" w14:textId="77777777" w:rsidR="00851719" w:rsidRDefault="0085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68"/>
    <w:multiLevelType w:val="hybridMultilevel"/>
    <w:tmpl w:val="599C2390"/>
    <w:lvl w:ilvl="0" w:tplc="6EB2035C">
      <w:numFmt w:val="bullet"/>
      <w:lvlText w:val="-"/>
      <w:lvlJc w:val="left"/>
      <w:pPr>
        <w:ind w:left="720" w:hanging="360"/>
      </w:pPr>
      <w:rPr>
        <w:rFonts w:ascii="Arial" w:eastAsia="Times New Roman" w:hAnsi="Arial" w:cs="Aria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F7877"/>
    <w:multiLevelType w:val="hybridMultilevel"/>
    <w:tmpl w:val="B6CEA4B6"/>
    <w:lvl w:ilvl="0" w:tplc="EDC2DB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52BF2"/>
    <w:multiLevelType w:val="hybridMultilevel"/>
    <w:tmpl w:val="9AAAF6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77C2197"/>
    <w:multiLevelType w:val="hybridMultilevel"/>
    <w:tmpl w:val="4EC43892"/>
    <w:lvl w:ilvl="0" w:tplc="4D7034E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72670"/>
    <w:multiLevelType w:val="hybridMultilevel"/>
    <w:tmpl w:val="1F7A0752"/>
    <w:lvl w:ilvl="0" w:tplc="5CE67E4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5F2E"/>
    <w:multiLevelType w:val="hybridMultilevel"/>
    <w:tmpl w:val="5C48B5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74280"/>
    <w:multiLevelType w:val="hybridMultilevel"/>
    <w:tmpl w:val="B6AC5782"/>
    <w:lvl w:ilvl="0" w:tplc="34D087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1C5D9F"/>
    <w:multiLevelType w:val="hybridMultilevel"/>
    <w:tmpl w:val="AE629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B5B52CA"/>
    <w:multiLevelType w:val="hybridMultilevel"/>
    <w:tmpl w:val="8E92D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6A40BA"/>
    <w:multiLevelType w:val="hybridMultilevel"/>
    <w:tmpl w:val="C5D896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092620"/>
    <w:multiLevelType w:val="hybridMultilevel"/>
    <w:tmpl w:val="BDECB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D19BE"/>
    <w:multiLevelType w:val="hybridMultilevel"/>
    <w:tmpl w:val="A90E16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D9270B"/>
    <w:multiLevelType w:val="hybridMultilevel"/>
    <w:tmpl w:val="0B10A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D2A4C"/>
    <w:multiLevelType w:val="hybridMultilevel"/>
    <w:tmpl w:val="69D0B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F76AB"/>
    <w:multiLevelType w:val="hybridMultilevel"/>
    <w:tmpl w:val="34924662"/>
    <w:lvl w:ilvl="0" w:tplc="F19694E8">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5" w15:restartNumberingAfterBreak="0">
    <w:nsid w:val="54504E3C"/>
    <w:multiLevelType w:val="hybridMultilevel"/>
    <w:tmpl w:val="D84C5844"/>
    <w:lvl w:ilvl="0" w:tplc="0C0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12FF4"/>
    <w:multiLevelType w:val="hybridMultilevel"/>
    <w:tmpl w:val="68504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B5D0E"/>
    <w:multiLevelType w:val="hybridMultilevel"/>
    <w:tmpl w:val="869A331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3435332">
    <w:abstractNumId w:val="1"/>
  </w:num>
  <w:num w:numId="2" w16cid:durableId="1860311531">
    <w:abstractNumId w:val="4"/>
  </w:num>
  <w:num w:numId="3" w16cid:durableId="489518898">
    <w:abstractNumId w:val="3"/>
  </w:num>
  <w:num w:numId="4" w16cid:durableId="1504934825">
    <w:abstractNumId w:val="13"/>
  </w:num>
  <w:num w:numId="5" w16cid:durableId="900289584">
    <w:abstractNumId w:val="11"/>
  </w:num>
  <w:num w:numId="6" w16cid:durableId="1205144133">
    <w:abstractNumId w:val="5"/>
  </w:num>
  <w:num w:numId="7" w16cid:durableId="1617180713">
    <w:abstractNumId w:val="16"/>
  </w:num>
  <w:num w:numId="8" w16cid:durableId="408579130">
    <w:abstractNumId w:val="17"/>
  </w:num>
  <w:num w:numId="9" w16cid:durableId="580024259">
    <w:abstractNumId w:val="0"/>
  </w:num>
  <w:num w:numId="10" w16cid:durableId="836384649">
    <w:abstractNumId w:val="6"/>
  </w:num>
  <w:num w:numId="11" w16cid:durableId="2086031323">
    <w:abstractNumId w:val="15"/>
  </w:num>
  <w:num w:numId="12" w16cid:durableId="1290698606">
    <w:abstractNumId w:val="8"/>
  </w:num>
  <w:num w:numId="13" w16cid:durableId="1545829128">
    <w:abstractNumId w:val="2"/>
  </w:num>
  <w:num w:numId="14" w16cid:durableId="128940706">
    <w:abstractNumId w:val="9"/>
  </w:num>
  <w:num w:numId="15" w16cid:durableId="1233203510">
    <w:abstractNumId w:val="7"/>
  </w:num>
  <w:num w:numId="16" w16cid:durableId="1740446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7270232">
    <w:abstractNumId w:val="12"/>
  </w:num>
  <w:num w:numId="18" w16cid:durableId="1236237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95A"/>
    <w:rsid w:val="00004CE0"/>
    <w:rsid w:val="00007180"/>
    <w:rsid w:val="00013A8D"/>
    <w:rsid w:val="00036C41"/>
    <w:rsid w:val="00041E00"/>
    <w:rsid w:val="00050229"/>
    <w:rsid w:val="000524BA"/>
    <w:rsid w:val="00066C36"/>
    <w:rsid w:val="00070843"/>
    <w:rsid w:val="00071A03"/>
    <w:rsid w:val="00072600"/>
    <w:rsid w:val="00072E36"/>
    <w:rsid w:val="00077DAE"/>
    <w:rsid w:val="00084E89"/>
    <w:rsid w:val="000953F5"/>
    <w:rsid w:val="000A33A4"/>
    <w:rsid w:val="000A37A8"/>
    <w:rsid w:val="000A4FDB"/>
    <w:rsid w:val="000A5949"/>
    <w:rsid w:val="000A6D08"/>
    <w:rsid w:val="000C3F69"/>
    <w:rsid w:val="000C6D95"/>
    <w:rsid w:val="000E7A18"/>
    <w:rsid w:val="00100A79"/>
    <w:rsid w:val="001128E3"/>
    <w:rsid w:val="00114B31"/>
    <w:rsid w:val="001221F5"/>
    <w:rsid w:val="0012649D"/>
    <w:rsid w:val="001323FF"/>
    <w:rsid w:val="00133FC5"/>
    <w:rsid w:val="00134D36"/>
    <w:rsid w:val="00150FA7"/>
    <w:rsid w:val="00160BC9"/>
    <w:rsid w:val="001622FD"/>
    <w:rsid w:val="00162A5A"/>
    <w:rsid w:val="00170B94"/>
    <w:rsid w:val="00170EFE"/>
    <w:rsid w:val="001721EA"/>
    <w:rsid w:val="00172B8B"/>
    <w:rsid w:val="001769F5"/>
    <w:rsid w:val="00182498"/>
    <w:rsid w:val="00187E1F"/>
    <w:rsid w:val="001B0EFF"/>
    <w:rsid w:val="001C1C69"/>
    <w:rsid w:val="001C5E1F"/>
    <w:rsid w:val="001D06BF"/>
    <w:rsid w:val="001E677A"/>
    <w:rsid w:val="001F0ADD"/>
    <w:rsid w:val="001F6E04"/>
    <w:rsid w:val="00210B97"/>
    <w:rsid w:val="0021741B"/>
    <w:rsid w:val="00221D8D"/>
    <w:rsid w:val="00230C11"/>
    <w:rsid w:val="00246A5E"/>
    <w:rsid w:val="00262C6D"/>
    <w:rsid w:val="00265310"/>
    <w:rsid w:val="00267D51"/>
    <w:rsid w:val="00274531"/>
    <w:rsid w:val="00287D8C"/>
    <w:rsid w:val="00291149"/>
    <w:rsid w:val="00291654"/>
    <w:rsid w:val="002A1970"/>
    <w:rsid w:val="002A64D6"/>
    <w:rsid w:val="002B133F"/>
    <w:rsid w:val="002B1D05"/>
    <w:rsid w:val="002B2EE4"/>
    <w:rsid w:val="002B5C83"/>
    <w:rsid w:val="002C1B6E"/>
    <w:rsid w:val="002C2AD6"/>
    <w:rsid w:val="002D328A"/>
    <w:rsid w:val="00300DA3"/>
    <w:rsid w:val="00311BE7"/>
    <w:rsid w:val="00326064"/>
    <w:rsid w:val="003317F3"/>
    <w:rsid w:val="00332CE9"/>
    <w:rsid w:val="00334FE4"/>
    <w:rsid w:val="0033564C"/>
    <w:rsid w:val="0034397E"/>
    <w:rsid w:val="00345CA2"/>
    <w:rsid w:val="00360AB9"/>
    <w:rsid w:val="00362C5C"/>
    <w:rsid w:val="0036479F"/>
    <w:rsid w:val="00366DEE"/>
    <w:rsid w:val="00374F8C"/>
    <w:rsid w:val="00380ECF"/>
    <w:rsid w:val="0038641A"/>
    <w:rsid w:val="003973B5"/>
    <w:rsid w:val="003B6E90"/>
    <w:rsid w:val="003B7AB2"/>
    <w:rsid w:val="003D4576"/>
    <w:rsid w:val="003D57C3"/>
    <w:rsid w:val="003E1C09"/>
    <w:rsid w:val="003E64D1"/>
    <w:rsid w:val="003F4BD6"/>
    <w:rsid w:val="003F550D"/>
    <w:rsid w:val="00404D7C"/>
    <w:rsid w:val="00406163"/>
    <w:rsid w:val="00407D3F"/>
    <w:rsid w:val="00421F14"/>
    <w:rsid w:val="0045109D"/>
    <w:rsid w:val="00464B41"/>
    <w:rsid w:val="00466B20"/>
    <w:rsid w:val="004674CD"/>
    <w:rsid w:val="0048044D"/>
    <w:rsid w:val="00495F98"/>
    <w:rsid w:val="004B052B"/>
    <w:rsid w:val="004B7DEB"/>
    <w:rsid w:val="004D09B7"/>
    <w:rsid w:val="004E6FD2"/>
    <w:rsid w:val="00502DAD"/>
    <w:rsid w:val="00511C7D"/>
    <w:rsid w:val="00516DB8"/>
    <w:rsid w:val="00522731"/>
    <w:rsid w:val="00533697"/>
    <w:rsid w:val="00556283"/>
    <w:rsid w:val="00564091"/>
    <w:rsid w:val="00573064"/>
    <w:rsid w:val="00574B00"/>
    <w:rsid w:val="00583FC5"/>
    <w:rsid w:val="00586A66"/>
    <w:rsid w:val="00592E6A"/>
    <w:rsid w:val="00596499"/>
    <w:rsid w:val="005A19BC"/>
    <w:rsid w:val="005A3960"/>
    <w:rsid w:val="005B48A2"/>
    <w:rsid w:val="005C5AD9"/>
    <w:rsid w:val="005F5F45"/>
    <w:rsid w:val="00600FB4"/>
    <w:rsid w:val="00613891"/>
    <w:rsid w:val="006161FA"/>
    <w:rsid w:val="006222DC"/>
    <w:rsid w:val="006225A7"/>
    <w:rsid w:val="006411DD"/>
    <w:rsid w:val="0067035C"/>
    <w:rsid w:val="00670996"/>
    <w:rsid w:val="0067160F"/>
    <w:rsid w:val="0068277E"/>
    <w:rsid w:val="0068345F"/>
    <w:rsid w:val="0069687A"/>
    <w:rsid w:val="006A295A"/>
    <w:rsid w:val="006A7479"/>
    <w:rsid w:val="006B5B18"/>
    <w:rsid w:val="006C5543"/>
    <w:rsid w:val="006E2CB4"/>
    <w:rsid w:val="006E782C"/>
    <w:rsid w:val="006F6875"/>
    <w:rsid w:val="0070472F"/>
    <w:rsid w:val="00711E2B"/>
    <w:rsid w:val="00757999"/>
    <w:rsid w:val="00757EB1"/>
    <w:rsid w:val="00770DB1"/>
    <w:rsid w:val="0078327E"/>
    <w:rsid w:val="007940F1"/>
    <w:rsid w:val="007A2652"/>
    <w:rsid w:val="007A614E"/>
    <w:rsid w:val="007B0FF4"/>
    <w:rsid w:val="007B3547"/>
    <w:rsid w:val="007B7C14"/>
    <w:rsid w:val="007C0D87"/>
    <w:rsid w:val="007C4682"/>
    <w:rsid w:val="007E2D59"/>
    <w:rsid w:val="007E3624"/>
    <w:rsid w:val="007F43B4"/>
    <w:rsid w:val="00803DCB"/>
    <w:rsid w:val="00805A5E"/>
    <w:rsid w:val="00817C22"/>
    <w:rsid w:val="00827817"/>
    <w:rsid w:val="00851719"/>
    <w:rsid w:val="008543EF"/>
    <w:rsid w:val="00856BCF"/>
    <w:rsid w:val="008678D6"/>
    <w:rsid w:val="0087309B"/>
    <w:rsid w:val="008972DD"/>
    <w:rsid w:val="008B18E0"/>
    <w:rsid w:val="008B7A8B"/>
    <w:rsid w:val="008E1A8E"/>
    <w:rsid w:val="008F2768"/>
    <w:rsid w:val="008F3367"/>
    <w:rsid w:val="008F5771"/>
    <w:rsid w:val="00910E78"/>
    <w:rsid w:val="009223C0"/>
    <w:rsid w:val="0093191E"/>
    <w:rsid w:val="00932503"/>
    <w:rsid w:val="00934AFC"/>
    <w:rsid w:val="00937AC2"/>
    <w:rsid w:val="00950FB3"/>
    <w:rsid w:val="0095101A"/>
    <w:rsid w:val="00956154"/>
    <w:rsid w:val="00957650"/>
    <w:rsid w:val="00957E6A"/>
    <w:rsid w:val="00960642"/>
    <w:rsid w:val="00966419"/>
    <w:rsid w:val="009668E6"/>
    <w:rsid w:val="0098675E"/>
    <w:rsid w:val="00987ACC"/>
    <w:rsid w:val="009924F1"/>
    <w:rsid w:val="00997218"/>
    <w:rsid w:val="009A50B1"/>
    <w:rsid w:val="009B723C"/>
    <w:rsid w:val="009C51A7"/>
    <w:rsid w:val="009C71FA"/>
    <w:rsid w:val="009D26A0"/>
    <w:rsid w:val="009D3C51"/>
    <w:rsid w:val="009D7319"/>
    <w:rsid w:val="009F19C0"/>
    <w:rsid w:val="009F361A"/>
    <w:rsid w:val="00A16378"/>
    <w:rsid w:val="00A216DF"/>
    <w:rsid w:val="00A26019"/>
    <w:rsid w:val="00A3108A"/>
    <w:rsid w:val="00A3633B"/>
    <w:rsid w:val="00A52145"/>
    <w:rsid w:val="00A85DB7"/>
    <w:rsid w:val="00A90EBA"/>
    <w:rsid w:val="00A92DAE"/>
    <w:rsid w:val="00A933CC"/>
    <w:rsid w:val="00AA1E5C"/>
    <w:rsid w:val="00AA3C93"/>
    <w:rsid w:val="00AA5120"/>
    <w:rsid w:val="00AD7E07"/>
    <w:rsid w:val="00B357F6"/>
    <w:rsid w:val="00B54217"/>
    <w:rsid w:val="00B6123E"/>
    <w:rsid w:val="00B668F8"/>
    <w:rsid w:val="00B72469"/>
    <w:rsid w:val="00B74A06"/>
    <w:rsid w:val="00B83887"/>
    <w:rsid w:val="00B85AF8"/>
    <w:rsid w:val="00B92DA2"/>
    <w:rsid w:val="00BA4559"/>
    <w:rsid w:val="00BA5DA1"/>
    <w:rsid w:val="00BC2535"/>
    <w:rsid w:val="00BD5092"/>
    <w:rsid w:val="00BD648B"/>
    <w:rsid w:val="00BE4033"/>
    <w:rsid w:val="00BF2A05"/>
    <w:rsid w:val="00BF4D88"/>
    <w:rsid w:val="00C12AF1"/>
    <w:rsid w:val="00C2526E"/>
    <w:rsid w:val="00C26A7F"/>
    <w:rsid w:val="00C3507D"/>
    <w:rsid w:val="00C359A8"/>
    <w:rsid w:val="00C4153A"/>
    <w:rsid w:val="00C4183C"/>
    <w:rsid w:val="00C423D0"/>
    <w:rsid w:val="00C45BBD"/>
    <w:rsid w:val="00C579AF"/>
    <w:rsid w:val="00C66A2B"/>
    <w:rsid w:val="00C71555"/>
    <w:rsid w:val="00C775F6"/>
    <w:rsid w:val="00C85194"/>
    <w:rsid w:val="00C8683E"/>
    <w:rsid w:val="00C9252D"/>
    <w:rsid w:val="00CA6D4C"/>
    <w:rsid w:val="00CC3123"/>
    <w:rsid w:val="00CC4B62"/>
    <w:rsid w:val="00CC7849"/>
    <w:rsid w:val="00CD74DF"/>
    <w:rsid w:val="00CF4F35"/>
    <w:rsid w:val="00D022C3"/>
    <w:rsid w:val="00D131C1"/>
    <w:rsid w:val="00D20297"/>
    <w:rsid w:val="00D2555D"/>
    <w:rsid w:val="00D300C9"/>
    <w:rsid w:val="00D406DE"/>
    <w:rsid w:val="00D44B4A"/>
    <w:rsid w:val="00D67EF9"/>
    <w:rsid w:val="00D719D0"/>
    <w:rsid w:val="00D737B8"/>
    <w:rsid w:val="00D8144D"/>
    <w:rsid w:val="00D94AD0"/>
    <w:rsid w:val="00D96824"/>
    <w:rsid w:val="00D97662"/>
    <w:rsid w:val="00DA02FE"/>
    <w:rsid w:val="00DA58BF"/>
    <w:rsid w:val="00DA7B7B"/>
    <w:rsid w:val="00DC0DFF"/>
    <w:rsid w:val="00DC2704"/>
    <w:rsid w:val="00DE024F"/>
    <w:rsid w:val="00DE0258"/>
    <w:rsid w:val="00DE03C3"/>
    <w:rsid w:val="00DE03DF"/>
    <w:rsid w:val="00DE2CC5"/>
    <w:rsid w:val="00E047CC"/>
    <w:rsid w:val="00E11680"/>
    <w:rsid w:val="00E1290B"/>
    <w:rsid w:val="00E241AB"/>
    <w:rsid w:val="00E30B4A"/>
    <w:rsid w:val="00E35658"/>
    <w:rsid w:val="00E37289"/>
    <w:rsid w:val="00E42A0D"/>
    <w:rsid w:val="00E443F7"/>
    <w:rsid w:val="00E57426"/>
    <w:rsid w:val="00E62C5D"/>
    <w:rsid w:val="00E71A8B"/>
    <w:rsid w:val="00E828FC"/>
    <w:rsid w:val="00E85CF9"/>
    <w:rsid w:val="00EA02DD"/>
    <w:rsid w:val="00EA3091"/>
    <w:rsid w:val="00EB1600"/>
    <w:rsid w:val="00EB4CB9"/>
    <w:rsid w:val="00EB55BB"/>
    <w:rsid w:val="00EE42AD"/>
    <w:rsid w:val="00F03E27"/>
    <w:rsid w:val="00F13120"/>
    <w:rsid w:val="00F14485"/>
    <w:rsid w:val="00F3404C"/>
    <w:rsid w:val="00F3475B"/>
    <w:rsid w:val="00F40582"/>
    <w:rsid w:val="00F448EE"/>
    <w:rsid w:val="00F50E96"/>
    <w:rsid w:val="00F52482"/>
    <w:rsid w:val="00F54EF0"/>
    <w:rsid w:val="00F609B8"/>
    <w:rsid w:val="00F820D3"/>
    <w:rsid w:val="00F836D2"/>
    <w:rsid w:val="00F92ED8"/>
    <w:rsid w:val="00F95910"/>
    <w:rsid w:val="00F960A5"/>
    <w:rsid w:val="00FA00CE"/>
    <w:rsid w:val="00FB7F22"/>
    <w:rsid w:val="00FC31F9"/>
    <w:rsid w:val="00FD4068"/>
    <w:rsid w:val="00FE4EF9"/>
    <w:rsid w:val="00FF2E64"/>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521B7"/>
  <w14:defaultImageDpi w14:val="300"/>
  <w15:docId w15:val="{38C9135B-DFFD-4B32-8FF0-ED9CE630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C66A2B"/>
    <w:pPr>
      <w:spacing w:after="200" w:line="276" w:lineRule="auto"/>
      <w:ind w:left="720"/>
      <w:contextualSpacing/>
    </w:pPr>
    <w:rPr>
      <w:rFonts w:asciiTheme="minorHAnsi" w:eastAsiaTheme="minorEastAsia" w:hAnsiTheme="minorHAnsi" w:cstheme="minorBidi"/>
      <w:sz w:val="22"/>
      <w:szCs w:val="22"/>
    </w:rPr>
  </w:style>
  <w:style w:type="paragraph" w:styleId="PlainText">
    <w:name w:val="Plain Text"/>
    <w:basedOn w:val="Normal"/>
    <w:link w:val="PlainTextChar"/>
    <w:uiPriority w:val="99"/>
    <w:unhideWhenUsed/>
    <w:rsid w:val="00711E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11E2B"/>
    <w:rPr>
      <w:rFonts w:ascii="Calibri" w:eastAsiaTheme="minorHAnsi" w:hAnsi="Calibri" w:cs="Consolas"/>
      <w:sz w:val="22"/>
      <w:szCs w:val="21"/>
    </w:rPr>
  </w:style>
  <w:style w:type="character" w:styleId="CommentReference">
    <w:name w:val="annotation reference"/>
    <w:basedOn w:val="DefaultParagraphFont"/>
    <w:uiPriority w:val="99"/>
    <w:semiHidden/>
    <w:unhideWhenUsed/>
    <w:rsid w:val="00B92DA2"/>
    <w:rPr>
      <w:sz w:val="16"/>
      <w:szCs w:val="16"/>
    </w:rPr>
  </w:style>
  <w:style w:type="paragraph" w:styleId="CommentText">
    <w:name w:val="annotation text"/>
    <w:basedOn w:val="Normal"/>
    <w:link w:val="CommentTextChar"/>
    <w:uiPriority w:val="99"/>
    <w:semiHidden/>
    <w:unhideWhenUsed/>
    <w:rsid w:val="00B92DA2"/>
    <w:rPr>
      <w:sz w:val="20"/>
      <w:szCs w:val="20"/>
    </w:rPr>
  </w:style>
  <w:style w:type="character" w:customStyle="1" w:styleId="CommentTextChar">
    <w:name w:val="Comment Text Char"/>
    <w:basedOn w:val="DefaultParagraphFont"/>
    <w:link w:val="CommentText"/>
    <w:uiPriority w:val="99"/>
    <w:semiHidden/>
    <w:rsid w:val="00B92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DA2"/>
    <w:rPr>
      <w:b/>
      <w:bCs/>
    </w:rPr>
  </w:style>
  <w:style w:type="character" w:customStyle="1" w:styleId="CommentSubjectChar">
    <w:name w:val="Comment Subject Char"/>
    <w:basedOn w:val="CommentTextChar"/>
    <w:link w:val="CommentSubject"/>
    <w:uiPriority w:val="99"/>
    <w:semiHidden/>
    <w:rsid w:val="00B92DA2"/>
    <w:rPr>
      <w:rFonts w:ascii="Times New Roman" w:eastAsia="Times New Roman" w:hAnsi="Times New Roman" w:cs="Times New Roman"/>
      <w:b/>
      <w:bCs/>
      <w:sz w:val="20"/>
      <w:szCs w:val="20"/>
    </w:rPr>
  </w:style>
  <w:style w:type="paragraph" w:styleId="Revision">
    <w:name w:val="Revision"/>
    <w:hidden/>
    <w:uiPriority w:val="99"/>
    <w:semiHidden/>
    <w:rsid w:val="00421F14"/>
    <w:rPr>
      <w:rFonts w:ascii="Times New Roman" w:eastAsia="Times New Roman" w:hAnsi="Times New Roman" w:cs="Times New Roman"/>
    </w:rPr>
  </w:style>
  <w:style w:type="paragraph" w:styleId="NormalWeb">
    <w:name w:val="Normal (Web)"/>
    <w:basedOn w:val="Normal"/>
    <w:uiPriority w:val="99"/>
    <w:semiHidden/>
    <w:unhideWhenUsed/>
    <w:rsid w:val="00D719D0"/>
    <w:pPr>
      <w:spacing w:before="100" w:beforeAutospacing="1" w:after="100" w:afterAutospacing="1"/>
    </w:pPr>
    <w:rPr>
      <w:rFonts w:ascii="Times" w:eastAsiaTheme="minorEastAsia" w:hAnsi="Times"/>
      <w:sz w:val="20"/>
      <w:szCs w:val="20"/>
      <w:lang w:eastAsia="es-ES"/>
    </w:rPr>
  </w:style>
  <w:style w:type="character" w:customStyle="1" w:styleId="apple-converted-space">
    <w:name w:val="apple-converted-space"/>
    <w:basedOn w:val="DefaultParagraphFont"/>
    <w:rsid w:val="00D719D0"/>
  </w:style>
  <w:style w:type="character" w:customStyle="1" w:styleId="ListParagraphChar">
    <w:name w:val="List Paragraph Char"/>
    <w:link w:val="ListParagraph"/>
    <w:uiPriority w:val="34"/>
    <w:locked/>
    <w:rsid w:val="00556283"/>
    <w:rPr>
      <w:sz w:val="22"/>
      <w:szCs w:val="22"/>
    </w:rPr>
  </w:style>
  <w:style w:type="character" w:styleId="PlaceholderText">
    <w:name w:val="Placeholder Text"/>
    <w:basedOn w:val="DefaultParagraphFont"/>
    <w:uiPriority w:val="99"/>
    <w:semiHidden/>
    <w:rsid w:val="00FD40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160">
      <w:bodyDiv w:val="1"/>
      <w:marLeft w:val="0"/>
      <w:marRight w:val="0"/>
      <w:marTop w:val="0"/>
      <w:marBottom w:val="0"/>
      <w:divBdr>
        <w:top w:val="none" w:sz="0" w:space="0" w:color="auto"/>
        <w:left w:val="none" w:sz="0" w:space="0" w:color="auto"/>
        <w:bottom w:val="none" w:sz="0" w:space="0" w:color="auto"/>
        <w:right w:val="none" w:sz="0" w:space="0" w:color="auto"/>
      </w:divBdr>
      <w:divsChild>
        <w:div w:id="3604033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3022301">
              <w:marLeft w:val="0"/>
              <w:marRight w:val="0"/>
              <w:marTop w:val="0"/>
              <w:marBottom w:val="0"/>
              <w:divBdr>
                <w:top w:val="none" w:sz="0" w:space="0" w:color="auto"/>
                <w:left w:val="none" w:sz="0" w:space="0" w:color="auto"/>
                <w:bottom w:val="none" w:sz="0" w:space="0" w:color="auto"/>
                <w:right w:val="none" w:sz="0" w:space="0" w:color="auto"/>
              </w:divBdr>
              <w:divsChild>
                <w:div w:id="6161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9771">
      <w:bodyDiv w:val="1"/>
      <w:marLeft w:val="0"/>
      <w:marRight w:val="0"/>
      <w:marTop w:val="0"/>
      <w:marBottom w:val="0"/>
      <w:divBdr>
        <w:top w:val="none" w:sz="0" w:space="0" w:color="auto"/>
        <w:left w:val="none" w:sz="0" w:space="0" w:color="auto"/>
        <w:bottom w:val="none" w:sz="0" w:space="0" w:color="auto"/>
        <w:right w:val="none" w:sz="0" w:space="0" w:color="auto"/>
      </w:divBdr>
    </w:div>
    <w:div w:id="486749371">
      <w:bodyDiv w:val="1"/>
      <w:marLeft w:val="0"/>
      <w:marRight w:val="0"/>
      <w:marTop w:val="0"/>
      <w:marBottom w:val="0"/>
      <w:divBdr>
        <w:top w:val="none" w:sz="0" w:space="0" w:color="auto"/>
        <w:left w:val="none" w:sz="0" w:space="0" w:color="auto"/>
        <w:bottom w:val="none" w:sz="0" w:space="0" w:color="auto"/>
        <w:right w:val="none" w:sz="0" w:space="0" w:color="auto"/>
      </w:divBdr>
    </w:div>
    <w:div w:id="564143530">
      <w:bodyDiv w:val="1"/>
      <w:marLeft w:val="0"/>
      <w:marRight w:val="0"/>
      <w:marTop w:val="0"/>
      <w:marBottom w:val="0"/>
      <w:divBdr>
        <w:top w:val="none" w:sz="0" w:space="0" w:color="auto"/>
        <w:left w:val="none" w:sz="0" w:space="0" w:color="auto"/>
        <w:bottom w:val="none" w:sz="0" w:space="0" w:color="auto"/>
        <w:right w:val="none" w:sz="0" w:space="0" w:color="auto"/>
      </w:divBdr>
    </w:div>
    <w:div w:id="1104374401">
      <w:bodyDiv w:val="1"/>
      <w:marLeft w:val="0"/>
      <w:marRight w:val="0"/>
      <w:marTop w:val="0"/>
      <w:marBottom w:val="0"/>
      <w:divBdr>
        <w:top w:val="none" w:sz="0" w:space="0" w:color="auto"/>
        <w:left w:val="none" w:sz="0" w:space="0" w:color="auto"/>
        <w:bottom w:val="none" w:sz="0" w:space="0" w:color="auto"/>
        <w:right w:val="none" w:sz="0" w:space="0" w:color="auto"/>
      </w:divBdr>
    </w:div>
    <w:div w:id="183672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POPP-11-3422</_dlc_DocId>
    <TaxCatchAll xmlns="8264c5cc-ec60-4b56-8111-ce635d3d139a">
      <Value>355</Value>
    </TaxCatchAll>
    <_dlc_DocIdUrl xmlns="8264c5cc-ec60-4b56-8111-ce635d3d139a">
      <Url>https://popp.undp.org/_layouts/15/DocIdRedir.aspx?ID=POPP-11-3422</Url>
      <Description>POPP-11-3422</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EFFECTIVEDATE xmlns="8264c5cc-ec60-4b56-8111-ce635d3d139a">2015-09-02T22:00:00+00:00</UNDP_POPP_EFFECTIVEDATE>
    <DLCPolicyLabelValue xmlns="e560140e-7b2f-4392-90df-e7567e3021a3">Effective Date: 03/09/2015                                                Version #: 14</DLCPolicyLabelValue>
    <UNDP_POPP_REFITEM_VERSION xmlns="8264c5cc-ec60-4b56-8111-ce635d3d139a">1</UNDP_POPP_REFITEM_VERSION>
    <DLCPolicyLabelClientValue xmlns="e560140e-7b2f-4392-90df-e7567e3021a3">Effective Date: 03/09/2015                                                Version #: 14.0</DLCPolicyLabelClientValue>
    <UNDP_POPP_TITLE_EN xmlns="8264c5cc-ec60-4b56-8111-ce635d3d139a">Frais de sécurité pour les contrats individuels</UNDP_POPP_TITLE_EN>
    <UNDP_POPP_ISACTIVE xmlns="8264c5cc-ec60-4b56-8111-ce635d3d139a">true</UNDP_POPP_ISACTIVE>
    <UNDP_POPP_FILEVERSION xmlns="8264c5cc-ec60-4b56-8111-ce635d3d139a">512</UNDP_POPP_FILEVERSION>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B4E15D-1481-4519-8CEA-FDE5C58A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1621A-88CC-46E2-B4AF-B600CDA12E7A}">
  <ds:schemaRefs>
    <ds:schemaRef ds:uri="http://schemas.openxmlformats.org/officeDocument/2006/bibliography"/>
  </ds:schemaRefs>
</ds:datastoreItem>
</file>

<file path=customXml/itemProps3.xml><?xml version="1.0" encoding="utf-8"?>
<ds:datastoreItem xmlns:ds="http://schemas.openxmlformats.org/officeDocument/2006/customXml" ds:itemID="{5C9444D0-4086-44FE-9D2D-2B5037F82348}">
  <ds:schemaRefs>
    <ds:schemaRef ds:uri="http://schemas.microsoft.com/sharepoint/v3/contenttype/forms"/>
  </ds:schemaRefs>
</ds:datastoreItem>
</file>

<file path=customXml/itemProps4.xml><?xml version="1.0" encoding="utf-8"?>
<ds:datastoreItem xmlns:ds="http://schemas.openxmlformats.org/officeDocument/2006/customXml" ds:itemID="{B57709CE-B0DF-4E83-846C-431CE74F3CA1}">
  <ds:schemaRefs>
    <ds:schemaRef ds:uri="office.server.policy"/>
  </ds:schemaRefs>
</ds:datastoreItem>
</file>

<file path=customXml/itemProps5.xml><?xml version="1.0" encoding="utf-8"?>
<ds:datastoreItem xmlns:ds="http://schemas.openxmlformats.org/officeDocument/2006/customXml" ds:itemID="{5C012E26-69EC-4E84-8DAC-46C0EBBC6C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99071CE-4E9F-4CCF-9827-15F1B45D2B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dc:creator>
  <cp:lastModifiedBy>Pablo Morete</cp:lastModifiedBy>
  <cp:revision>5</cp:revision>
  <cp:lastPrinted>2019-09-04T15:24:00Z</cp:lastPrinted>
  <dcterms:created xsi:type="dcterms:W3CDTF">2021-01-08T22:24:00Z</dcterms:created>
  <dcterms:modified xsi:type="dcterms:W3CDTF">2024-04-02T13:11:00Z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f7382500-a4aa-47ba-9e2f-a2168b544fca</vt:lpwstr>
  </property>
  <property fmtid="{D5CDD505-2E9C-101B-9397-08002B2CF9AE}" pid="5" name="UNDP_POPP_BUSINESSUNIT">
    <vt:lpwstr>355;#Procurement|254a9f96-b883-476a-8ef8-e81f93a2b38d</vt:lpwstr>
  </property>
</Properties>
</file>