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29A2" w14:textId="5808C479" w:rsidR="006A295A" w:rsidRPr="00D44B4A" w:rsidRDefault="00D44B4A" w:rsidP="006A295A">
      <w:pPr>
        <w:pStyle w:val="Heading1"/>
        <w:overflowPunct w:val="0"/>
        <w:autoSpaceDE w:val="0"/>
        <w:autoSpaceDN w:val="0"/>
        <w:adjustRightInd w:val="0"/>
        <w:ind w:left="0"/>
        <w:jc w:val="left"/>
        <w:textAlignment w:val="baseline"/>
        <w:rPr>
          <w:rFonts w:ascii="Calibri" w:hAnsi="Calibri"/>
          <w:b/>
          <w:sz w:val="28"/>
          <w:szCs w:val="22"/>
        </w:rPr>
      </w:pPr>
      <w:r>
        <w:rPr>
          <w:rFonts w:ascii="Calibri" w:hAnsi="Calibri"/>
          <w:b/>
          <w:sz w:val="28"/>
          <w:szCs w:val="22"/>
        </w:rPr>
        <w:t xml:space="preserve">Cargos de seguridad para los contratos individuales </w:t>
      </w:r>
    </w:p>
    <w:p w14:paraId="194CFBBA" w14:textId="77777777" w:rsidR="00FE4EF9" w:rsidRDefault="00FE4EF9" w:rsidP="00556283">
      <w:pPr>
        <w:rPr>
          <w:rFonts w:asciiTheme="majorHAnsi" w:hAnsiTheme="majorHAnsi" w:cs="Arial"/>
          <w:b/>
          <w:bCs/>
          <w:sz w:val="22"/>
          <w:szCs w:val="22"/>
        </w:rPr>
      </w:pPr>
    </w:p>
    <w:p w14:paraId="7E4D4908" w14:textId="40E12B75" w:rsidR="00556283" w:rsidRPr="00D44B4A" w:rsidRDefault="00D406DE" w:rsidP="00556283">
      <w:pPr>
        <w:rPr>
          <w:rFonts w:asciiTheme="majorHAnsi" w:hAnsiTheme="majorHAnsi" w:cs="Arial"/>
          <w:b/>
          <w:bCs/>
          <w:sz w:val="22"/>
          <w:szCs w:val="22"/>
          <w:u w:val="single"/>
        </w:rPr>
      </w:pPr>
      <w:r>
        <w:rPr>
          <w:rFonts w:asciiTheme="majorHAnsi" w:hAnsiTheme="majorHAnsi"/>
          <w:b/>
          <w:bCs/>
          <w:sz w:val="22"/>
          <w:szCs w:val="22"/>
        </w:rPr>
        <w:t>Contribuciones al sistema de seguridad</w:t>
      </w:r>
    </w:p>
    <w:p w14:paraId="0ACEF40D" w14:textId="34EC05B0" w:rsidR="00EB4CB9" w:rsidRDefault="00556283" w:rsidP="3E25720C">
      <w:pPr>
        <w:pStyle w:val="ListParagraph"/>
        <w:numPr>
          <w:ilvl w:val="0"/>
          <w:numId w:val="18"/>
        </w:numPr>
        <w:spacing w:before="240" w:after="240"/>
        <w:jc w:val="both"/>
        <w:rPr>
          <w:rFonts w:asciiTheme="majorHAnsi" w:hAnsiTheme="majorHAnsi"/>
        </w:rPr>
      </w:pPr>
      <w:r w:rsidRPr="3E25720C">
        <w:rPr>
          <w:rFonts w:asciiTheme="majorHAnsi" w:hAnsiTheme="majorHAnsi"/>
        </w:rPr>
        <w:t xml:space="preserve">Los proyectos del PNUD están sujetos a cubrir las contribuciones del UNSMS (Sistema de Gestión de la Seguridad de las Naciones Unidas) y el cumplimiento de las MOSS (Normas Mínimas de Seguridad Operacional) por cuenta de los CI (contratos individuales). Las contribuciones y los costos se basan en los pagos totales de los honorarios profesionales, excluidos los pagos a </w:t>
      </w:r>
      <w:r w:rsidR="0041794A">
        <w:rPr>
          <w:rFonts w:asciiTheme="majorHAnsi" w:hAnsiTheme="majorHAnsi"/>
        </w:rPr>
        <w:t>contratistas</w:t>
      </w:r>
      <w:r w:rsidR="0041794A" w:rsidRPr="3E25720C">
        <w:rPr>
          <w:rFonts w:asciiTheme="majorHAnsi" w:hAnsiTheme="majorHAnsi"/>
        </w:rPr>
        <w:t xml:space="preserve"> </w:t>
      </w:r>
      <w:r w:rsidRPr="3E25720C">
        <w:rPr>
          <w:rFonts w:asciiTheme="majorHAnsi" w:hAnsiTheme="majorHAnsi"/>
        </w:rPr>
        <w:t>para viajes y/o prestaciones de subsistencia diaria (DSA) a un CI particular. Se descontará una comisión porcentual de manera automática y periódica de los presupuestos utilizados para el pago del CI.</w:t>
      </w:r>
    </w:p>
    <w:p w14:paraId="508124CB" w14:textId="77777777" w:rsidR="00FE4EF9" w:rsidRDefault="00FE4EF9" w:rsidP="00FE4EF9">
      <w:pPr>
        <w:pStyle w:val="ListParagraph"/>
        <w:spacing w:before="240" w:after="240"/>
        <w:rPr>
          <w:rFonts w:asciiTheme="majorHAnsi" w:hAnsiTheme="majorHAnsi"/>
          <w:iCs/>
        </w:rPr>
      </w:pPr>
    </w:p>
    <w:p w14:paraId="0FCF3265" w14:textId="2D9BE3DB" w:rsidR="00EB4CB9" w:rsidRPr="00FE4EF9" w:rsidRDefault="00EB4CB9" w:rsidP="00EB4CB9">
      <w:pPr>
        <w:pStyle w:val="ListParagraph"/>
        <w:numPr>
          <w:ilvl w:val="0"/>
          <w:numId w:val="18"/>
        </w:numPr>
        <w:spacing w:before="240" w:after="240"/>
        <w:rPr>
          <w:rFonts w:asciiTheme="majorHAnsi" w:hAnsiTheme="majorHAnsi"/>
          <w:iCs/>
        </w:rPr>
      </w:pPr>
      <w:r>
        <w:rPr>
          <w:rFonts w:asciiTheme="majorHAnsi" w:hAnsiTheme="majorHAnsi"/>
          <w:iCs/>
        </w:rPr>
        <w:t xml:space="preserve">Se excluyen de este ejercicio recurrente ciertos CI relacionados con la contratación de mano de obra por hora.  </w:t>
      </w:r>
    </w:p>
    <w:p w14:paraId="134A0C06" w14:textId="77777777" w:rsidR="00FE4EF9" w:rsidRDefault="00FE4EF9" w:rsidP="00FE4EF9">
      <w:pPr>
        <w:pStyle w:val="ListParagraph"/>
        <w:spacing w:before="240" w:after="240"/>
        <w:rPr>
          <w:rFonts w:asciiTheme="majorHAnsi" w:hAnsiTheme="majorHAnsi"/>
          <w:iCs/>
        </w:rPr>
      </w:pPr>
    </w:p>
    <w:p w14:paraId="3A264A62" w14:textId="656FF655" w:rsidR="00556283" w:rsidRPr="00FE4EF9" w:rsidRDefault="001F6E04" w:rsidP="3E25720C">
      <w:pPr>
        <w:pStyle w:val="ListParagraph"/>
        <w:numPr>
          <w:ilvl w:val="0"/>
          <w:numId w:val="18"/>
        </w:numPr>
        <w:spacing w:before="240" w:after="240"/>
        <w:jc w:val="both"/>
        <w:rPr>
          <w:rFonts w:asciiTheme="majorHAnsi" w:hAnsiTheme="majorHAnsi"/>
        </w:rPr>
      </w:pPr>
      <w:r w:rsidRPr="3E25720C">
        <w:rPr>
          <w:rFonts w:asciiTheme="majorHAnsi" w:hAnsiTheme="majorHAnsi"/>
        </w:rPr>
        <w:t xml:space="preserve">La comisión porcentual se calcula con base en la clasificación de dificultades del lugar de destino y los gastos de seguridad estimados por año según mandato de la Asamblea General. El personal de la oficina de país del PNUD es responsable de garantizar que los comprobantes de cuentas por pagar reflejen adecuadamente los honorarios profesionales. </w:t>
      </w:r>
    </w:p>
    <w:p w14:paraId="7C13025E" w14:textId="77777777" w:rsidR="00FE4EF9" w:rsidRDefault="00FE4EF9" w:rsidP="00FE4EF9">
      <w:pPr>
        <w:pStyle w:val="ListParagraph"/>
        <w:rPr>
          <w:rFonts w:asciiTheme="majorHAnsi" w:hAnsiTheme="majorHAnsi"/>
          <w:iCs/>
        </w:rPr>
      </w:pPr>
    </w:p>
    <w:p w14:paraId="7B8903D8" w14:textId="75C4057A" w:rsidR="00DE03C3" w:rsidRPr="00FE4EF9" w:rsidRDefault="00D406DE" w:rsidP="3E25720C">
      <w:pPr>
        <w:pStyle w:val="ListParagraph"/>
        <w:numPr>
          <w:ilvl w:val="0"/>
          <w:numId w:val="18"/>
        </w:numPr>
        <w:jc w:val="both"/>
        <w:rPr>
          <w:rFonts w:asciiTheme="majorHAnsi" w:hAnsiTheme="majorHAnsi"/>
        </w:rPr>
      </w:pPr>
      <w:r w:rsidRPr="3E25720C">
        <w:rPr>
          <w:rFonts w:asciiTheme="majorHAnsi" w:hAnsiTheme="majorHAnsi"/>
        </w:rPr>
        <w:t xml:space="preserve">Ya que los cargos de seguridad se gravan únicamente en los honorarios profesionales, es fundamental que exista una división precisa entre los honorarios profesionales del CI y otros gastos (prestaciones para subsistencia, viajes, etc.). Si no se separan los honorarios profesionales de otros gastos, los cargos de seguridad se gravarán en el monto total del pago. </w:t>
      </w:r>
    </w:p>
    <w:p w14:paraId="731C9345" w14:textId="77777777" w:rsidR="00817C22" w:rsidRPr="00FE4EF9" w:rsidRDefault="00817C22" w:rsidP="00817C22">
      <w:pPr>
        <w:pStyle w:val="ListParagraph"/>
        <w:spacing w:after="0" w:line="240" w:lineRule="auto"/>
        <w:ind w:left="540"/>
        <w:contextualSpacing w:val="0"/>
        <w:rPr>
          <w:rFonts w:asciiTheme="majorHAnsi" w:hAnsiTheme="majorHAnsi"/>
          <w:iCs/>
        </w:rPr>
      </w:pPr>
    </w:p>
    <w:p w14:paraId="448F27EC" w14:textId="22FDB0D5" w:rsidR="00C2526E" w:rsidRDefault="00C2526E" w:rsidP="00C2526E">
      <w:pPr>
        <w:rPr>
          <w:rFonts w:ascii="Arial" w:hAnsi="Arial" w:cs="Arial"/>
          <w:sz w:val="22"/>
          <w:szCs w:val="22"/>
        </w:rPr>
      </w:pPr>
    </w:p>
    <w:p w14:paraId="1EDA4F49" w14:textId="77777777" w:rsidR="000B296E" w:rsidRPr="000B296E" w:rsidRDefault="000B296E" w:rsidP="000B296E">
      <w:pPr>
        <w:shd w:val="clear" w:color="auto" w:fill="FFFFFF"/>
        <w:jc w:val="center"/>
        <w:rPr>
          <w:rFonts w:ascii="Calibri" w:hAnsi="Calibri"/>
          <w:color w:val="201F1E"/>
          <w:sz w:val="23"/>
          <w:szCs w:val="23"/>
          <w:lang w:val="en-US"/>
        </w:rPr>
      </w:pPr>
      <w:r w:rsidRPr="000B296E">
        <w:rPr>
          <w:rFonts w:ascii="Calibri" w:hAnsi="Calibri"/>
          <w:i/>
          <w:iCs/>
          <w:color w:val="000000"/>
          <w:bdr w:val="none" w:sz="0" w:space="0" w:color="auto" w:frame="1"/>
          <w:lang w:val="en-US"/>
        </w:rPr>
        <w:t>Disclaimer: This document was translated from English into Spanish. In the event of any discrepancy between this translation and the original English document, the original English document shall prevail.</w:t>
      </w:r>
    </w:p>
    <w:p w14:paraId="38206648" w14:textId="77777777" w:rsidR="000B296E" w:rsidRPr="000B296E" w:rsidRDefault="000B296E" w:rsidP="000B296E">
      <w:pPr>
        <w:shd w:val="clear" w:color="auto" w:fill="FFFFFF"/>
        <w:jc w:val="center"/>
        <w:rPr>
          <w:rFonts w:ascii="Calibri" w:hAnsi="Calibri"/>
          <w:color w:val="201F1E"/>
          <w:sz w:val="23"/>
          <w:szCs w:val="23"/>
          <w:lang w:val="en-US"/>
        </w:rPr>
      </w:pPr>
      <w:r w:rsidRPr="000B296E">
        <w:rPr>
          <w:rFonts w:ascii="Calibri" w:hAnsi="Calibri"/>
          <w:i/>
          <w:iCs/>
          <w:color w:val="000000"/>
          <w:bdr w:val="none" w:sz="0" w:space="0" w:color="auto" w:frame="1"/>
          <w:lang w:val="en-US"/>
        </w:rPr>
        <w:t> </w:t>
      </w:r>
    </w:p>
    <w:p w14:paraId="4E00ABED" w14:textId="77777777" w:rsidR="000B296E" w:rsidRPr="00A24FC1" w:rsidRDefault="000B296E" w:rsidP="000B296E">
      <w:pPr>
        <w:shd w:val="clear" w:color="auto" w:fill="FFFFFF"/>
        <w:jc w:val="center"/>
        <w:rPr>
          <w:rFonts w:ascii="Calibri" w:hAnsi="Calibri"/>
          <w:color w:val="201F1E"/>
          <w:sz w:val="23"/>
          <w:szCs w:val="23"/>
          <w:lang w:val="es-ES_tradnl"/>
        </w:rPr>
      </w:pPr>
      <w:r w:rsidRPr="000B296E">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sidRPr="000B296E">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CEEA46E" w14:textId="77777777" w:rsidR="000B296E" w:rsidRPr="00A24FC1" w:rsidRDefault="000B296E" w:rsidP="00C2526E">
      <w:pPr>
        <w:rPr>
          <w:rFonts w:ascii="Arial" w:hAnsi="Arial" w:cs="Arial"/>
          <w:sz w:val="22"/>
          <w:szCs w:val="22"/>
          <w:lang w:val="es-ES_tradnl"/>
        </w:rPr>
      </w:pPr>
    </w:p>
    <w:sectPr w:rsidR="000B296E" w:rsidRPr="00A24FC1" w:rsidSect="000C66DA">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D0AD" w14:textId="77777777" w:rsidR="000C66DA" w:rsidRDefault="000C66DA" w:rsidP="006A295A">
      <w:r>
        <w:separator/>
      </w:r>
    </w:p>
  </w:endnote>
  <w:endnote w:type="continuationSeparator" w:id="0">
    <w:p w14:paraId="13B4C58B" w14:textId="77777777" w:rsidR="000C66DA" w:rsidRDefault="000C66DA"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80DF" w14:textId="77777777" w:rsidR="00502CF8" w:rsidRDefault="00502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BEB6" w14:textId="08F6F89A" w:rsidR="00404D7C" w:rsidRPr="00FD4068" w:rsidRDefault="00000000">
    <w:pPr>
      <w:pStyle w:val="Footer"/>
      <w:rPr>
        <w:rFonts w:asciiTheme="majorHAnsi" w:hAnsiTheme="majorHAnsi"/>
      </w:rPr>
    </w:pPr>
    <w:sdt>
      <w:sdtPr>
        <w:rPr>
          <w:rFonts w:asciiTheme="majorHAnsi" w:hAnsiTheme="majorHAnsi"/>
        </w:rPr>
        <w:id w:val="-315034692"/>
        <w:docPartObj>
          <w:docPartGallery w:val="Page Numbers (Bottom of Page)"/>
          <w:docPartUnique/>
        </w:docPartObj>
      </w:sdtPr>
      <w:sdtEndPr>
        <w:rPr>
          <w:sz w:val="22"/>
        </w:rPr>
      </w:sdtEndPr>
      <w:sdtContent>
        <w:sdt>
          <w:sdtPr>
            <w:rPr>
              <w:rFonts w:asciiTheme="majorHAnsi" w:hAnsiTheme="majorHAnsi"/>
            </w:rPr>
            <w:id w:val="-1705238520"/>
            <w:docPartObj>
              <w:docPartGallery w:val="Page Numbers (Top of Page)"/>
              <w:docPartUnique/>
            </w:docPartObj>
          </w:sdtPr>
          <w:sdtEndPr>
            <w:rPr>
              <w:sz w:val="22"/>
            </w:rPr>
          </w:sdtEndPr>
          <w:sdtContent>
            <w:r w:rsidR="00F50E96">
              <w:rPr>
                <w:rFonts w:asciiTheme="majorHAnsi" w:hAnsiTheme="majorHAnsi"/>
              </w:rPr>
              <w:t>P</w:t>
            </w:r>
            <w:r w:rsidR="00F50E96">
              <w:rPr>
                <w:rFonts w:asciiTheme="majorHAnsi" w:hAnsiTheme="majorHAnsi"/>
                <w:sz w:val="22"/>
              </w:rPr>
              <w:t xml:space="preserve">ágina </w:t>
            </w:r>
            <w:r w:rsidR="00FD4068" w:rsidRPr="00FD4068">
              <w:rPr>
                <w:rFonts w:asciiTheme="majorHAnsi" w:hAnsiTheme="majorHAnsi"/>
                <w:bCs/>
                <w:sz w:val="22"/>
              </w:rPr>
              <w:fldChar w:fldCharType="begin"/>
            </w:r>
            <w:r w:rsidR="00FD4068" w:rsidRPr="00FD4068">
              <w:rPr>
                <w:rFonts w:asciiTheme="majorHAnsi" w:hAnsiTheme="majorHAnsi"/>
                <w:bCs/>
                <w:sz w:val="22"/>
              </w:rPr>
              <w:instrText xml:space="preserve"> PAGE </w:instrText>
            </w:r>
            <w:r w:rsidR="00FD4068" w:rsidRPr="00FD4068">
              <w:rPr>
                <w:rFonts w:asciiTheme="majorHAnsi" w:hAnsiTheme="majorHAnsi"/>
                <w:bCs/>
                <w:sz w:val="22"/>
              </w:rPr>
              <w:fldChar w:fldCharType="separate"/>
            </w:r>
            <w:r w:rsidR="00A24FC1">
              <w:rPr>
                <w:rFonts w:asciiTheme="majorHAnsi" w:hAnsiTheme="majorHAnsi"/>
                <w:bCs/>
                <w:noProof/>
                <w:sz w:val="22"/>
              </w:rPr>
              <w:t>1</w:t>
            </w:r>
            <w:r w:rsidR="00FD4068" w:rsidRPr="00FD4068">
              <w:rPr>
                <w:rFonts w:asciiTheme="majorHAnsi" w:hAnsiTheme="majorHAnsi"/>
                <w:bCs/>
                <w:sz w:val="22"/>
              </w:rPr>
              <w:fldChar w:fldCharType="end"/>
            </w:r>
            <w:r w:rsidR="00F50E96">
              <w:rPr>
                <w:rFonts w:asciiTheme="majorHAnsi" w:hAnsiTheme="majorHAnsi"/>
                <w:sz w:val="22"/>
              </w:rPr>
              <w:t xml:space="preserve"> de </w:t>
            </w:r>
            <w:r w:rsidR="00FD4068" w:rsidRPr="00FD4068">
              <w:rPr>
                <w:rFonts w:asciiTheme="majorHAnsi" w:hAnsiTheme="majorHAnsi"/>
                <w:bCs/>
                <w:sz w:val="22"/>
              </w:rPr>
              <w:fldChar w:fldCharType="begin"/>
            </w:r>
            <w:r w:rsidR="00FD4068" w:rsidRPr="00FD4068">
              <w:rPr>
                <w:rFonts w:asciiTheme="majorHAnsi" w:hAnsiTheme="majorHAnsi"/>
                <w:bCs/>
                <w:sz w:val="22"/>
              </w:rPr>
              <w:instrText xml:space="preserve"> NUMPAGES  </w:instrText>
            </w:r>
            <w:r w:rsidR="00FD4068" w:rsidRPr="00FD4068">
              <w:rPr>
                <w:rFonts w:asciiTheme="majorHAnsi" w:hAnsiTheme="majorHAnsi"/>
                <w:bCs/>
                <w:sz w:val="22"/>
              </w:rPr>
              <w:fldChar w:fldCharType="separate"/>
            </w:r>
            <w:r w:rsidR="00A24FC1">
              <w:rPr>
                <w:rFonts w:asciiTheme="majorHAnsi" w:hAnsiTheme="majorHAnsi"/>
                <w:bCs/>
                <w:noProof/>
                <w:sz w:val="22"/>
              </w:rPr>
              <w:t>1</w:t>
            </w:r>
            <w:r w:rsidR="00FD4068" w:rsidRPr="00FD4068">
              <w:rPr>
                <w:rFonts w:asciiTheme="majorHAnsi" w:hAnsiTheme="majorHAnsi"/>
                <w:bCs/>
                <w:sz w:val="22"/>
              </w:rPr>
              <w:fldChar w:fldCharType="end"/>
            </w:r>
            <w:r w:rsidR="00F50E96">
              <w:rPr>
                <w:rFonts w:asciiTheme="majorHAnsi" w:hAnsiTheme="majorHAnsi"/>
                <w:bCs/>
                <w:sz w:val="22"/>
              </w:rPr>
              <w:tab/>
              <w:t xml:space="preserve">Fecha de entrada en vigor: </w:t>
            </w:r>
            <w:r w:rsidR="00A011C3">
              <w:rPr>
                <w:rFonts w:asciiTheme="majorHAnsi" w:hAnsiTheme="majorHAnsi"/>
                <w:bCs/>
                <w:sz w:val="22"/>
              </w:rPr>
              <w:t>02/09/2015</w:t>
            </w:r>
            <w:r w:rsidR="00A011C3">
              <w:rPr>
                <w:rFonts w:asciiTheme="majorHAnsi" w:hAnsiTheme="majorHAnsi"/>
                <w:sz w:val="22"/>
              </w:rPr>
              <w:t xml:space="preserve"> </w:t>
            </w:r>
          </w:sdtContent>
        </w:sdt>
      </w:sdtContent>
    </w:sdt>
    <w:r w:rsidR="00F50E96">
      <w:rPr>
        <w:rFonts w:asciiTheme="majorHAnsi" w:hAnsiTheme="majorHAnsi"/>
        <w:sz w:val="22"/>
      </w:rPr>
      <w:t xml:space="preserve">    </w:t>
    </w:r>
    <w:r w:rsidR="00F50E96">
      <w:rPr>
        <w:rFonts w:asciiTheme="majorHAnsi" w:hAnsiTheme="majorHAnsi"/>
        <w:sz w:val="22"/>
      </w:rPr>
      <w:tab/>
      <w:t xml:space="preserve">Versión n.º: </w:t>
    </w:r>
    <w:sdt>
      <w:sdtPr>
        <w:rPr>
          <w:rFonts w:asciiTheme="majorHAnsi" w:hAnsiTheme="majorHAnsi"/>
          <w:sz w:val="22"/>
        </w:rPr>
        <w:alias w:val="POPPRefItemVersion"/>
        <w:tag w:val="UNDP_POPP_REFITEM_VERSION"/>
        <w:id w:val="-756279766"/>
        <w:placeholder>
          <w:docPart w:val="747F17401FA4499893A8A1960BC51CA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C012E26-69EC-4E84-8DAC-46C0EBBC6CC2}"/>
        <w:text/>
      </w:sdtPr>
      <w:sdtContent>
        <w:r w:rsidR="00502CF8">
          <w:rPr>
            <w:rFonts w:asciiTheme="majorHAnsi" w:hAnsiTheme="majorHAnsi"/>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F017" w14:textId="77777777" w:rsidR="00502CF8" w:rsidRDefault="0050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384C" w14:textId="77777777" w:rsidR="000C66DA" w:rsidRDefault="000C66DA" w:rsidP="006A295A">
      <w:r>
        <w:separator/>
      </w:r>
    </w:p>
  </w:footnote>
  <w:footnote w:type="continuationSeparator" w:id="0">
    <w:p w14:paraId="6D675F04" w14:textId="77777777" w:rsidR="000C66DA" w:rsidRDefault="000C66DA"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FEA2" w14:textId="77777777" w:rsidR="00502CF8" w:rsidRDefault="00502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66AD" w14:textId="3B5FDA0C" w:rsidR="00F50E96" w:rsidRDefault="00F50E96">
    <w:pPr>
      <w:pStyle w:val="Header"/>
    </w:pPr>
    <w:r>
      <w:tab/>
    </w:r>
    <w:r w:rsidR="3E25720C">
      <w:t xml:space="preserve">                                                                                                                             </w:t>
    </w:r>
    <w:r w:rsidR="00502CF8">
      <w:rPr>
        <w:noProof/>
      </w:rPr>
      <w:drawing>
        <wp:inline distT="0" distB="0" distL="0" distR="0" wp14:anchorId="673CD2F4" wp14:editId="2375B741">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5AF5" w14:textId="77777777" w:rsidR="00502CF8" w:rsidRDefault="00502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968"/>
    <w:multiLevelType w:val="hybridMultilevel"/>
    <w:tmpl w:val="599C2390"/>
    <w:lvl w:ilvl="0" w:tplc="6EB2035C">
      <w:numFmt w:val="bullet"/>
      <w:lvlText w:val="-"/>
      <w:lvlJc w:val="left"/>
      <w:pPr>
        <w:ind w:left="720" w:hanging="360"/>
      </w:pPr>
      <w:rPr>
        <w:rFonts w:ascii="Arial" w:eastAsia="Times New Roman" w:hAnsi="Arial" w:cs="Aria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F7877"/>
    <w:multiLevelType w:val="hybridMultilevel"/>
    <w:tmpl w:val="B6CEA4B6"/>
    <w:lvl w:ilvl="0" w:tplc="EDC2DB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52BF2"/>
    <w:multiLevelType w:val="hybridMultilevel"/>
    <w:tmpl w:val="9AAAF6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77C2197"/>
    <w:multiLevelType w:val="hybridMultilevel"/>
    <w:tmpl w:val="4EC43892"/>
    <w:lvl w:ilvl="0" w:tplc="4D7034E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2670"/>
    <w:multiLevelType w:val="hybridMultilevel"/>
    <w:tmpl w:val="1F7A0752"/>
    <w:lvl w:ilvl="0" w:tplc="5CE67E4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5F2E"/>
    <w:multiLevelType w:val="hybridMultilevel"/>
    <w:tmpl w:val="5C48B5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74280"/>
    <w:multiLevelType w:val="hybridMultilevel"/>
    <w:tmpl w:val="B6AC5782"/>
    <w:lvl w:ilvl="0" w:tplc="34D087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1C5D9F"/>
    <w:multiLevelType w:val="hybridMultilevel"/>
    <w:tmpl w:val="AE629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B5B52CA"/>
    <w:multiLevelType w:val="hybridMultilevel"/>
    <w:tmpl w:val="8E92D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6A40BA"/>
    <w:multiLevelType w:val="hybridMultilevel"/>
    <w:tmpl w:val="C5D89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092620"/>
    <w:multiLevelType w:val="hybridMultilevel"/>
    <w:tmpl w:val="BDECB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D19BE"/>
    <w:multiLevelType w:val="hybridMultilevel"/>
    <w:tmpl w:val="A90E16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1D9270B"/>
    <w:multiLevelType w:val="hybridMultilevel"/>
    <w:tmpl w:val="0B10A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D2A4C"/>
    <w:multiLevelType w:val="hybridMultilevel"/>
    <w:tmpl w:val="69D0B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F76AB"/>
    <w:multiLevelType w:val="hybridMultilevel"/>
    <w:tmpl w:val="34924662"/>
    <w:lvl w:ilvl="0" w:tplc="F19694E8">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5" w15:restartNumberingAfterBreak="0">
    <w:nsid w:val="54504E3C"/>
    <w:multiLevelType w:val="hybridMultilevel"/>
    <w:tmpl w:val="D84C5844"/>
    <w:lvl w:ilvl="0" w:tplc="0C0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12FF4"/>
    <w:multiLevelType w:val="hybridMultilevel"/>
    <w:tmpl w:val="68504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B5D0E"/>
    <w:multiLevelType w:val="hybridMultilevel"/>
    <w:tmpl w:val="869A331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8663116">
    <w:abstractNumId w:val="1"/>
  </w:num>
  <w:num w:numId="2" w16cid:durableId="771435705">
    <w:abstractNumId w:val="4"/>
  </w:num>
  <w:num w:numId="3" w16cid:durableId="1778518614">
    <w:abstractNumId w:val="3"/>
  </w:num>
  <w:num w:numId="4" w16cid:durableId="1685866231">
    <w:abstractNumId w:val="13"/>
  </w:num>
  <w:num w:numId="5" w16cid:durableId="163932865">
    <w:abstractNumId w:val="11"/>
  </w:num>
  <w:num w:numId="6" w16cid:durableId="1451166579">
    <w:abstractNumId w:val="5"/>
  </w:num>
  <w:num w:numId="7" w16cid:durableId="1920863566">
    <w:abstractNumId w:val="16"/>
  </w:num>
  <w:num w:numId="8" w16cid:durableId="2032954407">
    <w:abstractNumId w:val="17"/>
  </w:num>
  <w:num w:numId="9" w16cid:durableId="178545631">
    <w:abstractNumId w:val="0"/>
  </w:num>
  <w:num w:numId="10" w16cid:durableId="1318804671">
    <w:abstractNumId w:val="6"/>
  </w:num>
  <w:num w:numId="11" w16cid:durableId="499587156">
    <w:abstractNumId w:val="15"/>
  </w:num>
  <w:num w:numId="12" w16cid:durableId="725884196">
    <w:abstractNumId w:val="8"/>
  </w:num>
  <w:num w:numId="13" w16cid:durableId="2145388393">
    <w:abstractNumId w:val="2"/>
  </w:num>
  <w:num w:numId="14" w16cid:durableId="463472226">
    <w:abstractNumId w:val="9"/>
  </w:num>
  <w:num w:numId="15" w16cid:durableId="146169608">
    <w:abstractNumId w:val="7"/>
  </w:num>
  <w:num w:numId="16" w16cid:durableId="1453591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877710">
    <w:abstractNumId w:val="12"/>
  </w:num>
  <w:num w:numId="18" w16cid:durableId="43410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4CE0"/>
    <w:rsid w:val="00007180"/>
    <w:rsid w:val="00013A8D"/>
    <w:rsid w:val="00036C41"/>
    <w:rsid w:val="00041E00"/>
    <w:rsid w:val="000524BA"/>
    <w:rsid w:val="00066C36"/>
    <w:rsid w:val="00070843"/>
    <w:rsid w:val="00071A03"/>
    <w:rsid w:val="00072600"/>
    <w:rsid w:val="00077DAE"/>
    <w:rsid w:val="00084E89"/>
    <w:rsid w:val="000953F5"/>
    <w:rsid w:val="000A33A4"/>
    <w:rsid w:val="000A37A8"/>
    <w:rsid w:val="000A4FDB"/>
    <w:rsid w:val="000A5949"/>
    <w:rsid w:val="000A6D08"/>
    <w:rsid w:val="000B296E"/>
    <w:rsid w:val="000C3F69"/>
    <w:rsid w:val="000C66DA"/>
    <w:rsid w:val="000C6D95"/>
    <w:rsid w:val="000E7A18"/>
    <w:rsid w:val="00100A79"/>
    <w:rsid w:val="001128E3"/>
    <w:rsid w:val="00114B31"/>
    <w:rsid w:val="001221F5"/>
    <w:rsid w:val="0012649D"/>
    <w:rsid w:val="001323FF"/>
    <w:rsid w:val="00134D36"/>
    <w:rsid w:val="00147D12"/>
    <w:rsid w:val="00150FA7"/>
    <w:rsid w:val="00160BC9"/>
    <w:rsid w:val="001622FD"/>
    <w:rsid w:val="00162A5A"/>
    <w:rsid w:val="00170B94"/>
    <w:rsid w:val="00170EFE"/>
    <w:rsid w:val="001721EA"/>
    <w:rsid w:val="00172B8B"/>
    <w:rsid w:val="001769F5"/>
    <w:rsid w:val="00182498"/>
    <w:rsid w:val="00187E1F"/>
    <w:rsid w:val="001B0EFF"/>
    <w:rsid w:val="001C1C69"/>
    <w:rsid w:val="001C5E1F"/>
    <w:rsid w:val="001E677A"/>
    <w:rsid w:val="001F0ADD"/>
    <w:rsid w:val="001F6E04"/>
    <w:rsid w:val="00210B97"/>
    <w:rsid w:val="0021741B"/>
    <w:rsid w:val="00221D8D"/>
    <w:rsid w:val="00230C11"/>
    <w:rsid w:val="00246A5E"/>
    <w:rsid w:val="00262C6D"/>
    <w:rsid w:val="00265310"/>
    <w:rsid w:val="00267D51"/>
    <w:rsid w:val="00274531"/>
    <w:rsid w:val="00287D8C"/>
    <w:rsid w:val="00291149"/>
    <w:rsid w:val="00291654"/>
    <w:rsid w:val="002A1970"/>
    <w:rsid w:val="002A64D6"/>
    <w:rsid w:val="002B133F"/>
    <w:rsid w:val="002B1D05"/>
    <w:rsid w:val="002B2EE4"/>
    <w:rsid w:val="002B5C83"/>
    <w:rsid w:val="002C1B6E"/>
    <w:rsid w:val="002C2AD6"/>
    <w:rsid w:val="002D328A"/>
    <w:rsid w:val="00300733"/>
    <w:rsid w:val="00300DA3"/>
    <w:rsid w:val="00311BE7"/>
    <w:rsid w:val="00326064"/>
    <w:rsid w:val="003317F3"/>
    <w:rsid w:val="00332CE9"/>
    <w:rsid w:val="00334FE4"/>
    <w:rsid w:val="0033564C"/>
    <w:rsid w:val="0034397E"/>
    <w:rsid w:val="00345CA2"/>
    <w:rsid w:val="00360AB9"/>
    <w:rsid w:val="00362C5C"/>
    <w:rsid w:val="0036479F"/>
    <w:rsid w:val="00366DEE"/>
    <w:rsid w:val="00374F8C"/>
    <w:rsid w:val="00380ECF"/>
    <w:rsid w:val="0038641A"/>
    <w:rsid w:val="003973B5"/>
    <w:rsid w:val="003B6E90"/>
    <w:rsid w:val="003B7AB2"/>
    <w:rsid w:val="003D4576"/>
    <w:rsid w:val="003D57C3"/>
    <w:rsid w:val="003E1C09"/>
    <w:rsid w:val="003E5F5E"/>
    <w:rsid w:val="003E64D1"/>
    <w:rsid w:val="003F4BD6"/>
    <w:rsid w:val="003F550D"/>
    <w:rsid w:val="00404D7C"/>
    <w:rsid w:val="00406163"/>
    <w:rsid w:val="00407D3F"/>
    <w:rsid w:val="0041794A"/>
    <w:rsid w:val="00421F14"/>
    <w:rsid w:val="0045109D"/>
    <w:rsid w:val="00464B41"/>
    <w:rsid w:val="00466B20"/>
    <w:rsid w:val="004674CD"/>
    <w:rsid w:val="0048044D"/>
    <w:rsid w:val="00495F98"/>
    <w:rsid w:val="004B052B"/>
    <w:rsid w:val="004B7DEB"/>
    <w:rsid w:val="004E6FD2"/>
    <w:rsid w:val="00502CF8"/>
    <w:rsid w:val="00502DAD"/>
    <w:rsid w:val="00511C7D"/>
    <w:rsid w:val="00516DB8"/>
    <w:rsid w:val="00522731"/>
    <w:rsid w:val="00556283"/>
    <w:rsid w:val="00564091"/>
    <w:rsid w:val="00573064"/>
    <w:rsid w:val="00574B00"/>
    <w:rsid w:val="00586A66"/>
    <w:rsid w:val="00592E6A"/>
    <w:rsid w:val="00596499"/>
    <w:rsid w:val="005A19BC"/>
    <w:rsid w:val="005A3960"/>
    <w:rsid w:val="005B48A2"/>
    <w:rsid w:val="005C5AD9"/>
    <w:rsid w:val="005F5F45"/>
    <w:rsid w:val="00600FB4"/>
    <w:rsid w:val="00613891"/>
    <w:rsid w:val="006161FA"/>
    <w:rsid w:val="006222DC"/>
    <w:rsid w:val="006225A7"/>
    <w:rsid w:val="006411DD"/>
    <w:rsid w:val="00670996"/>
    <w:rsid w:val="0067160F"/>
    <w:rsid w:val="0068277E"/>
    <w:rsid w:val="0068345F"/>
    <w:rsid w:val="0069687A"/>
    <w:rsid w:val="00696B2F"/>
    <w:rsid w:val="006A295A"/>
    <w:rsid w:val="006A7479"/>
    <w:rsid w:val="006B5B18"/>
    <w:rsid w:val="006C5543"/>
    <w:rsid w:val="006E782C"/>
    <w:rsid w:val="006F6875"/>
    <w:rsid w:val="0070472F"/>
    <w:rsid w:val="00711E2B"/>
    <w:rsid w:val="00757999"/>
    <w:rsid w:val="00770DB1"/>
    <w:rsid w:val="0078327E"/>
    <w:rsid w:val="007940F1"/>
    <w:rsid w:val="007A2652"/>
    <w:rsid w:val="007A614E"/>
    <w:rsid w:val="007B0FF4"/>
    <w:rsid w:val="007B3547"/>
    <w:rsid w:val="007B7C14"/>
    <w:rsid w:val="007C0D87"/>
    <w:rsid w:val="007E2D59"/>
    <w:rsid w:val="007E3624"/>
    <w:rsid w:val="007F43B4"/>
    <w:rsid w:val="00803DCB"/>
    <w:rsid w:val="00805A5E"/>
    <w:rsid w:val="00817C22"/>
    <w:rsid w:val="008543EF"/>
    <w:rsid w:val="00856BCF"/>
    <w:rsid w:val="008678D6"/>
    <w:rsid w:val="008972DD"/>
    <w:rsid w:val="008B18E0"/>
    <w:rsid w:val="008B7A8B"/>
    <w:rsid w:val="008E1A8E"/>
    <w:rsid w:val="008F2768"/>
    <w:rsid w:val="008F3367"/>
    <w:rsid w:val="008F5771"/>
    <w:rsid w:val="00910E78"/>
    <w:rsid w:val="009223C0"/>
    <w:rsid w:val="0093191E"/>
    <w:rsid w:val="00932503"/>
    <w:rsid w:val="00934AFC"/>
    <w:rsid w:val="00937AC2"/>
    <w:rsid w:val="00950FB3"/>
    <w:rsid w:val="0095101A"/>
    <w:rsid w:val="00956154"/>
    <w:rsid w:val="00957650"/>
    <w:rsid w:val="00957E6A"/>
    <w:rsid w:val="00960642"/>
    <w:rsid w:val="00966419"/>
    <w:rsid w:val="009668E6"/>
    <w:rsid w:val="0098675E"/>
    <w:rsid w:val="00987ACC"/>
    <w:rsid w:val="009924F1"/>
    <w:rsid w:val="00997218"/>
    <w:rsid w:val="009A50B1"/>
    <w:rsid w:val="009B723C"/>
    <w:rsid w:val="009C51A7"/>
    <w:rsid w:val="009C71FA"/>
    <w:rsid w:val="009D26A0"/>
    <w:rsid w:val="009D3C51"/>
    <w:rsid w:val="009D7319"/>
    <w:rsid w:val="009F19C0"/>
    <w:rsid w:val="009F361A"/>
    <w:rsid w:val="00A011C3"/>
    <w:rsid w:val="00A16378"/>
    <w:rsid w:val="00A216DF"/>
    <w:rsid w:val="00A24FC1"/>
    <w:rsid w:val="00A26019"/>
    <w:rsid w:val="00A3108A"/>
    <w:rsid w:val="00A3633B"/>
    <w:rsid w:val="00A52145"/>
    <w:rsid w:val="00A85DB7"/>
    <w:rsid w:val="00A92DAE"/>
    <w:rsid w:val="00A933CC"/>
    <w:rsid w:val="00AA1E5C"/>
    <w:rsid w:val="00AA3C93"/>
    <w:rsid w:val="00AA5120"/>
    <w:rsid w:val="00AB0E2E"/>
    <w:rsid w:val="00AD7E07"/>
    <w:rsid w:val="00B357F6"/>
    <w:rsid w:val="00B54217"/>
    <w:rsid w:val="00B6123E"/>
    <w:rsid w:val="00B668F8"/>
    <w:rsid w:val="00B72469"/>
    <w:rsid w:val="00B74A06"/>
    <w:rsid w:val="00B83887"/>
    <w:rsid w:val="00B85AF8"/>
    <w:rsid w:val="00B92DA2"/>
    <w:rsid w:val="00BA4559"/>
    <w:rsid w:val="00BA5DA1"/>
    <w:rsid w:val="00BC2535"/>
    <w:rsid w:val="00BD5092"/>
    <w:rsid w:val="00BD648B"/>
    <w:rsid w:val="00BE4033"/>
    <w:rsid w:val="00BF2A05"/>
    <w:rsid w:val="00BF33E4"/>
    <w:rsid w:val="00BF4D88"/>
    <w:rsid w:val="00C12AF1"/>
    <w:rsid w:val="00C2526E"/>
    <w:rsid w:val="00C26A7F"/>
    <w:rsid w:val="00C3507D"/>
    <w:rsid w:val="00C359A8"/>
    <w:rsid w:val="00C4153A"/>
    <w:rsid w:val="00C4183C"/>
    <w:rsid w:val="00C423D0"/>
    <w:rsid w:val="00C45BBD"/>
    <w:rsid w:val="00C579AF"/>
    <w:rsid w:val="00C66A2B"/>
    <w:rsid w:val="00C71555"/>
    <w:rsid w:val="00C775F6"/>
    <w:rsid w:val="00C85194"/>
    <w:rsid w:val="00C8683E"/>
    <w:rsid w:val="00C9252D"/>
    <w:rsid w:val="00CA6D4C"/>
    <w:rsid w:val="00CC3123"/>
    <w:rsid w:val="00CC4B62"/>
    <w:rsid w:val="00CC7849"/>
    <w:rsid w:val="00CD74DF"/>
    <w:rsid w:val="00CF4F35"/>
    <w:rsid w:val="00D022C3"/>
    <w:rsid w:val="00D131C1"/>
    <w:rsid w:val="00D20297"/>
    <w:rsid w:val="00D2555D"/>
    <w:rsid w:val="00D300C9"/>
    <w:rsid w:val="00D406DE"/>
    <w:rsid w:val="00D44B4A"/>
    <w:rsid w:val="00D67EF9"/>
    <w:rsid w:val="00D719D0"/>
    <w:rsid w:val="00D737B8"/>
    <w:rsid w:val="00D8144D"/>
    <w:rsid w:val="00D94AD0"/>
    <w:rsid w:val="00D96824"/>
    <w:rsid w:val="00D97662"/>
    <w:rsid w:val="00DA02FE"/>
    <w:rsid w:val="00DA58BF"/>
    <w:rsid w:val="00DA7B7B"/>
    <w:rsid w:val="00DC0DFF"/>
    <w:rsid w:val="00DC2704"/>
    <w:rsid w:val="00DE024F"/>
    <w:rsid w:val="00DE0258"/>
    <w:rsid w:val="00DE03C3"/>
    <w:rsid w:val="00DE03DF"/>
    <w:rsid w:val="00DE2CC5"/>
    <w:rsid w:val="00E047CC"/>
    <w:rsid w:val="00E11680"/>
    <w:rsid w:val="00E1290B"/>
    <w:rsid w:val="00E241AB"/>
    <w:rsid w:val="00E30B4A"/>
    <w:rsid w:val="00E35658"/>
    <w:rsid w:val="00E37289"/>
    <w:rsid w:val="00E42A0D"/>
    <w:rsid w:val="00E443F7"/>
    <w:rsid w:val="00E57426"/>
    <w:rsid w:val="00E62C5D"/>
    <w:rsid w:val="00E71A8B"/>
    <w:rsid w:val="00E828FC"/>
    <w:rsid w:val="00E85CF9"/>
    <w:rsid w:val="00EA02DD"/>
    <w:rsid w:val="00EA3091"/>
    <w:rsid w:val="00EB1600"/>
    <w:rsid w:val="00EB4CB9"/>
    <w:rsid w:val="00EB55BB"/>
    <w:rsid w:val="00F03E27"/>
    <w:rsid w:val="00F14485"/>
    <w:rsid w:val="00F31F64"/>
    <w:rsid w:val="00F3404C"/>
    <w:rsid w:val="00F3475B"/>
    <w:rsid w:val="00F40582"/>
    <w:rsid w:val="00F448EE"/>
    <w:rsid w:val="00F50E96"/>
    <w:rsid w:val="00F52482"/>
    <w:rsid w:val="00F54EF0"/>
    <w:rsid w:val="00F609B8"/>
    <w:rsid w:val="00F820D3"/>
    <w:rsid w:val="00F836D2"/>
    <w:rsid w:val="00F92ED8"/>
    <w:rsid w:val="00F95910"/>
    <w:rsid w:val="00F960A5"/>
    <w:rsid w:val="00FA00CE"/>
    <w:rsid w:val="00FB7F22"/>
    <w:rsid w:val="00FC31F9"/>
    <w:rsid w:val="00FD1088"/>
    <w:rsid w:val="00FD4068"/>
    <w:rsid w:val="00FE4EF9"/>
    <w:rsid w:val="00FF2E64"/>
    <w:rsid w:val="00FF30F7"/>
    <w:rsid w:val="19640796"/>
    <w:rsid w:val="3E25720C"/>
    <w:rsid w:val="5ACF9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521B7"/>
  <w14:defaultImageDpi w14:val="300"/>
  <w15:docId w15:val="{38C9135B-DFFD-4B32-8FF0-ED9CE630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link w:val="ListParagraphChar"/>
    <w:uiPriority w:val="34"/>
    <w:qFormat/>
    <w:rsid w:val="00C66A2B"/>
    <w:pPr>
      <w:spacing w:after="200" w:line="276" w:lineRule="auto"/>
      <w:ind w:left="720"/>
      <w:contextualSpacing/>
    </w:pPr>
    <w:rPr>
      <w:rFonts w:asciiTheme="minorHAnsi" w:eastAsiaTheme="minorEastAsia" w:hAnsiTheme="minorHAnsi" w:cstheme="minorBidi"/>
      <w:sz w:val="22"/>
      <w:szCs w:val="22"/>
    </w:rPr>
  </w:style>
  <w:style w:type="paragraph" w:styleId="PlainText">
    <w:name w:val="Plain Text"/>
    <w:basedOn w:val="Normal"/>
    <w:link w:val="PlainTextChar"/>
    <w:uiPriority w:val="99"/>
    <w:unhideWhenUsed/>
    <w:rsid w:val="00711E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11E2B"/>
    <w:rPr>
      <w:rFonts w:ascii="Calibri" w:eastAsiaTheme="minorHAnsi" w:hAnsi="Calibri" w:cs="Consolas"/>
      <w:sz w:val="22"/>
      <w:szCs w:val="21"/>
    </w:rPr>
  </w:style>
  <w:style w:type="character" w:styleId="CommentReference">
    <w:name w:val="annotation reference"/>
    <w:basedOn w:val="DefaultParagraphFont"/>
    <w:uiPriority w:val="99"/>
    <w:semiHidden/>
    <w:unhideWhenUsed/>
    <w:rsid w:val="00B92DA2"/>
    <w:rPr>
      <w:sz w:val="16"/>
      <w:szCs w:val="16"/>
    </w:rPr>
  </w:style>
  <w:style w:type="paragraph" w:styleId="CommentText">
    <w:name w:val="annotation text"/>
    <w:basedOn w:val="Normal"/>
    <w:link w:val="CommentTextChar"/>
    <w:uiPriority w:val="99"/>
    <w:semiHidden/>
    <w:unhideWhenUsed/>
    <w:rsid w:val="00B92DA2"/>
    <w:rPr>
      <w:sz w:val="20"/>
      <w:szCs w:val="20"/>
    </w:rPr>
  </w:style>
  <w:style w:type="character" w:customStyle="1" w:styleId="CommentTextChar">
    <w:name w:val="Comment Text Char"/>
    <w:basedOn w:val="DefaultParagraphFont"/>
    <w:link w:val="CommentText"/>
    <w:uiPriority w:val="99"/>
    <w:semiHidden/>
    <w:rsid w:val="00B92D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DA2"/>
    <w:rPr>
      <w:b/>
      <w:bCs/>
    </w:rPr>
  </w:style>
  <w:style w:type="character" w:customStyle="1" w:styleId="CommentSubjectChar">
    <w:name w:val="Comment Subject Char"/>
    <w:basedOn w:val="CommentTextChar"/>
    <w:link w:val="CommentSubject"/>
    <w:uiPriority w:val="99"/>
    <w:semiHidden/>
    <w:rsid w:val="00B92DA2"/>
    <w:rPr>
      <w:rFonts w:ascii="Times New Roman" w:eastAsia="Times New Roman" w:hAnsi="Times New Roman" w:cs="Times New Roman"/>
      <w:b/>
      <w:bCs/>
      <w:sz w:val="20"/>
      <w:szCs w:val="20"/>
    </w:rPr>
  </w:style>
  <w:style w:type="paragraph" w:styleId="Revision">
    <w:name w:val="Revision"/>
    <w:hidden/>
    <w:uiPriority w:val="99"/>
    <w:semiHidden/>
    <w:rsid w:val="00421F14"/>
    <w:rPr>
      <w:rFonts w:ascii="Times New Roman" w:eastAsia="Times New Roman" w:hAnsi="Times New Roman" w:cs="Times New Roman"/>
    </w:rPr>
  </w:style>
  <w:style w:type="paragraph" w:styleId="NormalWeb">
    <w:name w:val="Normal (Web)"/>
    <w:basedOn w:val="Normal"/>
    <w:uiPriority w:val="99"/>
    <w:semiHidden/>
    <w:unhideWhenUsed/>
    <w:rsid w:val="00D719D0"/>
    <w:pPr>
      <w:spacing w:before="100" w:beforeAutospacing="1" w:after="100" w:afterAutospacing="1"/>
    </w:pPr>
    <w:rPr>
      <w:rFonts w:ascii="Times" w:eastAsiaTheme="minorEastAsia" w:hAnsi="Times"/>
      <w:sz w:val="20"/>
      <w:szCs w:val="20"/>
      <w:lang w:eastAsia="es-ES"/>
    </w:rPr>
  </w:style>
  <w:style w:type="character" w:customStyle="1" w:styleId="apple-converted-space">
    <w:name w:val="apple-converted-space"/>
    <w:basedOn w:val="DefaultParagraphFont"/>
    <w:rsid w:val="00D719D0"/>
  </w:style>
  <w:style w:type="character" w:customStyle="1" w:styleId="ListParagraphChar">
    <w:name w:val="List Paragraph Char"/>
    <w:link w:val="ListParagraph"/>
    <w:uiPriority w:val="34"/>
    <w:locked/>
    <w:rsid w:val="00556283"/>
    <w:rPr>
      <w:sz w:val="22"/>
      <w:szCs w:val="22"/>
    </w:rPr>
  </w:style>
  <w:style w:type="character" w:styleId="PlaceholderText">
    <w:name w:val="Placeholder Text"/>
    <w:basedOn w:val="DefaultParagraphFont"/>
    <w:uiPriority w:val="99"/>
    <w:semiHidden/>
    <w:rsid w:val="00FD40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160">
      <w:bodyDiv w:val="1"/>
      <w:marLeft w:val="0"/>
      <w:marRight w:val="0"/>
      <w:marTop w:val="0"/>
      <w:marBottom w:val="0"/>
      <w:divBdr>
        <w:top w:val="none" w:sz="0" w:space="0" w:color="auto"/>
        <w:left w:val="none" w:sz="0" w:space="0" w:color="auto"/>
        <w:bottom w:val="none" w:sz="0" w:space="0" w:color="auto"/>
        <w:right w:val="none" w:sz="0" w:space="0" w:color="auto"/>
      </w:divBdr>
      <w:divsChild>
        <w:div w:id="3604033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3022301">
              <w:marLeft w:val="0"/>
              <w:marRight w:val="0"/>
              <w:marTop w:val="0"/>
              <w:marBottom w:val="0"/>
              <w:divBdr>
                <w:top w:val="none" w:sz="0" w:space="0" w:color="auto"/>
                <w:left w:val="none" w:sz="0" w:space="0" w:color="auto"/>
                <w:bottom w:val="none" w:sz="0" w:space="0" w:color="auto"/>
                <w:right w:val="none" w:sz="0" w:space="0" w:color="auto"/>
              </w:divBdr>
              <w:divsChild>
                <w:div w:id="6161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9771">
      <w:bodyDiv w:val="1"/>
      <w:marLeft w:val="0"/>
      <w:marRight w:val="0"/>
      <w:marTop w:val="0"/>
      <w:marBottom w:val="0"/>
      <w:divBdr>
        <w:top w:val="none" w:sz="0" w:space="0" w:color="auto"/>
        <w:left w:val="none" w:sz="0" w:space="0" w:color="auto"/>
        <w:bottom w:val="none" w:sz="0" w:space="0" w:color="auto"/>
        <w:right w:val="none" w:sz="0" w:space="0" w:color="auto"/>
      </w:divBdr>
    </w:div>
    <w:div w:id="486749371">
      <w:bodyDiv w:val="1"/>
      <w:marLeft w:val="0"/>
      <w:marRight w:val="0"/>
      <w:marTop w:val="0"/>
      <w:marBottom w:val="0"/>
      <w:divBdr>
        <w:top w:val="none" w:sz="0" w:space="0" w:color="auto"/>
        <w:left w:val="none" w:sz="0" w:space="0" w:color="auto"/>
        <w:bottom w:val="none" w:sz="0" w:space="0" w:color="auto"/>
        <w:right w:val="none" w:sz="0" w:space="0" w:color="auto"/>
      </w:divBdr>
    </w:div>
    <w:div w:id="564143530">
      <w:bodyDiv w:val="1"/>
      <w:marLeft w:val="0"/>
      <w:marRight w:val="0"/>
      <w:marTop w:val="0"/>
      <w:marBottom w:val="0"/>
      <w:divBdr>
        <w:top w:val="none" w:sz="0" w:space="0" w:color="auto"/>
        <w:left w:val="none" w:sz="0" w:space="0" w:color="auto"/>
        <w:bottom w:val="none" w:sz="0" w:space="0" w:color="auto"/>
        <w:right w:val="none" w:sz="0" w:space="0" w:color="auto"/>
      </w:divBdr>
    </w:div>
    <w:div w:id="653726682">
      <w:bodyDiv w:val="1"/>
      <w:marLeft w:val="0"/>
      <w:marRight w:val="0"/>
      <w:marTop w:val="0"/>
      <w:marBottom w:val="0"/>
      <w:divBdr>
        <w:top w:val="none" w:sz="0" w:space="0" w:color="auto"/>
        <w:left w:val="none" w:sz="0" w:space="0" w:color="auto"/>
        <w:bottom w:val="none" w:sz="0" w:space="0" w:color="auto"/>
        <w:right w:val="none" w:sz="0" w:space="0" w:color="auto"/>
      </w:divBdr>
    </w:div>
    <w:div w:id="1104374401">
      <w:bodyDiv w:val="1"/>
      <w:marLeft w:val="0"/>
      <w:marRight w:val="0"/>
      <w:marTop w:val="0"/>
      <w:marBottom w:val="0"/>
      <w:divBdr>
        <w:top w:val="none" w:sz="0" w:space="0" w:color="auto"/>
        <w:left w:val="none" w:sz="0" w:space="0" w:color="auto"/>
        <w:bottom w:val="none" w:sz="0" w:space="0" w:color="auto"/>
        <w:right w:val="none" w:sz="0" w:space="0" w:color="auto"/>
      </w:divBdr>
    </w:div>
    <w:div w:id="183672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F17401FA4499893A8A1960BC51CA6"/>
        <w:category>
          <w:name w:val="General"/>
          <w:gallery w:val="placeholder"/>
        </w:category>
        <w:types>
          <w:type w:val="bbPlcHdr"/>
        </w:types>
        <w:behaviors>
          <w:behavior w:val="content"/>
        </w:behaviors>
        <w:guid w:val="{2949CB78-EAEA-4C9C-8B51-D6CB154FC8D8}"/>
      </w:docPartPr>
      <w:docPartBody>
        <w:p w:rsidR="007C6574" w:rsidRDefault="00FD1088">
          <w:r w:rsidRPr="00690D2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88"/>
    <w:rsid w:val="004E1D46"/>
    <w:rsid w:val="006C539A"/>
    <w:rsid w:val="007C6574"/>
    <w:rsid w:val="008A5F39"/>
    <w:rsid w:val="00A50599"/>
    <w:rsid w:val="00F30726"/>
    <w:rsid w:val="00FD10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0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 xsi:nil="true"/>
    <UNDP_POPP_DOCUMENT_TEMPLATE xmlns="8264c5cc-ec60-4b56-8111-ce635d3d139a" xsi:nil="true"/>
    <UNDP_POPP_DOCUMENT_TYPE xmlns="8264c5cc-ec60-4b56-8111-ce635d3d139a">Policy</UNDP_POPP_DOCUMENT_TYPE>
    <_dlc_DocId xmlns="8264c5cc-ec60-4b56-8111-ce635d3d139a">POPP-11-2390</_dlc_DocId>
    <TaxCatchAll xmlns="8264c5cc-ec60-4b56-8111-ce635d3d139a">
      <Value>355</Value>
    </TaxCatchAll>
    <_dlc_DocIdUrl xmlns="8264c5cc-ec60-4b56-8111-ce635d3d139a">
      <Url>https://popp.undp.org/_layouts/15/DocIdRedir.aspx?ID=POPP-11-2390</Url>
      <Description>POPP-11-2390</Description>
    </_dlc_DocIdUr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1</DLCPolicyLabelValue>
    <UNDP_POPP_REFITEM_VERSION xmlns="8264c5cc-ec60-4b56-8111-ce635d3d139a">1</UNDP_POPP_REFITEM_VERSION>
    <DLCPolicyLabelClientValue xmlns="e560140e-7b2f-4392-90df-e7567e3021a3">Effective Date: {Effective Date}                                                Version #: 1.0</DLCPolicyLabelClientValue>
    <UNDP_POPP_TITLE_EN xmlns="8264c5cc-ec60-4b56-8111-ce635d3d139a">Cargos de seguridad para los contratos individuales</UNDP_POPP_TITLE_EN>
    <UNDP_POPP_ISACTIVE xmlns="8264c5cc-ec60-4b56-8111-ce635d3d139a">true</UNDP_POPP_ISACTIVE>
    <UNDP_POPP_FILEVERSION xmlns="8264c5cc-ec60-4b56-8111-ce635d3d139a">1024</UNDP_POPP_FILEVERSION>
    <UNDP_POPP_REJECT_COMMENTS xmlns="8264c5cc-ec60-4b56-8111-ce635d3d139a" xsi:nil="true"/>
    <POPPIsArchived xmlns="e560140e-7b2f-4392-90df-e7567e3021a3">false</POPPIsArch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C012E26-69EC-4E84-8DAC-46C0EBBC6C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DC6929AB-9060-40C7-AE82-3B63CA6F4AEE}">
  <ds:schemaRefs>
    <ds:schemaRef ds:uri="http://schemas.openxmlformats.org/officeDocument/2006/bibliography"/>
  </ds:schemaRefs>
</ds:datastoreItem>
</file>

<file path=customXml/itemProps3.xml><?xml version="1.0" encoding="utf-8"?>
<ds:datastoreItem xmlns:ds="http://schemas.openxmlformats.org/officeDocument/2006/customXml" ds:itemID="{BA4F5083-4519-47D3-842C-2F9AE7A5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6AE6B-618B-49ED-836D-A66EE829ECBB}">
  <ds:schemaRefs>
    <ds:schemaRef ds:uri="http://schemas.microsoft.com/sharepoint/events"/>
  </ds:schemaRefs>
</ds:datastoreItem>
</file>

<file path=customXml/itemProps5.xml><?xml version="1.0" encoding="utf-8"?>
<ds:datastoreItem xmlns:ds="http://schemas.openxmlformats.org/officeDocument/2006/customXml" ds:itemID="{5C9444D0-4086-44FE-9D2D-2B5037F82348}">
  <ds:schemaRefs>
    <ds:schemaRef ds:uri="http://schemas.microsoft.com/sharepoint/v3/contenttype/forms"/>
  </ds:schemaRefs>
</ds:datastoreItem>
</file>

<file path=customXml/itemProps6.xml><?xml version="1.0" encoding="utf-8"?>
<ds:datastoreItem xmlns:ds="http://schemas.openxmlformats.org/officeDocument/2006/customXml" ds:itemID="{11D9DFA7-1D39-4964-A0B5-8BF9658E377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B</dc:creator>
  <cp:lastModifiedBy>Pablo Morete</cp:lastModifiedBy>
  <cp:revision>5</cp:revision>
  <cp:lastPrinted>2019-09-03T20:31:00Z</cp:lastPrinted>
  <dcterms:created xsi:type="dcterms:W3CDTF">2020-06-22T19:43:00Z</dcterms:created>
  <dcterms:modified xsi:type="dcterms:W3CDTF">2024-04-02T13:12:00Z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4fa00493-7f49-4992-8c26-8ddee050e4f6</vt:lpwstr>
  </property>
  <property fmtid="{D5CDD505-2E9C-101B-9397-08002B2CF9AE}" pid="5" name="UNDP_POPP_BUSINESSUNIT">
    <vt:lpwstr>355;#Procurement|254a9f96-b883-476a-8ef8-e81f93a2b38d</vt:lpwstr>
  </property>
  <property fmtid="{D5CDD505-2E9C-101B-9397-08002B2CF9AE}" pid="6" name="UNDP_POPP_BUSINESSPROCESS_HIDDEN">
    <vt:lpwstr/>
  </property>
  <property fmtid="{D5CDD505-2E9C-101B-9397-08002B2CF9AE}" pid="7" name="TaxCatchAll">
    <vt:lpwstr>355;#Procurement|254a9f96-b883-476a-8ef8-e81f93a2b38d</vt:lpwstr>
  </property>
  <property fmtid="{D5CDD505-2E9C-101B-9397-08002B2CF9AE}" pid="8" name="l0e6ef0c43e74560bd7f3acd1f5e8571">
    <vt:lpwstr>Procurement|254a9f96-b883-476a-8ef8-e81f93a2b38d</vt:lpwstr>
  </property>
  <property fmtid="{D5CDD505-2E9C-101B-9397-08002B2CF9AE}" pid="9" name="DLCPolicyLabelValue">
    <vt:lpwstr>Effective Date: {Effective Date}                                                Version #: 1</vt:lpwstr>
  </property>
  <property fmtid="{D5CDD505-2E9C-101B-9397-08002B2CF9AE}" pid="10" name="UNDP_POPP_DOCUMENT_TYPE">
    <vt:lpwstr>Policy</vt:lpwstr>
  </property>
  <property fmtid="{D5CDD505-2E9C-101B-9397-08002B2CF9AE}" pid="11" name="UNDP_POPP_FILEVERSION">
    <vt:r8>1024</vt:r8>
  </property>
  <property fmtid="{D5CDD505-2E9C-101B-9397-08002B2CF9AE}" pid="12" name="UNDP_POPP_VERSION_COMMENTS">
    <vt:lpwstr/>
  </property>
  <property fmtid="{D5CDD505-2E9C-101B-9397-08002B2CF9AE}" pid="13" name="UNDP_POPP_DOCUMENT_LANGUAGE">
    <vt:lpwstr>Spanish</vt:lpwstr>
  </property>
</Properties>
</file>