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8C5A" w14:textId="77777777" w:rsidR="00CF435F" w:rsidRPr="00CF435F" w:rsidRDefault="00CF435F" w:rsidP="00CF435F">
      <w:pPr>
        <w:keepNext/>
        <w:overflowPunct w:val="0"/>
        <w:autoSpaceDE w:val="0"/>
        <w:autoSpaceDN w:val="0"/>
        <w:adjustRightInd w:val="0"/>
        <w:spacing w:after="0" w:line="240" w:lineRule="auto"/>
        <w:textAlignment w:val="baseline"/>
        <w:outlineLvl w:val="0"/>
        <w:rPr>
          <w:rFonts w:ascii="Calibri" w:eastAsia="Times New Roman" w:hAnsi="Calibri" w:cs="Times New Roman"/>
          <w:b/>
          <w:kern w:val="0"/>
          <w:sz w:val="28"/>
          <w:szCs w:val="22"/>
          <w14:ligatures w14:val="none"/>
        </w:rPr>
      </w:pPr>
      <w:r w:rsidRPr="00CF435F">
        <w:rPr>
          <w:rFonts w:ascii="Calibri" w:eastAsia="Times New Roman" w:hAnsi="Calibri" w:cs="Times New Roman"/>
          <w:b/>
          <w:kern w:val="0"/>
          <w:sz w:val="28"/>
          <w:szCs w:val="22"/>
          <w14:ligatures w14:val="none"/>
        </w:rPr>
        <w:t xml:space="preserve">Security Charges to Individual Contracts </w:t>
      </w:r>
    </w:p>
    <w:p w14:paraId="7608190E" w14:textId="77777777" w:rsidR="00CF435F" w:rsidRPr="00CF435F" w:rsidRDefault="00CF435F" w:rsidP="00CF435F">
      <w:pPr>
        <w:spacing w:after="0" w:line="240" w:lineRule="auto"/>
        <w:rPr>
          <w:rFonts w:ascii="Calibri" w:eastAsia="Times New Roman" w:hAnsi="Calibri" w:cs="Arial"/>
          <w:b/>
          <w:bCs/>
          <w:kern w:val="0"/>
          <w:sz w:val="22"/>
          <w:szCs w:val="22"/>
          <w14:ligatures w14:val="none"/>
        </w:rPr>
      </w:pPr>
    </w:p>
    <w:p w14:paraId="2FB62F6A" w14:textId="77777777" w:rsidR="00CF435F" w:rsidRDefault="00CF435F" w:rsidP="00CF435F">
      <w:pPr>
        <w:spacing w:after="0" w:line="240" w:lineRule="auto"/>
        <w:rPr>
          <w:rFonts w:ascii="Calibri" w:eastAsia="Times New Roman" w:hAnsi="Calibri" w:cs="Arial"/>
          <w:b/>
          <w:bCs/>
          <w:kern w:val="0"/>
          <w:sz w:val="22"/>
          <w:szCs w:val="22"/>
          <w14:ligatures w14:val="none"/>
        </w:rPr>
      </w:pPr>
      <w:r w:rsidRPr="00CF435F">
        <w:rPr>
          <w:rFonts w:ascii="Calibri" w:eastAsia="Times New Roman" w:hAnsi="Calibri" w:cs="Arial"/>
          <w:b/>
          <w:bCs/>
          <w:kern w:val="0"/>
          <w:sz w:val="22"/>
          <w:szCs w:val="22"/>
          <w14:ligatures w14:val="none"/>
        </w:rPr>
        <w:t>Contributions to security system</w:t>
      </w:r>
    </w:p>
    <w:p w14:paraId="417AD856" w14:textId="77777777" w:rsidR="00D23AF0" w:rsidRPr="00CF435F" w:rsidRDefault="00D23AF0" w:rsidP="00CF435F">
      <w:pPr>
        <w:spacing w:after="0" w:line="240" w:lineRule="auto"/>
        <w:rPr>
          <w:rFonts w:ascii="Calibri" w:eastAsia="Times New Roman" w:hAnsi="Calibri" w:cs="Arial"/>
          <w:b/>
          <w:bCs/>
          <w:kern w:val="0"/>
          <w:sz w:val="22"/>
          <w:szCs w:val="22"/>
          <w:u w:val="single"/>
          <w14:ligatures w14:val="none"/>
        </w:rPr>
      </w:pPr>
    </w:p>
    <w:p w14:paraId="7B45BCC3" w14:textId="77777777" w:rsidR="00CF435F" w:rsidRPr="00CF435F" w:rsidRDefault="00CF435F" w:rsidP="00CF435F">
      <w:pPr>
        <w:numPr>
          <w:ilvl w:val="0"/>
          <w:numId w:val="1"/>
        </w:numPr>
        <w:spacing w:before="240" w:after="240" w:line="276" w:lineRule="auto"/>
        <w:contextualSpacing/>
        <w:rPr>
          <w:rFonts w:ascii="Calibri" w:eastAsia="MS Mincho" w:hAnsi="Calibri" w:cs="Times New Roman"/>
          <w:iCs/>
          <w:kern w:val="0"/>
          <w:sz w:val="22"/>
          <w:szCs w:val="22"/>
          <w14:ligatures w14:val="none"/>
        </w:rPr>
      </w:pPr>
      <w:r w:rsidRPr="00CF435F">
        <w:rPr>
          <w:rFonts w:ascii="Calibri" w:eastAsia="MS Mincho" w:hAnsi="Calibri" w:cs="Times New Roman"/>
          <w:iCs/>
          <w:kern w:val="0"/>
          <w:sz w:val="22"/>
          <w:szCs w:val="22"/>
          <w14:ligatures w14:val="none"/>
        </w:rPr>
        <w:t>UNDP projects are liable to cover UNSMS contributions and Minimum Operating Security Standards (MOSS) compliance costs on behalf of ICs. The contributions and costs are based on total payments for professional fees, excluding payments to vendors for travel and/or Daily Subsistence Allowance (DSA), to a particular IC. A percentage fee will be automatically charged on a regular basis against the budget(s) used for payment of the IC.</w:t>
      </w:r>
    </w:p>
    <w:p w14:paraId="3D677B14" w14:textId="77777777" w:rsidR="00CF435F" w:rsidRPr="00CF435F" w:rsidRDefault="00CF435F" w:rsidP="00CF435F">
      <w:pPr>
        <w:spacing w:before="240" w:after="240" w:line="276" w:lineRule="auto"/>
        <w:ind w:left="720"/>
        <w:contextualSpacing/>
        <w:rPr>
          <w:rFonts w:ascii="Calibri" w:eastAsia="MS Mincho" w:hAnsi="Calibri" w:cs="Times New Roman"/>
          <w:iCs/>
          <w:kern w:val="0"/>
          <w:sz w:val="22"/>
          <w:szCs w:val="22"/>
          <w14:ligatures w14:val="none"/>
        </w:rPr>
      </w:pPr>
    </w:p>
    <w:p w14:paraId="45E97A05" w14:textId="77777777" w:rsidR="00CF435F" w:rsidRPr="00CF435F" w:rsidRDefault="00CF435F" w:rsidP="00CF435F">
      <w:pPr>
        <w:numPr>
          <w:ilvl w:val="0"/>
          <w:numId w:val="1"/>
        </w:numPr>
        <w:spacing w:before="240" w:after="240" w:line="276" w:lineRule="auto"/>
        <w:contextualSpacing/>
        <w:rPr>
          <w:rFonts w:ascii="Calibri" w:eastAsia="MS Mincho" w:hAnsi="Calibri" w:cs="Times New Roman"/>
          <w:iCs/>
          <w:kern w:val="0"/>
          <w:sz w:val="22"/>
          <w:szCs w:val="22"/>
          <w14:ligatures w14:val="none"/>
        </w:rPr>
      </w:pPr>
      <w:r w:rsidRPr="00CF435F">
        <w:rPr>
          <w:rFonts w:ascii="Calibri" w:eastAsia="MS Mincho" w:hAnsi="Calibri" w:cs="Times New Roman"/>
          <w:iCs/>
          <w:kern w:val="0"/>
          <w:sz w:val="22"/>
          <w:szCs w:val="22"/>
          <w14:ligatures w14:val="none"/>
        </w:rPr>
        <w:t xml:space="preserve">Certain IC contracts, related to the hiring of hourly labor, are excluded from this recurring exercise.  </w:t>
      </w:r>
    </w:p>
    <w:p w14:paraId="28FADDCC" w14:textId="77777777" w:rsidR="00CF435F" w:rsidRPr="00CF435F" w:rsidRDefault="00CF435F" w:rsidP="00CF435F">
      <w:pPr>
        <w:spacing w:before="240" w:after="240" w:line="276" w:lineRule="auto"/>
        <w:ind w:left="720"/>
        <w:contextualSpacing/>
        <w:rPr>
          <w:rFonts w:ascii="Calibri" w:eastAsia="MS Mincho" w:hAnsi="Calibri" w:cs="Times New Roman"/>
          <w:iCs/>
          <w:kern w:val="0"/>
          <w:sz w:val="22"/>
          <w:szCs w:val="22"/>
          <w14:ligatures w14:val="none"/>
        </w:rPr>
      </w:pPr>
    </w:p>
    <w:p w14:paraId="3B1B95A1" w14:textId="77777777" w:rsidR="00CF435F" w:rsidRPr="00CF435F" w:rsidRDefault="00CF435F" w:rsidP="00CF435F">
      <w:pPr>
        <w:numPr>
          <w:ilvl w:val="0"/>
          <w:numId w:val="1"/>
        </w:numPr>
        <w:spacing w:before="240" w:after="240" w:line="276" w:lineRule="auto"/>
        <w:contextualSpacing/>
        <w:rPr>
          <w:rFonts w:ascii="Calibri" w:eastAsia="MS Mincho" w:hAnsi="Calibri" w:cs="Times New Roman"/>
          <w:iCs/>
          <w:kern w:val="0"/>
          <w:sz w:val="22"/>
          <w:szCs w:val="22"/>
          <w14:ligatures w14:val="none"/>
        </w:rPr>
      </w:pPr>
      <w:r w:rsidRPr="00CF435F">
        <w:rPr>
          <w:rFonts w:ascii="Calibri" w:eastAsia="MS Mincho" w:hAnsi="Calibri" w:cs="Times New Roman"/>
          <w:iCs/>
          <w:kern w:val="0"/>
          <w:sz w:val="22"/>
          <w:szCs w:val="22"/>
          <w14:ligatures w14:val="none"/>
        </w:rPr>
        <w:t xml:space="preserve">The percentage fee charged is calculated based on the duty station hardship classification and the annual estimated General Assembly (GA) mandated security expenses. UNDP CO staff is responsible for ensuring that account payable vouchers adequately reflect professional fees. </w:t>
      </w:r>
    </w:p>
    <w:p w14:paraId="2C481602" w14:textId="77777777" w:rsidR="00CF435F" w:rsidRPr="00CF435F" w:rsidRDefault="00CF435F" w:rsidP="00CF435F">
      <w:pPr>
        <w:spacing w:after="200" w:line="276" w:lineRule="auto"/>
        <w:ind w:left="720"/>
        <w:contextualSpacing/>
        <w:rPr>
          <w:rFonts w:ascii="Calibri" w:eastAsia="MS Mincho" w:hAnsi="Calibri" w:cs="Times New Roman"/>
          <w:iCs/>
          <w:kern w:val="0"/>
          <w:sz w:val="22"/>
          <w:szCs w:val="22"/>
          <w14:ligatures w14:val="none"/>
        </w:rPr>
      </w:pPr>
    </w:p>
    <w:p w14:paraId="6481205E" w14:textId="77777777" w:rsidR="00CF435F" w:rsidRPr="00CF435F" w:rsidRDefault="00CF435F" w:rsidP="00CF435F">
      <w:pPr>
        <w:numPr>
          <w:ilvl w:val="0"/>
          <w:numId w:val="1"/>
        </w:numPr>
        <w:spacing w:after="200" w:line="276" w:lineRule="auto"/>
        <w:contextualSpacing/>
        <w:rPr>
          <w:rFonts w:ascii="Calibri" w:eastAsia="MS Mincho" w:hAnsi="Calibri" w:cs="Times New Roman"/>
          <w:iCs/>
          <w:kern w:val="0"/>
          <w:sz w:val="22"/>
          <w:szCs w:val="22"/>
          <w14:ligatures w14:val="none"/>
        </w:rPr>
      </w:pPr>
      <w:r w:rsidRPr="00CF435F">
        <w:rPr>
          <w:rFonts w:ascii="Calibri" w:eastAsia="MS Mincho" w:hAnsi="Calibri" w:cs="Times New Roman"/>
          <w:iCs/>
          <w:kern w:val="0"/>
          <w:sz w:val="22"/>
          <w:szCs w:val="22"/>
          <w14:ligatures w14:val="none"/>
        </w:rPr>
        <w:t xml:space="preserve">As security charges are levied on professional fees only, it is critical that there is clear division between IC professional fees and other expenses (living allowance, travel etc.). Failure to separate professional fees from other expenses will result in security charges being levied on the total payment amount. </w:t>
      </w:r>
    </w:p>
    <w:p w14:paraId="48C3A797" w14:textId="77777777" w:rsidR="00CF435F" w:rsidRPr="00CF435F" w:rsidRDefault="00CF435F" w:rsidP="00CF435F">
      <w:pPr>
        <w:spacing w:after="0" w:line="240" w:lineRule="auto"/>
        <w:ind w:left="540"/>
        <w:rPr>
          <w:rFonts w:ascii="Calibri" w:eastAsia="MS Mincho" w:hAnsi="Calibri" w:cs="Times New Roman"/>
          <w:iCs/>
          <w:kern w:val="0"/>
          <w:sz w:val="22"/>
          <w:szCs w:val="22"/>
          <w14:ligatures w14:val="none"/>
        </w:rPr>
      </w:pPr>
    </w:p>
    <w:p w14:paraId="150125D9" w14:textId="77777777" w:rsidR="00CF435F" w:rsidRPr="00CF435F" w:rsidRDefault="00CF435F" w:rsidP="00CF435F">
      <w:pPr>
        <w:spacing w:after="0" w:line="240" w:lineRule="auto"/>
        <w:rPr>
          <w:rFonts w:ascii="Arial" w:eastAsia="Times New Roman" w:hAnsi="Arial" w:cs="Arial"/>
          <w:kern w:val="0"/>
          <w:sz w:val="22"/>
          <w:szCs w:val="22"/>
          <w14:ligatures w14:val="none"/>
        </w:rPr>
      </w:pPr>
    </w:p>
    <w:p w14:paraId="3E49849D" w14:textId="77777777" w:rsidR="00DA504D" w:rsidRDefault="00DA504D"/>
    <w:sectPr w:rsidR="00DA504D" w:rsidSect="00CF435F">
      <w:headerReference w:type="default" r:id="rId7"/>
      <w:footerReference w:type="default" r:id="rId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F7E3" w14:textId="77777777" w:rsidR="00A76BC7" w:rsidRDefault="00A76BC7" w:rsidP="00CF435F">
      <w:pPr>
        <w:spacing w:after="0" w:line="240" w:lineRule="auto"/>
      </w:pPr>
      <w:r>
        <w:separator/>
      </w:r>
    </w:p>
  </w:endnote>
  <w:endnote w:type="continuationSeparator" w:id="0">
    <w:p w14:paraId="693A81BD" w14:textId="77777777" w:rsidR="00A76BC7" w:rsidRDefault="00A76BC7" w:rsidP="00CF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058A" w14:textId="0AACCC54" w:rsidR="00CF435F" w:rsidRPr="00D23AF0" w:rsidRDefault="00000000">
    <w:pPr>
      <w:pStyle w:val="Footer"/>
      <w:rPr>
        <w:rFonts w:ascii="Calibri" w:hAnsi="Calibri" w:cs="Calibri"/>
        <w:sz w:val="22"/>
        <w:szCs w:val="22"/>
      </w:rPr>
    </w:pPr>
    <w:sdt>
      <w:sdtPr>
        <w:rPr>
          <w:rFonts w:ascii="Calibri" w:hAnsi="Calibri" w:cs="Calibri"/>
          <w:sz w:val="22"/>
          <w:szCs w:val="22"/>
        </w:rPr>
        <w:id w:val="-315034692"/>
        <w:docPartObj>
          <w:docPartGallery w:val="Page Numbers (Bottom of Page)"/>
          <w:docPartUnique/>
        </w:docPartObj>
      </w:sdtPr>
      <w:sdtContent>
        <w:sdt>
          <w:sdtPr>
            <w:rPr>
              <w:rFonts w:ascii="Calibri" w:hAnsi="Calibri" w:cs="Calibri"/>
              <w:sz w:val="22"/>
              <w:szCs w:val="22"/>
            </w:rPr>
            <w:id w:val="-1705238520"/>
            <w:docPartObj>
              <w:docPartGallery w:val="Page Numbers (Top of Page)"/>
              <w:docPartUnique/>
            </w:docPartObj>
          </w:sdtPr>
          <w:sdtContent>
            <w:r w:rsidR="00CF435F" w:rsidRPr="00D23AF0">
              <w:rPr>
                <w:rFonts w:ascii="Calibri" w:hAnsi="Calibri" w:cs="Calibri"/>
                <w:sz w:val="22"/>
                <w:szCs w:val="22"/>
              </w:rPr>
              <w:t>P</w:t>
            </w:r>
            <w:r w:rsidR="00CF435F" w:rsidRPr="00CF435F">
              <w:rPr>
                <w:rFonts w:ascii="Calibri" w:hAnsi="Calibri" w:cs="Calibri"/>
                <w:sz w:val="22"/>
                <w:szCs w:val="22"/>
              </w:rPr>
              <w:t xml:space="preserve">age </w:t>
            </w:r>
            <w:r w:rsidR="00CF435F" w:rsidRPr="00CF435F">
              <w:rPr>
                <w:rFonts w:ascii="Calibri" w:hAnsi="Calibri" w:cs="Calibri"/>
                <w:bCs/>
                <w:sz w:val="22"/>
                <w:szCs w:val="22"/>
              </w:rPr>
              <w:fldChar w:fldCharType="begin"/>
            </w:r>
            <w:r w:rsidR="00CF435F" w:rsidRPr="00CF435F">
              <w:rPr>
                <w:rFonts w:ascii="Calibri" w:hAnsi="Calibri" w:cs="Calibri"/>
                <w:bCs/>
                <w:sz w:val="22"/>
                <w:szCs w:val="22"/>
              </w:rPr>
              <w:instrText xml:space="preserve"> PAGE </w:instrText>
            </w:r>
            <w:r w:rsidR="00CF435F" w:rsidRPr="00CF435F">
              <w:rPr>
                <w:rFonts w:ascii="Calibri" w:hAnsi="Calibri" w:cs="Calibri"/>
                <w:bCs/>
                <w:sz w:val="22"/>
                <w:szCs w:val="22"/>
              </w:rPr>
              <w:fldChar w:fldCharType="separate"/>
            </w:r>
            <w:r w:rsidR="00CF435F" w:rsidRPr="00CF435F">
              <w:rPr>
                <w:rFonts w:ascii="Calibri" w:hAnsi="Calibri" w:cs="Calibri"/>
                <w:bCs/>
                <w:noProof/>
                <w:sz w:val="22"/>
                <w:szCs w:val="22"/>
              </w:rPr>
              <w:t>1</w:t>
            </w:r>
            <w:r w:rsidR="00CF435F" w:rsidRPr="00CF435F">
              <w:rPr>
                <w:rFonts w:ascii="Calibri" w:hAnsi="Calibri" w:cs="Calibri"/>
                <w:bCs/>
                <w:sz w:val="22"/>
                <w:szCs w:val="22"/>
              </w:rPr>
              <w:fldChar w:fldCharType="end"/>
            </w:r>
            <w:r w:rsidR="00CF435F" w:rsidRPr="00CF435F">
              <w:rPr>
                <w:rFonts w:ascii="Calibri" w:hAnsi="Calibri" w:cs="Calibri"/>
                <w:sz w:val="22"/>
                <w:szCs w:val="22"/>
              </w:rPr>
              <w:t xml:space="preserve"> of </w:t>
            </w:r>
            <w:r w:rsidR="00CF435F" w:rsidRPr="00CF435F">
              <w:rPr>
                <w:rFonts w:ascii="Calibri" w:hAnsi="Calibri" w:cs="Calibri"/>
                <w:bCs/>
                <w:sz w:val="22"/>
                <w:szCs w:val="22"/>
              </w:rPr>
              <w:fldChar w:fldCharType="begin"/>
            </w:r>
            <w:r w:rsidR="00CF435F" w:rsidRPr="00CF435F">
              <w:rPr>
                <w:rFonts w:ascii="Calibri" w:hAnsi="Calibri" w:cs="Calibri"/>
                <w:bCs/>
                <w:sz w:val="22"/>
                <w:szCs w:val="22"/>
              </w:rPr>
              <w:instrText xml:space="preserve"> NUMPAGES  </w:instrText>
            </w:r>
            <w:r w:rsidR="00CF435F" w:rsidRPr="00CF435F">
              <w:rPr>
                <w:rFonts w:ascii="Calibri" w:hAnsi="Calibri" w:cs="Calibri"/>
                <w:bCs/>
                <w:sz w:val="22"/>
                <w:szCs w:val="22"/>
              </w:rPr>
              <w:fldChar w:fldCharType="separate"/>
            </w:r>
            <w:r w:rsidR="00CF435F" w:rsidRPr="00CF435F">
              <w:rPr>
                <w:rFonts w:ascii="Calibri" w:hAnsi="Calibri" w:cs="Calibri"/>
                <w:bCs/>
                <w:noProof/>
                <w:sz w:val="22"/>
                <w:szCs w:val="22"/>
              </w:rPr>
              <w:t>1</w:t>
            </w:r>
            <w:r w:rsidR="00CF435F" w:rsidRPr="00CF435F">
              <w:rPr>
                <w:rFonts w:ascii="Calibri" w:hAnsi="Calibri" w:cs="Calibri"/>
                <w:bCs/>
                <w:sz w:val="22"/>
                <w:szCs w:val="22"/>
              </w:rPr>
              <w:fldChar w:fldCharType="end"/>
            </w:r>
            <w:r w:rsidR="00CF435F" w:rsidRPr="00CF435F">
              <w:rPr>
                <w:rFonts w:ascii="Calibri" w:hAnsi="Calibri" w:cs="Calibri"/>
                <w:bCs/>
                <w:sz w:val="22"/>
                <w:szCs w:val="22"/>
              </w:rPr>
              <w:tab/>
              <w:t xml:space="preserve">Effective Date: </w:t>
            </w:r>
            <w:sdt>
              <w:sdtPr>
                <w:rPr>
                  <w:rFonts w:ascii="Calibri" w:hAnsi="Calibri" w:cs="Calibri"/>
                  <w:bCs/>
                  <w:sz w:val="22"/>
                  <w:szCs w:val="22"/>
                </w:rPr>
                <w:alias w:val="Effective Date"/>
                <w:tag w:val="UNDP_POPP_EFFECTIVEDATE"/>
                <w:id w:val="-46165177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C012E26-69EC-4E84-8DAC-46C0EBBC6CC2}"/>
                <w:date w:fullDate="2015-02-09T00:00:00Z">
                  <w:dateFormat w:val="dd/MM/yyyy"/>
                  <w:lid w:val="en-GB"/>
                  <w:storeMappedDataAs w:val="dateTime"/>
                  <w:calendar w:val="gregorian"/>
                </w:date>
              </w:sdtPr>
              <w:sdtEndPr>
                <w:rPr>
                  <w:bCs w:val="0"/>
                </w:rPr>
              </w:sdtEndPr>
              <w:sdtContent>
                <w:r w:rsidR="00CF435F">
                  <w:rPr>
                    <w:rFonts w:ascii="Calibri" w:hAnsi="Calibri" w:cs="Calibri"/>
                    <w:bCs/>
                    <w:sz w:val="22"/>
                    <w:szCs w:val="22"/>
                    <w:lang w:val="en-GB"/>
                  </w:rPr>
                  <w:t>09/02/2015</w:t>
                </w:r>
              </w:sdtContent>
            </w:sdt>
          </w:sdtContent>
        </w:sdt>
      </w:sdtContent>
    </w:sdt>
    <w:r w:rsidR="00CF435F" w:rsidRPr="00CF435F">
      <w:rPr>
        <w:rFonts w:ascii="Calibri" w:hAnsi="Calibri" w:cs="Calibri"/>
        <w:sz w:val="22"/>
        <w:szCs w:val="22"/>
      </w:rPr>
      <w:t xml:space="preserve">    </w:t>
    </w:r>
    <w:r w:rsidR="00CF435F" w:rsidRPr="00CF435F">
      <w:rPr>
        <w:rFonts w:ascii="Calibri" w:hAnsi="Calibri" w:cs="Calibri"/>
        <w:sz w:val="22"/>
        <w:szCs w:val="22"/>
      </w:rPr>
      <w:tab/>
      <w:t xml:space="preserve">Version #: </w:t>
    </w:r>
    <w:sdt>
      <w:sdtPr>
        <w:rPr>
          <w:rFonts w:ascii="Calibri" w:hAnsi="Calibri" w:cs="Calibri"/>
          <w:sz w:val="22"/>
          <w:szCs w:val="22"/>
        </w:rPr>
        <w:alias w:val="POPPRefItemVersion"/>
        <w:tag w:val="UNDP_POPP_REFITEM_VERSION"/>
        <w:id w:val="-75627976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C012E26-69EC-4E84-8DAC-46C0EBBC6CC2}"/>
        <w:text/>
      </w:sdtPr>
      <w:sdtContent>
        <w:r w:rsidR="00CF435F" w:rsidRPr="00CF435F">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1A7B" w14:textId="77777777" w:rsidR="00A76BC7" w:rsidRDefault="00A76BC7" w:rsidP="00CF435F">
      <w:pPr>
        <w:spacing w:after="0" w:line="240" w:lineRule="auto"/>
      </w:pPr>
      <w:r>
        <w:separator/>
      </w:r>
    </w:p>
  </w:footnote>
  <w:footnote w:type="continuationSeparator" w:id="0">
    <w:p w14:paraId="6F7230BC" w14:textId="77777777" w:rsidR="00A76BC7" w:rsidRDefault="00A76BC7" w:rsidP="00CF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A87C" w14:textId="77777777" w:rsidR="00CF435F" w:rsidRDefault="00CF435F" w:rsidP="008D361E">
    <w:pPr>
      <w:pStyle w:val="Header"/>
      <w:ind w:left="1440"/>
      <w:jc w:val="right"/>
    </w:pPr>
    <w:r>
      <w:tab/>
    </w:r>
    <w:r>
      <w:rPr>
        <w:noProof/>
      </w:rPr>
      <w:drawing>
        <wp:inline distT="0" distB="0" distL="0" distR="0" wp14:anchorId="08E3189C" wp14:editId="0B33D6F1">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92620"/>
    <w:multiLevelType w:val="hybridMultilevel"/>
    <w:tmpl w:val="BDECB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41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5F"/>
    <w:rsid w:val="003F3E08"/>
    <w:rsid w:val="004F2DFA"/>
    <w:rsid w:val="00617559"/>
    <w:rsid w:val="007744F2"/>
    <w:rsid w:val="008B6960"/>
    <w:rsid w:val="009818DB"/>
    <w:rsid w:val="00A76BC7"/>
    <w:rsid w:val="00C61B9D"/>
    <w:rsid w:val="00CF435F"/>
    <w:rsid w:val="00D23AF0"/>
    <w:rsid w:val="00DA504D"/>
    <w:rsid w:val="00DE2CF4"/>
    <w:rsid w:val="00F838B6"/>
    <w:rsid w:val="00FA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BAB5"/>
  <w15:chartTrackingRefBased/>
  <w15:docId w15:val="{690E4021-6156-4197-8972-16B3D7E1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35F"/>
    <w:rPr>
      <w:rFonts w:eastAsiaTheme="majorEastAsia" w:cstheme="majorBidi"/>
      <w:color w:val="272727" w:themeColor="text1" w:themeTint="D8"/>
    </w:rPr>
  </w:style>
  <w:style w:type="paragraph" w:styleId="Title">
    <w:name w:val="Title"/>
    <w:basedOn w:val="Normal"/>
    <w:next w:val="Normal"/>
    <w:link w:val="TitleChar"/>
    <w:uiPriority w:val="10"/>
    <w:qFormat/>
    <w:rsid w:val="00CF4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35F"/>
    <w:pPr>
      <w:spacing w:before="160"/>
      <w:jc w:val="center"/>
    </w:pPr>
    <w:rPr>
      <w:i/>
      <w:iCs/>
      <w:color w:val="404040" w:themeColor="text1" w:themeTint="BF"/>
    </w:rPr>
  </w:style>
  <w:style w:type="character" w:customStyle="1" w:styleId="QuoteChar">
    <w:name w:val="Quote Char"/>
    <w:basedOn w:val="DefaultParagraphFont"/>
    <w:link w:val="Quote"/>
    <w:uiPriority w:val="29"/>
    <w:rsid w:val="00CF435F"/>
    <w:rPr>
      <w:i/>
      <w:iCs/>
      <w:color w:val="404040" w:themeColor="text1" w:themeTint="BF"/>
    </w:rPr>
  </w:style>
  <w:style w:type="paragraph" w:styleId="ListParagraph">
    <w:name w:val="List Paragraph"/>
    <w:basedOn w:val="Normal"/>
    <w:uiPriority w:val="34"/>
    <w:qFormat/>
    <w:rsid w:val="00CF435F"/>
    <w:pPr>
      <w:ind w:left="720"/>
      <w:contextualSpacing/>
    </w:pPr>
  </w:style>
  <w:style w:type="character" w:styleId="IntenseEmphasis">
    <w:name w:val="Intense Emphasis"/>
    <w:basedOn w:val="DefaultParagraphFont"/>
    <w:uiPriority w:val="21"/>
    <w:qFormat/>
    <w:rsid w:val="00CF435F"/>
    <w:rPr>
      <w:i/>
      <w:iCs/>
      <w:color w:val="0F4761" w:themeColor="accent1" w:themeShade="BF"/>
    </w:rPr>
  </w:style>
  <w:style w:type="paragraph" w:styleId="IntenseQuote">
    <w:name w:val="Intense Quote"/>
    <w:basedOn w:val="Normal"/>
    <w:next w:val="Normal"/>
    <w:link w:val="IntenseQuoteChar"/>
    <w:uiPriority w:val="30"/>
    <w:qFormat/>
    <w:rsid w:val="00CF4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35F"/>
    <w:rPr>
      <w:i/>
      <w:iCs/>
      <w:color w:val="0F4761" w:themeColor="accent1" w:themeShade="BF"/>
    </w:rPr>
  </w:style>
  <w:style w:type="character" w:styleId="IntenseReference">
    <w:name w:val="Intense Reference"/>
    <w:basedOn w:val="DefaultParagraphFont"/>
    <w:uiPriority w:val="32"/>
    <w:qFormat/>
    <w:rsid w:val="00CF435F"/>
    <w:rPr>
      <w:b/>
      <w:bCs/>
      <w:smallCaps/>
      <w:color w:val="0F4761" w:themeColor="accent1" w:themeShade="BF"/>
      <w:spacing w:val="5"/>
    </w:rPr>
  </w:style>
  <w:style w:type="paragraph" w:styleId="Header">
    <w:name w:val="header"/>
    <w:basedOn w:val="Normal"/>
    <w:link w:val="HeaderChar"/>
    <w:uiPriority w:val="99"/>
    <w:unhideWhenUsed/>
    <w:rsid w:val="00CF435F"/>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CF435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F435F"/>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CF435F"/>
    <w:rPr>
      <w:rFonts w:ascii="Times New Roman" w:eastAsia="Times New Roman" w:hAnsi="Times New Roman" w:cs="Times New Roman"/>
      <w:kern w:val="0"/>
      <w14:ligatures w14:val="none"/>
    </w:rPr>
  </w:style>
  <w:style w:type="paragraph" w:styleId="Revision">
    <w:name w:val="Revision"/>
    <w:hidden/>
    <w:uiPriority w:val="99"/>
    <w:semiHidden/>
    <w:rsid w:val="00CF43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12</cp:revision>
  <dcterms:created xsi:type="dcterms:W3CDTF">2026-05-13T01:27:00Z</dcterms:created>
  <dcterms:modified xsi:type="dcterms:W3CDTF">2026-05-13T01:39:00Z</dcterms:modified>
</cp:coreProperties>
</file>