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2384" w14:textId="77777777" w:rsidR="00E07FD1" w:rsidRPr="00E07FD1" w:rsidRDefault="00E07FD1" w:rsidP="00E07FD1">
      <w:pPr>
        <w:spacing w:after="68"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8"/>
          <w:szCs w:val="22"/>
          <w:lang w:val="en-GB"/>
          <w14:ligatures w14:val="none"/>
        </w:rPr>
        <w:t xml:space="preserve">Quantum Financial Closure Instructions  </w:t>
      </w:r>
      <w:r w:rsidRPr="00E07FD1">
        <w:rPr>
          <w:rFonts w:ascii="Calibri" w:eastAsia="Calibri" w:hAnsi="Calibri" w:cs="Calibri"/>
          <w:color w:val="000000"/>
          <w:kern w:val="0"/>
          <w:sz w:val="22"/>
          <w:szCs w:val="22"/>
          <w:lang w:val="en-GB"/>
          <w14:ligatures w14:val="none"/>
        </w:rPr>
        <w:t xml:space="preserve">  </w:t>
      </w:r>
    </w:p>
    <w:p w14:paraId="4B785771" w14:textId="77777777" w:rsidR="00E07FD1" w:rsidRPr="00E07FD1" w:rsidRDefault="00E07FD1" w:rsidP="00E07FD1">
      <w:pPr>
        <w:numPr>
          <w:ilvl w:val="0"/>
          <w:numId w:val="1"/>
        </w:numPr>
        <w:spacing w:after="3"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Quantum Financial Closure Instructions refers to the process of completing the input of all accounting entries to the UNDP general ledger. This includes the recording of all business transactions for the period as well as any corrections and adjustments pertaining to prior periods. Since the general ledger forms the basis of the financial statements as well as many other reports, it is essential that all inputs be complete and accurate.   </w:t>
      </w:r>
    </w:p>
    <w:p w14:paraId="62BF77BE" w14:textId="77777777" w:rsidR="00E07FD1" w:rsidRPr="00E07FD1" w:rsidRDefault="00E07FD1" w:rsidP="00E07FD1">
      <w:pPr>
        <w:spacing w:after="86"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6661B13A" w14:textId="77777777" w:rsidR="00E07FD1" w:rsidRPr="00E07FD1" w:rsidRDefault="00E07FD1" w:rsidP="00E07FD1">
      <w:pPr>
        <w:numPr>
          <w:ilvl w:val="0"/>
          <w:numId w:val="1"/>
        </w:numPr>
        <w:spacing w:after="3"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This document describes various processes needed to ensure that the data input to the general ledger is in fact complete and accurate. As such, a major focus has been placed on data “clean up” needed by individuals and offices.    </w:t>
      </w:r>
    </w:p>
    <w:p w14:paraId="4CD8EBEA" w14:textId="77777777" w:rsidR="00E07FD1" w:rsidRPr="00E07FD1" w:rsidRDefault="00E07FD1" w:rsidP="00E07FD1">
      <w:pPr>
        <w:spacing w:after="91"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38DF54CA" w14:textId="77777777" w:rsidR="00E07FD1" w:rsidRPr="00E07FD1" w:rsidRDefault="00E07FD1" w:rsidP="00E07FD1">
      <w:pPr>
        <w:numPr>
          <w:ilvl w:val="0"/>
          <w:numId w:val="1"/>
        </w:numPr>
        <w:spacing w:after="3"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At UNDP, there are three types of account closures: Monthly; Quarterly; and Year-End:   </w:t>
      </w:r>
    </w:p>
    <w:p w14:paraId="6AC4889F" w14:textId="77777777" w:rsidR="00E07FD1" w:rsidRPr="00E07FD1" w:rsidRDefault="00E07FD1" w:rsidP="00E07FD1">
      <w:pPr>
        <w:spacing w:after="0"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10BA214B" w14:textId="77777777" w:rsidR="00E07FD1" w:rsidRPr="00E07FD1" w:rsidRDefault="00E07FD1" w:rsidP="00E07FD1">
      <w:pPr>
        <w:spacing w:after="367" w:line="259" w:lineRule="auto"/>
        <w:ind w:left="-5" w:hanging="10"/>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Monthly Closure:</w:t>
      </w:r>
      <w:r w:rsidRPr="00E07FD1">
        <w:rPr>
          <w:rFonts w:ascii="Calibri" w:eastAsia="Calibri" w:hAnsi="Calibri" w:cs="Calibri"/>
          <w:color w:val="000000"/>
          <w:kern w:val="0"/>
          <w:sz w:val="22"/>
          <w:szCs w:val="22"/>
          <w:lang w:val="en-GB"/>
          <w14:ligatures w14:val="none"/>
        </w:rPr>
        <w:t xml:space="preserve">   </w:t>
      </w:r>
    </w:p>
    <w:p w14:paraId="4F9BF284" w14:textId="77777777" w:rsidR="00E07FD1" w:rsidRPr="00E07FD1" w:rsidRDefault="00E07FD1" w:rsidP="00E07FD1">
      <w:pPr>
        <w:numPr>
          <w:ilvl w:val="0"/>
          <w:numId w:val="1"/>
        </w:numPr>
        <w:spacing w:after="3"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Applicable to the 31 January, 28 February, 30 April, 31 May, 31 July, 31 August, 31 October, and 30 November closures. </w:t>
      </w:r>
    </w:p>
    <w:p w14:paraId="2CB39B9B" w14:textId="77777777" w:rsidR="00E07FD1" w:rsidRPr="00E07FD1" w:rsidRDefault="00E07FD1" w:rsidP="00E07FD1">
      <w:pPr>
        <w:spacing w:after="86"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01654122" w14:textId="77777777" w:rsidR="00E07FD1" w:rsidRPr="00E07FD1" w:rsidRDefault="00E07FD1" w:rsidP="00E07FD1">
      <w:pPr>
        <w:numPr>
          <w:ilvl w:val="0"/>
          <w:numId w:val="1"/>
        </w:numPr>
        <w:spacing w:after="3"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The goal is to ensure that offices are up to date on data cleaning (AP, PO, AR, etc) and bank reconciliations.   </w:t>
      </w:r>
    </w:p>
    <w:p w14:paraId="24807531" w14:textId="77777777" w:rsidR="00E07FD1" w:rsidRPr="00E07FD1" w:rsidRDefault="00E07FD1" w:rsidP="00E07FD1">
      <w:pPr>
        <w:spacing w:after="84"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6F1CA959" w14:textId="20E88F89" w:rsidR="00E07FD1" w:rsidRPr="00E07FD1" w:rsidRDefault="00E07FD1" w:rsidP="00E07FD1">
      <w:pPr>
        <w:numPr>
          <w:ilvl w:val="0"/>
          <w:numId w:val="1"/>
        </w:numPr>
        <w:spacing w:after="3"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The deadline for data cleaning is generally two weeks after the month end date before the respective modules and GL are closed, and the deadline for completing the bank reconciliation is the 10</w:t>
      </w:r>
      <w:r w:rsidRPr="00E07FD1">
        <w:rPr>
          <w:rFonts w:ascii="Calibri" w:eastAsia="Calibri" w:hAnsi="Calibri" w:cs="Calibri"/>
          <w:color w:val="000000"/>
          <w:kern w:val="0"/>
          <w:sz w:val="22"/>
          <w:szCs w:val="22"/>
          <w:vertAlign w:val="superscript"/>
          <w:lang w:val="en-GB"/>
          <w14:ligatures w14:val="none"/>
        </w:rPr>
        <w:t>th</w:t>
      </w:r>
      <w:r w:rsidRPr="00E07FD1">
        <w:rPr>
          <w:rFonts w:ascii="Calibri" w:eastAsia="Calibri" w:hAnsi="Calibri" w:cs="Calibri"/>
          <w:color w:val="000000"/>
          <w:kern w:val="0"/>
          <w:sz w:val="22"/>
          <w:szCs w:val="22"/>
          <w:lang w:val="en-GB"/>
          <w14:ligatures w14:val="none"/>
        </w:rPr>
        <w:t xml:space="preserve"> day of the following month. The closure timetable is available as Annex A in </w:t>
      </w:r>
      <w:r w:rsidR="004E1578" w:rsidRPr="00E07FD1">
        <w:rPr>
          <w:rFonts w:ascii="Calibri" w:eastAsia="Calibri" w:hAnsi="Calibri" w:cs="Calibri"/>
          <w:color w:val="000000"/>
          <w:kern w:val="0"/>
          <w:sz w:val="22"/>
          <w:szCs w:val="22"/>
          <w:lang w:val="en-GB"/>
          <w14:ligatures w14:val="none"/>
        </w:rPr>
        <w:t>Year-end</w:t>
      </w:r>
      <w:r w:rsidRPr="00E07FD1">
        <w:rPr>
          <w:rFonts w:ascii="Calibri" w:eastAsia="Calibri" w:hAnsi="Calibri" w:cs="Calibri"/>
          <w:color w:val="000000"/>
          <w:kern w:val="0"/>
          <w:sz w:val="22"/>
          <w:szCs w:val="22"/>
          <w:lang w:val="en-GB"/>
          <w14:ligatures w14:val="none"/>
        </w:rPr>
        <w:t xml:space="preserve"> financial closure instruction </w:t>
      </w:r>
      <w:proofErr w:type="gramStart"/>
      <w:r w:rsidRPr="00E07FD1">
        <w:rPr>
          <w:rFonts w:ascii="Calibri" w:eastAsia="Calibri" w:hAnsi="Calibri" w:cs="Calibri"/>
          <w:color w:val="000000"/>
          <w:kern w:val="0"/>
          <w:sz w:val="22"/>
          <w:szCs w:val="22"/>
          <w:lang w:val="en-GB"/>
          <w14:ligatures w14:val="none"/>
        </w:rPr>
        <w:t>and also</w:t>
      </w:r>
      <w:proofErr w:type="gramEnd"/>
      <w:r w:rsidRPr="00E07FD1">
        <w:rPr>
          <w:rFonts w:ascii="Calibri" w:eastAsia="Calibri" w:hAnsi="Calibri" w:cs="Calibri"/>
          <w:color w:val="000000"/>
          <w:kern w:val="0"/>
          <w:sz w:val="22"/>
          <w:szCs w:val="22"/>
          <w:lang w:val="en-GB"/>
          <w14:ligatures w14:val="none"/>
        </w:rPr>
        <w:t xml:space="preserve"> in the </w:t>
      </w:r>
      <w:hyperlink r:id="rId7" w:history="1">
        <w:r w:rsidRPr="00E07FD1">
          <w:rPr>
            <w:rFonts w:ascii="Calibri" w:eastAsia="Calibri" w:hAnsi="Calibri" w:cs="Calibri"/>
            <w:color w:val="0563C1"/>
            <w:kern w:val="0"/>
            <w:sz w:val="22"/>
            <w:szCs w:val="22"/>
            <w:u w:val="single"/>
            <w:lang w:val="en-GB"/>
            <w14:ligatures w14:val="none"/>
          </w:rPr>
          <w:t>CFRA financial closure site</w:t>
        </w:r>
      </w:hyperlink>
      <w:r w:rsidRPr="00E07FD1">
        <w:rPr>
          <w:rFonts w:ascii="Calibri" w:eastAsia="Calibri" w:hAnsi="Calibri" w:cs="Calibri"/>
          <w:color w:val="000000"/>
          <w:kern w:val="0"/>
          <w:sz w:val="22"/>
          <w:szCs w:val="22"/>
          <w:lang w:val="en-GB"/>
          <w14:ligatures w14:val="none"/>
        </w:rPr>
        <w:t xml:space="preserve">. Any subsequent change of the schedule will be communicated via Yammer. </w:t>
      </w:r>
    </w:p>
    <w:p w14:paraId="3999AACA" w14:textId="77777777" w:rsidR="00E07FD1" w:rsidRPr="00E07FD1" w:rsidRDefault="00E07FD1" w:rsidP="00E07FD1">
      <w:pPr>
        <w:spacing w:after="91"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5739D562" w14:textId="77777777" w:rsidR="00E07FD1" w:rsidRPr="00E07FD1" w:rsidRDefault="00E07FD1" w:rsidP="00E07FD1">
      <w:pPr>
        <w:numPr>
          <w:ilvl w:val="0"/>
          <w:numId w:val="1"/>
        </w:numPr>
        <w:spacing w:after="262"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the receipt accrual run for POs will be scheduled monthly in Quantum, i.e. January accrual will post on 1</w:t>
      </w:r>
      <w:r w:rsidRPr="00E07FD1">
        <w:rPr>
          <w:rFonts w:ascii="Calibri" w:eastAsia="Calibri" w:hAnsi="Calibri" w:cs="Calibri"/>
          <w:color w:val="000000"/>
          <w:kern w:val="0"/>
          <w:sz w:val="22"/>
          <w:szCs w:val="22"/>
          <w:vertAlign w:val="superscript"/>
          <w:lang w:val="en-GB"/>
          <w14:ligatures w14:val="none"/>
        </w:rPr>
        <w:t>st</w:t>
      </w:r>
      <w:r w:rsidRPr="00E07FD1">
        <w:rPr>
          <w:rFonts w:ascii="Calibri" w:eastAsia="Calibri" w:hAnsi="Calibri" w:cs="Calibri"/>
          <w:color w:val="000000"/>
          <w:kern w:val="0"/>
          <w:sz w:val="22"/>
          <w:szCs w:val="22"/>
          <w:lang w:val="en-GB"/>
          <w14:ligatures w14:val="none"/>
        </w:rPr>
        <w:t xml:space="preserve"> February in the January accounting period and reversed on 1</w:t>
      </w:r>
      <w:r w:rsidRPr="00E07FD1">
        <w:rPr>
          <w:rFonts w:ascii="Calibri" w:eastAsia="Calibri" w:hAnsi="Calibri" w:cs="Calibri"/>
          <w:color w:val="000000"/>
          <w:kern w:val="0"/>
          <w:sz w:val="22"/>
          <w:szCs w:val="22"/>
          <w:vertAlign w:val="superscript"/>
          <w:lang w:val="en-GB"/>
          <w14:ligatures w14:val="none"/>
        </w:rPr>
        <w:t>st</w:t>
      </w:r>
      <w:r w:rsidRPr="00E07FD1">
        <w:rPr>
          <w:rFonts w:ascii="Calibri" w:eastAsia="Calibri" w:hAnsi="Calibri" w:cs="Calibri"/>
          <w:color w:val="000000"/>
          <w:kern w:val="0"/>
          <w:sz w:val="22"/>
          <w:szCs w:val="22"/>
          <w:lang w:val="en-GB"/>
          <w14:ligatures w14:val="none"/>
        </w:rPr>
        <w:t xml:space="preserve"> February in the February accounting period. </w:t>
      </w:r>
    </w:p>
    <w:p w14:paraId="60BBEDD0" w14:textId="77777777" w:rsidR="00E07FD1" w:rsidRPr="00E07FD1" w:rsidRDefault="00E07FD1" w:rsidP="00E07FD1">
      <w:pPr>
        <w:spacing w:after="3" w:line="255" w:lineRule="auto"/>
        <w:ind w:left="720" w:right="1" w:hanging="370"/>
        <w:contextualSpacing/>
        <w:jc w:val="both"/>
        <w:rPr>
          <w:rFonts w:ascii="Calibri" w:eastAsia="Calibri" w:hAnsi="Calibri" w:cs="Calibri"/>
          <w:color w:val="000000"/>
          <w:kern w:val="0"/>
          <w:sz w:val="22"/>
          <w:szCs w:val="22"/>
          <w:lang w:val="en-GB"/>
          <w14:ligatures w14:val="none"/>
        </w:rPr>
      </w:pPr>
    </w:p>
    <w:p w14:paraId="249F1CE8" w14:textId="77777777" w:rsidR="00E07FD1" w:rsidRPr="00E07FD1" w:rsidRDefault="00E07FD1" w:rsidP="00E07FD1">
      <w:pPr>
        <w:numPr>
          <w:ilvl w:val="0"/>
          <w:numId w:val="1"/>
        </w:numPr>
        <w:spacing w:after="262"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Monthly revaluation for petty cash accounts will be scheduled to run monthly after GL close.    </w:t>
      </w:r>
    </w:p>
    <w:p w14:paraId="0724A9AE" w14:textId="77777777" w:rsidR="00E07FD1" w:rsidRPr="00E07FD1" w:rsidRDefault="00E07FD1" w:rsidP="00E07FD1">
      <w:pPr>
        <w:spacing w:after="367" w:line="259" w:lineRule="auto"/>
        <w:ind w:left="-5" w:hanging="10"/>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Quarterly Closure:</w:t>
      </w:r>
      <w:r w:rsidRPr="00E07FD1">
        <w:rPr>
          <w:rFonts w:ascii="Calibri" w:eastAsia="Calibri" w:hAnsi="Calibri" w:cs="Calibri"/>
          <w:color w:val="000000"/>
          <w:kern w:val="0"/>
          <w:sz w:val="22"/>
          <w:szCs w:val="22"/>
          <w:lang w:val="en-GB"/>
          <w14:ligatures w14:val="none"/>
        </w:rPr>
        <w:t xml:space="preserve">   </w:t>
      </w:r>
    </w:p>
    <w:p w14:paraId="248E30EF" w14:textId="77777777" w:rsidR="00E07FD1" w:rsidRPr="00E07FD1" w:rsidRDefault="00E07FD1" w:rsidP="00E07FD1">
      <w:pPr>
        <w:numPr>
          <w:ilvl w:val="0"/>
          <w:numId w:val="1"/>
        </w:numPr>
        <w:spacing w:after="3"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Applicable to the 31 March, 30 June and 30 September closures.   </w:t>
      </w:r>
    </w:p>
    <w:p w14:paraId="7DF8078E" w14:textId="77777777" w:rsidR="00E07FD1" w:rsidRPr="00E07FD1" w:rsidRDefault="00E07FD1" w:rsidP="00E07FD1">
      <w:pPr>
        <w:spacing w:after="84"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2F46BE69" w14:textId="1F66496E" w:rsidR="00E07FD1" w:rsidRPr="00E07FD1" w:rsidRDefault="00E07FD1" w:rsidP="00E07FD1">
      <w:pPr>
        <w:numPr>
          <w:ilvl w:val="0"/>
          <w:numId w:val="1"/>
        </w:numPr>
        <w:spacing w:after="262"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From a country office perspective, the monthly closure and quarterly closure procedures are very similar. The main difference is that HQ will process revaluation for investment accounts and unbilled accounts receivable after GL close and post additional accounting entries (such as project delivery report (PDR) expenses from agencies), which will facilitate the preparation of complete CDRs as </w:t>
      </w:r>
      <w:r w:rsidR="004E1578" w:rsidRPr="00E07FD1">
        <w:rPr>
          <w:rFonts w:ascii="Calibri" w:eastAsia="Calibri" w:hAnsi="Calibri" w:cs="Calibri"/>
          <w:color w:val="000000"/>
          <w:kern w:val="0"/>
          <w:sz w:val="22"/>
          <w:szCs w:val="22"/>
          <w:lang w:val="en-GB"/>
          <w14:ligatures w14:val="none"/>
        </w:rPr>
        <w:t>of</w:t>
      </w:r>
      <w:r w:rsidRPr="00E07FD1">
        <w:rPr>
          <w:rFonts w:ascii="Calibri" w:eastAsia="Calibri" w:hAnsi="Calibri" w:cs="Calibri"/>
          <w:color w:val="000000"/>
          <w:kern w:val="0"/>
          <w:sz w:val="22"/>
          <w:szCs w:val="22"/>
          <w:lang w:val="en-GB"/>
          <w14:ligatures w14:val="none"/>
        </w:rPr>
        <w:t xml:space="preserve"> 31 March, 30 June and 30 September.   </w:t>
      </w:r>
    </w:p>
    <w:p w14:paraId="4803844E" w14:textId="22272263" w:rsidR="00E07FD1" w:rsidRPr="00E07FD1" w:rsidRDefault="00E07FD1" w:rsidP="00E07FD1">
      <w:pPr>
        <w:spacing w:after="362" w:line="259" w:lineRule="auto"/>
        <w:ind w:left="-5" w:hanging="10"/>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lastRenderedPageBreak/>
        <w:t>Year-End Closure:</w:t>
      </w:r>
    </w:p>
    <w:p w14:paraId="49F78D16" w14:textId="77777777" w:rsidR="00E07FD1" w:rsidRPr="00E07FD1" w:rsidRDefault="00E07FD1" w:rsidP="00E07FD1">
      <w:pPr>
        <w:numPr>
          <w:ilvl w:val="0"/>
          <w:numId w:val="1"/>
        </w:numPr>
        <w:spacing w:after="3"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Applicable to the 31 December closure.   </w:t>
      </w:r>
    </w:p>
    <w:p w14:paraId="38EC5C49" w14:textId="77777777" w:rsidR="00E07FD1" w:rsidRPr="00E07FD1" w:rsidRDefault="00E07FD1" w:rsidP="00E07FD1">
      <w:pPr>
        <w:spacing w:after="0"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5E9D2772" w14:textId="77777777" w:rsidR="00E07FD1" w:rsidRPr="00E07FD1" w:rsidRDefault="00E07FD1" w:rsidP="00E07FD1">
      <w:pPr>
        <w:numPr>
          <w:ilvl w:val="0"/>
          <w:numId w:val="1"/>
        </w:numPr>
        <w:spacing w:after="3" w:line="255" w:lineRule="auto"/>
        <w:ind w:right="1" w:hanging="360"/>
        <w:jc w:val="both"/>
        <w:rPr>
          <w:rFonts w:ascii="Calibri" w:eastAsia="Calibri" w:hAnsi="Calibri" w:cs="Calibri"/>
          <w:color w:val="000000"/>
          <w:kern w:val="0"/>
          <w:sz w:val="22"/>
          <w:szCs w:val="22"/>
          <w:lang w:val="en-GB"/>
          <w14:ligatures w14:val="none"/>
        </w:rPr>
      </w:pPr>
      <w:proofErr w:type="gramStart"/>
      <w:r w:rsidRPr="00E07FD1">
        <w:rPr>
          <w:rFonts w:ascii="Calibri" w:eastAsia="Calibri" w:hAnsi="Calibri" w:cs="Calibri"/>
          <w:color w:val="000000"/>
          <w:kern w:val="0"/>
          <w:sz w:val="22"/>
          <w:szCs w:val="22"/>
          <w:lang w:val="en-GB"/>
          <w14:ligatures w14:val="none"/>
        </w:rPr>
        <w:t>Similar to</w:t>
      </w:r>
      <w:proofErr w:type="gramEnd"/>
      <w:r w:rsidRPr="00E07FD1">
        <w:rPr>
          <w:rFonts w:ascii="Calibri" w:eastAsia="Calibri" w:hAnsi="Calibri" w:cs="Calibri"/>
          <w:color w:val="000000"/>
          <w:kern w:val="0"/>
          <w:sz w:val="22"/>
          <w:szCs w:val="22"/>
          <w:lang w:val="en-GB"/>
          <w14:ligatures w14:val="none"/>
        </w:rPr>
        <w:t xml:space="preserve"> the quarterly closure, except that offices will be required to complete the entry of invoices and purchase orders a week or two before the end of December </w:t>
      </w:r>
      <w:proofErr w:type="gramStart"/>
      <w:r w:rsidRPr="00E07FD1">
        <w:rPr>
          <w:rFonts w:ascii="Calibri" w:eastAsia="Calibri" w:hAnsi="Calibri" w:cs="Calibri"/>
          <w:color w:val="000000"/>
          <w:kern w:val="0"/>
          <w:sz w:val="22"/>
          <w:szCs w:val="22"/>
          <w:lang w:val="en-GB"/>
          <w14:ligatures w14:val="none"/>
        </w:rPr>
        <w:t>in order to</w:t>
      </w:r>
      <w:proofErr w:type="gramEnd"/>
      <w:r w:rsidRPr="00E07FD1">
        <w:rPr>
          <w:rFonts w:ascii="Calibri" w:eastAsia="Calibri" w:hAnsi="Calibri" w:cs="Calibri"/>
          <w:color w:val="000000"/>
          <w:kern w:val="0"/>
          <w:sz w:val="22"/>
          <w:szCs w:val="22"/>
          <w:lang w:val="en-GB"/>
          <w14:ligatures w14:val="none"/>
        </w:rPr>
        <w:t xml:space="preserve"> allow sufficient time for reviewing and correcting transactions before the modules close.   </w:t>
      </w:r>
    </w:p>
    <w:p w14:paraId="4DFF32D4" w14:textId="77777777" w:rsidR="00E07FD1" w:rsidRPr="00E07FD1" w:rsidRDefault="00E07FD1" w:rsidP="00E07FD1">
      <w:pPr>
        <w:spacing w:after="33"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524DD6DE" w14:textId="77777777" w:rsidR="00E07FD1" w:rsidRPr="00E07FD1" w:rsidRDefault="00E07FD1" w:rsidP="00E07FD1">
      <w:pPr>
        <w:numPr>
          <w:ilvl w:val="0"/>
          <w:numId w:val="1"/>
        </w:numPr>
        <w:spacing w:after="65"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UNDP Offices must review CDRs and Cost Sharing reports in a timely manner and correct any errors with prior year accounting date using GLJEs.   </w:t>
      </w:r>
    </w:p>
    <w:p w14:paraId="0F38D30D" w14:textId="77777777" w:rsidR="00E07FD1" w:rsidRPr="00E07FD1" w:rsidRDefault="00E07FD1" w:rsidP="00E07FD1">
      <w:pPr>
        <w:spacing w:after="65" w:line="255" w:lineRule="auto"/>
        <w:ind w:left="703"/>
        <w:jc w:val="both"/>
        <w:rPr>
          <w:rFonts w:ascii="Calibri" w:eastAsia="Calibri" w:hAnsi="Calibri" w:cs="Calibri"/>
          <w:color w:val="000000"/>
          <w:kern w:val="0"/>
          <w:sz w:val="22"/>
          <w:szCs w:val="22"/>
          <w:lang w:val="en-GB"/>
          <w14:ligatures w14:val="none"/>
        </w:rPr>
      </w:pPr>
    </w:p>
    <w:p w14:paraId="12054961" w14:textId="77777777" w:rsidR="00E07FD1" w:rsidRPr="00E07FD1" w:rsidRDefault="00E07FD1" w:rsidP="00E07FD1">
      <w:pPr>
        <w:numPr>
          <w:ilvl w:val="0"/>
          <w:numId w:val="1"/>
        </w:numPr>
        <w:spacing w:after="65"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UNDP Offices will be required to conduct a physical count of assets and reconcile to the Quantum Asset Management reports.</w:t>
      </w:r>
    </w:p>
    <w:p w14:paraId="6FDCD5CB" w14:textId="77777777" w:rsidR="00E07FD1" w:rsidRPr="00E07FD1" w:rsidRDefault="00E07FD1" w:rsidP="00E07FD1">
      <w:pPr>
        <w:spacing w:after="3" w:line="255" w:lineRule="auto"/>
        <w:ind w:left="720" w:right="1" w:hanging="370"/>
        <w:contextualSpacing/>
        <w:jc w:val="both"/>
        <w:rPr>
          <w:rFonts w:ascii="Calibri" w:eastAsia="Calibri" w:hAnsi="Calibri" w:cs="Calibri"/>
          <w:color w:val="000000"/>
          <w:kern w:val="0"/>
          <w:sz w:val="22"/>
          <w:szCs w:val="22"/>
          <w:lang w:val="en-GB"/>
          <w14:ligatures w14:val="none"/>
        </w:rPr>
      </w:pPr>
    </w:p>
    <w:p w14:paraId="0602B87F" w14:textId="525EF0B4" w:rsidR="00E07FD1" w:rsidRPr="00E07FD1" w:rsidRDefault="00E07FD1" w:rsidP="00E07FD1">
      <w:pPr>
        <w:numPr>
          <w:ilvl w:val="0"/>
          <w:numId w:val="1"/>
        </w:numPr>
        <w:spacing w:after="65" w:line="255" w:lineRule="auto"/>
        <w:ind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Year-end revaluation will include cash, contributions receivable, other assets, other liabilities and VAT accounts on top of the monthly petty cash and quarterly investments and unbilled accounts receivables. </w:t>
      </w:r>
    </w:p>
    <w:p w14:paraId="316C9B68" w14:textId="77777777" w:rsidR="00E07FD1" w:rsidRPr="00E07FD1" w:rsidRDefault="00E07FD1" w:rsidP="00E07FD1">
      <w:pPr>
        <w:spacing w:after="2"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2E92B242"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Pending Purchase Orders</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4CCD60C6" w14:textId="77777777" w:rsidR="00E07FD1" w:rsidRPr="00E07FD1" w:rsidRDefault="00E07FD1" w:rsidP="00E07FD1">
      <w:pPr>
        <w:spacing w:after="84"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7E065AC0" w14:textId="77777777" w:rsidR="00E07FD1" w:rsidRPr="00E07FD1" w:rsidRDefault="00E07FD1" w:rsidP="00E07FD1">
      <w:pPr>
        <w:spacing w:after="89" w:line="255" w:lineRule="auto"/>
        <w:ind w:left="713" w:hanging="37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16.</w:t>
      </w:r>
      <w:r w:rsidRPr="00E07FD1">
        <w:rPr>
          <w:rFonts w:ascii="Arial" w:eastAsia="Arial" w:hAnsi="Arial" w:cs="Arial"/>
          <w:color w:val="000000"/>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A pending purchase order is one that has not been dispatched or cancelled. There are five categories of pending purchase orders.   </w:t>
      </w:r>
    </w:p>
    <w:p w14:paraId="54D47B40" w14:textId="77777777" w:rsidR="00E07FD1" w:rsidRPr="00E07FD1" w:rsidRDefault="00E07FD1" w:rsidP="00E07FD1">
      <w:pPr>
        <w:numPr>
          <w:ilvl w:val="0"/>
          <w:numId w:val="2"/>
        </w:numPr>
        <w:spacing w:after="93"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Purchase orders that are not approved and not dispatched.   </w:t>
      </w:r>
    </w:p>
    <w:p w14:paraId="768917B2" w14:textId="77777777" w:rsidR="00E07FD1" w:rsidRPr="00E07FD1" w:rsidRDefault="00E07FD1" w:rsidP="00E07FD1">
      <w:pPr>
        <w:numPr>
          <w:ilvl w:val="0"/>
          <w:numId w:val="2"/>
        </w:numPr>
        <w:spacing w:after="86"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Purchase orders that are approved and not dispatched.   </w:t>
      </w:r>
    </w:p>
    <w:p w14:paraId="045EF284" w14:textId="77777777" w:rsidR="00E07FD1" w:rsidRPr="00E07FD1" w:rsidRDefault="00E07FD1" w:rsidP="00E07FD1">
      <w:pPr>
        <w:numPr>
          <w:ilvl w:val="0"/>
          <w:numId w:val="2"/>
        </w:numPr>
        <w:spacing w:after="95"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Purchase orders that are dispatched but do not have validation status.   </w:t>
      </w:r>
    </w:p>
    <w:p w14:paraId="498A6654" w14:textId="77777777" w:rsidR="00E07FD1" w:rsidRPr="00E07FD1" w:rsidRDefault="00E07FD1" w:rsidP="00E07FD1">
      <w:pPr>
        <w:numPr>
          <w:ilvl w:val="0"/>
          <w:numId w:val="2"/>
        </w:numPr>
        <w:spacing w:after="93"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Purchase orders with a change order that are not fully processed.   </w:t>
      </w:r>
    </w:p>
    <w:p w14:paraId="5D847D14" w14:textId="77777777" w:rsidR="00E07FD1" w:rsidRPr="00E07FD1" w:rsidRDefault="00E07FD1" w:rsidP="00E07FD1">
      <w:pPr>
        <w:numPr>
          <w:ilvl w:val="0"/>
          <w:numId w:val="2"/>
        </w:numPr>
        <w:spacing w:after="258"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Purchase orders from recurring PO invoice contracts that do not have validation status.   </w:t>
      </w:r>
    </w:p>
    <w:p w14:paraId="3EBF5CEE"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Clean-Up of Pending Purchase Orders (POs)</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4E5CE92E" w14:textId="77777777" w:rsidR="00E07FD1" w:rsidRPr="00E07FD1" w:rsidRDefault="00E07FD1" w:rsidP="00E07FD1">
      <w:pPr>
        <w:spacing w:after="91"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5D6A77EE" w14:textId="77777777" w:rsidR="00E07FD1" w:rsidRPr="00E07FD1" w:rsidRDefault="00E07FD1" w:rsidP="00E07FD1">
      <w:pPr>
        <w:numPr>
          <w:ilvl w:val="0"/>
          <w:numId w:val="10"/>
        </w:numPr>
        <w:spacing w:after="89" w:line="254" w:lineRule="auto"/>
        <w:ind w:left="709" w:right="1"/>
        <w:contextualSpacing/>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The clean-up of POs requires that all pending purchase orders with budget date on or before the month-end date to be reviewed. The goal is to ensure that there are no old pending purchase orders. If there are, it will create inconsistencies between reports from Budget Control, Projects and the GL.   </w:t>
      </w:r>
    </w:p>
    <w:p w14:paraId="5887C6B7" w14:textId="77777777" w:rsidR="00E07FD1" w:rsidRPr="00E07FD1" w:rsidRDefault="00E07FD1" w:rsidP="00E07FD1">
      <w:pPr>
        <w:spacing w:after="89" w:line="254" w:lineRule="auto"/>
        <w:ind w:left="720" w:hanging="374"/>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6BDF51D7" w14:textId="77777777" w:rsidR="00E07FD1" w:rsidRPr="00E07FD1" w:rsidRDefault="00E07FD1" w:rsidP="00E07FD1">
      <w:pPr>
        <w:numPr>
          <w:ilvl w:val="0"/>
          <w:numId w:val="10"/>
        </w:numPr>
        <w:spacing w:after="88" w:line="255" w:lineRule="auto"/>
        <w:ind w:left="709" w:right="1"/>
        <w:contextualSpacing/>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The objective of the PO clean-up exercise is to ensure that:   </w:t>
      </w:r>
    </w:p>
    <w:p w14:paraId="71538C81" w14:textId="77777777" w:rsidR="00E07FD1" w:rsidRPr="00E07FD1" w:rsidRDefault="00E07FD1" w:rsidP="004E1578">
      <w:pPr>
        <w:numPr>
          <w:ilvl w:val="0"/>
          <w:numId w:val="3"/>
        </w:numPr>
        <w:spacing w:after="93"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There are no pending POs with budget date on or before the last day of the month being closed   </w:t>
      </w:r>
    </w:p>
    <w:p w14:paraId="2D42242E" w14:textId="77777777" w:rsidR="00E07FD1" w:rsidRPr="00E07FD1" w:rsidRDefault="00E07FD1" w:rsidP="004E1578">
      <w:pPr>
        <w:numPr>
          <w:ilvl w:val="0"/>
          <w:numId w:val="3"/>
        </w:numPr>
        <w:spacing w:after="93"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All POs dispatched to suppliers on or before the last day of the month being closed are recorded in Quantum   </w:t>
      </w:r>
    </w:p>
    <w:p w14:paraId="5D72C12A" w14:textId="77777777" w:rsidR="00E07FD1" w:rsidRPr="00E07FD1" w:rsidRDefault="00E07FD1" w:rsidP="004E1578">
      <w:pPr>
        <w:numPr>
          <w:ilvl w:val="0"/>
          <w:numId w:val="3"/>
        </w:numPr>
        <w:spacing w:after="93"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All expenditure in the GL, Budget Control and Projects is accurate, complete and recorded in the correct period   </w:t>
      </w:r>
    </w:p>
    <w:p w14:paraId="16695AE7" w14:textId="77777777" w:rsidR="00E07FD1" w:rsidRPr="00E07FD1" w:rsidRDefault="00E07FD1" w:rsidP="004E1578">
      <w:pPr>
        <w:numPr>
          <w:ilvl w:val="0"/>
          <w:numId w:val="3"/>
        </w:numPr>
        <w:spacing w:after="93"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lastRenderedPageBreak/>
        <w:t xml:space="preserve">All open PO transactions comply with UNDP's policy </w:t>
      </w:r>
    </w:p>
    <w:p w14:paraId="62D0FFF2" w14:textId="77777777" w:rsidR="00E07FD1" w:rsidRPr="00E07FD1" w:rsidRDefault="00E07FD1" w:rsidP="00E07FD1">
      <w:pPr>
        <w:spacing w:after="84"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06F7D151" w14:textId="77777777" w:rsidR="00E07FD1" w:rsidRPr="00E07FD1" w:rsidRDefault="00E07FD1" w:rsidP="00E07FD1">
      <w:pPr>
        <w:numPr>
          <w:ilvl w:val="0"/>
          <w:numId w:val="10"/>
        </w:numPr>
        <w:spacing w:after="89" w:line="254" w:lineRule="auto"/>
        <w:ind w:left="709"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If the purchase order is pending as of the last day of the month being closed, is still required but cannot be resolved in time for deadlines (i.e. awaiting approval), move the budget date forward - i.e. revise the budget date to a date after the month end date. If the purchase order is not needed, cancel it.   </w:t>
      </w:r>
    </w:p>
    <w:p w14:paraId="6C25C134" w14:textId="77777777" w:rsidR="00E07FD1" w:rsidRPr="00E07FD1" w:rsidRDefault="00E07FD1" w:rsidP="00E07FD1">
      <w:pPr>
        <w:spacing w:after="2"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7F71CB3E"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 xml:space="preserve">Clean-Up of Accounts Payable (AP) Invoices   </w:t>
      </w:r>
    </w:p>
    <w:p w14:paraId="4B8F0455" w14:textId="77777777" w:rsidR="00E07FD1" w:rsidRPr="00E07FD1" w:rsidRDefault="00E07FD1" w:rsidP="00E07FD1">
      <w:pPr>
        <w:spacing w:after="0"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  </w:t>
      </w:r>
    </w:p>
    <w:p w14:paraId="48A5FFA1" w14:textId="77777777" w:rsidR="00E07FD1" w:rsidRPr="00E07FD1" w:rsidRDefault="00E07FD1" w:rsidP="00E07FD1">
      <w:pPr>
        <w:numPr>
          <w:ilvl w:val="0"/>
          <w:numId w:val="10"/>
        </w:numPr>
        <w:spacing w:after="3" w:line="255" w:lineRule="auto"/>
        <w:ind w:left="709"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The Clean-Up of the Accounts Payable (AP) refers to an exercise that ensures that there are no </w:t>
      </w:r>
      <w:r w:rsidRPr="00E07FD1">
        <w:rPr>
          <w:rFonts w:ascii="Calibri" w:eastAsia="Calibri" w:hAnsi="Calibri" w:cs="Calibri"/>
          <w:color w:val="000000"/>
          <w:kern w:val="0"/>
          <w:sz w:val="22"/>
          <w:szCs w:val="22"/>
          <w:lang w:val="en-GB"/>
          <w14:ligatures w14:val="none"/>
        </w:rPr>
        <w:tab/>
        <w:t xml:space="preserve">pending invoices with an accounting date on or before the month end date. Invoices must be fully processed </w:t>
      </w:r>
      <w:proofErr w:type="gramStart"/>
      <w:r w:rsidRPr="00E07FD1">
        <w:rPr>
          <w:rFonts w:ascii="Calibri" w:eastAsia="Calibri" w:hAnsi="Calibri" w:cs="Calibri"/>
          <w:color w:val="000000"/>
          <w:kern w:val="0"/>
          <w:sz w:val="22"/>
          <w:szCs w:val="22"/>
          <w:lang w:val="en-GB"/>
          <w14:ligatures w14:val="none"/>
        </w:rPr>
        <w:t>in order to</w:t>
      </w:r>
      <w:proofErr w:type="gramEnd"/>
      <w:r w:rsidRPr="00E07FD1">
        <w:rPr>
          <w:rFonts w:ascii="Calibri" w:eastAsia="Calibri" w:hAnsi="Calibri" w:cs="Calibri"/>
          <w:color w:val="000000"/>
          <w:kern w:val="0"/>
          <w:sz w:val="22"/>
          <w:szCs w:val="22"/>
          <w:lang w:val="en-GB"/>
          <w14:ligatures w14:val="none"/>
        </w:rPr>
        <w:t xml:space="preserve"> be correctly recorded in Projects and GL.   </w:t>
      </w:r>
    </w:p>
    <w:p w14:paraId="234C99A8" w14:textId="77777777" w:rsidR="00E07FD1" w:rsidRPr="00E07FD1" w:rsidRDefault="00E07FD1" w:rsidP="00E07FD1">
      <w:pPr>
        <w:spacing w:after="84"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4CAF9786" w14:textId="77777777" w:rsidR="00E07FD1" w:rsidRPr="00E07FD1" w:rsidRDefault="00E07FD1" w:rsidP="00E07FD1">
      <w:pPr>
        <w:numPr>
          <w:ilvl w:val="0"/>
          <w:numId w:val="10"/>
        </w:numPr>
        <w:spacing w:after="3" w:line="255" w:lineRule="auto"/>
        <w:ind w:left="709"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Clearing all the invoices requiring attention status per the Quantum payable dashboard, i.e. pending approval, rejected, invoices on hold and instalments on hold. UNDP offices must regularly review the payables dashboard and undertake regular maintenance and monitoring to ensure that all invoices are posted.</w:t>
      </w:r>
    </w:p>
    <w:p w14:paraId="0754D330" w14:textId="77777777" w:rsidR="00E07FD1" w:rsidRPr="00E07FD1" w:rsidRDefault="00E07FD1" w:rsidP="00E07FD1">
      <w:pPr>
        <w:spacing w:after="2"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b/>
          <w:color w:val="333333"/>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  </w:t>
      </w:r>
    </w:p>
    <w:p w14:paraId="5C36944E"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 xml:space="preserve">Other Invoices   </w:t>
      </w:r>
    </w:p>
    <w:p w14:paraId="34E45332" w14:textId="77777777" w:rsidR="00E07FD1" w:rsidRPr="00E07FD1" w:rsidRDefault="00E07FD1" w:rsidP="00E07FD1">
      <w:pPr>
        <w:spacing w:after="89" w:line="254" w:lineRule="auto"/>
        <w:ind w:left="720" w:hanging="374"/>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36587D5B" w14:textId="77777777" w:rsidR="00E07FD1" w:rsidRPr="00E07FD1" w:rsidRDefault="00E07FD1" w:rsidP="00E07FD1">
      <w:pPr>
        <w:numPr>
          <w:ilvl w:val="0"/>
          <w:numId w:val="10"/>
        </w:numPr>
        <w:spacing w:after="89" w:line="254" w:lineRule="auto"/>
        <w:ind w:left="709"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Fully processed non-PO invoice:</w:t>
      </w:r>
      <w:r w:rsidRPr="00E07FD1">
        <w:rPr>
          <w:rFonts w:ascii="Calibri" w:eastAsia="Calibri" w:hAnsi="Calibri" w:cs="Calibri"/>
          <w:color w:val="000000"/>
          <w:kern w:val="0"/>
          <w:sz w:val="22"/>
          <w:szCs w:val="22"/>
          <w:lang w:val="en-GB"/>
          <w14:ligatures w14:val="none"/>
        </w:rPr>
        <w:t xml:space="preserve"> This invoice is one that has been approved; has a validated status; and is posted.   </w:t>
      </w:r>
    </w:p>
    <w:p w14:paraId="7BCDDDE1" w14:textId="77777777" w:rsidR="00E07FD1" w:rsidRPr="00E07FD1" w:rsidRDefault="00E07FD1" w:rsidP="00E07FD1">
      <w:pPr>
        <w:spacing w:after="89" w:line="254" w:lineRule="auto"/>
        <w:ind w:left="720" w:hanging="374"/>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23C5E811" w14:textId="77777777" w:rsidR="00E07FD1" w:rsidRPr="00E07FD1" w:rsidRDefault="00E07FD1" w:rsidP="00E07FD1">
      <w:pPr>
        <w:numPr>
          <w:ilvl w:val="0"/>
          <w:numId w:val="10"/>
        </w:numPr>
        <w:spacing w:after="89" w:line="254" w:lineRule="auto"/>
        <w:ind w:left="709"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Fully processed PO invoice:</w:t>
      </w:r>
      <w:r w:rsidRPr="00E07FD1">
        <w:rPr>
          <w:rFonts w:ascii="Calibri" w:eastAsia="Calibri" w:hAnsi="Calibri" w:cs="Calibri"/>
          <w:color w:val="000000"/>
          <w:kern w:val="0"/>
          <w:sz w:val="22"/>
          <w:szCs w:val="22"/>
          <w:lang w:val="en-GB"/>
          <w14:ligatures w14:val="none"/>
        </w:rPr>
        <w:t xml:space="preserve"> This invoice is one that has been matched; has a validated status; and is posted. An invoice only needs a validated status to be recorded in budget control.   </w:t>
      </w:r>
    </w:p>
    <w:p w14:paraId="7A649A3B" w14:textId="77777777" w:rsidR="00E07FD1" w:rsidRPr="00E07FD1" w:rsidRDefault="00E07FD1" w:rsidP="00E07FD1">
      <w:pPr>
        <w:spacing w:after="89" w:line="254" w:lineRule="auto"/>
        <w:ind w:left="720" w:hanging="374"/>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007DC345" w14:textId="77777777" w:rsidR="00E07FD1" w:rsidRPr="00E07FD1" w:rsidRDefault="00E07FD1" w:rsidP="00E07FD1">
      <w:pPr>
        <w:numPr>
          <w:ilvl w:val="0"/>
          <w:numId w:val="10"/>
        </w:numPr>
        <w:spacing w:after="89" w:line="254" w:lineRule="auto"/>
        <w:ind w:left="709"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Paid invoice:</w:t>
      </w:r>
      <w:r w:rsidRPr="00E07FD1">
        <w:rPr>
          <w:rFonts w:ascii="Calibri" w:eastAsia="Calibri" w:hAnsi="Calibri" w:cs="Calibri"/>
          <w:color w:val="000000"/>
          <w:kern w:val="0"/>
          <w:sz w:val="22"/>
          <w:szCs w:val="22"/>
          <w:lang w:val="en-GB"/>
          <w14:ligatures w14:val="none"/>
        </w:rPr>
        <w:t xml:space="preserve"> This invoice is one for which a payment, whether manual or system, is recorded in  </w:t>
      </w:r>
    </w:p>
    <w:p w14:paraId="73B8EF07" w14:textId="77777777" w:rsidR="00E07FD1" w:rsidRPr="00E07FD1" w:rsidRDefault="00E07FD1" w:rsidP="00E07FD1">
      <w:pPr>
        <w:spacing w:after="89" w:line="254" w:lineRule="auto"/>
        <w:ind w:left="720" w:hanging="374"/>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ab/>
        <w:t xml:space="preserve">Quantum.   </w:t>
      </w:r>
    </w:p>
    <w:p w14:paraId="18B6CBE5" w14:textId="77777777" w:rsidR="00E07FD1" w:rsidRPr="00E07FD1" w:rsidRDefault="00E07FD1" w:rsidP="00E07FD1">
      <w:pPr>
        <w:spacing w:after="0" w:line="259" w:lineRule="auto"/>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37B8C1DF"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 xml:space="preserve">Invalid </w:t>
      </w:r>
      <w:proofErr w:type="spellStart"/>
      <w:r w:rsidRPr="00E07FD1">
        <w:rPr>
          <w:rFonts w:ascii="Calibri" w:eastAsia="Calibri" w:hAnsi="Calibri" w:cs="Calibri"/>
          <w:b/>
          <w:color w:val="000000"/>
          <w:kern w:val="0"/>
          <w:sz w:val="22"/>
          <w:szCs w:val="22"/>
          <w:lang w:val="en-GB"/>
          <w14:ligatures w14:val="none"/>
        </w:rPr>
        <w:t>Chartfields</w:t>
      </w:r>
      <w:proofErr w:type="spellEnd"/>
      <w:r w:rsidRPr="00E07FD1">
        <w:rPr>
          <w:rFonts w:ascii="Calibri" w:eastAsia="Calibri" w:hAnsi="Calibri" w:cs="Calibri"/>
          <w:b/>
          <w:color w:val="000000"/>
          <w:kern w:val="0"/>
          <w:sz w:val="22"/>
          <w:szCs w:val="22"/>
          <w:lang w:val="en-GB"/>
          <w14:ligatures w14:val="none"/>
        </w:rPr>
        <w:t xml:space="preserve"> on Purchase Orders (POs)</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45F24BE6" w14:textId="77777777" w:rsidR="00E07FD1" w:rsidRPr="00E07FD1" w:rsidRDefault="00E07FD1" w:rsidP="00E07FD1">
      <w:pPr>
        <w:spacing w:after="86"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7B567FC2" w14:textId="77777777" w:rsidR="00E07FD1" w:rsidRPr="00E07FD1" w:rsidRDefault="00E07FD1" w:rsidP="00E07FD1">
      <w:pPr>
        <w:spacing w:after="3" w:line="255" w:lineRule="auto"/>
        <w:ind w:left="713" w:hanging="37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25.</w:t>
      </w:r>
      <w:r w:rsidRPr="00E07FD1">
        <w:rPr>
          <w:rFonts w:ascii="Arial" w:eastAsia="Arial" w:hAnsi="Arial" w:cs="Arial"/>
          <w:color w:val="000000"/>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This refers to POs that are missing one or more required </w:t>
      </w:r>
      <w:proofErr w:type="spellStart"/>
      <w:r w:rsidRPr="00E07FD1">
        <w:rPr>
          <w:rFonts w:ascii="Calibri" w:eastAsia="Calibri" w:hAnsi="Calibri" w:cs="Calibri"/>
          <w:color w:val="000000"/>
          <w:kern w:val="0"/>
          <w:sz w:val="22"/>
          <w:szCs w:val="22"/>
          <w:lang w:val="en-GB"/>
          <w14:ligatures w14:val="none"/>
        </w:rPr>
        <w:t>Chartfield</w:t>
      </w:r>
      <w:proofErr w:type="spellEnd"/>
      <w:r w:rsidRPr="00E07FD1">
        <w:rPr>
          <w:rFonts w:ascii="Calibri" w:eastAsia="Calibri" w:hAnsi="Calibri" w:cs="Calibri"/>
          <w:color w:val="000000"/>
          <w:kern w:val="0"/>
          <w:sz w:val="22"/>
          <w:szCs w:val="22"/>
          <w:lang w:val="en-GB"/>
          <w14:ligatures w14:val="none"/>
        </w:rPr>
        <w:t xml:space="preserve"> values (e.g. department, fund, implementing agency, project, and donor) or have a non-expenditure account specified on the distribution line.    </w:t>
      </w:r>
    </w:p>
    <w:p w14:paraId="40702113" w14:textId="77777777" w:rsidR="00E07FD1" w:rsidRPr="00E07FD1" w:rsidRDefault="00E07FD1" w:rsidP="00E07FD1">
      <w:pPr>
        <w:spacing w:after="2"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28B1A973"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 xml:space="preserve">Invalid </w:t>
      </w:r>
      <w:proofErr w:type="spellStart"/>
      <w:r w:rsidRPr="00E07FD1">
        <w:rPr>
          <w:rFonts w:ascii="Calibri" w:eastAsia="Calibri" w:hAnsi="Calibri" w:cs="Calibri"/>
          <w:b/>
          <w:color w:val="000000"/>
          <w:kern w:val="0"/>
          <w:sz w:val="22"/>
          <w:szCs w:val="22"/>
          <w:lang w:val="en-GB"/>
          <w14:ligatures w14:val="none"/>
        </w:rPr>
        <w:t>Chartfields</w:t>
      </w:r>
      <w:proofErr w:type="spellEnd"/>
      <w:r w:rsidRPr="00E07FD1">
        <w:rPr>
          <w:rFonts w:ascii="Calibri" w:eastAsia="Calibri" w:hAnsi="Calibri" w:cs="Calibri"/>
          <w:b/>
          <w:color w:val="000000"/>
          <w:kern w:val="0"/>
          <w:sz w:val="22"/>
          <w:szCs w:val="22"/>
          <w:lang w:val="en-GB"/>
          <w14:ligatures w14:val="none"/>
        </w:rPr>
        <w:t xml:space="preserve"> on Accounts Payable (AP) Invoices</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42BE688F" w14:textId="77777777" w:rsidR="00E07FD1" w:rsidRPr="00E07FD1" w:rsidRDefault="00E07FD1" w:rsidP="00E07FD1">
      <w:pPr>
        <w:spacing w:after="86"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1DBE103D" w14:textId="77777777" w:rsidR="00E07FD1" w:rsidRPr="00E07FD1" w:rsidRDefault="00E07FD1" w:rsidP="00E07FD1">
      <w:pPr>
        <w:spacing w:after="3" w:line="255" w:lineRule="auto"/>
        <w:ind w:left="343"/>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26.</w:t>
      </w:r>
      <w:r w:rsidRPr="00E07FD1">
        <w:rPr>
          <w:rFonts w:ascii="Arial" w:eastAsia="Arial" w:hAnsi="Arial" w:cs="Arial"/>
          <w:color w:val="000000"/>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This refers to AP Invoices that are missing one or more required </w:t>
      </w:r>
      <w:proofErr w:type="spellStart"/>
      <w:r w:rsidRPr="00E07FD1">
        <w:rPr>
          <w:rFonts w:ascii="Calibri" w:eastAsia="Calibri" w:hAnsi="Calibri" w:cs="Calibri"/>
          <w:color w:val="000000"/>
          <w:kern w:val="0"/>
          <w:sz w:val="22"/>
          <w:szCs w:val="22"/>
          <w:lang w:val="en-GB"/>
          <w14:ligatures w14:val="none"/>
        </w:rPr>
        <w:t>Chartfield</w:t>
      </w:r>
      <w:proofErr w:type="spellEnd"/>
      <w:r w:rsidRPr="00E07FD1">
        <w:rPr>
          <w:rFonts w:ascii="Calibri" w:eastAsia="Calibri" w:hAnsi="Calibri" w:cs="Calibri"/>
          <w:color w:val="000000"/>
          <w:kern w:val="0"/>
          <w:sz w:val="22"/>
          <w:szCs w:val="22"/>
          <w:lang w:val="en-GB"/>
          <w14:ligatures w14:val="none"/>
        </w:rPr>
        <w:t xml:space="preserve"> values (e.g.  </w:t>
      </w:r>
    </w:p>
    <w:p w14:paraId="1F81C948" w14:textId="1F4500D6" w:rsidR="00E07FD1" w:rsidRDefault="00E07FD1" w:rsidP="00E07FD1">
      <w:pPr>
        <w:spacing w:after="3" w:line="255" w:lineRule="auto"/>
        <w:ind w:left="742"/>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department, fund, responsible party, project, and donor) or have a non-expenditure account specified on the distribution line.</w:t>
      </w:r>
    </w:p>
    <w:p w14:paraId="6001C0A2" w14:textId="77777777" w:rsidR="00E07FD1" w:rsidRPr="00E07FD1" w:rsidRDefault="00E07FD1" w:rsidP="00E07FD1">
      <w:pPr>
        <w:spacing w:after="3" w:line="255" w:lineRule="auto"/>
        <w:ind w:left="742"/>
        <w:jc w:val="both"/>
        <w:rPr>
          <w:rFonts w:ascii="Calibri" w:eastAsia="Calibri" w:hAnsi="Calibri" w:cs="Calibri"/>
          <w:color w:val="000000"/>
          <w:kern w:val="0"/>
          <w:sz w:val="22"/>
          <w:szCs w:val="22"/>
          <w:lang w:val="en-GB"/>
          <w14:ligatures w14:val="none"/>
        </w:rPr>
      </w:pPr>
    </w:p>
    <w:p w14:paraId="51138FD2"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lastRenderedPageBreak/>
        <w:t>Open, Complete and Fully Matched POs</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76813BC2" w14:textId="77777777" w:rsidR="00E07FD1" w:rsidRPr="00E07FD1" w:rsidRDefault="00E07FD1" w:rsidP="00E07FD1">
      <w:pPr>
        <w:spacing w:after="88" w:line="259" w:lineRule="auto"/>
        <w:ind w:left="26"/>
        <w:rPr>
          <w:rFonts w:ascii="Calibri" w:eastAsia="Calibri" w:hAnsi="Calibri" w:cs="Calibri"/>
          <w:color w:val="000000"/>
          <w:kern w:val="0"/>
          <w:sz w:val="22"/>
          <w:szCs w:val="22"/>
          <w:lang w:val="en-GB"/>
          <w14:ligatures w14:val="none"/>
        </w:rPr>
      </w:pPr>
    </w:p>
    <w:p w14:paraId="56DE84D3" w14:textId="77777777" w:rsidR="00E07FD1" w:rsidRPr="00E07FD1" w:rsidRDefault="00E07FD1" w:rsidP="00E07FD1">
      <w:pPr>
        <w:numPr>
          <w:ilvl w:val="0"/>
          <w:numId w:val="8"/>
        </w:numPr>
        <w:spacing w:after="3"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An </w:t>
      </w:r>
      <w:r w:rsidRPr="00E07FD1">
        <w:rPr>
          <w:rFonts w:ascii="Calibri" w:eastAsia="Calibri" w:hAnsi="Calibri" w:cs="Calibri"/>
          <w:b/>
          <w:color w:val="000000"/>
          <w:kern w:val="0"/>
          <w:sz w:val="22"/>
          <w:szCs w:val="22"/>
          <w:lang w:val="en-GB"/>
          <w14:ligatures w14:val="none"/>
        </w:rPr>
        <w:t>Open PO</w:t>
      </w:r>
      <w:r w:rsidRPr="00E07FD1">
        <w:rPr>
          <w:rFonts w:ascii="Calibri" w:eastAsia="Calibri" w:hAnsi="Calibri" w:cs="Calibri"/>
          <w:color w:val="000000"/>
          <w:kern w:val="0"/>
          <w:sz w:val="22"/>
          <w:szCs w:val="22"/>
          <w:lang w:val="en-GB"/>
          <w14:ligatures w14:val="none"/>
        </w:rPr>
        <w:t xml:space="preserve"> is one that has not been completely liquidated into a payment invoice is considered </w:t>
      </w:r>
      <w:r w:rsidRPr="00E07FD1">
        <w:rPr>
          <w:rFonts w:ascii="Calibri" w:eastAsia="Calibri" w:hAnsi="Calibri" w:cs="Calibri"/>
          <w:color w:val="000000"/>
          <w:kern w:val="0"/>
          <w:sz w:val="22"/>
          <w:szCs w:val="22"/>
          <w:lang w:val="en-GB"/>
          <w14:ligatures w14:val="none"/>
        </w:rPr>
        <w:tab/>
        <w:t xml:space="preserve">as an open PO.    </w:t>
      </w:r>
    </w:p>
    <w:p w14:paraId="319A7C87" w14:textId="77777777" w:rsidR="00E07FD1" w:rsidRPr="00E07FD1" w:rsidRDefault="00E07FD1" w:rsidP="00E07FD1">
      <w:pPr>
        <w:spacing w:after="93"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0EA813C6" w14:textId="77777777" w:rsidR="00E07FD1" w:rsidRPr="00E07FD1" w:rsidRDefault="00E07FD1" w:rsidP="00E07FD1">
      <w:pPr>
        <w:numPr>
          <w:ilvl w:val="0"/>
          <w:numId w:val="8"/>
        </w:numPr>
        <w:spacing w:after="3"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 </w:t>
      </w:r>
      <w:r w:rsidRPr="00E07FD1">
        <w:rPr>
          <w:rFonts w:ascii="Calibri" w:eastAsia="Calibri" w:hAnsi="Calibri" w:cs="Calibri"/>
          <w:b/>
          <w:color w:val="000000"/>
          <w:kern w:val="0"/>
          <w:sz w:val="22"/>
          <w:szCs w:val="22"/>
          <w:lang w:val="en-GB"/>
          <w14:ligatures w14:val="none"/>
        </w:rPr>
        <w:t>Complete PO</w:t>
      </w:r>
      <w:r w:rsidRPr="00E07FD1">
        <w:rPr>
          <w:rFonts w:ascii="Calibri" w:eastAsia="Calibri" w:hAnsi="Calibri" w:cs="Calibri"/>
          <w:color w:val="000000"/>
          <w:kern w:val="0"/>
          <w:sz w:val="22"/>
          <w:szCs w:val="22"/>
          <w:lang w:val="en-GB"/>
          <w14:ligatures w14:val="none"/>
        </w:rPr>
        <w:t xml:space="preserve"> means that no additional receipts or invoices will be recorded.    </w:t>
      </w:r>
    </w:p>
    <w:p w14:paraId="610B4667" w14:textId="77777777" w:rsidR="00E07FD1" w:rsidRPr="00E07FD1" w:rsidRDefault="00E07FD1" w:rsidP="00E07FD1">
      <w:pPr>
        <w:spacing w:after="0"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0898D575" w14:textId="77777777" w:rsidR="00E07FD1" w:rsidRPr="00E07FD1" w:rsidRDefault="00E07FD1" w:rsidP="00E07FD1">
      <w:pPr>
        <w:numPr>
          <w:ilvl w:val="0"/>
          <w:numId w:val="8"/>
        </w:numPr>
        <w:spacing w:after="3"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 </w:t>
      </w:r>
      <w:r w:rsidRPr="00E07FD1">
        <w:rPr>
          <w:rFonts w:ascii="Calibri" w:eastAsia="Calibri" w:hAnsi="Calibri" w:cs="Calibri"/>
          <w:b/>
          <w:color w:val="000000"/>
          <w:kern w:val="0"/>
          <w:sz w:val="22"/>
          <w:szCs w:val="22"/>
          <w:lang w:val="en-GB"/>
          <w14:ligatures w14:val="none"/>
        </w:rPr>
        <w:t>Fully Matched PO</w:t>
      </w:r>
      <w:r w:rsidRPr="00E07FD1">
        <w:rPr>
          <w:rFonts w:ascii="Calibri" w:eastAsia="Calibri" w:hAnsi="Calibri" w:cs="Calibri"/>
          <w:color w:val="000000"/>
          <w:kern w:val="0"/>
          <w:sz w:val="22"/>
          <w:szCs w:val="22"/>
          <w:lang w:val="en-GB"/>
          <w14:ligatures w14:val="none"/>
        </w:rPr>
        <w:t xml:space="preserve"> means that no additional activity is anticipated.   </w:t>
      </w:r>
    </w:p>
    <w:p w14:paraId="6A419C87" w14:textId="77777777" w:rsidR="00E07FD1" w:rsidRPr="00E07FD1" w:rsidRDefault="00E07FD1" w:rsidP="00E07FD1">
      <w:pPr>
        <w:spacing w:after="86"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721EDBA1" w14:textId="77777777" w:rsidR="00E07FD1" w:rsidRPr="00E07FD1" w:rsidRDefault="00E07FD1" w:rsidP="00E07FD1">
      <w:pPr>
        <w:numPr>
          <w:ilvl w:val="0"/>
          <w:numId w:val="8"/>
        </w:numPr>
        <w:spacing w:after="3"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All offices should review their open POs and close those that are complete. Note: The optimal time </w:t>
      </w:r>
      <w:r w:rsidRPr="00E07FD1">
        <w:rPr>
          <w:rFonts w:ascii="Calibri" w:eastAsia="Calibri" w:hAnsi="Calibri" w:cs="Calibri"/>
          <w:color w:val="000000"/>
          <w:kern w:val="0"/>
          <w:sz w:val="22"/>
          <w:szCs w:val="22"/>
          <w:lang w:val="en-GB"/>
          <w14:ligatures w14:val="none"/>
        </w:rPr>
        <w:tab/>
        <w:t xml:space="preserve">for carrying out this review is after completing the review of the pending </w:t>
      </w:r>
      <w:proofErr w:type="spellStart"/>
      <w:r w:rsidRPr="00E07FD1">
        <w:rPr>
          <w:rFonts w:ascii="Calibri" w:eastAsia="Calibri" w:hAnsi="Calibri" w:cs="Calibri"/>
          <w:color w:val="000000"/>
          <w:kern w:val="0"/>
          <w:sz w:val="22"/>
          <w:szCs w:val="22"/>
          <w:lang w:val="en-GB"/>
          <w14:ligatures w14:val="none"/>
        </w:rPr>
        <w:t>POs.</w:t>
      </w:r>
      <w:proofErr w:type="spellEnd"/>
      <w:r w:rsidRPr="00E07FD1">
        <w:rPr>
          <w:rFonts w:ascii="Calibri" w:eastAsia="Calibri" w:hAnsi="Calibri" w:cs="Calibri"/>
          <w:color w:val="000000"/>
          <w:kern w:val="0"/>
          <w:sz w:val="22"/>
          <w:szCs w:val="22"/>
          <w:lang w:val="en-GB"/>
          <w14:ligatures w14:val="none"/>
        </w:rPr>
        <w:t xml:space="preserve">    </w:t>
      </w:r>
    </w:p>
    <w:p w14:paraId="24DCA19B" w14:textId="77777777" w:rsidR="00E07FD1" w:rsidRPr="00E07FD1" w:rsidRDefault="00E07FD1" w:rsidP="00E07FD1">
      <w:pPr>
        <w:spacing w:after="0"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3F30835C"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Unpaid AP Invoices</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432C4846" w14:textId="77777777" w:rsidR="00E07FD1" w:rsidRPr="00E07FD1" w:rsidRDefault="00E07FD1" w:rsidP="00E07FD1">
      <w:pPr>
        <w:spacing w:after="0"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14DD75D5" w14:textId="77777777" w:rsidR="00E07FD1" w:rsidRPr="00E07FD1" w:rsidRDefault="00E07FD1" w:rsidP="00E07FD1">
      <w:pPr>
        <w:spacing w:after="3" w:line="255" w:lineRule="auto"/>
        <w:ind w:left="713" w:hanging="37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31. Unpaid invoices are those that are approved and successfully fund-reserved but not yet paid. These invoices need to be reviewed to determine whether there are any duplicate or old invoices that should be cancelled/deleted or any invoices that were paid manually but the manual payment was never recorded.    </w:t>
      </w:r>
    </w:p>
    <w:p w14:paraId="0EFE1C09" w14:textId="77777777" w:rsidR="00E07FD1" w:rsidRPr="00E07FD1" w:rsidRDefault="00E07FD1" w:rsidP="00E07FD1">
      <w:pPr>
        <w:spacing w:after="2"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45864CD3"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Fee Rows</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4C3E2666" w14:textId="77777777" w:rsidR="00E07FD1" w:rsidRPr="00E07FD1" w:rsidRDefault="00E07FD1" w:rsidP="00E07FD1">
      <w:pPr>
        <w:spacing w:after="89"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0753F88A" w14:textId="77777777" w:rsidR="00E07FD1" w:rsidRPr="00E07FD1" w:rsidRDefault="00E07FD1" w:rsidP="00E07FD1">
      <w:pPr>
        <w:spacing w:after="3" w:line="255" w:lineRule="auto"/>
        <w:ind w:left="713" w:hanging="37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32.</w:t>
      </w:r>
      <w:r w:rsidRPr="00E07FD1">
        <w:rPr>
          <w:rFonts w:ascii="Arial" w:eastAsia="Arial" w:hAnsi="Arial" w:cs="Arial"/>
          <w:color w:val="000000"/>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Fee Rows refers to the cost recovery for services UNDP has provided to non-Quantum agencies. Whenever you provide standard service to a non-Quantum agency, the fee row will be generated in Agency Portal. Quantum automatically creates, a service fee, that corresponds to the fee in Universal Price List. All fee rows should charge the non-Quantum agency service clearing account (fund 12000).    </w:t>
      </w:r>
    </w:p>
    <w:p w14:paraId="3B7285AC" w14:textId="77777777" w:rsidR="00E07FD1" w:rsidRPr="00E07FD1" w:rsidRDefault="00E07FD1" w:rsidP="00E07FD1">
      <w:pPr>
        <w:spacing w:after="2"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337EF286"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AR - Unapplied Receipts</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282ACCC2" w14:textId="77777777" w:rsidR="00E07FD1" w:rsidRPr="00E07FD1" w:rsidRDefault="00E07FD1" w:rsidP="00E07FD1">
      <w:pPr>
        <w:spacing w:after="86"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0CFDEC4C" w14:textId="77777777" w:rsidR="00E07FD1" w:rsidRPr="00E07FD1" w:rsidRDefault="00E07FD1" w:rsidP="00E07FD1">
      <w:pPr>
        <w:spacing w:after="3" w:line="255" w:lineRule="auto"/>
        <w:ind w:left="713" w:hanging="37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33.</w:t>
      </w:r>
      <w:r w:rsidRPr="00E07FD1">
        <w:rPr>
          <w:rFonts w:ascii="Arial" w:eastAsia="Arial" w:hAnsi="Arial" w:cs="Arial"/>
          <w:color w:val="000000"/>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Unapplied receipts are those contributions that have been received from Donors but have not been applied to the appropriate donor, fund or project.    </w:t>
      </w:r>
    </w:p>
    <w:p w14:paraId="045ECD78" w14:textId="77777777" w:rsidR="00E07FD1" w:rsidRPr="00E07FD1" w:rsidRDefault="00E07FD1" w:rsidP="00E07FD1">
      <w:pPr>
        <w:spacing w:after="3" w:line="255" w:lineRule="auto"/>
        <w:ind w:left="713" w:hanging="370"/>
        <w:jc w:val="both"/>
        <w:rPr>
          <w:rFonts w:ascii="Calibri" w:eastAsia="Calibri" w:hAnsi="Calibri" w:cs="Calibri"/>
          <w:color w:val="000000"/>
          <w:kern w:val="0"/>
          <w:sz w:val="22"/>
          <w:szCs w:val="22"/>
          <w:lang w:val="en-GB"/>
          <w14:ligatures w14:val="none"/>
        </w:rPr>
      </w:pPr>
    </w:p>
    <w:p w14:paraId="43FD2E5D" w14:textId="77777777" w:rsidR="00E07FD1" w:rsidRPr="00E07FD1" w:rsidRDefault="00E07FD1" w:rsidP="00E07FD1">
      <w:pPr>
        <w:spacing w:after="3" w:line="255" w:lineRule="auto"/>
        <w:jc w:val="both"/>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AR - Outstanding Contributions Receivable</w:t>
      </w:r>
    </w:p>
    <w:p w14:paraId="62E88159" w14:textId="77777777" w:rsidR="00E07FD1" w:rsidRPr="00E07FD1" w:rsidRDefault="00E07FD1" w:rsidP="00E07FD1">
      <w:pPr>
        <w:spacing w:after="3" w:line="255" w:lineRule="auto"/>
        <w:jc w:val="both"/>
        <w:rPr>
          <w:rFonts w:ascii="Calibri" w:eastAsia="Calibri" w:hAnsi="Calibri" w:cs="Calibri"/>
          <w:b/>
          <w:color w:val="000000"/>
          <w:kern w:val="0"/>
          <w:sz w:val="22"/>
          <w:szCs w:val="22"/>
          <w:lang w:val="en-GB"/>
          <w14:ligatures w14:val="none"/>
        </w:rPr>
      </w:pPr>
    </w:p>
    <w:p w14:paraId="0CB70BD3" w14:textId="77777777" w:rsidR="00E07FD1" w:rsidRPr="00E07FD1" w:rsidRDefault="00E07FD1" w:rsidP="00E07FD1">
      <w:pPr>
        <w:spacing w:after="3" w:line="255" w:lineRule="auto"/>
        <w:ind w:left="713" w:hanging="37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34.</w:t>
      </w:r>
      <w:r w:rsidRPr="00E07FD1">
        <w:rPr>
          <w:rFonts w:ascii="Arial" w:eastAsia="Arial" w:hAnsi="Arial" w:cs="Arial"/>
          <w:color w:val="000000"/>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 Contribution receivables represent amounts, as pledged/agreed by donors according to the schedule of payments in the agreements, but that have not </w:t>
      </w:r>
      <w:proofErr w:type="gramStart"/>
      <w:r w:rsidRPr="00E07FD1">
        <w:rPr>
          <w:rFonts w:ascii="Calibri" w:eastAsia="Calibri" w:hAnsi="Calibri" w:cs="Calibri"/>
          <w:color w:val="000000"/>
          <w:kern w:val="0"/>
          <w:sz w:val="22"/>
          <w:szCs w:val="22"/>
          <w:lang w:val="en-GB"/>
          <w14:ligatures w14:val="none"/>
        </w:rPr>
        <w:t>as yet</w:t>
      </w:r>
      <w:proofErr w:type="gramEnd"/>
      <w:r w:rsidRPr="00E07FD1">
        <w:rPr>
          <w:rFonts w:ascii="Calibri" w:eastAsia="Calibri" w:hAnsi="Calibri" w:cs="Calibri"/>
          <w:color w:val="000000"/>
          <w:kern w:val="0"/>
          <w:sz w:val="22"/>
          <w:szCs w:val="22"/>
          <w:lang w:val="en-GB"/>
          <w14:ligatures w14:val="none"/>
        </w:rPr>
        <w:t xml:space="preserve"> been received.    </w:t>
      </w:r>
    </w:p>
    <w:p w14:paraId="654D64FB" w14:textId="77777777" w:rsidR="00E07FD1" w:rsidRPr="00E07FD1" w:rsidRDefault="00E07FD1" w:rsidP="00E07FD1">
      <w:pPr>
        <w:spacing w:after="0"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6527EE63"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Pending GLJEs</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47F139CF" w14:textId="77777777" w:rsidR="00E07FD1" w:rsidRPr="00E07FD1" w:rsidRDefault="00E07FD1" w:rsidP="00E07FD1">
      <w:pPr>
        <w:spacing w:after="84"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0C439EFB" w14:textId="77777777" w:rsidR="00E07FD1" w:rsidRPr="00E07FD1" w:rsidRDefault="00E07FD1" w:rsidP="00E07FD1">
      <w:pPr>
        <w:spacing w:after="3" w:line="255" w:lineRule="auto"/>
        <w:ind w:left="713" w:hanging="37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35.</w:t>
      </w:r>
      <w:r w:rsidRPr="00E07FD1">
        <w:rPr>
          <w:rFonts w:ascii="Arial" w:eastAsia="Arial" w:hAnsi="Arial" w:cs="Arial"/>
          <w:color w:val="000000"/>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Pending GLJEs are GLJEs created but not yet posted to the GL. Pending GLJEs contribute to inconsistencies between Budgetary Control and GL reports. Pending GLJEs that have passed the fund validation are included in budget control but not in the GL. </w:t>
      </w:r>
    </w:p>
    <w:p w14:paraId="1936C26D" w14:textId="77777777" w:rsidR="00E07FD1" w:rsidRPr="00E07FD1" w:rsidRDefault="00E07FD1" w:rsidP="00E07FD1">
      <w:pPr>
        <w:spacing w:after="86" w:line="259" w:lineRule="auto"/>
        <w:ind w:left="728" w:hanging="370"/>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64CD8EC3" w14:textId="77777777" w:rsidR="00E07FD1" w:rsidRPr="00E07FD1" w:rsidRDefault="00E07FD1" w:rsidP="00E07FD1">
      <w:pPr>
        <w:numPr>
          <w:ilvl w:val="0"/>
          <w:numId w:val="11"/>
        </w:numPr>
        <w:spacing w:after="33" w:line="255" w:lineRule="auto"/>
        <w:ind w:right="1"/>
        <w:contextualSpacing/>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GLJE activities are accounted for in accordance with:   </w:t>
      </w:r>
    </w:p>
    <w:p w14:paraId="3CEAAD66" w14:textId="77777777" w:rsidR="00E07FD1" w:rsidRPr="00E07FD1" w:rsidRDefault="00E07FD1" w:rsidP="004E1578">
      <w:pPr>
        <w:numPr>
          <w:ilvl w:val="1"/>
          <w:numId w:val="4"/>
        </w:numPr>
        <w:spacing w:after="102" w:line="255" w:lineRule="auto"/>
        <w:ind w:left="1440" w:right="1" w:hanging="360"/>
        <w:jc w:val="both"/>
        <w:rPr>
          <w:rFonts w:ascii="Calibri" w:eastAsia="Calibri" w:hAnsi="Calibri" w:cs="Calibri"/>
          <w:color w:val="000000"/>
          <w:kern w:val="0"/>
          <w:sz w:val="22"/>
          <w:szCs w:val="22"/>
          <w:lang w:val="en-GB"/>
          <w14:ligatures w14:val="none"/>
        </w:rPr>
      </w:pPr>
      <w:hyperlink r:id="rId8" w:history="1">
        <w:r w:rsidRPr="00E07FD1">
          <w:rPr>
            <w:rFonts w:ascii="Calibri" w:eastAsia="Calibri" w:hAnsi="Calibri" w:cs="Calibri"/>
            <w:b/>
            <w:bCs/>
            <w:color w:val="0563C1"/>
            <w:kern w:val="0"/>
            <w:sz w:val="22"/>
            <w:szCs w:val="22"/>
            <w:u w:val="single"/>
            <w:lang w:val="en-GB"/>
            <w14:ligatures w14:val="none"/>
          </w:rPr>
          <w:t>The Financial Rules &amp; Regulations</w:t>
        </w:r>
      </w:hyperlink>
      <w:r w:rsidRPr="00E07FD1">
        <w:rPr>
          <w:rFonts w:ascii="Calibri" w:eastAsia="Calibri" w:hAnsi="Calibri" w:cs="Calibri"/>
          <w:b/>
          <w:bCs/>
          <w:kern w:val="0"/>
          <w:sz w:val="22"/>
          <w:szCs w:val="22"/>
          <w:lang w:val="en-GB"/>
          <w14:ligatures w14:val="none"/>
        </w:rPr>
        <w:t>.</w:t>
      </w:r>
      <w:hyperlink r:id="rId9">
        <w:r w:rsidRPr="00E07FD1">
          <w:rPr>
            <w:rFonts w:ascii="Calibri" w:eastAsia="Calibri" w:hAnsi="Calibri" w:cs="Calibri"/>
            <w:b/>
            <w:bCs/>
            <w:color w:val="000000"/>
            <w:kern w:val="0"/>
            <w:sz w:val="22"/>
            <w:szCs w:val="22"/>
            <w:lang w:val="en-GB"/>
            <w14:ligatures w14:val="none"/>
          </w:rPr>
          <w:t xml:space="preserve"> </w:t>
        </w:r>
      </w:hyperlink>
      <w:hyperlink r:id="rId10">
        <w:r w:rsidRPr="00E07FD1">
          <w:rPr>
            <w:rFonts w:ascii="Calibri" w:eastAsia="Calibri" w:hAnsi="Calibri" w:cs="Calibri"/>
            <w:color w:val="000000"/>
            <w:kern w:val="0"/>
            <w:sz w:val="22"/>
            <w:szCs w:val="22"/>
            <w:lang w:val="en-GB"/>
            <w14:ligatures w14:val="none"/>
          </w:rPr>
          <w:t>Fi</w:t>
        </w:r>
      </w:hyperlink>
      <w:r w:rsidRPr="00E07FD1">
        <w:rPr>
          <w:rFonts w:ascii="Calibri" w:eastAsia="Calibri" w:hAnsi="Calibri" w:cs="Calibri"/>
          <w:color w:val="000000"/>
          <w:kern w:val="0"/>
          <w:sz w:val="22"/>
          <w:szCs w:val="22"/>
          <w:lang w:val="en-GB"/>
          <w14:ligatures w14:val="none"/>
        </w:rPr>
        <w:t xml:space="preserve">nancial Regulations are formulated by the Executive Board and the Rules are established by the Administrator to give effect to the Regulations.   </w:t>
      </w:r>
    </w:p>
    <w:p w14:paraId="120B04BD" w14:textId="77777777" w:rsidR="00E07FD1" w:rsidRPr="00E07FD1" w:rsidRDefault="00E07FD1" w:rsidP="004E1578">
      <w:pPr>
        <w:numPr>
          <w:ilvl w:val="1"/>
          <w:numId w:val="4"/>
        </w:numPr>
        <w:spacing w:after="79"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International Public Sector Accounting Standards (IPSAS)</w:t>
      </w:r>
      <w:r w:rsidRPr="00E07FD1">
        <w:rPr>
          <w:rFonts w:ascii="Calibri" w:eastAsia="Calibri" w:hAnsi="Calibri" w:cs="Calibri"/>
          <w:color w:val="000000"/>
          <w:kern w:val="0"/>
          <w:sz w:val="22"/>
          <w:szCs w:val="22"/>
          <w:lang w:val="en-GB"/>
          <w14:ligatures w14:val="none"/>
        </w:rPr>
        <w:t xml:space="preserve"> are a set of accounting standards issued by the IPSAS Board for use by public sector entities around the world in the preparation of financial statements. These standards are based on International Financial Reporting Standards (IFRS) issued by the International Accounting Standards Board (IASB).   </w:t>
      </w:r>
    </w:p>
    <w:p w14:paraId="4BC1829A" w14:textId="77777777" w:rsidR="00E07FD1" w:rsidRPr="00E07FD1" w:rsidRDefault="00E07FD1" w:rsidP="00E07FD1">
      <w:pPr>
        <w:spacing w:after="79" w:line="255" w:lineRule="auto"/>
        <w:ind w:left="1020"/>
        <w:jc w:val="both"/>
        <w:rPr>
          <w:rFonts w:ascii="Calibri" w:eastAsia="Calibri" w:hAnsi="Calibri" w:cs="Calibri"/>
          <w:color w:val="000000"/>
          <w:kern w:val="0"/>
          <w:sz w:val="22"/>
          <w:szCs w:val="22"/>
          <w:lang w:val="en-GB"/>
          <w14:ligatures w14:val="none"/>
        </w:rPr>
      </w:pPr>
    </w:p>
    <w:p w14:paraId="59BC33C6"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Expenditure in Budget Control, GL, and Projects</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241B0700" w14:textId="77777777" w:rsidR="00E07FD1" w:rsidRPr="00E07FD1" w:rsidRDefault="00E07FD1" w:rsidP="00E07FD1">
      <w:pPr>
        <w:spacing w:after="91"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3BE85D32" w14:textId="77777777" w:rsidR="00E07FD1" w:rsidRPr="00E07FD1" w:rsidRDefault="00E07FD1" w:rsidP="00E07FD1">
      <w:pPr>
        <w:numPr>
          <w:ilvl w:val="0"/>
          <w:numId w:val="9"/>
        </w:numPr>
        <w:spacing w:after="88"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Budget Control</w:t>
      </w:r>
      <w:r w:rsidRPr="00E07FD1">
        <w:rPr>
          <w:rFonts w:ascii="Calibri" w:eastAsia="Calibri" w:hAnsi="Calibri" w:cs="Calibri"/>
          <w:color w:val="000000"/>
          <w:kern w:val="0"/>
          <w:sz w:val="22"/>
          <w:szCs w:val="22"/>
          <w:lang w:val="en-GB"/>
          <w14:ligatures w14:val="none"/>
        </w:rPr>
        <w:t xml:space="preserve"> uses the terms “</w:t>
      </w:r>
      <w:r w:rsidRPr="00E07FD1">
        <w:rPr>
          <w:rFonts w:ascii="Calibri" w:eastAsia="Calibri" w:hAnsi="Calibri" w:cs="Calibri"/>
          <w:b/>
          <w:color w:val="000000"/>
          <w:kern w:val="0"/>
          <w:sz w:val="22"/>
          <w:szCs w:val="22"/>
          <w:lang w:val="en-GB"/>
          <w14:ligatures w14:val="none"/>
        </w:rPr>
        <w:t>obligation</w:t>
      </w:r>
      <w:r w:rsidRPr="00E07FD1">
        <w:rPr>
          <w:rFonts w:ascii="Calibri" w:eastAsia="Calibri" w:hAnsi="Calibri" w:cs="Calibri"/>
          <w:color w:val="000000"/>
          <w:kern w:val="0"/>
          <w:sz w:val="22"/>
          <w:szCs w:val="22"/>
          <w:lang w:val="en-GB"/>
          <w14:ligatures w14:val="none"/>
        </w:rPr>
        <w:t>” and “</w:t>
      </w:r>
      <w:r w:rsidRPr="00E07FD1">
        <w:rPr>
          <w:rFonts w:ascii="Calibri" w:eastAsia="Calibri" w:hAnsi="Calibri" w:cs="Calibri"/>
          <w:b/>
          <w:color w:val="000000"/>
          <w:kern w:val="0"/>
          <w:sz w:val="22"/>
          <w:szCs w:val="22"/>
          <w:lang w:val="en-GB"/>
          <w14:ligatures w14:val="none"/>
        </w:rPr>
        <w:t>expenditure</w:t>
      </w:r>
      <w:r w:rsidRPr="00E07FD1">
        <w:rPr>
          <w:rFonts w:ascii="Calibri" w:eastAsia="Calibri" w:hAnsi="Calibri" w:cs="Calibri"/>
          <w:color w:val="000000"/>
          <w:kern w:val="0"/>
          <w:sz w:val="22"/>
          <w:szCs w:val="22"/>
          <w:lang w:val="en-GB"/>
          <w14:ligatures w14:val="none"/>
        </w:rPr>
        <w:t xml:space="preserve">”.    </w:t>
      </w:r>
    </w:p>
    <w:p w14:paraId="5C4C2AF8" w14:textId="77777777" w:rsidR="00E07FD1" w:rsidRPr="00E07FD1" w:rsidRDefault="00E07FD1" w:rsidP="004E1578">
      <w:pPr>
        <w:numPr>
          <w:ilvl w:val="1"/>
          <w:numId w:val="5"/>
        </w:numPr>
        <w:spacing w:after="94"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Closing year obligation include the unliquidated balance of all purchase orders with a budget date of closing year that have been approved and validated.   </w:t>
      </w:r>
    </w:p>
    <w:p w14:paraId="711943D5" w14:textId="77777777" w:rsidR="00E07FD1" w:rsidRPr="00E07FD1" w:rsidRDefault="00E07FD1" w:rsidP="004E1578">
      <w:pPr>
        <w:numPr>
          <w:ilvl w:val="1"/>
          <w:numId w:val="5"/>
        </w:numPr>
        <w:spacing w:after="3"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Closing year expenditures include all AP invoices (PO and non-PO) with a budget date of closing year that have been approved and validated.    </w:t>
      </w:r>
    </w:p>
    <w:p w14:paraId="714C371D" w14:textId="77777777" w:rsidR="00E07FD1" w:rsidRPr="00E07FD1" w:rsidRDefault="00E07FD1" w:rsidP="00E07FD1">
      <w:pPr>
        <w:spacing w:after="67" w:line="259" w:lineRule="auto"/>
        <w:ind w:left="746"/>
        <w:rPr>
          <w:rFonts w:ascii="Calibri" w:eastAsia="Calibri" w:hAnsi="Calibri" w:cs="Calibri"/>
          <w:color w:val="000000"/>
          <w:kern w:val="0"/>
          <w:sz w:val="22"/>
          <w:szCs w:val="22"/>
          <w:lang w:val="en-GB"/>
          <w14:ligatures w14:val="none"/>
        </w:rPr>
      </w:pPr>
      <w:r w:rsidRPr="00E07FD1">
        <w:rPr>
          <w:rFonts w:ascii="Calibri" w:eastAsia="Calibri" w:hAnsi="Calibri" w:cs="Calibri"/>
          <w:color w:val="333333"/>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  </w:t>
      </w:r>
    </w:p>
    <w:p w14:paraId="13EB53BE" w14:textId="77777777" w:rsidR="00E07FD1" w:rsidRPr="00E07FD1" w:rsidRDefault="00E07FD1" w:rsidP="00E07FD1">
      <w:pPr>
        <w:numPr>
          <w:ilvl w:val="0"/>
          <w:numId w:val="9"/>
        </w:numPr>
        <w:spacing w:after="94"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GL</w:t>
      </w:r>
      <w:r w:rsidRPr="00E07FD1">
        <w:rPr>
          <w:rFonts w:ascii="Calibri" w:eastAsia="Calibri" w:hAnsi="Calibri" w:cs="Calibri"/>
          <w:color w:val="000000"/>
          <w:kern w:val="0"/>
          <w:sz w:val="22"/>
          <w:szCs w:val="22"/>
          <w:lang w:val="en-GB"/>
          <w14:ligatures w14:val="none"/>
        </w:rPr>
        <w:t xml:space="preserve"> uses only the term “</w:t>
      </w:r>
      <w:r w:rsidRPr="00E07FD1">
        <w:rPr>
          <w:rFonts w:ascii="Calibri" w:eastAsia="Calibri" w:hAnsi="Calibri" w:cs="Calibri"/>
          <w:b/>
          <w:color w:val="000000"/>
          <w:kern w:val="0"/>
          <w:sz w:val="22"/>
          <w:szCs w:val="22"/>
          <w:lang w:val="en-GB"/>
          <w14:ligatures w14:val="none"/>
        </w:rPr>
        <w:t>expense</w:t>
      </w:r>
      <w:r w:rsidRPr="00E07FD1">
        <w:rPr>
          <w:rFonts w:ascii="Calibri" w:eastAsia="Calibri" w:hAnsi="Calibri" w:cs="Calibri"/>
          <w:color w:val="000000"/>
          <w:kern w:val="0"/>
          <w:sz w:val="22"/>
          <w:szCs w:val="22"/>
          <w:lang w:val="en-GB"/>
          <w14:ligatures w14:val="none"/>
        </w:rPr>
        <w:t xml:space="preserve">”. GL expense, for the period 1 January to 31 December generally includes the following:   </w:t>
      </w:r>
    </w:p>
    <w:p w14:paraId="45F84B68" w14:textId="77777777" w:rsidR="00E07FD1" w:rsidRPr="00E07FD1" w:rsidRDefault="00E07FD1" w:rsidP="004E1578">
      <w:pPr>
        <w:numPr>
          <w:ilvl w:val="1"/>
          <w:numId w:val="6"/>
        </w:numPr>
        <w:spacing w:after="91"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All non-PO invoices with an accounting date between 1 January and 31 December that have been approved and validated, posted (via invoice post), and journal generated to the GL.    </w:t>
      </w:r>
    </w:p>
    <w:p w14:paraId="6171B523" w14:textId="77777777" w:rsidR="00E07FD1" w:rsidRPr="00E07FD1" w:rsidRDefault="00E07FD1" w:rsidP="004E1578">
      <w:pPr>
        <w:numPr>
          <w:ilvl w:val="1"/>
          <w:numId w:val="6"/>
        </w:numPr>
        <w:spacing w:after="89"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All PO invoices with an accounting date of between 1 January and 31 December that have validated, posted (via invoice post), and journal generated to the GL.   </w:t>
      </w:r>
    </w:p>
    <w:p w14:paraId="623EF02E" w14:textId="77777777" w:rsidR="00E07FD1" w:rsidRPr="00E07FD1" w:rsidRDefault="00E07FD1" w:rsidP="004E1578">
      <w:pPr>
        <w:numPr>
          <w:ilvl w:val="1"/>
          <w:numId w:val="6"/>
        </w:numPr>
        <w:spacing w:after="3"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Accrual for receipted goods and services (Receipt Accrual), with an accounting date between 1 January and 31 December</w:t>
      </w:r>
      <w:r w:rsidRPr="00E07FD1">
        <w:rPr>
          <w:rFonts w:ascii="Calibri" w:eastAsia="Calibri" w:hAnsi="Calibri" w:cs="Calibri"/>
          <w:color w:val="000000"/>
          <w:kern w:val="0"/>
          <w:sz w:val="22"/>
          <w:szCs w:val="22"/>
          <w:u w:val="single" w:color="000000"/>
          <w:lang w:val="en-GB"/>
          <w14:ligatures w14:val="none"/>
        </w:rPr>
        <w:t>.</w:t>
      </w:r>
      <w:r w:rsidRPr="00E07FD1">
        <w:rPr>
          <w:rFonts w:ascii="Calibri" w:eastAsia="Calibri" w:hAnsi="Calibri" w:cs="Calibri"/>
          <w:color w:val="000000"/>
          <w:kern w:val="0"/>
          <w:sz w:val="22"/>
          <w:szCs w:val="22"/>
          <w:lang w:val="en-GB"/>
          <w14:ligatures w14:val="none"/>
        </w:rPr>
        <w:t xml:space="preserve">   </w:t>
      </w:r>
    </w:p>
    <w:p w14:paraId="23910734" w14:textId="77777777" w:rsidR="00E07FD1" w:rsidRPr="00E07FD1" w:rsidRDefault="00E07FD1" w:rsidP="004E1578">
      <w:pPr>
        <w:numPr>
          <w:ilvl w:val="1"/>
          <w:numId w:val="6"/>
        </w:numPr>
        <w:spacing w:after="3"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Depreciation and amortization expenses from capitalized tangible and intangible assets. </w:t>
      </w:r>
    </w:p>
    <w:p w14:paraId="0DCE1E5A" w14:textId="77777777" w:rsidR="00E07FD1" w:rsidRPr="00E07FD1" w:rsidRDefault="00E07FD1" w:rsidP="00E07FD1">
      <w:pPr>
        <w:spacing w:after="86"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333333"/>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  </w:t>
      </w:r>
    </w:p>
    <w:p w14:paraId="376F089C" w14:textId="77777777" w:rsidR="00E07FD1" w:rsidRPr="00E07FD1" w:rsidRDefault="00E07FD1" w:rsidP="00E07FD1">
      <w:pPr>
        <w:numPr>
          <w:ilvl w:val="0"/>
          <w:numId w:val="9"/>
        </w:numPr>
        <w:spacing w:after="3" w:line="255" w:lineRule="auto"/>
        <w:ind w:right="1"/>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The Receipt Accrual process is managed corporately at headquarters and will pick up PO receipts not yet invoiced as of a given deadline and posting expense to the GL.    </w:t>
      </w:r>
    </w:p>
    <w:p w14:paraId="39AA1F11" w14:textId="77777777" w:rsidR="00E07FD1" w:rsidRPr="00E07FD1" w:rsidRDefault="00E07FD1" w:rsidP="00E07FD1">
      <w:pPr>
        <w:spacing w:after="88"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4E769336" w14:textId="77777777" w:rsidR="00E07FD1" w:rsidRPr="00E07FD1" w:rsidRDefault="00E07FD1" w:rsidP="004E1578">
      <w:pPr>
        <w:numPr>
          <w:ilvl w:val="0"/>
          <w:numId w:val="9"/>
        </w:numPr>
        <w:spacing w:after="99" w:line="255" w:lineRule="auto"/>
        <w:ind w:left="72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t>Projects</w:t>
      </w:r>
      <w:r w:rsidRPr="00E07FD1">
        <w:rPr>
          <w:rFonts w:ascii="Calibri" w:eastAsia="Calibri" w:hAnsi="Calibri" w:cs="Calibri"/>
          <w:color w:val="000000"/>
          <w:kern w:val="0"/>
          <w:sz w:val="22"/>
          <w:szCs w:val="22"/>
          <w:lang w:val="en-GB"/>
          <w14:ligatures w14:val="none"/>
        </w:rPr>
        <w:t xml:space="preserve"> use the terms “</w:t>
      </w:r>
      <w:r w:rsidRPr="00E07FD1">
        <w:rPr>
          <w:rFonts w:ascii="Calibri" w:eastAsia="Calibri" w:hAnsi="Calibri" w:cs="Calibri"/>
          <w:b/>
          <w:color w:val="000000"/>
          <w:kern w:val="0"/>
          <w:sz w:val="22"/>
          <w:szCs w:val="22"/>
          <w:lang w:val="en-GB"/>
          <w14:ligatures w14:val="none"/>
        </w:rPr>
        <w:t>obligation</w:t>
      </w:r>
      <w:r w:rsidRPr="00E07FD1">
        <w:rPr>
          <w:rFonts w:ascii="Calibri" w:eastAsia="Calibri" w:hAnsi="Calibri" w:cs="Calibri"/>
          <w:color w:val="000000"/>
          <w:kern w:val="0"/>
          <w:sz w:val="22"/>
          <w:szCs w:val="22"/>
          <w:lang w:val="en-GB"/>
          <w14:ligatures w14:val="none"/>
        </w:rPr>
        <w:t>”, “</w:t>
      </w:r>
      <w:r w:rsidRPr="00E07FD1">
        <w:rPr>
          <w:rFonts w:ascii="Calibri" w:eastAsia="Calibri" w:hAnsi="Calibri" w:cs="Calibri"/>
          <w:b/>
          <w:bCs/>
          <w:color w:val="000000"/>
          <w:kern w:val="0"/>
          <w:sz w:val="22"/>
          <w:szCs w:val="22"/>
          <w:lang w:val="en-GB"/>
          <w14:ligatures w14:val="none"/>
        </w:rPr>
        <w:t>prepayment</w:t>
      </w:r>
      <w:r w:rsidRPr="00E07FD1">
        <w:rPr>
          <w:rFonts w:ascii="Calibri" w:eastAsia="Calibri" w:hAnsi="Calibri" w:cs="Calibri"/>
          <w:color w:val="000000"/>
          <w:kern w:val="0"/>
          <w:sz w:val="22"/>
          <w:szCs w:val="22"/>
          <w:lang w:val="en-GB"/>
          <w14:ligatures w14:val="none"/>
        </w:rPr>
        <w:t>” and “</w:t>
      </w:r>
      <w:r w:rsidRPr="00E07FD1">
        <w:rPr>
          <w:rFonts w:ascii="Calibri" w:eastAsia="Calibri" w:hAnsi="Calibri" w:cs="Calibri"/>
          <w:b/>
          <w:color w:val="000000"/>
          <w:kern w:val="0"/>
          <w:sz w:val="22"/>
          <w:szCs w:val="22"/>
          <w:lang w:val="en-GB"/>
          <w14:ligatures w14:val="none"/>
        </w:rPr>
        <w:t>expenditures</w:t>
      </w:r>
      <w:r w:rsidRPr="00E07FD1">
        <w:rPr>
          <w:rFonts w:ascii="Calibri" w:eastAsia="Calibri" w:hAnsi="Calibri" w:cs="Calibri"/>
          <w:color w:val="000000"/>
          <w:kern w:val="0"/>
          <w:sz w:val="22"/>
          <w:szCs w:val="22"/>
          <w:lang w:val="en-GB"/>
          <w14:ligatures w14:val="none"/>
        </w:rPr>
        <w:t xml:space="preserve">”. On the Project Budget Balance report obligation plus prepayment plus expenditures equals total consumption.   </w:t>
      </w:r>
    </w:p>
    <w:p w14:paraId="35FA55C2" w14:textId="77777777" w:rsidR="00E07FD1" w:rsidRPr="00E07FD1" w:rsidRDefault="00E07FD1" w:rsidP="004E1578">
      <w:pPr>
        <w:numPr>
          <w:ilvl w:val="1"/>
          <w:numId w:val="7"/>
        </w:numPr>
        <w:spacing w:after="89"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Closing year obligations includes the unliquidated balance of all purchase orders with budget date of closing year. </w:t>
      </w:r>
    </w:p>
    <w:p w14:paraId="5FB8D6D4" w14:textId="77777777" w:rsidR="00E07FD1" w:rsidRPr="00E07FD1" w:rsidRDefault="00E07FD1" w:rsidP="004E1578">
      <w:pPr>
        <w:numPr>
          <w:ilvl w:val="1"/>
          <w:numId w:val="7"/>
        </w:numPr>
        <w:spacing w:after="89"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Closing year prepayments includes all advances with an accounting date that have been approved and validated.</w:t>
      </w:r>
    </w:p>
    <w:p w14:paraId="51167DAC" w14:textId="77777777" w:rsidR="00E07FD1" w:rsidRPr="00E07FD1" w:rsidRDefault="00E07FD1" w:rsidP="004E1578">
      <w:pPr>
        <w:numPr>
          <w:ilvl w:val="1"/>
          <w:numId w:val="7"/>
        </w:numPr>
        <w:spacing w:after="3" w:line="255" w:lineRule="auto"/>
        <w:ind w:left="1440" w:right="1" w:hanging="36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Closing year expenditures includes all AP invoices (PO and non-PO) with an accounting date that have been approved and validated.    </w:t>
      </w:r>
    </w:p>
    <w:p w14:paraId="66E01695" w14:textId="77777777" w:rsidR="00E07FD1" w:rsidRPr="00E07FD1" w:rsidRDefault="00E07FD1" w:rsidP="00E07FD1">
      <w:pPr>
        <w:spacing w:after="0" w:line="259" w:lineRule="auto"/>
        <w:ind w:left="374"/>
        <w:rPr>
          <w:rFonts w:ascii="Calibri" w:eastAsia="Calibri" w:hAnsi="Calibri" w:cs="Calibri"/>
          <w:color w:val="000000"/>
          <w:kern w:val="0"/>
          <w:sz w:val="22"/>
          <w:szCs w:val="22"/>
          <w:lang w:val="en-GB"/>
          <w14:ligatures w14:val="none"/>
        </w:rPr>
      </w:pPr>
      <w:r w:rsidRPr="00E07FD1">
        <w:rPr>
          <w:rFonts w:ascii="Calibri" w:eastAsia="Calibri" w:hAnsi="Calibri" w:cs="Calibri"/>
          <w:color w:val="333333"/>
          <w:kern w:val="0"/>
          <w:sz w:val="22"/>
          <w:szCs w:val="22"/>
          <w:lang w:val="en-GB"/>
          <w14:ligatures w14:val="none"/>
        </w:rPr>
        <w:t xml:space="preserve">  </w:t>
      </w:r>
      <w:r w:rsidRPr="00E07FD1">
        <w:rPr>
          <w:rFonts w:ascii="Calibri" w:eastAsia="Calibri" w:hAnsi="Calibri" w:cs="Calibri"/>
          <w:color w:val="000000"/>
          <w:kern w:val="0"/>
          <w:sz w:val="22"/>
          <w:szCs w:val="22"/>
          <w:lang w:val="en-GB"/>
          <w14:ligatures w14:val="none"/>
        </w:rPr>
        <w:t xml:space="preserve">  </w:t>
      </w:r>
    </w:p>
    <w:p w14:paraId="3DCF4FEF" w14:textId="77777777" w:rsidR="00E07FD1" w:rsidRPr="00E07FD1" w:rsidRDefault="00E07FD1" w:rsidP="00E07FD1">
      <w:pPr>
        <w:spacing w:after="0" w:line="259" w:lineRule="auto"/>
        <w:ind w:left="374"/>
        <w:rPr>
          <w:rFonts w:ascii="Calibri" w:eastAsia="Calibri" w:hAnsi="Calibri" w:cs="Calibri"/>
          <w:color w:val="000000"/>
          <w:kern w:val="0"/>
          <w:sz w:val="22"/>
          <w:szCs w:val="22"/>
          <w:lang w:val="en-GB"/>
          <w14:ligatures w14:val="none"/>
        </w:rPr>
      </w:pPr>
    </w:p>
    <w:p w14:paraId="553A5CB0" w14:textId="77777777" w:rsidR="00E07FD1" w:rsidRPr="00E07FD1" w:rsidRDefault="00E07FD1" w:rsidP="00E07FD1">
      <w:pPr>
        <w:spacing w:after="2" w:line="259" w:lineRule="auto"/>
        <w:ind w:left="26"/>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3B02B61D" w14:textId="77777777" w:rsidR="00E07FD1" w:rsidRPr="00E07FD1" w:rsidRDefault="00E07FD1" w:rsidP="00E07FD1">
      <w:pPr>
        <w:keepNext/>
        <w:keepLines/>
        <w:spacing w:after="0" w:line="259" w:lineRule="auto"/>
        <w:ind w:left="-5" w:hanging="10"/>
        <w:outlineLvl w:val="0"/>
        <w:rPr>
          <w:rFonts w:ascii="Calibri" w:eastAsia="Calibri" w:hAnsi="Calibri" w:cs="Calibri"/>
          <w:b/>
          <w:color w:val="000000"/>
          <w:kern w:val="0"/>
          <w:sz w:val="22"/>
          <w:szCs w:val="22"/>
          <w:lang w:val="en-GB"/>
          <w14:ligatures w14:val="none"/>
        </w:rPr>
      </w:pPr>
      <w:r w:rsidRPr="00E07FD1">
        <w:rPr>
          <w:rFonts w:ascii="Calibri" w:eastAsia="Calibri" w:hAnsi="Calibri" w:cs="Calibri"/>
          <w:b/>
          <w:color w:val="000000"/>
          <w:kern w:val="0"/>
          <w:sz w:val="22"/>
          <w:szCs w:val="22"/>
          <w:lang w:val="en-GB"/>
          <w14:ligatures w14:val="none"/>
        </w:rPr>
        <w:lastRenderedPageBreak/>
        <w:t>Accounting date of the purchase order</w:t>
      </w:r>
      <w:r w:rsidRPr="00E07FD1">
        <w:rPr>
          <w:rFonts w:ascii="Calibri" w:eastAsia="Calibri" w:hAnsi="Calibri" w:cs="Calibri"/>
          <w:color w:val="000000"/>
          <w:kern w:val="0"/>
          <w:sz w:val="22"/>
          <w:szCs w:val="22"/>
          <w:lang w:val="en-GB"/>
          <w14:ligatures w14:val="none"/>
        </w:rPr>
        <w:t xml:space="preserve"> </w:t>
      </w:r>
      <w:r w:rsidRPr="00E07FD1">
        <w:rPr>
          <w:rFonts w:ascii="Calibri" w:eastAsia="Calibri" w:hAnsi="Calibri" w:cs="Calibri"/>
          <w:b/>
          <w:color w:val="000000"/>
          <w:kern w:val="0"/>
          <w:sz w:val="22"/>
          <w:szCs w:val="22"/>
          <w:lang w:val="en-GB"/>
          <w14:ligatures w14:val="none"/>
        </w:rPr>
        <w:t xml:space="preserve">  </w:t>
      </w:r>
    </w:p>
    <w:p w14:paraId="721138C5" w14:textId="77777777" w:rsidR="00E07FD1" w:rsidRPr="00E07FD1" w:rsidRDefault="00E07FD1" w:rsidP="00E07FD1">
      <w:pPr>
        <w:spacing w:after="89" w:line="254" w:lineRule="auto"/>
        <w:ind w:left="720" w:hanging="374"/>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19BBCD4A" w14:textId="77777777" w:rsidR="00E07FD1" w:rsidRPr="00E07FD1" w:rsidRDefault="00E07FD1" w:rsidP="00E07FD1">
      <w:pPr>
        <w:numPr>
          <w:ilvl w:val="0"/>
          <w:numId w:val="9"/>
        </w:numPr>
        <w:spacing w:after="89" w:line="254" w:lineRule="auto"/>
        <w:ind w:left="720" w:right="1" w:hanging="374"/>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A purchase order is a legally binding obligation between UNDP and a supplier for the purchase of goods or services. The date of the legal obligation is the date the purchase order was delivered to the supplier. In Quantum the dispatch date of the purchase order is intended to represent the date the purchase order was delivered to the supplier. </w:t>
      </w:r>
    </w:p>
    <w:p w14:paraId="54BF3CC4" w14:textId="77777777" w:rsidR="00E07FD1" w:rsidRPr="00E07FD1" w:rsidRDefault="00E07FD1" w:rsidP="00E07FD1">
      <w:pPr>
        <w:spacing w:after="89" w:line="254" w:lineRule="auto"/>
        <w:ind w:left="720"/>
        <w:jc w:val="both"/>
        <w:rPr>
          <w:rFonts w:ascii="Calibri" w:eastAsia="Calibri" w:hAnsi="Calibri" w:cs="Calibri"/>
          <w:color w:val="000000"/>
          <w:kern w:val="0"/>
          <w:sz w:val="22"/>
          <w:szCs w:val="22"/>
          <w:lang w:val="en-GB"/>
          <w14:ligatures w14:val="none"/>
        </w:rPr>
      </w:pPr>
      <w:r w:rsidRPr="00E07FD1">
        <w:rPr>
          <w:rFonts w:ascii="Calibri" w:eastAsia="Calibri" w:hAnsi="Calibri" w:cs="Calibri"/>
          <w:color w:val="000000"/>
          <w:kern w:val="0"/>
          <w:sz w:val="22"/>
          <w:szCs w:val="22"/>
          <w:lang w:val="en-GB"/>
          <w14:ligatures w14:val="none"/>
        </w:rPr>
        <w:t xml:space="preserve">  </w:t>
      </w:r>
    </w:p>
    <w:p w14:paraId="2B6500B9" w14:textId="1EF0E99F" w:rsidR="00DA504D" w:rsidRDefault="00E07FD1" w:rsidP="004E1578">
      <w:pPr>
        <w:numPr>
          <w:ilvl w:val="0"/>
          <w:numId w:val="9"/>
        </w:numPr>
        <w:spacing w:after="89" w:line="254" w:lineRule="auto"/>
        <w:ind w:left="720" w:right="1" w:hanging="374"/>
        <w:jc w:val="both"/>
      </w:pPr>
      <w:r w:rsidRPr="00E07FD1">
        <w:rPr>
          <w:rFonts w:ascii="Calibri" w:eastAsia="Calibri" w:hAnsi="Calibri" w:cs="Calibri"/>
          <w:color w:val="000000"/>
          <w:kern w:val="0"/>
          <w:sz w:val="22"/>
          <w:szCs w:val="22"/>
          <w:lang w:val="en-GB"/>
          <w14:ligatures w14:val="none"/>
        </w:rPr>
        <w:t>Keep in mind that internal and external audit routinely request offices to provide evidence that the budget date on the PO matches the actual date that the PO was placed with the supplier. The auditors also review the date the goods were delivered to make sure the time between placing the order and the receipt of goods is reasonable.</w:t>
      </w:r>
    </w:p>
    <w:sectPr w:rsidR="00DA504D" w:rsidSect="00E07FD1">
      <w:headerReference w:type="default" r:id="rId11"/>
      <w:footerReference w:type="even" r:id="rId12"/>
      <w:footerReference w:type="default" r:id="rId13"/>
      <w:footerReference w:type="first" r:id="rId14"/>
      <w:pgSz w:w="11906" w:h="16838"/>
      <w:pgMar w:top="1260" w:right="838" w:bottom="1496" w:left="1676" w:header="72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7E84" w14:textId="77777777" w:rsidR="00B43670" w:rsidRDefault="00B43670" w:rsidP="00E07FD1">
      <w:pPr>
        <w:spacing w:after="0" w:line="240" w:lineRule="auto"/>
      </w:pPr>
      <w:r>
        <w:separator/>
      </w:r>
    </w:p>
  </w:endnote>
  <w:endnote w:type="continuationSeparator" w:id="0">
    <w:p w14:paraId="43FA5157" w14:textId="77777777" w:rsidR="00B43670" w:rsidRDefault="00B43670" w:rsidP="00E0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199D" w14:textId="77777777" w:rsidR="00E07FD1" w:rsidRDefault="00E07FD1">
    <w:pPr>
      <w:spacing w:after="0" w:line="259" w:lineRule="auto"/>
      <w:ind w:left="18"/>
      <w:jc w:val="center"/>
    </w:pPr>
    <w:r>
      <w:fldChar w:fldCharType="begin"/>
    </w:r>
    <w:r>
      <w:instrText xml:space="preserve"> PAGE   \* MERGEFORMAT </w:instrText>
    </w:r>
    <w:r>
      <w:fldChar w:fldCharType="separate"/>
    </w:r>
    <w:r>
      <w:t>1</w:t>
    </w:r>
    <w:r>
      <w:fldChar w:fldCharType="end"/>
    </w:r>
    <w:r>
      <w:t xml:space="preserve">   </w:t>
    </w:r>
  </w:p>
  <w:p w14:paraId="3B29AA2D" w14:textId="77777777" w:rsidR="00E07FD1" w:rsidRDefault="00E07FD1">
    <w:pPr>
      <w:spacing w:after="0" w:line="259" w:lineRule="auto"/>
      <w:ind w:left="26"/>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114D" w14:textId="77777777" w:rsidR="00E07FD1" w:rsidRPr="004E1578" w:rsidRDefault="00E07FD1">
    <w:pPr>
      <w:spacing w:after="0" w:line="259" w:lineRule="auto"/>
      <w:ind w:left="26"/>
      <w:rPr>
        <w:rFonts w:ascii="Calibri" w:hAnsi="Calibri" w:cs="Calibri"/>
        <w:sz w:val="22"/>
        <w:szCs w:val="22"/>
      </w:rPr>
    </w:pPr>
    <w:r w:rsidRPr="004E1578">
      <w:rPr>
        <w:rFonts w:ascii="Calibri" w:hAnsi="Calibri" w:cs="Calibri"/>
        <w:sz w:val="22"/>
        <w:szCs w:val="22"/>
      </w:rPr>
      <w:t xml:space="preserve">Page </w:t>
    </w:r>
    <w:r w:rsidRPr="004E1578">
      <w:rPr>
        <w:rFonts w:ascii="Calibri" w:hAnsi="Calibri" w:cs="Calibri"/>
        <w:b/>
        <w:sz w:val="22"/>
        <w:szCs w:val="22"/>
      </w:rPr>
      <w:fldChar w:fldCharType="begin"/>
    </w:r>
    <w:r w:rsidRPr="004E1578">
      <w:rPr>
        <w:rFonts w:ascii="Calibri" w:hAnsi="Calibri" w:cs="Calibri"/>
        <w:b/>
        <w:sz w:val="22"/>
        <w:szCs w:val="22"/>
      </w:rPr>
      <w:instrText xml:space="preserve"> PAGE  \* Arabic  \* MERGEFORMAT </w:instrText>
    </w:r>
    <w:r w:rsidRPr="004E1578">
      <w:rPr>
        <w:rFonts w:ascii="Calibri" w:hAnsi="Calibri" w:cs="Calibri"/>
        <w:b/>
        <w:sz w:val="22"/>
        <w:szCs w:val="22"/>
      </w:rPr>
      <w:fldChar w:fldCharType="separate"/>
    </w:r>
    <w:r w:rsidRPr="004E1578">
      <w:rPr>
        <w:rFonts w:ascii="Calibri" w:hAnsi="Calibri" w:cs="Calibri"/>
        <w:b/>
        <w:noProof/>
        <w:sz w:val="22"/>
        <w:szCs w:val="22"/>
      </w:rPr>
      <w:t>6</w:t>
    </w:r>
    <w:r w:rsidRPr="004E1578">
      <w:rPr>
        <w:rFonts w:ascii="Calibri" w:hAnsi="Calibri" w:cs="Calibri"/>
        <w:b/>
        <w:sz w:val="22"/>
        <w:szCs w:val="22"/>
      </w:rPr>
      <w:fldChar w:fldCharType="end"/>
    </w:r>
    <w:r w:rsidRPr="004E1578">
      <w:rPr>
        <w:rFonts w:ascii="Calibri" w:hAnsi="Calibri" w:cs="Calibri"/>
        <w:sz w:val="22"/>
        <w:szCs w:val="22"/>
      </w:rPr>
      <w:t xml:space="preserve"> of </w:t>
    </w:r>
    <w:r w:rsidRPr="004E1578">
      <w:rPr>
        <w:rFonts w:ascii="Calibri" w:hAnsi="Calibri" w:cs="Calibri"/>
        <w:b/>
        <w:sz w:val="22"/>
        <w:szCs w:val="22"/>
      </w:rPr>
      <w:fldChar w:fldCharType="begin"/>
    </w:r>
    <w:r w:rsidRPr="004E1578">
      <w:rPr>
        <w:rFonts w:ascii="Calibri" w:hAnsi="Calibri" w:cs="Calibri"/>
        <w:b/>
        <w:sz w:val="22"/>
        <w:szCs w:val="22"/>
      </w:rPr>
      <w:instrText xml:space="preserve"> NUMPAGES  \* Arabic  \* MERGEFORMAT </w:instrText>
    </w:r>
    <w:r w:rsidRPr="004E1578">
      <w:rPr>
        <w:rFonts w:ascii="Calibri" w:hAnsi="Calibri" w:cs="Calibri"/>
        <w:b/>
        <w:sz w:val="22"/>
        <w:szCs w:val="22"/>
      </w:rPr>
      <w:fldChar w:fldCharType="separate"/>
    </w:r>
    <w:r w:rsidRPr="004E1578">
      <w:rPr>
        <w:rFonts w:ascii="Calibri" w:hAnsi="Calibri" w:cs="Calibri"/>
        <w:b/>
        <w:noProof/>
        <w:sz w:val="22"/>
        <w:szCs w:val="22"/>
      </w:rPr>
      <w:t>6</w:t>
    </w:r>
    <w:r w:rsidRPr="004E1578">
      <w:rPr>
        <w:rFonts w:ascii="Calibri" w:hAnsi="Calibri" w:cs="Calibri"/>
        <w:b/>
        <w:sz w:val="22"/>
        <w:szCs w:val="22"/>
      </w:rPr>
      <w:fldChar w:fldCharType="end"/>
    </w:r>
    <w:r w:rsidRPr="004E1578">
      <w:rPr>
        <w:rFonts w:ascii="Calibri" w:hAnsi="Calibri" w:cs="Calibri"/>
        <w:sz w:val="22"/>
        <w:szCs w:val="22"/>
      </w:rPr>
      <w:ptab w:relativeTo="margin" w:alignment="center" w:leader="none"/>
    </w:r>
    <w:r w:rsidRPr="004E1578">
      <w:rPr>
        <w:rFonts w:ascii="Calibri" w:hAnsi="Calibri" w:cs="Calibri"/>
        <w:sz w:val="22"/>
        <w:szCs w:val="22"/>
      </w:rPr>
      <w:t xml:space="preserve">Effective Date: 29/11/2016 </w:t>
    </w:r>
    <w:r w:rsidRPr="004E1578">
      <w:rPr>
        <w:rFonts w:ascii="Calibri" w:hAnsi="Calibri" w:cs="Calibri"/>
        <w:sz w:val="22"/>
        <w:szCs w:val="22"/>
      </w:rPr>
      <w:ptab w:relativeTo="margin" w:alignment="right" w:leader="none"/>
    </w:r>
    <w:r w:rsidRPr="004E1578">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5922349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4289C8-28D4-489B-B47E-C5AF16C5B27A}"/>
        <w:text/>
      </w:sdtPr>
      <w:sdtContent>
        <w:r w:rsidRPr="004E1578">
          <w:rPr>
            <w:rFonts w:ascii="Calibri" w:hAnsi="Calibri" w:cs="Calibr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7994" w14:textId="77777777" w:rsidR="00E07FD1" w:rsidRDefault="00E07FD1">
    <w:pPr>
      <w:spacing w:after="0" w:line="259" w:lineRule="auto"/>
      <w:ind w:left="18"/>
      <w:jc w:val="center"/>
    </w:pPr>
    <w:r>
      <w:fldChar w:fldCharType="begin"/>
    </w:r>
    <w:r>
      <w:instrText xml:space="preserve"> PAGE   \* MERGEFORMAT </w:instrText>
    </w:r>
    <w:r>
      <w:fldChar w:fldCharType="separate"/>
    </w:r>
    <w:r>
      <w:t>1</w:t>
    </w:r>
    <w:r>
      <w:fldChar w:fldCharType="end"/>
    </w:r>
    <w:r>
      <w:t xml:space="preserve">   </w:t>
    </w:r>
  </w:p>
  <w:p w14:paraId="5016090B" w14:textId="77777777" w:rsidR="00E07FD1" w:rsidRDefault="00E07FD1">
    <w:pPr>
      <w:spacing w:after="0" w:line="259" w:lineRule="auto"/>
      <w:ind w:left="26"/>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0866" w14:textId="77777777" w:rsidR="00B43670" w:rsidRDefault="00B43670" w:rsidP="00E07FD1">
      <w:pPr>
        <w:spacing w:after="0" w:line="240" w:lineRule="auto"/>
      </w:pPr>
      <w:r>
        <w:separator/>
      </w:r>
    </w:p>
  </w:footnote>
  <w:footnote w:type="continuationSeparator" w:id="0">
    <w:p w14:paraId="514DEC3C" w14:textId="77777777" w:rsidR="00B43670" w:rsidRDefault="00B43670" w:rsidP="00E07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4EA3" w14:textId="77777777" w:rsidR="00E07FD1" w:rsidRDefault="00E07FD1" w:rsidP="00E83F8E">
    <w:pPr>
      <w:pStyle w:val="Header"/>
      <w:jc w:val="right"/>
    </w:pPr>
    <w:r>
      <w:rPr>
        <w:noProof/>
      </w:rPr>
      <w:drawing>
        <wp:inline distT="0" distB="0" distL="0" distR="0" wp14:anchorId="31E68ED6" wp14:editId="750286E6">
          <wp:extent cx="312023" cy="58937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389" b="16155"/>
                  <a:stretch/>
                </pic:blipFill>
                <pic:spPr bwMode="auto">
                  <a:xfrm>
                    <a:off x="0" y="0"/>
                    <a:ext cx="316704" cy="598218"/>
                  </a:xfrm>
                  <a:prstGeom prst="rect">
                    <a:avLst/>
                  </a:prstGeom>
                  <a:ln>
                    <a:noFill/>
                  </a:ln>
                  <a:extLst>
                    <a:ext uri="{53640926-AAD7-44D8-BBD7-CCE9431645EC}">
                      <a14:shadowObscured xmlns:a14="http://schemas.microsoft.com/office/drawing/2010/main"/>
                    </a:ext>
                  </a:extLst>
                </pic:spPr>
              </pic:pic>
            </a:graphicData>
          </a:graphic>
        </wp:inline>
      </w:drawing>
    </w:r>
  </w:p>
  <w:p w14:paraId="7006A6B8" w14:textId="77777777" w:rsidR="00E07FD1" w:rsidRDefault="00E07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3F4D"/>
    <w:multiLevelType w:val="hybridMultilevel"/>
    <w:tmpl w:val="50C29C98"/>
    <w:lvl w:ilvl="0" w:tplc="299A5CDA">
      <w:start w:val="38"/>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20"/>
      </w:pPr>
      <w:rPr>
        <w:b w:val="0"/>
        <w:i w:val="0"/>
        <w:strike w:val="0"/>
        <w:dstrike w:val="0"/>
        <w:color w:val="000000"/>
        <w:sz w:val="22"/>
        <w:szCs w:val="22"/>
        <w:u w:val="none" w:color="000000"/>
        <w:bdr w:val="none" w:sz="0" w:space="0" w:color="auto"/>
        <w:shd w:val="clear" w:color="auto" w:fill="auto"/>
        <w:vertAlign w:val="baseline"/>
      </w:rPr>
    </w:lvl>
    <w:lvl w:ilvl="2" w:tplc="7E504618">
      <w:start w:val="1"/>
      <w:numFmt w:val="lowerRoman"/>
      <w:lvlText w:val="%3"/>
      <w:lvlJc w:val="left"/>
      <w:pPr>
        <w:ind w:left="1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408564">
      <w:start w:val="1"/>
      <w:numFmt w:val="decimal"/>
      <w:lvlText w:val="%4"/>
      <w:lvlJc w:val="left"/>
      <w:pPr>
        <w:ind w:left="2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60ED0">
      <w:start w:val="1"/>
      <w:numFmt w:val="lowerLetter"/>
      <w:lvlText w:val="%5"/>
      <w:lvlJc w:val="left"/>
      <w:pPr>
        <w:ind w:left="3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04D1E">
      <w:start w:val="1"/>
      <w:numFmt w:val="lowerRoman"/>
      <w:lvlText w:val="%6"/>
      <w:lvlJc w:val="left"/>
      <w:pPr>
        <w:ind w:left="3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A8832">
      <w:start w:val="1"/>
      <w:numFmt w:val="decimal"/>
      <w:lvlText w:val="%7"/>
      <w:lvlJc w:val="left"/>
      <w:pPr>
        <w:ind w:left="4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F6DCF2">
      <w:start w:val="1"/>
      <w:numFmt w:val="lowerLetter"/>
      <w:lvlText w:val="%8"/>
      <w:lvlJc w:val="left"/>
      <w:pPr>
        <w:ind w:left="5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CC3D6">
      <w:start w:val="1"/>
      <w:numFmt w:val="lowerRoman"/>
      <w:lvlText w:val="%9"/>
      <w:lvlJc w:val="left"/>
      <w:pPr>
        <w:ind w:left="6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394D29"/>
    <w:multiLevelType w:val="hybridMultilevel"/>
    <w:tmpl w:val="0C127F06"/>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F41113"/>
    <w:multiLevelType w:val="hybridMultilevel"/>
    <w:tmpl w:val="7B863D94"/>
    <w:lvl w:ilvl="0" w:tplc="B8482F20">
      <w:start w:val="37"/>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C2203"/>
    <w:multiLevelType w:val="hybridMultilevel"/>
    <w:tmpl w:val="A99C60C4"/>
    <w:lvl w:ilvl="0" w:tplc="165E82E2">
      <w:start w:val="17"/>
      <w:numFmt w:val="decimal"/>
      <w:lvlText w:val="%1."/>
      <w:lvlJc w:val="left"/>
      <w:pPr>
        <w:ind w:left="1063" w:hanging="360"/>
      </w:pPr>
      <w:rPr>
        <w:rFonts w:hint="default"/>
      </w:rPr>
    </w:lvl>
    <w:lvl w:ilvl="1" w:tplc="44090019" w:tentative="1">
      <w:start w:val="1"/>
      <w:numFmt w:val="lowerLetter"/>
      <w:lvlText w:val="%2."/>
      <w:lvlJc w:val="left"/>
      <w:pPr>
        <w:ind w:left="1783" w:hanging="360"/>
      </w:pPr>
    </w:lvl>
    <w:lvl w:ilvl="2" w:tplc="4409001B" w:tentative="1">
      <w:start w:val="1"/>
      <w:numFmt w:val="lowerRoman"/>
      <w:lvlText w:val="%3."/>
      <w:lvlJc w:val="right"/>
      <w:pPr>
        <w:ind w:left="2503" w:hanging="180"/>
      </w:pPr>
    </w:lvl>
    <w:lvl w:ilvl="3" w:tplc="4409000F" w:tentative="1">
      <w:start w:val="1"/>
      <w:numFmt w:val="decimal"/>
      <w:lvlText w:val="%4."/>
      <w:lvlJc w:val="left"/>
      <w:pPr>
        <w:ind w:left="3223" w:hanging="360"/>
      </w:pPr>
    </w:lvl>
    <w:lvl w:ilvl="4" w:tplc="44090019" w:tentative="1">
      <w:start w:val="1"/>
      <w:numFmt w:val="lowerLetter"/>
      <w:lvlText w:val="%5."/>
      <w:lvlJc w:val="left"/>
      <w:pPr>
        <w:ind w:left="3943" w:hanging="360"/>
      </w:pPr>
    </w:lvl>
    <w:lvl w:ilvl="5" w:tplc="4409001B" w:tentative="1">
      <w:start w:val="1"/>
      <w:numFmt w:val="lowerRoman"/>
      <w:lvlText w:val="%6."/>
      <w:lvlJc w:val="right"/>
      <w:pPr>
        <w:ind w:left="4663" w:hanging="180"/>
      </w:pPr>
    </w:lvl>
    <w:lvl w:ilvl="6" w:tplc="4409000F" w:tentative="1">
      <w:start w:val="1"/>
      <w:numFmt w:val="decimal"/>
      <w:lvlText w:val="%7."/>
      <w:lvlJc w:val="left"/>
      <w:pPr>
        <w:ind w:left="5383" w:hanging="360"/>
      </w:pPr>
    </w:lvl>
    <w:lvl w:ilvl="7" w:tplc="44090019" w:tentative="1">
      <w:start w:val="1"/>
      <w:numFmt w:val="lowerLetter"/>
      <w:lvlText w:val="%8."/>
      <w:lvlJc w:val="left"/>
      <w:pPr>
        <w:ind w:left="6103" w:hanging="360"/>
      </w:pPr>
    </w:lvl>
    <w:lvl w:ilvl="8" w:tplc="4409001B" w:tentative="1">
      <w:start w:val="1"/>
      <w:numFmt w:val="lowerRoman"/>
      <w:lvlText w:val="%9."/>
      <w:lvlJc w:val="right"/>
      <w:pPr>
        <w:ind w:left="6823" w:hanging="180"/>
      </w:pPr>
    </w:lvl>
  </w:abstractNum>
  <w:abstractNum w:abstractNumId="4" w15:restartNumberingAfterBreak="0">
    <w:nsid w:val="377E179E"/>
    <w:multiLevelType w:val="hybridMultilevel"/>
    <w:tmpl w:val="DAA8144E"/>
    <w:lvl w:ilvl="0" w:tplc="4409000F">
      <w:start w:val="36"/>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7E474A4"/>
    <w:multiLevelType w:val="hybridMultilevel"/>
    <w:tmpl w:val="0C127F06"/>
    <w:lvl w:ilvl="0" w:tplc="04090019">
      <w:start w:val="1"/>
      <w:numFmt w:val="lowerLetter"/>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8B7EDBE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D0C49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E9E9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2A3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844E4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0087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66A5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E0A60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B66A87"/>
    <w:multiLevelType w:val="hybridMultilevel"/>
    <w:tmpl w:val="35DA6D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F71E04"/>
    <w:multiLevelType w:val="hybridMultilevel"/>
    <w:tmpl w:val="9CB08B0E"/>
    <w:lvl w:ilvl="0" w:tplc="27126B60">
      <w:start w:val="27"/>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640AC"/>
    <w:multiLevelType w:val="hybridMultilevel"/>
    <w:tmpl w:val="B51A3A3C"/>
    <w:lvl w:ilvl="0" w:tplc="62DE5DA6">
      <w:start w:val="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F0AA98">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4E480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DE1A3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6435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627A2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6652B8">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346E8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6E8CC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475919"/>
    <w:multiLevelType w:val="hybridMultilevel"/>
    <w:tmpl w:val="D1D8CF78"/>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191EB1"/>
    <w:multiLevelType w:val="hybridMultilevel"/>
    <w:tmpl w:val="520852A4"/>
    <w:lvl w:ilvl="0" w:tplc="3886DCFA">
      <w:start w:val="40"/>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CBE233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C6131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E4FE9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A783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0882E">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F7B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6DAB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22605123">
    <w:abstractNumId w:val="8"/>
  </w:num>
  <w:num w:numId="2" w16cid:durableId="2011562667">
    <w:abstractNumId w:val="5"/>
  </w:num>
  <w:num w:numId="3" w16cid:durableId="109780955">
    <w:abstractNumId w:val="1"/>
  </w:num>
  <w:num w:numId="4" w16cid:durableId="2039769347">
    <w:abstractNumId w:val="0"/>
  </w:num>
  <w:num w:numId="5" w16cid:durableId="1077632335">
    <w:abstractNumId w:val="9"/>
  </w:num>
  <w:num w:numId="6" w16cid:durableId="1132484329">
    <w:abstractNumId w:val="10"/>
  </w:num>
  <w:num w:numId="7" w16cid:durableId="2040279291">
    <w:abstractNumId w:val="6"/>
  </w:num>
  <w:num w:numId="8" w16cid:durableId="1213156699">
    <w:abstractNumId w:val="7"/>
  </w:num>
  <w:num w:numId="9" w16cid:durableId="558328556">
    <w:abstractNumId w:val="2"/>
  </w:num>
  <w:num w:numId="10" w16cid:durableId="942301515">
    <w:abstractNumId w:val="3"/>
  </w:num>
  <w:num w:numId="11" w16cid:durableId="1179850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D1"/>
    <w:rsid w:val="0017229E"/>
    <w:rsid w:val="00332069"/>
    <w:rsid w:val="004E1578"/>
    <w:rsid w:val="005E28F8"/>
    <w:rsid w:val="00B43670"/>
    <w:rsid w:val="00C61B9D"/>
    <w:rsid w:val="00DA504D"/>
    <w:rsid w:val="00E07FD1"/>
    <w:rsid w:val="00FA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CC9F"/>
  <w15:chartTrackingRefBased/>
  <w15:docId w15:val="{72394D1B-4373-455C-AC43-7AADB9B7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FD1"/>
    <w:rPr>
      <w:rFonts w:eastAsiaTheme="majorEastAsia" w:cstheme="majorBidi"/>
      <w:color w:val="272727" w:themeColor="text1" w:themeTint="D8"/>
    </w:rPr>
  </w:style>
  <w:style w:type="paragraph" w:styleId="Title">
    <w:name w:val="Title"/>
    <w:basedOn w:val="Normal"/>
    <w:next w:val="Normal"/>
    <w:link w:val="TitleChar"/>
    <w:uiPriority w:val="10"/>
    <w:qFormat/>
    <w:rsid w:val="00E07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FD1"/>
    <w:pPr>
      <w:spacing w:before="160"/>
      <w:jc w:val="center"/>
    </w:pPr>
    <w:rPr>
      <w:i/>
      <w:iCs/>
      <w:color w:val="404040" w:themeColor="text1" w:themeTint="BF"/>
    </w:rPr>
  </w:style>
  <w:style w:type="character" w:customStyle="1" w:styleId="QuoteChar">
    <w:name w:val="Quote Char"/>
    <w:basedOn w:val="DefaultParagraphFont"/>
    <w:link w:val="Quote"/>
    <w:uiPriority w:val="29"/>
    <w:rsid w:val="00E07FD1"/>
    <w:rPr>
      <w:i/>
      <w:iCs/>
      <w:color w:val="404040" w:themeColor="text1" w:themeTint="BF"/>
    </w:rPr>
  </w:style>
  <w:style w:type="paragraph" w:styleId="ListParagraph">
    <w:name w:val="List Paragraph"/>
    <w:basedOn w:val="Normal"/>
    <w:uiPriority w:val="34"/>
    <w:qFormat/>
    <w:rsid w:val="00E07FD1"/>
    <w:pPr>
      <w:ind w:left="720"/>
      <w:contextualSpacing/>
    </w:pPr>
  </w:style>
  <w:style w:type="character" w:styleId="IntenseEmphasis">
    <w:name w:val="Intense Emphasis"/>
    <w:basedOn w:val="DefaultParagraphFont"/>
    <w:uiPriority w:val="21"/>
    <w:qFormat/>
    <w:rsid w:val="00E07FD1"/>
    <w:rPr>
      <w:i/>
      <w:iCs/>
      <w:color w:val="0F4761" w:themeColor="accent1" w:themeShade="BF"/>
    </w:rPr>
  </w:style>
  <w:style w:type="paragraph" w:styleId="IntenseQuote">
    <w:name w:val="Intense Quote"/>
    <w:basedOn w:val="Normal"/>
    <w:next w:val="Normal"/>
    <w:link w:val="IntenseQuoteChar"/>
    <w:uiPriority w:val="30"/>
    <w:qFormat/>
    <w:rsid w:val="00E07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FD1"/>
    <w:rPr>
      <w:i/>
      <w:iCs/>
      <w:color w:val="0F4761" w:themeColor="accent1" w:themeShade="BF"/>
    </w:rPr>
  </w:style>
  <w:style w:type="character" w:styleId="IntenseReference">
    <w:name w:val="Intense Reference"/>
    <w:basedOn w:val="DefaultParagraphFont"/>
    <w:uiPriority w:val="32"/>
    <w:qFormat/>
    <w:rsid w:val="00E07FD1"/>
    <w:rPr>
      <w:b/>
      <w:bCs/>
      <w:smallCaps/>
      <w:color w:val="0F4761" w:themeColor="accent1" w:themeShade="BF"/>
      <w:spacing w:val="5"/>
    </w:rPr>
  </w:style>
  <w:style w:type="paragraph" w:styleId="Header">
    <w:name w:val="header"/>
    <w:basedOn w:val="Normal"/>
    <w:link w:val="HeaderChar"/>
    <w:uiPriority w:val="99"/>
    <w:unhideWhenUsed/>
    <w:rsid w:val="00E07FD1"/>
    <w:pPr>
      <w:tabs>
        <w:tab w:val="center" w:pos="4680"/>
        <w:tab w:val="right" w:pos="9360"/>
      </w:tabs>
      <w:spacing w:after="0" w:line="240" w:lineRule="auto"/>
      <w:ind w:left="728" w:right="1"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E07FD1"/>
    <w:rPr>
      <w:rFonts w:ascii="Calibri" w:eastAsia="Calibri" w:hAnsi="Calibri" w:cs="Calibri"/>
      <w:color w:val="000000"/>
      <w:kern w:val="0"/>
      <w:sz w:val="22"/>
      <w:szCs w:val="22"/>
      <w14:ligatures w14:val="none"/>
    </w:rPr>
  </w:style>
  <w:style w:type="paragraph" w:styleId="Revision">
    <w:name w:val="Revision"/>
    <w:hidden/>
    <w:uiPriority w:val="99"/>
    <w:semiHidden/>
    <w:rsid w:val="00E07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89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ndp.sharepoint.com/teams/OFM/SitePages/CFRA/Home.aspx"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node/18916" TargetMode="External"/><Relationship Id="rId4" Type="http://schemas.openxmlformats.org/officeDocument/2006/relationships/webSettings" Target="webSettings.xml"/><Relationship Id="rId9" Type="http://schemas.openxmlformats.org/officeDocument/2006/relationships/hyperlink" Target="https://popp.undp.org/node/18916"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1766</Words>
  <Characters>10071</Characters>
  <Application>Microsoft Office Word</Application>
  <DocSecurity>0</DocSecurity>
  <Lines>83</Lines>
  <Paragraphs>23</Paragraphs>
  <ScaleCrop>false</ScaleCrop>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2026-04-30T21:48:00Z</dcterms:created>
  <dcterms:modified xsi:type="dcterms:W3CDTF">2026-04-30T22:25:00Z</dcterms:modified>
</cp:coreProperties>
</file>