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BF4" w14:textId="77777777" w:rsidR="003C66AF" w:rsidRPr="001F4C10" w:rsidRDefault="003C66AF" w:rsidP="003C66AF">
      <w:pPr>
        <w:spacing w:after="275" w:line="259" w:lineRule="auto"/>
        <w:ind w:left="0" w:right="0" w:firstLine="0"/>
        <w:jc w:val="left"/>
      </w:pPr>
      <w:r>
        <w:rPr>
          <w:b/>
          <w:sz w:val="28"/>
        </w:rPr>
        <w:t>Lista Universal de Precios (UPL) y Lista Local de Precios (LPL)</w:t>
      </w:r>
      <w:r>
        <w:rPr>
          <w:sz w:val="28"/>
          <w:vertAlign w:val="superscript"/>
        </w:rPr>
        <w:t xml:space="preserve"> </w:t>
      </w:r>
    </w:p>
    <w:p w14:paraId="7886ED5F" w14:textId="77777777" w:rsidR="003C66AF" w:rsidRPr="001F4C10" w:rsidRDefault="003C66AF" w:rsidP="003C66AF">
      <w:pPr>
        <w:numPr>
          <w:ilvl w:val="0"/>
          <w:numId w:val="1"/>
        </w:numPr>
        <w:ind w:right="0" w:hanging="360"/>
      </w:pPr>
      <w:r>
        <w:t xml:space="preserve">La Junta Ejecutiva enfatizó en la Decisión 2012/27 el principio de recuperación total de gastos estipulado en la resolución 62/208 de la Asamblea General y en la Decisión 2013/9, la necesidad de ejecutar la resolución 67/226 de la Asamblea General sobre la revisión cuadrienal amplia de la política de las actividades operacionales para el desarrollo del sistema de las Naciones Unidas, en particular el capítulo II, sección D, sobre garantizar la recuperación total de gastos. </w:t>
      </w:r>
    </w:p>
    <w:p w14:paraId="6B4D5EA1" w14:textId="77777777" w:rsidR="003C66AF" w:rsidRPr="001F4C10" w:rsidRDefault="003C66AF" w:rsidP="003C66AF">
      <w:pPr>
        <w:spacing w:after="19" w:line="259" w:lineRule="auto"/>
        <w:ind w:left="720" w:right="0" w:firstLine="0"/>
        <w:jc w:val="left"/>
      </w:pPr>
      <w:r>
        <w:t xml:space="preserve"> </w:t>
      </w:r>
    </w:p>
    <w:p w14:paraId="12342FEA" w14:textId="77777777" w:rsidR="003C66AF" w:rsidRPr="001F4C10" w:rsidRDefault="003C66AF" w:rsidP="003C66AF">
      <w:pPr>
        <w:numPr>
          <w:ilvl w:val="0"/>
          <w:numId w:val="1"/>
        </w:numPr>
        <w:ind w:right="0" w:hanging="360"/>
      </w:pPr>
      <w:r>
        <w:t xml:space="preserve">El PNUD se compromete a brindar servicios administrativos a los organismos y los programas de la ONU a través de su red mundial de oficinas, en línea con las solicitudes de los organismos de la ONU y la capacidad de la oficina del PNUD para responder a estas. </w:t>
      </w:r>
      <w:r>
        <w:rPr>
          <w:b/>
        </w:rPr>
        <w:t xml:space="preserve"> Todos los costos asociados con los servicios para los organismos de la ONU a nivel del país en que se ejecuta un programa deben ser completamente reembolsados por los organismos respectivos de la ONU.</w:t>
      </w:r>
      <w:r>
        <w:t xml:space="preserve"> </w:t>
      </w:r>
    </w:p>
    <w:p w14:paraId="771EED5C" w14:textId="77777777" w:rsidR="003C66AF" w:rsidRPr="001F4C10" w:rsidRDefault="003C66AF" w:rsidP="003C66AF">
      <w:pPr>
        <w:spacing w:after="44" w:line="259" w:lineRule="auto"/>
        <w:ind w:left="720" w:right="0" w:firstLine="0"/>
        <w:jc w:val="left"/>
      </w:pPr>
      <w:r>
        <w:t xml:space="preserve"> </w:t>
      </w:r>
    </w:p>
    <w:p w14:paraId="7884DBF4" w14:textId="77777777" w:rsidR="003C66AF" w:rsidRPr="001F4C10" w:rsidRDefault="003C66AF" w:rsidP="003C66AF">
      <w:pPr>
        <w:numPr>
          <w:ilvl w:val="0"/>
          <w:numId w:val="1"/>
        </w:numPr>
        <w:ind w:right="0" w:hanging="360"/>
      </w:pPr>
      <w:r>
        <w:t>A nivel corporativo, los Memorandos de Entendimiento (</w:t>
      </w:r>
      <w:proofErr w:type="spellStart"/>
      <w:r>
        <w:t>MoU</w:t>
      </w:r>
      <w:proofErr w:type="spellEnd"/>
      <w:r>
        <w:t xml:space="preserve">) concluyen con la regulación de los organismos de la ONU del marco global de la relación. Estos acuerdos especifican que el PNUD proveerá servicios con recuperación de gastos y que no se requieren contratos locales o cartas de acuerdo adicionales (si bien un acuerdo de prestación de servicios [SLA por sus siglas en </w:t>
      </w:r>
      <w:proofErr w:type="gramStart"/>
      <w:r>
        <w:t>Inglés</w:t>
      </w:r>
      <w:proofErr w:type="gramEnd"/>
      <w:r>
        <w:t>)] local puede ser útil para aclarar los niveles y las expectativas de prestación de servicios).</w:t>
      </w:r>
      <w:r>
        <w:rPr>
          <w:b/>
          <w:color w:val="000000"/>
        </w:rPr>
        <w:t xml:space="preserve"> </w:t>
      </w:r>
      <w:r>
        <w:rPr>
          <w:color w:val="000000"/>
        </w:rPr>
        <w:t xml:space="preserve"> </w:t>
      </w:r>
      <w:r>
        <w:t xml:space="preserve">Se ha establecido un proceso corporativo para la revisión de estos </w:t>
      </w:r>
      <w:proofErr w:type="spellStart"/>
      <w:r>
        <w:t>MoU</w:t>
      </w:r>
      <w:proofErr w:type="spellEnd"/>
      <w:r>
        <w:t xml:space="preserve"> a través del Grupo de Revisión de Asociaciones (Dirección de Promoción y Relaciones Externas [BERA]/Asociaciones). Los </w:t>
      </w:r>
      <w:proofErr w:type="spellStart"/>
      <w:r>
        <w:t>MoU</w:t>
      </w:r>
      <w:proofErr w:type="spellEnd"/>
      <w:r>
        <w:t xml:space="preserve"> firmados se cargan en la biblioteca corporativa: </w:t>
      </w:r>
      <w:hyperlink r:id="rId11" w:history="1">
        <w:proofErr w:type="spellStart"/>
        <w:r w:rsidRPr="00013B8F">
          <w:rPr>
            <w:rStyle w:val="Hyperlink"/>
            <w:b/>
          </w:rPr>
          <w:t>MoU</w:t>
        </w:r>
        <w:proofErr w:type="spellEnd"/>
        <w:r w:rsidRPr="00013B8F">
          <w:rPr>
            <w:rStyle w:val="Hyperlink"/>
            <w:b/>
          </w:rPr>
          <w:t xml:space="preserve"> de Asociaciones</w:t>
        </w:r>
      </w:hyperlink>
      <w:r>
        <w:t xml:space="preserve">. </w:t>
      </w:r>
    </w:p>
    <w:p w14:paraId="1BF71176" w14:textId="77777777" w:rsidR="003C66AF" w:rsidRPr="001F4C10" w:rsidRDefault="003C66AF" w:rsidP="003C66AF">
      <w:pPr>
        <w:spacing w:after="45" w:line="259" w:lineRule="auto"/>
        <w:ind w:left="720" w:right="0" w:firstLine="0"/>
        <w:jc w:val="left"/>
      </w:pPr>
      <w:r>
        <w:t xml:space="preserve"> </w:t>
      </w:r>
    </w:p>
    <w:p w14:paraId="70658C0B" w14:textId="77777777" w:rsidR="003C66AF" w:rsidRPr="001F4C10" w:rsidRDefault="003C66AF" w:rsidP="003C66AF">
      <w:pPr>
        <w:numPr>
          <w:ilvl w:val="0"/>
          <w:numId w:val="1"/>
        </w:numPr>
        <w:ind w:right="0" w:hanging="360"/>
      </w:pPr>
      <w:r>
        <w:t xml:space="preserve">Si una oficina del PNUD determina que no puede proporcionar servicios de calidad o en el tiempo requerido, o que carece de la capacidad requerida para esto, puede informar a los organismos de la ONU con anticipación y negarse a prestar los servicios solicitados. Sin embargo, las oficinas del PNUD deben hacer todo lo posible por brindar los servicios solicitados. </w:t>
      </w:r>
    </w:p>
    <w:p w14:paraId="02BA7A56" w14:textId="77777777" w:rsidR="003C66AF" w:rsidRPr="001F4C10" w:rsidRDefault="003C66AF" w:rsidP="003C66AF">
      <w:pPr>
        <w:spacing w:after="41" w:line="259" w:lineRule="auto"/>
        <w:ind w:left="720" w:right="0" w:firstLine="0"/>
        <w:jc w:val="left"/>
      </w:pPr>
      <w:r>
        <w:t xml:space="preserve"> </w:t>
      </w:r>
    </w:p>
    <w:p w14:paraId="1495BF25" w14:textId="15E1A3A5" w:rsidR="003C66AF" w:rsidRPr="001F4C10" w:rsidRDefault="003C66AF" w:rsidP="00480470">
      <w:pPr>
        <w:numPr>
          <w:ilvl w:val="0"/>
          <w:numId w:val="1"/>
        </w:numPr>
        <w:ind w:right="0" w:hanging="360"/>
      </w:pPr>
      <w:r>
        <w:t>Dentro de los parámetros de las políticas y los procedimientos del PNUD, como se expresa en este capítulo de las POPP (Políticas y Procedimientos de Operaciones y Programas), las oficinas del PNUD no deben negarse a prestar servicios a</w:t>
      </w:r>
      <w:r>
        <w:rPr>
          <w:b/>
        </w:rPr>
        <w:t xml:space="preserve"> las Agencias que utilizan Quantum</w:t>
      </w:r>
      <w:r>
        <w:t xml:space="preserve"> sin la aprobación de la Oficina de Gestión de Recursos Financieros (BMS/</w:t>
      </w:r>
      <w:proofErr w:type="gramStart"/>
      <w:r>
        <w:t>OFM)  (</w:t>
      </w:r>
      <w:proofErr w:type="gramEnd"/>
      <w:r>
        <w:rPr>
          <w:color w:val="0563C1"/>
        </w:rPr>
        <w:t>bms.ofm.fbp@undp.org</w:t>
      </w:r>
      <w:r>
        <w:t xml:space="preserve">). </w:t>
      </w:r>
    </w:p>
    <w:p w14:paraId="4FD2A417" w14:textId="77777777" w:rsidR="003C66AF" w:rsidRPr="0099436D" w:rsidRDefault="003C66AF" w:rsidP="003C66AF">
      <w:pPr>
        <w:pStyle w:val="Heading1"/>
        <w:ind w:left="-5"/>
        <w:rPr>
          <w:rFonts w:ascii="Calibri" w:hAnsi="Calibri" w:cs="Calibri"/>
          <w:b/>
          <w:bCs/>
          <w:color w:val="auto"/>
          <w:sz w:val="24"/>
          <w:szCs w:val="24"/>
          <w:lang w:val="fr-FR" w:eastAsia="fr-FR" w:bidi="fr-FR"/>
        </w:rPr>
      </w:pPr>
      <w:r w:rsidRPr="0099436D">
        <w:rPr>
          <w:rFonts w:ascii="Calibri" w:hAnsi="Calibri" w:cs="Calibri"/>
          <w:b/>
          <w:bCs/>
          <w:color w:val="auto"/>
          <w:sz w:val="24"/>
          <w:szCs w:val="24"/>
          <w:lang w:val="fr-FR" w:eastAsia="fr-FR" w:bidi="fr-FR"/>
        </w:rPr>
        <w:t xml:space="preserve">Lista Universal de </w:t>
      </w:r>
      <w:proofErr w:type="spellStart"/>
      <w:r w:rsidRPr="0099436D">
        <w:rPr>
          <w:rFonts w:ascii="Calibri" w:hAnsi="Calibri" w:cs="Calibri"/>
          <w:b/>
          <w:bCs/>
          <w:color w:val="auto"/>
          <w:sz w:val="24"/>
          <w:szCs w:val="24"/>
          <w:lang w:val="fr-FR" w:eastAsia="fr-FR" w:bidi="fr-FR"/>
        </w:rPr>
        <w:t>Precios</w:t>
      </w:r>
      <w:proofErr w:type="spellEnd"/>
      <w:r w:rsidRPr="0099436D">
        <w:rPr>
          <w:rFonts w:ascii="Calibri" w:hAnsi="Calibri" w:cs="Calibri"/>
          <w:b/>
          <w:bCs/>
          <w:color w:val="auto"/>
          <w:sz w:val="24"/>
          <w:szCs w:val="24"/>
          <w:lang w:val="fr-FR" w:eastAsia="fr-FR" w:bidi="fr-FR"/>
        </w:rPr>
        <w:t xml:space="preserve"> (UPL) </w:t>
      </w:r>
    </w:p>
    <w:p w14:paraId="5EEDE24A" w14:textId="77777777" w:rsidR="003C66AF" w:rsidRPr="001F4C10" w:rsidRDefault="003C66AF" w:rsidP="003C66AF">
      <w:pPr>
        <w:spacing w:after="21" w:line="259" w:lineRule="auto"/>
        <w:ind w:left="0" w:right="0" w:firstLine="0"/>
        <w:jc w:val="left"/>
      </w:pPr>
      <w:r>
        <w:t xml:space="preserve"> </w:t>
      </w:r>
    </w:p>
    <w:p w14:paraId="670F2C36" w14:textId="77777777" w:rsidR="003C66AF" w:rsidRPr="001F4C10" w:rsidRDefault="003C66AF" w:rsidP="003C66AF">
      <w:pPr>
        <w:numPr>
          <w:ilvl w:val="0"/>
          <w:numId w:val="1"/>
        </w:numPr>
        <w:ind w:right="0" w:hanging="360"/>
      </w:pPr>
      <w:r>
        <w:t xml:space="preserve">Para asegurar el reembolso de todos los costos asociados, se ha establecido una tarifa basada en transacciones a través de la </w:t>
      </w:r>
      <w:r>
        <w:rPr>
          <w:b/>
          <w:i/>
        </w:rPr>
        <w:t>Lista Universal de Precios</w:t>
      </w:r>
      <w:r>
        <w:t xml:space="preserve">, que contiene un menú de servicios estandarizados disponibles para los organismos de la ONU de todas las oficinas del PNUD. La UPL es actualizada anualmente por BMS/OFM. Las tarifas de la UPL representan un resumen de la lista estándar de servicios ofrecidos a los organismos asociados y sus costos correspondientes. Las oficinas que deseen brindar comentarios sobre los servicios y las tarifas, o que requieran aclaraciones adicionales, deben comunicarse con el punto focal de BMS/OFM Business </w:t>
      </w:r>
      <w:proofErr w:type="spellStart"/>
      <w:r w:rsidRPr="00377BB2">
        <w:rPr>
          <w:lang w:val="es-UY"/>
        </w:rPr>
        <w:t>Partnering</w:t>
      </w:r>
      <w:proofErr w:type="spellEnd"/>
      <w:r>
        <w:t xml:space="preserve">. </w:t>
      </w:r>
    </w:p>
    <w:p w14:paraId="4C201312" w14:textId="77777777" w:rsidR="003C66AF" w:rsidRPr="001F4C10" w:rsidRDefault="003C66AF" w:rsidP="003C66AF">
      <w:pPr>
        <w:spacing w:after="21" w:line="259" w:lineRule="auto"/>
        <w:ind w:left="720" w:right="0" w:firstLine="0"/>
        <w:jc w:val="left"/>
      </w:pPr>
      <w:r>
        <w:t xml:space="preserve"> </w:t>
      </w:r>
    </w:p>
    <w:p w14:paraId="05887242" w14:textId="77777777" w:rsidR="003C66AF" w:rsidRPr="001F4C10" w:rsidRDefault="003C66AF" w:rsidP="003C66AF">
      <w:pPr>
        <w:numPr>
          <w:ilvl w:val="0"/>
          <w:numId w:val="1"/>
        </w:numPr>
        <w:ind w:right="0" w:hanging="360"/>
      </w:pPr>
      <w:r>
        <w:lastRenderedPageBreak/>
        <w:t xml:space="preserve">Los inductores de los costos de servicios de la UPL son: (a) salarios del personal; (b) tiempo dedicado por el personal </w:t>
      </w:r>
      <w:r w:rsidRPr="005148F0">
        <w:t xml:space="preserve">en la provisión de servicios transaccionales; y (c) </w:t>
      </w:r>
      <w:r w:rsidRPr="005148F0">
        <w:rPr>
          <w:lang w:val="es-ES_tradnl"/>
        </w:rPr>
        <w:t xml:space="preserve">parte de los gastos generales de funcionamiento, como el espacio de oficinas y el uso de la oficina esencial de equipos y suministros. </w:t>
      </w:r>
      <w:r w:rsidRPr="005148F0">
        <w:t>Las UPL reflejan</w:t>
      </w:r>
      <w:r>
        <w:t xml:space="preserve"> los últimos costos de salarios </w:t>
      </w:r>
      <w:proofErr w:type="gramStart"/>
      <w:r>
        <w:t>pro forma</w:t>
      </w:r>
      <w:proofErr w:type="gramEnd"/>
      <w:r>
        <w:t xml:space="preserve"> disponibles para cada ubicación correspondiente de la oficina del PNUD al momento de su publicación. Además, la asignación de tiempo del personal refleja los costos totales al incluir los derechos de licencia. El cálculo de la UPL se basa en una serie de servicios estándares previstos (actualmente 26). </w:t>
      </w:r>
    </w:p>
    <w:p w14:paraId="5E9403D9" w14:textId="77777777" w:rsidR="003C66AF" w:rsidRPr="001F4C10" w:rsidRDefault="003C66AF" w:rsidP="003C66AF">
      <w:pPr>
        <w:spacing w:after="46" w:line="259" w:lineRule="auto"/>
        <w:ind w:left="720" w:right="0" w:firstLine="0"/>
        <w:jc w:val="left"/>
      </w:pPr>
      <w:r>
        <w:t xml:space="preserve"> </w:t>
      </w:r>
    </w:p>
    <w:p w14:paraId="6F648CAC" w14:textId="77777777" w:rsidR="003C66AF" w:rsidRPr="001F4C10" w:rsidRDefault="003C66AF" w:rsidP="003C66AF">
      <w:pPr>
        <w:numPr>
          <w:ilvl w:val="0"/>
          <w:numId w:val="1"/>
        </w:numPr>
        <w:ind w:right="0" w:hanging="360"/>
      </w:pPr>
      <w:r>
        <w:t xml:space="preserve">Hay cuatro categorías de la UPL disponibles para que las utilicen las oficinas del PNUD según la clasificación de oficinas: </w:t>
      </w:r>
    </w:p>
    <w:p w14:paraId="7F759173" w14:textId="77777777" w:rsidR="003C66AF" w:rsidRPr="001F4C10" w:rsidRDefault="003C66AF" w:rsidP="003C66AF">
      <w:pPr>
        <w:numPr>
          <w:ilvl w:val="1"/>
          <w:numId w:val="2"/>
        </w:numPr>
        <w:ind w:right="0" w:firstLine="0"/>
      </w:pPr>
      <w:r>
        <w:t xml:space="preserve">Oficinas en países que experimentan situaciones de desarrollo generales  </w:t>
      </w:r>
    </w:p>
    <w:p w14:paraId="5C59E96E" w14:textId="77777777" w:rsidR="003C66AF" w:rsidRPr="001F4C10" w:rsidRDefault="003C66AF" w:rsidP="003C66AF">
      <w:pPr>
        <w:numPr>
          <w:ilvl w:val="1"/>
          <w:numId w:val="2"/>
        </w:numPr>
        <w:ind w:right="0" w:firstLine="0"/>
      </w:pPr>
      <w:r>
        <w:t xml:space="preserve">Oficinas en países que experimentan situaciones de desarrollo especiales  </w:t>
      </w:r>
    </w:p>
    <w:p w14:paraId="005CF629" w14:textId="77777777" w:rsidR="003C66AF" w:rsidRDefault="003C66AF" w:rsidP="003C66AF">
      <w:pPr>
        <w:numPr>
          <w:ilvl w:val="1"/>
          <w:numId w:val="2"/>
        </w:numPr>
        <w:ind w:right="0" w:firstLine="0"/>
      </w:pPr>
      <w:r>
        <w:t xml:space="preserve">Oficinas de representación  </w:t>
      </w:r>
    </w:p>
    <w:p w14:paraId="095C242B" w14:textId="77777777" w:rsidR="003C66AF" w:rsidRPr="001F4C10" w:rsidRDefault="003C66AF" w:rsidP="003C66AF">
      <w:pPr>
        <w:numPr>
          <w:ilvl w:val="1"/>
          <w:numId w:val="2"/>
        </w:numPr>
        <w:ind w:right="0" w:firstLine="0"/>
      </w:pPr>
      <w:r>
        <w:t xml:space="preserve">VNU de Alemania </w:t>
      </w:r>
    </w:p>
    <w:p w14:paraId="2EE42B9D" w14:textId="77777777" w:rsidR="003C66AF" w:rsidRPr="001F4C10" w:rsidRDefault="003C66AF" w:rsidP="003C66AF">
      <w:pPr>
        <w:spacing w:after="20" w:line="259" w:lineRule="auto"/>
        <w:ind w:left="0" w:right="0" w:firstLine="0"/>
        <w:jc w:val="left"/>
      </w:pPr>
      <w:r>
        <w:t xml:space="preserve"> </w:t>
      </w:r>
    </w:p>
    <w:p w14:paraId="0269EB6A" w14:textId="77777777" w:rsidR="003C66AF" w:rsidRPr="001F4C10" w:rsidRDefault="003C66AF" w:rsidP="003C66AF">
      <w:pPr>
        <w:numPr>
          <w:ilvl w:val="0"/>
          <w:numId w:val="1"/>
        </w:numPr>
        <w:ind w:right="0" w:hanging="360"/>
      </w:pPr>
      <w:r>
        <w:t xml:space="preserve">BMS/OFM, en consulta con las direcciones regionales, examina y revisa todos los años la lista de países que experimentan situaciones de desarrollo especiales e incluye los países en crisis u otras circunstancias rigurosas. </w:t>
      </w:r>
    </w:p>
    <w:p w14:paraId="3478ED61" w14:textId="77777777" w:rsidR="003C66AF" w:rsidRPr="001F4C10" w:rsidRDefault="003C66AF" w:rsidP="003C66AF">
      <w:pPr>
        <w:spacing w:after="21" w:line="259" w:lineRule="auto"/>
        <w:ind w:left="720" w:right="0" w:firstLine="0"/>
        <w:jc w:val="left"/>
      </w:pPr>
      <w:r>
        <w:t xml:space="preserve"> </w:t>
      </w:r>
    </w:p>
    <w:p w14:paraId="1E37765A" w14:textId="56BB2CC8" w:rsidR="003C66AF" w:rsidRPr="001F4C10" w:rsidRDefault="003C66AF" w:rsidP="003C66AF">
      <w:pPr>
        <w:numPr>
          <w:ilvl w:val="0"/>
          <w:numId w:val="1"/>
        </w:numPr>
        <w:ind w:right="0" w:hanging="360"/>
      </w:pPr>
      <w:r>
        <w:t xml:space="preserve">Se carga a cada transacción de servicios el costo indicado en la UPL, según la clasificación de países de desarrollo general (los países se designan como de costo Alto, Medio-Alto, Medio-Bajo o Bajo) o desarrollo especial. Consulte </w:t>
      </w:r>
      <w:hyperlink r:id="rId12" w:history="1">
        <w:r w:rsidR="003E19D0">
          <w:rPr>
            <w:rStyle w:val="Hyperlink"/>
          </w:rPr>
          <w:t>Oficina de Gestión de Recursos Financieros - Lista Universal de Precios (UPL) (en inglés)</w:t>
        </w:r>
      </w:hyperlink>
      <w:r>
        <w:rPr>
          <w:color w:val="0070C0"/>
        </w:rPr>
        <w:t xml:space="preserve"> </w:t>
      </w:r>
      <w:r>
        <w:t xml:space="preserve">para obtener una descripción detallada de los servicios incluidos en la </w:t>
      </w:r>
      <w:r w:rsidRPr="00377BB2">
        <w:t>UPL, instrucciones para su uso y clasificaciones de las oficinas del PNUD.</w:t>
      </w:r>
      <w:r>
        <w:rPr>
          <w:color w:val="0072BC"/>
        </w:rPr>
        <w:t xml:space="preserve"> </w:t>
      </w:r>
      <w:r>
        <w:t xml:space="preserve">  </w:t>
      </w:r>
    </w:p>
    <w:p w14:paraId="50C40DD5" w14:textId="77777777" w:rsidR="003C66AF" w:rsidRPr="001F4C10" w:rsidRDefault="003C66AF" w:rsidP="003C66AF">
      <w:pPr>
        <w:spacing w:after="42" w:line="259" w:lineRule="auto"/>
        <w:ind w:left="720" w:right="0" w:firstLine="0"/>
        <w:jc w:val="left"/>
      </w:pPr>
      <w:r>
        <w:t xml:space="preserve"> </w:t>
      </w:r>
    </w:p>
    <w:p w14:paraId="0C53903E" w14:textId="77777777" w:rsidR="003C66AF" w:rsidRPr="001F4C10" w:rsidRDefault="003C66AF" w:rsidP="003C66AF">
      <w:pPr>
        <w:numPr>
          <w:ilvl w:val="0"/>
          <w:numId w:val="1"/>
        </w:numPr>
        <w:ind w:right="0" w:hanging="360"/>
      </w:pPr>
      <w:r>
        <w:t xml:space="preserve">Si bien fue diseñada específicamente para fijar los precios de servicios estándares específicos para los organismos de la ONU, la UPL puede utilizarse para el reembolso de costos de cualquier servicio basado en transacciones (véanse los párrafos 21 a 23 a continuación). </w:t>
      </w:r>
    </w:p>
    <w:p w14:paraId="7CD14CDF" w14:textId="77777777" w:rsidR="003C66AF" w:rsidRPr="001F4C10" w:rsidRDefault="003C66AF" w:rsidP="003C66AF">
      <w:pPr>
        <w:spacing w:after="0" w:line="259" w:lineRule="auto"/>
        <w:ind w:left="720" w:right="0" w:firstLine="0"/>
        <w:jc w:val="left"/>
      </w:pPr>
      <w:r>
        <w:t xml:space="preserve"> </w:t>
      </w:r>
    </w:p>
    <w:p w14:paraId="047F099E" w14:textId="77777777" w:rsidR="003C66AF" w:rsidRPr="001F4C10" w:rsidRDefault="003C66AF" w:rsidP="003C66AF">
      <w:pPr>
        <w:numPr>
          <w:ilvl w:val="0"/>
          <w:numId w:val="1"/>
        </w:numPr>
        <w:ind w:right="0" w:hanging="360"/>
      </w:pPr>
      <w:r>
        <w:t xml:space="preserve">La UPL está destinada a cubrir los servicios estándares (a diferencia de las situaciones excesivamente complejas o novedosas, que están cubiertas por la LPL como se describe a continuación). </w:t>
      </w:r>
    </w:p>
    <w:p w14:paraId="18A09697" w14:textId="77777777" w:rsidR="003C66AF" w:rsidRPr="001F4C10" w:rsidRDefault="003C66AF" w:rsidP="003C66AF">
      <w:pPr>
        <w:spacing w:after="46" w:line="259" w:lineRule="auto"/>
        <w:ind w:left="720" w:right="0" w:firstLine="0"/>
        <w:jc w:val="left"/>
      </w:pPr>
      <w:r>
        <w:t xml:space="preserve"> </w:t>
      </w:r>
    </w:p>
    <w:p w14:paraId="63BDEE6D" w14:textId="77777777" w:rsidR="003C66AF" w:rsidRPr="001F4C10" w:rsidRDefault="003C66AF" w:rsidP="003C66AF">
      <w:pPr>
        <w:numPr>
          <w:ilvl w:val="0"/>
          <w:numId w:val="1"/>
        </w:numPr>
        <w:ind w:right="0" w:hanging="360"/>
      </w:pPr>
      <w:r>
        <w:t xml:space="preserve">Las desviaciones de las tarifas publicadas en la UPL para los servicios </w:t>
      </w:r>
      <w:r>
        <w:rPr>
          <w:b/>
        </w:rPr>
        <w:t>estándares</w:t>
      </w:r>
      <w:r>
        <w:t xml:space="preserve"> de la UPL están sujetas a la aprobación de BMS/OFM </w:t>
      </w:r>
      <w:r>
        <w:rPr>
          <w:sz w:val="20"/>
        </w:rPr>
        <w:t>(</w:t>
      </w:r>
      <w:r>
        <w:rPr>
          <w:color w:val="0563C1"/>
        </w:rPr>
        <w:t>bms.ofm.fbp@undp.org</w:t>
      </w:r>
      <w:r>
        <w:t xml:space="preserve">).  Dada la preferencia de los organismos de la ONU por las tarifas estandarizadas, las desviaciones solo se considerarán de manera excepcional sobre la base de información claramente justificada y articulada que haya sido debatida de antemano con el organismo del UNCT/solicitante. </w:t>
      </w:r>
    </w:p>
    <w:p w14:paraId="0870C80F" w14:textId="77777777" w:rsidR="003C66AF" w:rsidRPr="001F4C10" w:rsidRDefault="003C66AF" w:rsidP="003C66AF">
      <w:pPr>
        <w:spacing w:after="44" w:line="259" w:lineRule="auto"/>
        <w:ind w:left="720" w:right="0" w:firstLine="0"/>
        <w:jc w:val="left"/>
      </w:pPr>
      <w:r>
        <w:t xml:space="preserve"> </w:t>
      </w:r>
    </w:p>
    <w:p w14:paraId="69B78F9C" w14:textId="77777777" w:rsidR="003C66AF" w:rsidRPr="001F4C10" w:rsidRDefault="003C66AF" w:rsidP="003C66AF">
      <w:pPr>
        <w:numPr>
          <w:ilvl w:val="0"/>
          <w:numId w:val="1"/>
        </w:numPr>
        <w:ind w:right="0" w:hanging="360"/>
      </w:pPr>
      <w:r>
        <w:t xml:space="preserve">Como parte de su responsabilidad de supervisión, las direcciones regionales son responsables de supervisar la aplicación de las UPL por parte de las oficinas en el país y de evaluar las desviaciones propuestas. Una vez autorizada por la Dirección Regional, la desviación está sujeta a la aprobación de BMS/OFM. </w:t>
      </w:r>
    </w:p>
    <w:p w14:paraId="420D3B4C" w14:textId="77777777" w:rsidR="003C66AF" w:rsidRPr="001F4C10" w:rsidRDefault="003C66AF" w:rsidP="003C66AF">
      <w:pPr>
        <w:spacing w:after="0" w:line="259" w:lineRule="auto"/>
        <w:ind w:left="0" w:right="0" w:firstLine="0"/>
        <w:jc w:val="left"/>
      </w:pPr>
      <w:r>
        <w:t xml:space="preserve"> </w:t>
      </w:r>
    </w:p>
    <w:p w14:paraId="10A8B478" w14:textId="77777777" w:rsidR="003C66AF" w:rsidRPr="0099436D" w:rsidRDefault="003C66AF" w:rsidP="003C66AF">
      <w:pPr>
        <w:pStyle w:val="Heading1"/>
        <w:ind w:left="-5"/>
        <w:rPr>
          <w:rFonts w:ascii="Calibri" w:hAnsi="Calibri" w:cs="Calibri"/>
          <w:b/>
          <w:bCs/>
          <w:color w:val="auto"/>
          <w:sz w:val="24"/>
          <w:szCs w:val="24"/>
          <w:lang w:val="fr-FR" w:eastAsia="fr-FR" w:bidi="fr-FR"/>
        </w:rPr>
      </w:pPr>
      <w:r w:rsidRPr="0099436D">
        <w:rPr>
          <w:rFonts w:ascii="Calibri" w:hAnsi="Calibri" w:cs="Calibri"/>
          <w:b/>
          <w:bCs/>
          <w:color w:val="auto"/>
          <w:sz w:val="24"/>
          <w:szCs w:val="24"/>
          <w:lang w:val="fr-FR" w:eastAsia="fr-FR" w:bidi="fr-FR"/>
        </w:rPr>
        <w:lastRenderedPageBreak/>
        <w:t xml:space="preserve">Lista Local de </w:t>
      </w:r>
      <w:proofErr w:type="spellStart"/>
      <w:r w:rsidRPr="0099436D">
        <w:rPr>
          <w:rFonts w:ascii="Calibri" w:hAnsi="Calibri" w:cs="Calibri"/>
          <w:b/>
          <w:bCs/>
          <w:color w:val="auto"/>
          <w:sz w:val="24"/>
          <w:szCs w:val="24"/>
          <w:lang w:val="fr-FR" w:eastAsia="fr-FR" w:bidi="fr-FR"/>
        </w:rPr>
        <w:t>Precios</w:t>
      </w:r>
      <w:proofErr w:type="spellEnd"/>
      <w:r w:rsidRPr="0099436D">
        <w:rPr>
          <w:rFonts w:ascii="Calibri" w:hAnsi="Calibri" w:cs="Calibri"/>
          <w:b/>
          <w:bCs/>
          <w:color w:val="auto"/>
          <w:sz w:val="24"/>
          <w:szCs w:val="24"/>
          <w:lang w:val="fr-FR" w:eastAsia="fr-FR" w:bidi="fr-FR"/>
        </w:rPr>
        <w:t xml:space="preserve"> (LPL) </w:t>
      </w:r>
    </w:p>
    <w:p w14:paraId="33201B9D" w14:textId="77777777" w:rsidR="003C66AF" w:rsidRPr="001F4C10" w:rsidRDefault="003C66AF" w:rsidP="003C66AF">
      <w:pPr>
        <w:spacing w:after="18" w:line="259" w:lineRule="auto"/>
        <w:ind w:left="0" w:right="0" w:firstLine="0"/>
        <w:jc w:val="left"/>
      </w:pPr>
      <w:r>
        <w:t xml:space="preserve"> </w:t>
      </w:r>
    </w:p>
    <w:p w14:paraId="71D01C77" w14:textId="1A1F34FD" w:rsidR="003C66AF" w:rsidRPr="001F4C10" w:rsidRDefault="003C66AF" w:rsidP="003C66AF">
      <w:pPr>
        <w:numPr>
          <w:ilvl w:val="0"/>
          <w:numId w:val="1"/>
        </w:numPr>
        <w:ind w:right="0" w:hanging="360"/>
      </w:pPr>
      <w:r>
        <w:t xml:space="preserve">Además de los servicios estándares contenidos en la UPL, por lo general se solicita al PNUD que proporcione servicios adicionales que no están estandarizados en las diferentes oficinas en el país ni incluidos en la UPL. Como en el pasado, la provisión de servicios especiales o no estándares debe acordarse de manera local, con sujeción a las consideraciones de capacidad y cálculo de precios en el país antes de la provisión de servicios. Para recuperar los costos totales de estos servicios, la Oficina del PNUD puede establecer una Lista Local de Precios (LPL) para servicios recurrentes, que debe ser </w:t>
      </w:r>
      <w:r>
        <w:rPr>
          <w:b/>
        </w:rPr>
        <w:t>negociada y acordada localmente por los organismos participantes con antelación a la provisión de los servicios.</w:t>
      </w:r>
      <w:r>
        <w:t xml:space="preserve"> Se encuentra disponible una herramienta independiente para facilitar la formulación de precios locales, cuya negociación es responsabilidad de la oficina involucrada del PNUD con los organismos solicitantes/UNCT (véase </w:t>
      </w:r>
      <w:hyperlink r:id="rId13" w:history="1">
        <w:r w:rsidR="0014520E">
          <w:rPr>
            <w:rStyle w:val="Hyperlink"/>
          </w:rPr>
          <w:t>Oficina de Gestión de Recursos Financieros - Lista Universal de Precios (UPL) (en inglés)</w:t>
        </w:r>
      </w:hyperlink>
      <w:r>
        <w:t xml:space="preserve">). Los inductores de costos, como se indica en UPL más arriba, deben reflejarse en las LPL. </w:t>
      </w:r>
    </w:p>
    <w:p w14:paraId="57E0F78B" w14:textId="77777777" w:rsidR="003C66AF" w:rsidRPr="001F4C10" w:rsidRDefault="003C66AF" w:rsidP="003C66AF">
      <w:pPr>
        <w:spacing w:after="21" w:line="259" w:lineRule="auto"/>
        <w:ind w:left="720" w:right="0" w:firstLine="0"/>
        <w:jc w:val="left"/>
      </w:pPr>
      <w:r>
        <w:t xml:space="preserve"> </w:t>
      </w:r>
    </w:p>
    <w:p w14:paraId="6C856224" w14:textId="77777777" w:rsidR="003C66AF" w:rsidRPr="001F4C10" w:rsidRDefault="003C66AF" w:rsidP="003C66AF">
      <w:pPr>
        <w:numPr>
          <w:ilvl w:val="0"/>
          <w:numId w:val="1"/>
        </w:numPr>
        <w:spacing w:after="36"/>
        <w:ind w:right="0" w:hanging="360"/>
      </w:pPr>
      <w:r>
        <w:t xml:space="preserve">La recuperación de los costos de servicios de apoyo basada en porcentajes predeterminados puede garantizarse en ciertas circunstancias. Si bien estos casos no deben ser comunes, este tratamiento puede justificarse siempre que la oficina del PNUD haya realizado lo siguiente:  </w:t>
      </w:r>
    </w:p>
    <w:p w14:paraId="5412E654" w14:textId="77777777" w:rsidR="003C66AF" w:rsidRPr="001F4C10" w:rsidRDefault="003C66AF" w:rsidP="003C66AF">
      <w:pPr>
        <w:numPr>
          <w:ilvl w:val="1"/>
          <w:numId w:val="3"/>
        </w:numPr>
        <w:ind w:right="0" w:hanging="396"/>
      </w:pPr>
      <w:r>
        <w:t xml:space="preserve">calculado y documentado su determinación del cargo basado en el porcentaje; </w:t>
      </w:r>
    </w:p>
    <w:p w14:paraId="741B0A0A" w14:textId="77777777" w:rsidR="003C66AF" w:rsidRPr="001F4C10" w:rsidRDefault="003C66AF" w:rsidP="003C66AF">
      <w:pPr>
        <w:numPr>
          <w:ilvl w:val="1"/>
          <w:numId w:val="3"/>
        </w:numPr>
        <w:ind w:right="0" w:hanging="396"/>
      </w:pPr>
      <w:r>
        <w:t xml:space="preserve">revisado su adecuación en forma periódica; y </w:t>
      </w:r>
    </w:p>
    <w:p w14:paraId="4C5D268E" w14:textId="77777777" w:rsidR="003C66AF" w:rsidRPr="001F4C10" w:rsidRDefault="003C66AF" w:rsidP="003C66AF">
      <w:pPr>
        <w:numPr>
          <w:ilvl w:val="1"/>
          <w:numId w:val="3"/>
        </w:numPr>
        <w:ind w:right="0" w:hanging="396"/>
      </w:pPr>
      <w:r>
        <w:t xml:space="preserve">consultado con antelación con los asociados sobre el enfoque. </w:t>
      </w:r>
    </w:p>
    <w:p w14:paraId="2C9CF86B" w14:textId="77777777" w:rsidR="003C66AF" w:rsidRPr="001F4C10" w:rsidRDefault="003C66AF" w:rsidP="003C66AF">
      <w:pPr>
        <w:spacing w:after="22" w:line="259" w:lineRule="auto"/>
        <w:ind w:left="0" w:right="0" w:firstLine="0"/>
        <w:jc w:val="left"/>
      </w:pPr>
      <w:r>
        <w:t xml:space="preserve"> </w:t>
      </w:r>
    </w:p>
    <w:p w14:paraId="1CF2EAC1" w14:textId="77777777" w:rsidR="003C66AF" w:rsidRPr="001F4C10" w:rsidRDefault="003C66AF" w:rsidP="003C66AF">
      <w:pPr>
        <w:numPr>
          <w:ilvl w:val="0"/>
          <w:numId w:val="1"/>
        </w:numPr>
        <w:spacing w:after="35"/>
        <w:ind w:right="0" w:hanging="360"/>
      </w:pPr>
      <w:r>
        <w:t xml:space="preserve">Los siguientes servicios se consideran no estándares: </w:t>
      </w:r>
    </w:p>
    <w:p w14:paraId="2E24A556" w14:textId="77777777" w:rsidR="003C66AF" w:rsidRPr="001F4C10" w:rsidRDefault="003C66AF" w:rsidP="003C66AF">
      <w:pPr>
        <w:numPr>
          <w:ilvl w:val="1"/>
          <w:numId w:val="3"/>
        </w:numPr>
        <w:ind w:right="0" w:hanging="396"/>
      </w:pPr>
      <w:r>
        <w:t xml:space="preserve">La UPL no cubre servicios especializados o especiales prestados a nivel local.  </w:t>
      </w:r>
    </w:p>
    <w:p w14:paraId="4EE7A90F" w14:textId="77777777" w:rsidR="003C66AF" w:rsidRPr="001F4C10" w:rsidRDefault="003C66AF" w:rsidP="003C66AF">
      <w:pPr>
        <w:numPr>
          <w:ilvl w:val="1"/>
          <w:numId w:val="3"/>
        </w:numPr>
        <w:ind w:right="0" w:hanging="396"/>
      </w:pPr>
      <w:r>
        <w:t xml:space="preserve">La UPL no cubre servicios locales relacionados con la seguridad que pueden ser necesarios en ciertos países sin servicios bancarios. </w:t>
      </w:r>
    </w:p>
    <w:p w14:paraId="284D95F8" w14:textId="77777777" w:rsidR="003C66AF" w:rsidRPr="001F4C10" w:rsidRDefault="003C66AF" w:rsidP="003C66AF">
      <w:pPr>
        <w:spacing w:after="22" w:line="259" w:lineRule="auto"/>
        <w:ind w:left="1080" w:right="0" w:firstLine="0"/>
        <w:jc w:val="left"/>
      </w:pPr>
      <w:r>
        <w:t xml:space="preserve"> </w:t>
      </w:r>
    </w:p>
    <w:p w14:paraId="437F05B0" w14:textId="77777777" w:rsidR="003C66AF" w:rsidRDefault="003C66AF" w:rsidP="003C66AF">
      <w:pPr>
        <w:numPr>
          <w:ilvl w:val="0"/>
          <w:numId w:val="1"/>
        </w:numPr>
        <w:spacing w:after="38"/>
        <w:ind w:right="0" w:hanging="360"/>
      </w:pPr>
      <w:r>
        <w:t xml:space="preserve">Tanto los servicios especiales como los servicios locales de seguridad, y sus costos estimados, deben estar cubiertos a través de acuerdos negociados a nivel local entre las oficinas del PNUD y los organismos correspondientes de la ONU.  </w:t>
      </w:r>
    </w:p>
    <w:p w14:paraId="7B0A0C6C" w14:textId="77777777" w:rsidR="003C66AF" w:rsidRPr="001F4C10" w:rsidRDefault="003C66AF" w:rsidP="003C66AF">
      <w:pPr>
        <w:spacing w:after="38"/>
        <w:ind w:left="705" w:right="0" w:firstLine="0"/>
      </w:pPr>
    </w:p>
    <w:p w14:paraId="4B8B831F" w14:textId="77777777" w:rsidR="003C66AF" w:rsidRPr="001F4C10" w:rsidRDefault="003C66AF" w:rsidP="003C66AF">
      <w:pPr>
        <w:numPr>
          <w:ilvl w:val="0"/>
          <w:numId w:val="1"/>
        </w:numPr>
        <w:spacing w:after="38"/>
        <w:ind w:right="0" w:hanging="360"/>
      </w:pPr>
      <w:r>
        <w:t xml:space="preserve">Las solicitudes de servicios en las siguientes circunstancias excepcionales están sujetas a un recargo del 25 % (recargo del 50 % vigente desde el 1 de enero de 2016) sobre el costo/el precio estándar: </w:t>
      </w:r>
    </w:p>
    <w:p w14:paraId="423207B7" w14:textId="77777777" w:rsidR="003C66AF" w:rsidRPr="001F4C10" w:rsidRDefault="003C66AF" w:rsidP="003C66AF">
      <w:pPr>
        <w:numPr>
          <w:ilvl w:val="1"/>
          <w:numId w:val="3"/>
        </w:numPr>
        <w:ind w:right="0" w:hanging="396"/>
      </w:pPr>
      <w:r>
        <w:t xml:space="preserve">Solicitudes urgentes que requieren un plazo de ejecución de menos de 3 días hábiles. </w:t>
      </w:r>
    </w:p>
    <w:p w14:paraId="145ECDF3" w14:textId="77777777" w:rsidR="003C66AF" w:rsidRPr="001F4C10" w:rsidRDefault="003C66AF" w:rsidP="003C66AF">
      <w:pPr>
        <w:numPr>
          <w:ilvl w:val="1"/>
          <w:numId w:val="3"/>
        </w:numPr>
        <w:ind w:right="0" w:hanging="396"/>
      </w:pPr>
      <w:r>
        <w:t xml:space="preserve">Solicitudes de servicios antes o después del horario de trabajo normal. </w:t>
      </w:r>
    </w:p>
    <w:p w14:paraId="140FAE49" w14:textId="77777777" w:rsidR="003C66AF" w:rsidRPr="001F4C10" w:rsidRDefault="003C66AF" w:rsidP="003C66AF">
      <w:pPr>
        <w:numPr>
          <w:ilvl w:val="1"/>
          <w:numId w:val="3"/>
        </w:numPr>
        <w:spacing w:after="38"/>
        <w:ind w:right="0" w:hanging="396"/>
      </w:pPr>
      <w:r>
        <w:t xml:space="preserve">Cuando la parte del proceso de adquisición que ocurre fuera de Quantum es de una naturaleza claramente compleja (especial) que involucra procesos de especializados de gestión de la cadena de suministro, personal de adquisiciones especializado, etc., las oficinas deben determinar el costo real del ejercicio y llegar a un acuerdo sobre la recuperación total de gastos. Deberá considerarse cargar el costo de componentes específicos (p. ej., personal especializado), en forma total o parcial, al presupuesto del proyecto como insumo directo para la ejecución del proyecto (es decir, tasas vigentes y transparentes negociadas utilizando la UPL como referencia). </w:t>
      </w:r>
    </w:p>
    <w:p w14:paraId="389DD32D" w14:textId="77777777" w:rsidR="003C66AF" w:rsidRPr="001F4C10" w:rsidRDefault="003C66AF" w:rsidP="003C66AF">
      <w:pPr>
        <w:numPr>
          <w:ilvl w:val="1"/>
          <w:numId w:val="3"/>
        </w:numPr>
        <w:ind w:right="0" w:hanging="396"/>
      </w:pPr>
      <w:r>
        <w:lastRenderedPageBreak/>
        <w:t>Si, debido a su tamaño y/o complejidad, un proceso de adquisición debe presentarse a un Comité Consultivo sobre Adquisiciones (ACP) Regional (o a un ACP ordinario), deberá tratarse como un servicio</w:t>
      </w:r>
      <w:r>
        <w:rPr>
          <w:i/>
        </w:rPr>
        <w:t xml:space="preserve"> </w:t>
      </w:r>
      <w:r>
        <w:t xml:space="preserve">especial sujeto a la recuperación total de gastos a las tasas de mercado vigentes y transparentes. </w:t>
      </w:r>
    </w:p>
    <w:p w14:paraId="19BB4914" w14:textId="77777777" w:rsidR="003C66AF" w:rsidRPr="001F4C10" w:rsidRDefault="003C66AF" w:rsidP="003C66AF">
      <w:pPr>
        <w:spacing w:after="20" w:line="259" w:lineRule="auto"/>
        <w:ind w:left="1080" w:right="0" w:firstLine="0"/>
        <w:jc w:val="left"/>
      </w:pPr>
      <w:r>
        <w:t xml:space="preserve"> </w:t>
      </w:r>
    </w:p>
    <w:p w14:paraId="40EF550A" w14:textId="77777777" w:rsidR="003C66AF" w:rsidRPr="001F4C10" w:rsidRDefault="003C66AF" w:rsidP="003C66AF">
      <w:pPr>
        <w:numPr>
          <w:ilvl w:val="0"/>
          <w:numId w:val="1"/>
        </w:numPr>
        <w:ind w:right="0" w:hanging="360"/>
      </w:pPr>
      <w:r>
        <w:t>Si la oficina del PNUD determina que la UPL no cubre la totalidad de los costos para la prestación de servicios estándares, puede establecer también una Lista Local de Precios (LPL) para estos servicios, que deberá negociarse y acordarse localmente entre los organismos participantes con anticipación a la provisión de los servicios. Las desviaciones de las tarifas publicadas en la UPL para los servicios estándares de la UPL son excepcionales y están sujetas a la aprobación previa de BMS/OFM (</w:t>
      </w:r>
      <w:r>
        <w:rPr>
          <w:color w:val="0563C1"/>
        </w:rPr>
        <w:t>bms.ofm.fbp@undp.org</w:t>
      </w:r>
      <w:r>
        <w:t xml:space="preserve">). </w:t>
      </w:r>
    </w:p>
    <w:p w14:paraId="389E3321" w14:textId="77777777" w:rsidR="003C66AF" w:rsidRPr="001F4C10" w:rsidRDefault="003C66AF" w:rsidP="003C66AF">
      <w:pPr>
        <w:spacing w:after="22" w:line="259" w:lineRule="auto"/>
        <w:ind w:left="720" w:right="0" w:firstLine="0"/>
        <w:jc w:val="left"/>
      </w:pPr>
      <w:r>
        <w:t xml:space="preserve"> </w:t>
      </w:r>
    </w:p>
    <w:p w14:paraId="281C524E" w14:textId="77777777" w:rsidR="003C66AF" w:rsidRPr="001F4C10" w:rsidRDefault="003C66AF" w:rsidP="003C66AF">
      <w:pPr>
        <w:numPr>
          <w:ilvl w:val="0"/>
          <w:numId w:val="1"/>
        </w:numPr>
        <w:ind w:right="0" w:hanging="360"/>
      </w:pPr>
      <w:r>
        <w:t xml:space="preserve">Cuando los costos no puedan recuperarse totalmente para los servicios no estándares, la oficina del PNUD puede negarse a prestar los servicios. Dentro de los parámetros de las políticas y los procedimientos del PNUD, como se expresa en este capítulo de las POPP, las oficinas del PNUD no deben negarse a prestar servicios a </w:t>
      </w:r>
      <w:r>
        <w:rPr>
          <w:b/>
        </w:rPr>
        <w:t>las Agencias que utilizan Quantum</w:t>
      </w:r>
      <w:r>
        <w:t xml:space="preserve"> sin la aprobación de BMS/OFM (</w:t>
      </w:r>
      <w:r>
        <w:rPr>
          <w:color w:val="0563C1"/>
        </w:rPr>
        <w:t>bms.ofm.fbp@undp.org</w:t>
      </w:r>
      <w:r>
        <w:t xml:space="preserve">).  </w:t>
      </w:r>
    </w:p>
    <w:p w14:paraId="618E4197" w14:textId="77777777" w:rsidR="003C66AF" w:rsidRPr="001F4C10" w:rsidRDefault="003C66AF" w:rsidP="003C66AF">
      <w:pPr>
        <w:spacing w:after="43" w:line="259" w:lineRule="auto"/>
        <w:ind w:left="720" w:right="0" w:firstLine="0"/>
        <w:jc w:val="left"/>
      </w:pPr>
      <w:r>
        <w:rPr>
          <w:b/>
        </w:rPr>
        <w:t xml:space="preserve"> </w:t>
      </w:r>
    </w:p>
    <w:p w14:paraId="29773418" w14:textId="77777777" w:rsidR="003C66AF" w:rsidRPr="001F4C10" w:rsidRDefault="003C66AF" w:rsidP="003C66AF">
      <w:pPr>
        <w:numPr>
          <w:ilvl w:val="0"/>
          <w:numId w:val="1"/>
        </w:numPr>
        <w:spacing w:after="36"/>
        <w:ind w:right="0" w:hanging="360"/>
      </w:pPr>
      <w:r>
        <w:t xml:space="preserve">Los </w:t>
      </w:r>
      <w:r w:rsidRPr="008B7B01">
        <w:rPr>
          <w:b/>
          <w:bCs/>
        </w:rPr>
        <w:t xml:space="preserve">Servicios de </w:t>
      </w:r>
      <w:r>
        <w:rPr>
          <w:b/>
          <w:bCs/>
        </w:rPr>
        <w:t>A</w:t>
      </w:r>
      <w:r w:rsidRPr="008B7B01">
        <w:rPr>
          <w:b/>
          <w:bCs/>
        </w:rPr>
        <w:t xml:space="preserve">poyo a la </w:t>
      </w:r>
      <w:r>
        <w:rPr>
          <w:b/>
          <w:bCs/>
        </w:rPr>
        <w:t>P</w:t>
      </w:r>
      <w:r w:rsidRPr="008B7B01">
        <w:rPr>
          <w:b/>
          <w:bCs/>
        </w:rPr>
        <w:t>restación</w:t>
      </w:r>
      <w:r>
        <w:rPr>
          <w:b/>
          <w:bCs/>
        </w:rPr>
        <w:t xml:space="preserve"> </w:t>
      </w:r>
      <w:r>
        <w:t xml:space="preserve">antes conocidos </w:t>
      </w:r>
      <w:proofErr w:type="gramStart"/>
      <w:r>
        <w:t xml:space="preserve">como </w:t>
      </w:r>
      <w:r w:rsidRPr="008B7B01">
        <w:rPr>
          <w:b/>
          <w:bCs/>
        </w:rPr>
        <w:t xml:space="preserve"> </w:t>
      </w:r>
      <w:r w:rsidRPr="00C74DD7">
        <w:rPr>
          <w:b/>
        </w:rPr>
        <w:t>Costos</w:t>
      </w:r>
      <w:proofErr w:type="gramEnd"/>
      <w:r w:rsidRPr="00C74DD7">
        <w:rPr>
          <w:b/>
        </w:rPr>
        <w:t xml:space="preserve"> Directos del Proyecto</w:t>
      </w:r>
      <w:r>
        <w:rPr>
          <w:b/>
        </w:rPr>
        <w:t xml:space="preserve"> </w:t>
      </w:r>
      <w:r w:rsidRPr="00377BB2">
        <w:t xml:space="preserve">(DPC, Direct Project </w:t>
      </w:r>
      <w:proofErr w:type="spellStart"/>
      <w:r w:rsidRPr="00377BB2">
        <w:t>Costs</w:t>
      </w:r>
      <w:proofErr w:type="spellEnd"/>
      <w:r w:rsidRPr="00377BB2">
        <w:t xml:space="preserve">, por sus siglas en </w:t>
      </w:r>
      <w:proofErr w:type="gramStart"/>
      <w:r w:rsidRPr="00377BB2">
        <w:t>inglés)</w:t>
      </w:r>
      <w:r w:rsidRPr="00C74DD7" w:rsidDel="00C74DD7">
        <w:rPr>
          <w:b/>
        </w:rPr>
        <w:t xml:space="preserve"> </w:t>
      </w:r>
      <w:r>
        <w:rPr>
          <w:b/>
        </w:rPr>
        <w:t xml:space="preserve"> </w:t>
      </w:r>
      <w:r>
        <w:t>incluyen</w:t>
      </w:r>
      <w:proofErr w:type="gramEnd"/>
      <w:r>
        <w:t xml:space="preserve"> los costos de las actividades de ejecución y apoyo a la ejecución de programas incurridos por el PNUD para apoyar la ejecución de los proyectos. El cálculo de los precios de los insumos para los proyectos y los programas del PNUD debe basarse en los costos reales para servicios claramente identificables. Hay tres opciones principales para ejecutar los DPC: </w:t>
      </w:r>
    </w:p>
    <w:p w14:paraId="5D164852" w14:textId="77777777" w:rsidR="003C66AF" w:rsidRPr="001F4C10" w:rsidRDefault="003C66AF" w:rsidP="003C66AF">
      <w:pPr>
        <w:numPr>
          <w:ilvl w:val="1"/>
          <w:numId w:val="3"/>
        </w:numPr>
        <w:ind w:right="0" w:hanging="396"/>
      </w:pPr>
      <w:r>
        <w:t xml:space="preserve">Aplicación de los resultados del estudio del volumen de trabajo de la oficina en el país, combinados con múltiples líneas de financiación para los puestos </w:t>
      </w:r>
    </w:p>
    <w:p w14:paraId="3AE15632" w14:textId="77777777" w:rsidR="003C66AF" w:rsidRPr="001F4C10" w:rsidRDefault="003C66AF" w:rsidP="003C66AF">
      <w:pPr>
        <w:numPr>
          <w:ilvl w:val="1"/>
          <w:numId w:val="3"/>
        </w:numPr>
        <w:spacing w:after="36"/>
        <w:ind w:right="0" w:hanging="396"/>
      </w:pPr>
      <w:r>
        <w:t xml:space="preserve">Aplicación de las Listas Universales de Pecios (UPL) o una Lista Local de Precios (LPL) para la recuperación de costos transaccionales </w:t>
      </w:r>
    </w:p>
    <w:p w14:paraId="71B47EEC" w14:textId="77777777" w:rsidR="003C66AF" w:rsidRPr="001F4C10" w:rsidRDefault="003C66AF" w:rsidP="003C66AF">
      <w:pPr>
        <w:numPr>
          <w:ilvl w:val="1"/>
          <w:numId w:val="3"/>
        </w:numPr>
        <w:ind w:right="0" w:hanging="396"/>
      </w:pPr>
      <w:r>
        <w:t xml:space="preserve">Creación y gestión de un proyecto de DPC independiente. </w:t>
      </w:r>
    </w:p>
    <w:p w14:paraId="34761DDE" w14:textId="77777777" w:rsidR="003C66AF" w:rsidRPr="001F4C10" w:rsidRDefault="003C66AF" w:rsidP="003C66AF">
      <w:pPr>
        <w:spacing w:after="20" w:line="259" w:lineRule="auto"/>
        <w:ind w:left="0" w:right="0" w:firstLine="0"/>
        <w:jc w:val="left"/>
      </w:pPr>
      <w:r>
        <w:t xml:space="preserve"> </w:t>
      </w:r>
    </w:p>
    <w:p w14:paraId="3264AA7C" w14:textId="77777777" w:rsidR="003C66AF" w:rsidRPr="001F4C10" w:rsidRDefault="003C66AF" w:rsidP="003C66AF">
      <w:pPr>
        <w:numPr>
          <w:ilvl w:val="0"/>
          <w:numId w:val="1"/>
        </w:numPr>
        <w:ind w:right="0" w:hanging="360"/>
        <w:rPr>
          <w:color w:val="0070C0"/>
        </w:rPr>
      </w:pPr>
      <w:r>
        <w:t xml:space="preserve">La opción de UPL/LPL puede ser recomendable para el personal de apoyo a las operaciones que presta servicios para una gama completa de proyectos de las oficinas en el país (a diferencia del personal de los programas que, por lo general, brinda apoyo para una cartera más estrecha de proyectos limitados). Las tarifas de estos servicios ya no se acreditan como ingresos extrapresupuestarios. Véase </w:t>
      </w:r>
      <w:hyperlink r:id="rId14" w:history="1">
        <w:r w:rsidRPr="00583C4F">
          <w:rPr>
            <w:rStyle w:val="Hyperlink"/>
          </w:rPr>
          <w:t>P</w:t>
        </w:r>
        <w:r>
          <w:rPr>
            <w:rStyle w:val="Hyperlink"/>
          </w:rPr>
          <w:t>lanificación y pago de la prestación de servicios de apoyo a proyectos</w:t>
        </w:r>
      </w:hyperlink>
      <w:r>
        <w:t xml:space="preserve"> y </w:t>
      </w:r>
      <w:hyperlink r:id="rId15" w:history="1">
        <w:r w:rsidRPr="00013B8F">
          <w:rPr>
            <w:rStyle w:val="Hyperlink"/>
          </w:rPr>
          <w:t>U</w:t>
        </w:r>
        <w:r>
          <w:rPr>
            <w:rStyle w:val="Hyperlink"/>
          </w:rPr>
          <w:t>tilización</w:t>
        </w:r>
        <w:r w:rsidRPr="00013B8F">
          <w:rPr>
            <w:rStyle w:val="Hyperlink"/>
          </w:rPr>
          <w:t xml:space="preserve"> de la Lista Universal de Precios (UPL) o de una Lista Local de Precios (LPL) para la Atribución de los Costos Directos del Proyecto.</w:t>
        </w:r>
      </w:hyperlink>
      <w:r>
        <w:rPr>
          <w:color w:val="0070C0"/>
        </w:rPr>
        <w:t xml:space="preserve">  </w:t>
      </w:r>
    </w:p>
    <w:p w14:paraId="5AED32E8" w14:textId="77777777" w:rsidR="003C66AF" w:rsidRPr="001F4C10" w:rsidRDefault="003C66AF" w:rsidP="003C66AF">
      <w:pPr>
        <w:spacing w:after="21" w:line="259" w:lineRule="auto"/>
        <w:ind w:left="720" w:right="0" w:firstLine="0"/>
        <w:jc w:val="left"/>
      </w:pPr>
      <w:r>
        <w:t xml:space="preserve"> </w:t>
      </w:r>
    </w:p>
    <w:p w14:paraId="58C6E2A5" w14:textId="77777777" w:rsidR="003C66AF" w:rsidRPr="001F4C10" w:rsidRDefault="003C66AF" w:rsidP="003C66AF">
      <w:pPr>
        <w:numPr>
          <w:ilvl w:val="0"/>
          <w:numId w:val="1"/>
        </w:numPr>
        <w:ind w:right="0" w:hanging="360"/>
      </w:pPr>
      <w:r>
        <w:t xml:space="preserve">Los </w:t>
      </w:r>
      <w:r>
        <w:rPr>
          <w:b/>
        </w:rPr>
        <w:t xml:space="preserve">Servicios Comunes/Compartidos </w:t>
      </w:r>
      <w:r>
        <w:t xml:space="preserve">se relacionan en su mayoría con instalaciones comunes y servicios relacionados acordados en forma local entre organismos residentes de la ONU. El costo de los servicios comunes/compartidos se divide de manera proporcional entre los organismos participantes. Según los acuerdos con los organismos residentes de la ONU, las oficinas en el país del PNUD pueden brindar cualquier servicio como servicio común o compartido si las condiciones locales de servicio son adecuadas. Debe destacarse en este contexto que el enfoque de servicios comunes/compartidos es el enfoque preferido para la provisión efectiva de servicios locales en el </w:t>
      </w:r>
      <w:r>
        <w:lastRenderedPageBreak/>
        <w:t xml:space="preserve">sistema de la ONU. (Consulte la </w:t>
      </w:r>
      <w:hyperlink r:id="rId16" w:history="1">
        <w:r w:rsidRPr="000B3A52">
          <w:rPr>
            <w:rStyle w:val="Hyperlink"/>
          </w:rPr>
          <w:t>POPP sobre Recuperación de Costos de Organismos a Nivel de la Oficina en el País</w:t>
        </w:r>
      </w:hyperlink>
      <w:r>
        <w:t xml:space="preserve"> y las Pautas para Servicios Comunes y Compartidos). Sin embargo, cuando no haya un acuerdo local con los organismos residentes de la ONU, la UPL es el mecanismo predeterminado para imponer los cargos para todos los servicios estandarizados. Todos los costos asociados con la gestión de los Servicios Comunes/Compartidos deben reembolsarse completamente a través de la UPL o la LPL. </w:t>
      </w:r>
    </w:p>
    <w:p w14:paraId="60F1B127" w14:textId="77777777" w:rsidR="003C66AF" w:rsidRPr="001F4C10" w:rsidRDefault="003C66AF" w:rsidP="003C66AF">
      <w:pPr>
        <w:spacing w:after="51" w:line="259" w:lineRule="auto"/>
        <w:ind w:left="720" w:right="0" w:firstLine="0"/>
        <w:jc w:val="left"/>
      </w:pPr>
      <w:r>
        <w:t xml:space="preserve"> </w:t>
      </w:r>
    </w:p>
    <w:p w14:paraId="3325FD82" w14:textId="77777777" w:rsidR="003C66AF" w:rsidRPr="001F4C10" w:rsidRDefault="003C66AF" w:rsidP="003C66AF">
      <w:pPr>
        <w:numPr>
          <w:ilvl w:val="0"/>
          <w:numId w:val="1"/>
        </w:numPr>
        <w:spacing w:after="31"/>
        <w:ind w:right="0" w:hanging="360"/>
      </w:pPr>
      <w:r>
        <w:t>Para resumir los párrafos anteriores, se requiere la autorización específica de BMS/OFM (</w:t>
      </w:r>
      <w:r>
        <w:rPr>
          <w:color w:val="0563C1"/>
        </w:rPr>
        <w:t>bms.ofm.fbp@undp.org</w:t>
      </w:r>
      <w:r>
        <w:t xml:space="preserve">) en las siguientes circunstancias: </w:t>
      </w:r>
    </w:p>
    <w:p w14:paraId="537B43FC" w14:textId="77777777" w:rsidR="003C66AF" w:rsidRPr="001F4C10" w:rsidRDefault="003C66AF" w:rsidP="003C66AF">
      <w:pPr>
        <w:numPr>
          <w:ilvl w:val="1"/>
          <w:numId w:val="3"/>
        </w:numPr>
        <w:ind w:right="0" w:hanging="396"/>
      </w:pPr>
      <w:r>
        <w:t xml:space="preserve">Las oficinas del PNUD no deben negarse a prestar servicios a </w:t>
      </w:r>
      <w:r>
        <w:rPr>
          <w:b/>
        </w:rPr>
        <w:t>las Agencias que utilizan Quantum</w:t>
      </w:r>
      <w:r>
        <w:t xml:space="preserve"> sin la aprobación de la OGRF de la DG.  </w:t>
      </w:r>
    </w:p>
    <w:p w14:paraId="3AEBF9A2" w14:textId="77777777" w:rsidR="003C66AF" w:rsidRPr="001F4C10" w:rsidRDefault="003C66AF" w:rsidP="003C66AF">
      <w:pPr>
        <w:numPr>
          <w:ilvl w:val="1"/>
          <w:numId w:val="3"/>
        </w:numPr>
        <w:ind w:right="0" w:hanging="396"/>
      </w:pPr>
      <w:r>
        <w:t xml:space="preserve">Las desviaciones de las tarifas publicadas en la UPL para los servicios </w:t>
      </w:r>
      <w:r>
        <w:rPr>
          <w:b/>
        </w:rPr>
        <w:t>estándares</w:t>
      </w:r>
      <w:r>
        <w:t xml:space="preserve"> de la UPL están sujetas a la aprobación de </w:t>
      </w:r>
      <w:proofErr w:type="spellStart"/>
      <w:r>
        <w:t>lBMS</w:t>
      </w:r>
      <w:proofErr w:type="spellEnd"/>
      <w:r>
        <w:t xml:space="preserve">/OFM </w:t>
      </w:r>
      <w:r>
        <w:rPr>
          <w:color w:val="0563C1"/>
        </w:rPr>
        <w:t>(bms.ofm.fbp@undp.org</w:t>
      </w:r>
      <w:r>
        <w:t xml:space="preserve">). </w:t>
      </w:r>
    </w:p>
    <w:p w14:paraId="09D48296" w14:textId="77777777" w:rsidR="003C66AF" w:rsidRPr="001F4C10" w:rsidRDefault="003C66AF" w:rsidP="003C66AF">
      <w:pPr>
        <w:spacing w:after="20" w:line="259" w:lineRule="auto"/>
        <w:ind w:left="1080" w:right="0" w:firstLine="0"/>
        <w:jc w:val="left"/>
      </w:pPr>
      <w:r>
        <w:t xml:space="preserve"> </w:t>
      </w:r>
    </w:p>
    <w:p w14:paraId="38A279F4" w14:textId="77777777" w:rsidR="003C66AF" w:rsidRDefault="003C66AF" w:rsidP="003C66AF">
      <w:pPr>
        <w:numPr>
          <w:ilvl w:val="0"/>
          <w:numId w:val="1"/>
        </w:numPr>
        <w:ind w:right="0" w:hanging="360"/>
      </w:pPr>
      <w:r>
        <w:t xml:space="preserve">La recuperación de costos de las oficinas del PNUD para los servicios prestados a VNU se cubren en la </w:t>
      </w:r>
      <w:hyperlink r:id="rId17" w:history="1">
        <w:r w:rsidRPr="000B3A52">
          <w:rPr>
            <w:rStyle w:val="Hyperlink"/>
          </w:rPr>
          <w:t>nota orientativa</w:t>
        </w:r>
      </w:hyperlink>
      <w:r>
        <w:t xml:space="preserve"> adjunta. </w:t>
      </w:r>
    </w:p>
    <w:p w14:paraId="4C2D47BA" w14:textId="77777777" w:rsidR="003C66AF" w:rsidRDefault="003C66AF" w:rsidP="003C66AF">
      <w:pPr>
        <w:ind w:left="705" w:right="0" w:firstLine="0"/>
      </w:pPr>
    </w:p>
    <w:p w14:paraId="00258C5B" w14:textId="77777777" w:rsidR="003C66AF" w:rsidRDefault="003C66AF" w:rsidP="003C66AF">
      <w:pPr>
        <w:numPr>
          <w:ilvl w:val="0"/>
          <w:numId w:val="1"/>
        </w:numPr>
        <w:ind w:right="0" w:hanging="360"/>
      </w:pPr>
      <w:r w:rsidRPr="00CD1C20">
        <w:rPr>
          <w:lang w:val="es-ES_tradnl"/>
        </w:rPr>
        <w:t>La Nota de Asesoría de 2016 para los Fondos de Costo Compartido de UNDG para el Sistema de RC que rige los acuerdos administrativos para las RCO en todo el mundo, a partir del 1 de enero de 2019, ha sido revocada y ya no es aplicable. Todas las posiciones y procesos financiados para las RCO de fuentes distintas al SPTF estarán sujetas a las políticas normales de recuperación de costos del PNUD. Por consiguiente, se debe hacer una provisión presupuestaria dentro de los respectivos presupuestos RCO no SPTF para costos directos, indirectos y operativos, por ejemplo, espacio de oficina, equipo, recuperación de costos (GMS) y UPL / LPL según corresponda.</w:t>
      </w:r>
      <w:r>
        <w:t xml:space="preserve"> </w:t>
      </w:r>
    </w:p>
    <w:p w14:paraId="3B86341C" w14:textId="77777777" w:rsidR="003C66AF" w:rsidRDefault="003C66AF" w:rsidP="003C66AF">
      <w:pPr>
        <w:ind w:left="705" w:right="0" w:firstLine="0"/>
      </w:pPr>
    </w:p>
    <w:p w14:paraId="2689E0BB" w14:textId="77777777" w:rsidR="003C66AF" w:rsidRDefault="003C66AF" w:rsidP="003C66AF">
      <w:pPr>
        <w:ind w:left="705" w:right="0" w:firstLine="0"/>
        <w:rPr>
          <w:lang w:val="es-ES_tradnl"/>
        </w:rPr>
      </w:pPr>
      <w:r w:rsidRPr="00CD1C20">
        <w:rPr>
          <w:lang w:val="es-ES_tradnl"/>
        </w:rPr>
        <w:t>Las tarifas de UPL / LPL para el soporte de RC se aplican a:</w:t>
      </w:r>
    </w:p>
    <w:p w14:paraId="127F1D89" w14:textId="77777777" w:rsidR="003C66AF" w:rsidRPr="00377BB2" w:rsidRDefault="003C66AF" w:rsidP="003C66AF">
      <w:pPr>
        <w:ind w:left="705" w:right="0" w:firstLine="0"/>
      </w:pPr>
    </w:p>
    <w:p w14:paraId="319CBBB4" w14:textId="77777777" w:rsidR="003C66AF" w:rsidRPr="008A4622" w:rsidRDefault="003C66AF" w:rsidP="003C66AF">
      <w:pPr>
        <w:pStyle w:val="ListParagraph"/>
        <w:numPr>
          <w:ilvl w:val="0"/>
          <w:numId w:val="4"/>
        </w:numPr>
        <w:rPr>
          <w:lang w:val="es-ES_tradnl"/>
        </w:rPr>
      </w:pPr>
      <w:r w:rsidRPr="008A4622">
        <w:rPr>
          <w:lang w:val="es-ES_tradnl"/>
        </w:rPr>
        <w:t>La campaña de reclutamiento bajo la Actividad 5 (Fondo 13816) - Las tarifas de UPL / LPL por los costos directos del PNUD para apoyar el reclutamiento se aplican además de los GMS;</w:t>
      </w:r>
    </w:p>
    <w:p w14:paraId="64D9C54D" w14:textId="77777777" w:rsidR="003C66AF" w:rsidRPr="008A4622" w:rsidRDefault="003C66AF" w:rsidP="003C66AF">
      <w:pPr>
        <w:pStyle w:val="ListParagraph"/>
        <w:ind w:firstLine="0"/>
        <w:rPr>
          <w:lang w:val="es-ES_tradnl"/>
        </w:rPr>
      </w:pPr>
    </w:p>
    <w:p w14:paraId="1172FDCE" w14:textId="77777777" w:rsidR="003C66AF" w:rsidRPr="008A4622" w:rsidRDefault="003C66AF" w:rsidP="003C66AF">
      <w:pPr>
        <w:pStyle w:val="ListParagraph"/>
        <w:numPr>
          <w:ilvl w:val="0"/>
          <w:numId w:val="4"/>
        </w:numPr>
        <w:rPr>
          <w:lang w:val="es-ES_tradnl"/>
        </w:rPr>
      </w:pPr>
      <w:r w:rsidRPr="008A4622">
        <w:rPr>
          <w:lang w:val="es-ES_tradnl"/>
        </w:rPr>
        <w:t>El fondo de coordinación en la Actividad 7 (fondo 13825): los costos directos del PNUD asociados con el apoyo a las actividades del Fondo de coordinación se recuperarán completamente utilizando el UPL / LPL;</w:t>
      </w:r>
    </w:p>
    <w:p w14:paraId="037F91B8" w14:textId="77777777" w:rsidR="003C66AF" w:rsidRPr="008A4622" w:rsidRDefault="003C66AF" w:rsidP="003C66AF">
      <w:pPr>
        <w:pStyle w:val="ListParagraph"/>
        <w:ind w:firstLine="0"/>
        <w:rPr>
          <w:lang w:val="es-ES_tradnl"/>
        </w:rPr>
      </w:pPr>
    </w:p>
    <w:p w14:paraId="5005F711" w14:textId="77777777" w:rsidR="003C66AF" w:rsidRDefault="003C66AF" w:rsidP="003C66AF">
      <w:pPr>
        <w:pStyle w:val="ListParagraph"/>
        <w:numPr>
          <w:ilvl w:val="0"/>
          <w:numId w:val="4"/>
        </w:numPr>
        <w:rPr>
          <w:lang w:val="es-ES_tradnl"/>
        </w:rPr>
      </w:pPr>
      <w:r w:rsidRPr="008A4622">
        <w:rPr>
          <w:lang w:val="es-ES_tradnl"/>
        </w:rPr>
        <w:t>Cualquier otro servicio solicitado por el RC que no forme parte de las soluciones llave en mano se debe recuperar en una base de "Pago por uso", incurriendo en UPL / LPL, costos directos y GMS según corresponda.</w:t>
      </w:r>
    </w:p>
    <w:p w14:paraId="0FE41BFF" w14:textId="77777777" w:rsidR="003C66AF" w:rsidRDefault="003C66AF" w:rsidP="003C66AF">
      <w:pPr>
        <w:pStyle w:val="ListParagraph"/>
        <w:ind w:left="1080" w:firstLine="0"/>
        <w:rPr>
          <w:lang w:val="es-ES_tradnl"/>
        </w:rPr>
      </w:pPr>
    </w:p>
    <w:p w14:paraId="3D12D0CA" w14:textId="77777777" w:rsidR="003C66AF" w:rsidRPr="00CD1C20" w:rsidRDefault="003C66AF" w:rsidP="003C66AF">
      <w:pPr>
        <w:pStyle w:val="ListParagraph"/>
        <w:ind w:firstLine="0"/>
        <w:rPr>
          <w:lang w:val="es-ES_tradnl"/>
        </w:rPr>
      </w:pPr>
      <w:r w:rsidRPr="00CD1C20">
        <w:rPr>
          <w:lang w:val="es-ES_tradnl"/>
        </w:rPr>
        <w:t xml:space="preserve">Para obtener una nota de orientación más detallada, consulte </w:t>
      </w:r>
      <w:hyperlink r:id="rId18" w:history="1">
        <w:r w:rsidRPr="00CD1C20">
          <w:rPr>
            <w:rStyle w:val="Hyperlink"/>
            <w:lang w:val="es-ES_tradnl"/>
          </w:rPr>
          <w:t>el sitio de Reforma del Sistema de Desarrollo de la ONU</w:t>
        </w:r>
      </w:hyperlink>
      <w:r w:rsidRPr="00CD1C20">
        <w:rPr>
          <w:rStyle w:val="Hyperlink"/>
          <w:lang w:val="es-ES_tradnl"/>
        </w:rPr>
        <w:t>.</w:t>
      </w:r>
    </w:p>
    <w:p w14:paraId="15E0B658" w14:textId="77777777" w:rsidR="003C66AF" w:rsidRPr="00377BB2" w:rsidRDefault="003C66AF" w:rsidP="003C66AF">
      <w:pPr>
        <w:ind w:left="705" w:right="0" w:firstLine="0"/>
        <w:rPr>
          <w:lang w:val="es-ES_tradnl"/>
        </w:rPr>
      </w:pPr>
    </w:p>
    <w:p w14:paraId="68C00317" w14:textId="77777777" w:rsidR="003C66AF" w:rsidRPr="00377BB2" w:rsidRDefault="003C66AF" w:rsidP="003C66AF">
      <w:pPr>
        <w:spacing w:after="0" w:line="259" w:lineRule="auto"/>
        <w:ind w:left="0" w:right="0" w:firstLine="0"/>
        <w:jc w:val="left"/>
        <w:rPr>
          <w:color w:val="000000"/>
          <w:sz w:val="24"/>
          <w:lang w:val="es-ES_tradnl"/>
        </w:rPr>
      </w:pPr>
      <w:r w:rsidRPr="00377BB2">
        <w:rPr>
          <w:color w:val="000000"/>
          <w:sz w:val="24"/>
          <w:lang w:val="es-ES_tradnl"/>
        </w:rPr>
        <w:t xml:space="preserve"> </w:t>
      </w:r>
    </w:p>
    <w:p w14:paraId="2943813E" w14:textId="77777777" w:rsidR="003C66AF" w:rsidRPr="00480470" w:rsidRDefault="003C66AF" w:rsidP="003C66AF">
      <w:pPr>
        <w:pStyle w:val="NormalWeb"/>
        <w:shd w:val="clear" w:color="auto" w:fill="FFFFFF"/>
        <w:spacing w:before="0" w:beforeAutospacing="0" w:after="0" w:afterAutospacing="0"/>
        <w:jc w:val="center"/>
        <w:rPr>
          <w:rFonts w:ascii="Calibri" w:hAnsi="Calibri"/>
          <w:color w:val="000000"/>
          <w:sz w:val="22"/>
          <w:szCs w:val="22"/>
        </w:rPr>
      </w:pPr>
      <w:r w:rsidRPr="00480470">
        <w:rPr>
          <w:rFonts w:ascii="Calibri" w:hAnsi="Calibri"/>
          <w:i/>
          <w:iCs/>
          <w:color w:val="212121"/>
          <w:sz w:val="22"/>
          <w:szCs w:val="22"/>
        </w:rPr>
        <w:t>Disclaimer: This document was translated from English into Spanish. In the event of any discrepancy between this translation and the original English document, the original English document shall prevail.</w:t>
      </w:r>
    </w:p>
    <w:p w14:paraId="1DC1F2FB" w14:textId="77777777" w:rsidR="003C66AF" w:rsidRPr="00480470" w:rsidRDefault="003C66AF" w:rsidP="003C66AF">
      <w:pPr>
        <w:pStyle w:val="NormalWeb"/>
        <w:shd w:val="clear" w:color="auto" w:fill="FFFFFF"/>
        <w:spacing w:before="0" w:beforeAutospacing="0" w:after="0" w:afterAutospacing="0"/>
        <w:jc w:val="center"/>
        <w:rPr>
          <w:rFonts w:ascii="Calibri" w:hAnsi="Calibri"/>
          <w:color w:val="000000"/>
          <w:sz w:val="22"/>
          <w:szCs w:val="22"/>
        </w:rPr>
      </w:pPr>
      <w:r w:rsidRPr="00480470">
        <w:rPr>
          <w:rFonts w:ascii="Calibri" w:hAnsi="Calibri"/>
          <w:i/>
          <w:iCs/>
          <w:color w:val="212121"/>
          <w:sz w:val="22"/>
          <w:szCs w:val="22"/>
        </w:rPr>
        <w:t> </w:t>
      </w:r>
    </w:p>
    <w:p w14:paraId="3BC7ECDE" w14:textId="7A914AFD" w:rsidR="007E2152" w:rsidRPr="00480470" w:rsidRDefault="003C66AF" w:rsidP="003C66AF">
      <w:pPr>
        <w:pStyle w:val="NormalWeb"/>
        <w:shd w:val="clear" w:color="auto" w:fill="FFFFFF"/>
        <w:spacing w:before="0" w:beforeAutospacing="0" w:after="0" w:afterAutospacing="0"/>
        <w:jc w:val="center"/>
        <w:rPr>
          <w:rFonts w:ascii="Calibri" w:hAnsi="Calibri"/>
          <w:color w:val="000000"/>
          <w:sz w:val="22"/>
          <w:szCs w:val="22"/>
          <w:lang w:val="es-ES_tradnl"/>
        </w:rPr>
      </w:pPr>
      <w:r w:rsidRPr="00480470">
        <w:rPr>
          <w:rFonts w:ascii="Calibri" w:hAnsi="Calibri"/>
          <w:i/>
          <w:iCs/>
          <w:color w:val="212121"/>
          <w:sz w:val="22"/>
          <w:szCs w:val="22"/>
          <w:shd w:val="clear" w:color="auto" w:fill="FFFFFF"/>
          <w:lang w:val="es-ES_tradnl"/>
        </w:rPr>
        <w:lastRenderedPageBreak/>
        <w:t xml:space="preserve">Descargo de responsabilidad: esta es una traducción de un documento original en </w:t>
      </w:r>
      <w:proofErr w:type="gramStart"/>
      <w:r w:rsidRPr="00480470">
        <w:rPr>
          <w:rFonts w:ascii="Calibri" w:hAnsi="Calibri"/>
          <w:i/>
          <w:iCs/>
          <w:color w:val="212121"/>
          <w:sz w:val="22"/>
          <w:szCs w:val="22"/>
          <w:shd w:val="clear" w:color="auto" w:fill="FFFFFF"/>
          <w:lang w:val="es-ES_tradnl"/>
        </w:rPr>
        <w:t>Inglés</w:t>
      </w:r>
      <w:proofErr w:type="gramEnd"/>
      <w:r w:rsidRPr="00480470">
        <w:rPr>
          <w:rFonts w:ascii="Calibri" w:hAnsi="Calibri"/>
          <w:i/>
          <w:iCs/>
          <w:color w:val="212121"/>
          <w:sz w:val="22"/>
          <w:szCs w:val="22"/>
          <w:shd w:val="clear" w:color="auto" w:fill="FFFFFF"/>
          <w:lang w:val="es-ES_tradnl"/>
        </w:rPr>
        <w:t>. </w:t>
      </w:r>
      <w:r w:rsidRPr="00480470">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sectPr w:rsidR="007E2152" w:rsidRPr="00480470" w:rsidSect="003C66AF">
      <w:headerReference w:type="default" r:id="rId19"/>
      <w:footerReference w:type="even" r:id="rId20"/>
      <w:footerReference w:type="default" r:id="rId21"/>
      <w:footerReference w:type="first" r:id="rId22"/>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B0E" w14:textId="77777777" w:rsidR="00CE6A61" w:rsidRDefault="00CE6A61">
      <w:pPr>
        <w:spacing w:after="0" w:line="240" w:lineRule="auto"/>
      </w:pPr>
      <w:r>
        <w:separator/>
      </w:r>
    </w:p>
  </w:endnote>
  <w:endnote w:type="continuationSeparator" w:id="0">
    <w:p w14:paraId="2DB6D1C6" w14:textId="77777777" w:rsidR="00CE6A61" w:rsidRDefault="00CE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B32D" w14:textId="77777777" w:rsidR="003C66AF" w:rsidRDefault="003C66A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649CA2B5" w14:textId="77777777" w:rsidR="003C66AF" w:rsidRDefault="003C66AF">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6A6C" w14:textId="77777777" w:rsidR="003C66AF" w:rsidRDefault="003C66AF">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de </w:t>
    </w:r>
    <w:r>
      <w:rPr>
        <w:b/>
      </w:rPr>
      <w:fldChar w:fldCharType="begin"/>
    </w:r>
    <w:r>
      <w:rPr>
        <w:b/>
      </w:rPr>
      <w:instrText xml:space="preserve"> NUMPAGES  \* Arabic  \* MERGEFORMAT </w:instrText>
    </w:r>
    <w:r>
      <w:rPr>
        <w:b/>
      </w:rPr>
      <w:fldChar w:fldCharType="separate"/>
    </w:r>
    <w:r>
      <w:rPr>
        <w:b/>
        <w:noProof/>
      </w:rPr>
      <w:t>6</w:t>
    </w:r>
    <w:r>
      <w:rPr>
        <w:b/>
      </w:rPr>
      <w:fldChar w:fldCharType="end"/>
    </w:r>
    <w:r>
      <w:ptab w:relativeTo="margin" w:alignment="center" w:leader="none"/>
    </w:r>
    <w:r>
      <w:t>Fecha de entrada en vigor: 23/11/2022</w:t>
    </w:r>
    <w:r>
      <w:ptab w:relativeTo="margin" w:alignment="right" w:leader="none"/>
    </w:r>
    <w:r>
      <w:t xml:space="preserve">Versión </w:t>
    </w:r>
    <w:proofErr w:type="spellStart"/>
    <w:r>
      <w:t>n.°</w:t>
    </w:r>
    <w:proofErr w:type="spellEnd"/>
    <w:r>
      <w:t>: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DB44" w14:textId="77777777" w:rsidR="003C66AF" w:rsidRDefault="003C66AF">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7FCCAB99" w14:textId="77777777" w:rsidR="003C66AF" w:rsidRDefault="003C66AF">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2ADB" w14:textId="77777777" w:rsidR="00CE6A61" w:rsidRDefault="00CE6A61">
      <w:pPr>
        <w:spacing w:after="0" w:line="240" w:lineRule="auto"/>
      </w:pPr>
      <w:r>
        <w:separator/>
      </w:r>
    </w:p>
  </w:footnote>
  <w:footnote w:type="continuationSeparator" w:id="0">
    <w:p w14:paraId="3ADBF8C1" w14:textId="77777777" w:rsidR="00CE6A61" w:rsidRDefault="00CE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5625" w14:textId="77C90A43" w:rsidR="003C66AF" w:rsidRDefault="00627C82" w:rsidP="00A13749">
    <w:pPr>
      <w:pStyle w:val="Header"/>
      <w:jc w:val="right"/>
    </w:pPr>
    <w:r>
      <w:rPr>
        <w:noProof/>
      </w:rPr>
      <w:drawing>
        <wp:inline distT="0" distB="0" distL="0" distR="0" wp14:anchorId="7DC0610B" wp14:editId="5857DC9B">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522"/>
    <w:multiLevelType w:val="hybridMultilevel"/>
    <w:tmpl w:val="347CDE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1F72D9"/>
    <w:multiLevelType w:val="hybridMultilevel"/>
    <w:tmpl w:val="8536E898"/>
    <w:lvl w:ilvl="0" w:tplc="9D6244A2">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E94F166">
      <w:start w:val="1"/>
      <w:numFmt w:val="lowerLetter"/>
      <w:lvlText w:val="(%2)"/>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9F81424">
      <w:start w:val="1"/>
      <w:numFmt w:val="lowerRoman"/>
      <w:lvlText w:val="%3"/>
      <w:lvlJc w:val="left"/>
      <w:pPr>
        <w:ind w:left="18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2730B6BC">
      <w:start w:val="1"/>
      <w:numFmt w:val="decimal"/>
      <w:lvlText w:val="%4"/>
      <w:lvlJc w:val="left"/>
      <w:pPr>
        <w:ind w:left="25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EDB03E58">
      <w:start w:val="1"/>
      <w:numFmt w:val="lowerLetter"/>
      <w:lvlText w:val="%5"/>
      <w:lvlJc w:val="left"/>
      <w:pPr>
        <w:ind w:left="32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44ACB6E">
      <w:start w:val="1"/>
      <w:numFmt w:val="lowerRoman"/>
      <w:lvlText w:val="%6"/>
      <w:lvlJc w:val="left"/>
      <w:pPr>
        <w:ind w:left="39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4344658">
      <w:start w:val="1"/>
      <w:numFmt w:val="decimal"/>
      <w:lvlText w:val="%7"/>
      <w:lvlJc w:val="left"/>
      <w:pPr>
        <w:ind w:left="46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242DD82">
      <w:start w:val="1"/>
      <w:numFmt w:val="lowerLetter"/>
      <w:lvlText w:val="%8"/>
      <w:lvlJc w:val="left"/>
      <w:pPr>
        <w:ind w:left="54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8E6C9F8">
      <w:start w:val="1"/>
      <w:numFmt w:val="lowerRoman"/>
      <w:lvlText w:val="%9"/>
      <w:lvlJc w:val="left"/>
      <w:pPr>
        <w:ind w:left="61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4CC5541E"/>
    <w:multiLevelType w:val="hybridMultilevel"/>
    <w:tmpl w:val="DCEE2586"/>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70E84D65"/>
    <w:multiLevelType w:val="hybridMultilevel"/>
    <w:tmpl w:val="AE405354"/>
    <w:lvl w:ilvl="0" w:tplc="584E27FC">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78EE6EE">
      <w:start w:val="1"/>
      <w:numFmt w:val="bullet"/>
      <w:lvlText w:val="•"/>
      <w:lvlJc w:val="left"/>
      <w:pPr>
        <w:ind w:left="1116"/>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96E961E">
      <w:start w:val="1"/>
      <w:numFmt w:val="bullet"/>
      <w:lvlText w:val="▪"/>
      <w:lvlJc w:val="left"/>
      <w:pPr>
        <w:ind w:left="18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03AE0FE">
      <w:start w:val="1"/>
      <w:numFmt w:val="bullet"/>
      <w:lvlText w:val="•"/>
      <w:lvlJc w:val="left"/>
      <w:pPr>
        <w:ind w:left="25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F58E942">
      <w:start w:val="1"/>
      <w:numFmt w:val="bullet"/>
      <w:lvlText w:val="o"/>
      <w:lvlJc w:val="left"/>
      <w:pPr>
        <w:ind w:left="32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D96003E">
      <w:start w:val="1"/>
      <w:numFmt w:val="bullet"/>
      <w:lvlText w:val="▪"/>
      <w:lvlJc w:val="left"/>
      <w:pPr>
        <w:ind w:left="39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C65409B2">
      <w:start w:val="1"/>
      <w:numFmt w:val="bullet"/>
      <w:lvlText w:val="•"/>
      <w:lvlJc w:val="left"/>
      <w:pPr>
        <w:ind w:left="46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31A4CA40">
      <w:start w:val="1"/>
      <w:numFmt w:val="bullet"/>
      <w:lvlText w:val="o"/>
      <w:lvlJc w:val="left"/>
      <w:pPr>
        <w:ind w:left="54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891437B0">
      <w:start w:val="1"/>
      <w:numFmt w:val="bullet"/>
      <w:lvlText w:val="▪"/>
      <w:lvlJc w:val="left"/>
      <w:pPr>
        <w:ind w:left="61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131604508">
    <w:abstractNumId w:val="2"/>
  </w:num>
  <w:num w:numId="2" w16cid:durableId="495731020">
    <w:abstractNumId w:val="1"/>
  </w:num>
  <w:num w:numId="3" w16cid:durableId="51120586">
    <w:abstractNumId w:val="3"/>
  </w:num>
  <w:num w:numId="4" w16cid:durableId="23825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AF"/>
    <w:rsid w:val="00071902"/>
    <w:rsid w:val="000B32B4"/>
    <w:rsid w:val="000D26E4"/>
    <w:rsid w:val="0014520E"/>
    <w:rsid w:val="003C66AF"/>
    <w:rsid w:val="003E19D0"/>
    <w:rsid w:val="00480470"/>
    <w:rsid w:val="00522EF7"/>
    <w:rsid w:val="0057020C"/>
    <w:rsid w:val="00627C82"/>
    <w:rsid w:val="007139D2"/>
    <w:rsid w:val="0074660A"/>
    <w:rsid w:val="007B44B8"/>
    <w:rsid w:val="007D460D"/>
    <w:rsid w:val="007E2152"/>
    <w:rsid w:val="00823455"/>
    <w:rsid w:val="00870413"/>
    <w:rsid w:val="008E0EE5"/>
    <w:rsid w:val="0095595B"/>
    <w:rsid w:val="00991BBD"/>
    <w:rsid w:val="0099436D"/>
    <w:rsid w:val="00A92788"/>
    <w:rsid w:val="00B93729"/>
    <w:rsid w:val="00CE6A61"/>
    <w:rsid w:val="00D822CD"/>
    <w:rsid w:val="00DA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B95F"/>
  <w15:chartTrackingRefBased/>
  <w15:docId w15:val="{DF24CB16-D3DB-40DE-A1D9-1A637933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AF"/>
    <w:pPr>
      <w:spacing w:after="5" w:line="247" w:lineRule="auto"/>
      <w:ind w:left="730" w:right="6" w:hanging="370"/>
      <w:jc w:val="both"/>
    </w:pPr>
    <w:rPr>
      <w:rFonts w:ascii="Calibri" w:eastAsia="Calibri" w:hAnsi="Calibri" w:cs="Calibri"/>
      <w:color w:val="333333"/>
      <w:kern w:val="0"/>
      <w:sz w:val="22"/>
      <w:szCs w:val="22"/>
      <w:lang w:val="es-ES" w:eastAsia="es-ES" w:bidi="es-ES"/>
      <w14:ligatures w14:val="none"/>
    </w:rPr>
  </w:style>
  <w:style w:type="paragraph" w:styleId="Heading1">
    <w:name w:val="heading 1"/>
    <w:basedOn w:val="Normal"/>
    <w:next w:val="Normal"/>
    <w:link w:val="Heading1Char"/>
    <w:uiPriority w:val="9"/>
    <w:qFormat/>
    <w:rsid w:val="003C6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6AF"/>
    <w:rPr>
      <w:rFonts w:eastAsiaTheme="majorEastAsia" w:cstheme="majorBidi"/>
      <w:color w:val="272727" w:themeColor="text1" w:themeTint="D8"/>
    </w:rPr>
  </w:style>
  <w:style w:type="paragraph" w:styleId="Title">
    <w:name w:val="Title"/>
    <w:basedOn w:val="Normal"/>
    <w:next w:val="Normal"/>
    <w:link w:val="TitleChar"/>
    <w:uiPriority w:val="10"/>
    <w:qFormat/>
    <w:rsid w:val="003C6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6AF"/>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6AF"/>
    <w:pPr>
      <w:spacing w:before="160"/>
      <w:jc w:val="center"/>
    </w:pPr>
    <w:rPr>
      <w:i/>
      <w:iCs/>
      <w:color w:val="404040" w:themeColor="text1" w:themeTint="BF"/>
    </w:rPr>
  </w:style>
  <w:style w:type="character" w:customStyle="1" w:styleId="QuoteChar">
    <w:name w:val="Quote Char"/>
    <w:basedOn w:val="DefaultParagraphFont"/>
    <w:link w:val="Quote"/>
    <w:uiPriority w:val="29"/>
    <w:rsid w:val="003C66AF"/>
    <w:rPr>
      <w:i/>
      <w:iCs/>
      <w:color w:val="404040" w:themeColor="text1" w:themeTint="BF"/>
    </w:rPr>
  </w:style>
  <w:style w:type="paragraph" w:styleId="ListParagraph">
    <w:name w:val="List Paragraph"/>
    <w:aliases w:val="Bullets,List Paragraph1,WB Para,List Paragraph (numbered (a)),Lapis Bulleted List,Dot pt,F5 List Paragraph,No Spacing1,List Paragraph Char Char Char,Indicator Text,Numbered Para 1,Bullet 1,List Paragraph12,Bullet Points,MAIN CONTENT,L"/>
    <w:basedOn w:val="Normal"/>
    <w:link w:val="ListParagraphChar"/>
    <w:uiPriority w:val="34"/>
    <w:qFormat/>
    <w:rsid w:val="003C66AF"/>
    <w:pPr>
      <w:ind w:left="720"/>
      <w:contextualSpacing/>
    </w:pPr>
  </w:style>
  <w:style w:type="character" w:styleId="IntenseEmphasis">
    <w:name w:val="Intense Emphasis"/>
    <w:basedOn w:val="DefaultParagraphFont"/>
    <w:uiPriority w:val="21"/>
    <w:qFormat/>
    <w:rsid w:val="003C66AF"/>
    <w:rPr>
      <w:i/>
      <w:iCs/>
      <w:color w:val="0F4761" w:themeColor="accent1" w:themeShade="BF"/>
    </w:rPr>
  </w:style>
  <w:style w:type="paragraph" w:styleId="IntenseQuote">
    <w:name w:val="Intense Quote"/>
    <w:basedOn w:val="Normal"/>
    <w:next w:val="Normal"/>
    <w:link w:val="IntenseQuoteChar"/>
    <w:uiPriority w:val="30"/>
    <w:qFormat/>
    <w:rsid w:val="003C6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6AF"/>
    <w:rPr>
      <w:i/>
      <w:iCs/>
      <w:color w:val="0F4761" w:themeColor="accent1" w:themeShade="BF"/>
    </w:rPr>
  </w:style>
  <w:style w:type="character" w:styleId="IntenseReference">
    <w:name w:val="Intense Reference"/>
    <w:basedOn w:val="DefaultParagraphFont"/>
    <w:uiPriority w:val="32"/>
    <w:qFormat/>
    <w:rsid w:val="003C66AF"/>
    <w:rPr>
      <w:b/>
      <w:bCs/>
      <w:smallCaps/>
      <w:color w:val="0F4761" w:themeColor="accent1" w:themeShade="BF"/>
      <w:spacing w:val="5"/>
    </w:rPr>
  </w:style>
  <w:style w:type="character" w:styleId="Hyperlink">
    <w:name w:val="Hyperlink"/>
    <w:basedOn w:val="DefaultParagraphFont"/>
    <w:uiPriority w:val="99"/>
    <w:unhideWhenUsed/>
    <w:rsid w:val="003C66AF"/>
    <w:rPr>
      <w:color w:val="467886" w:themeColor="hyperlink"/>
      <w:u w:val="single"/>
    </w:rPr>
  </w:style>
  <w:style w:type="paragraph" w:styleId="Header">
    <w:name w:val="header"/>
    <w:basedOn w:val="Normal"/>
    <w:link w:val="HeaderChar"/>
    <w:uiPriority w:val="99"/>
    <w:unhideWhenUsed/>
    <w:rsid w:val="003C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6AF"/>
    <w:rPr>
      <w:rFonts w:ascii="Calibri" w:eastAsia="Calibri" w:hAnsi="Calibri" w:cs="Calibri"/>
      <w:color w:val="333333"/>
      <w:kern w:val="0"/>
      <w:sz w:val="22"/>
      <w:szCs w:val="22"/>
      <w:lang w:val="es-ES" w:eastAsia="es-ES" w:bidi="es-ES"/>
      <w14:ligatures w14:val="none"/>
    </w:rPr>
  </w:style>
  <w:style w:type="paragraph" w:styleId="NormalWeb">
    <w:name w:val="Normal (Web)"/>
    <w:basedOn w:val="Normal"/>
    <w:uiPriority w:val="99"/>
    <w:unhideWhenUsed/>
    <w:rsid w:val="003C66A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customStyle="1" w:styleId="ListParagraphChar">
    <w:name w:val="List Paragraph Char"/>
    <w:aliases w:val="Bullets Char,List Paragraph1 Char,WB Para Char,List Paragraph (numbered (a)) Char,Lapis Bulleted List Char,Dot pt Char,F5 List Paragraph Char,No Spacing1 Char,List Paragraph Char Char Char Char,Indicator Text Char,Bullet 1 Char"/>
    <w:basedOn w:val="DefaultParagraphFont"/>
    <w:link w:val="ListParagraph"/>
    <w:uiPriority w:val="34"/>
    <w:locked/>
    <w:rsid w:val="003C66AF"/>
  </w:style>
  <w:style w:type="paragraph" w:styleId="Revision">
    <w:name w:val="Revision"/>
    <w:hidden/>
    <w:uiPriority w:val="99"/>
    <w:semiHidden/>
    <w:rsid w:val="00627C82"/>
    <w:pPr>
      <w:spacing w:after="0" w:line="240" w:lineRule="auto"/>
    </w:pPr>
    <w:rPr>
      <w:rFonts w:ascii="Calibri" w:eastAsia="Calibri" w:hAnsi="Calibri" w:cs="Calibri"/>
      <w:color w:val="333333"/>
      <w:kern w:val="0"/>
      <w:sz w:val="22"/>
      <w:szCs w:val="22"/>
      <w:lang w:val="es-ES" w:eastAsia="es-ES" w:bidi="es-ES"/>
      <w14:ligatures w14:val="none"/>
    </w:rPr>
  </w:style>
  <w:style w:type="character" w:styleId="FollowedHyperlink">
    <w:name w:val="FollowedHyperlink"/>
    <w:basedOn w:val="DefaultParagraphFont"/>
    <w:uiPriority w:val="99"/>
    <w:semiHidden/>
    <w:unhideWhenUsed/>
    <w:rsid w:val="000B32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8" Type="http://schemas.openxmlformats.org/officeDocument/2006/relationships/hyperlink" Target="https://intranet.undp.org/UNDSreform/SitePages/OverviewRef.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7" Type="http://schemas.openxmlformats.org/officeDocument/2006/relationships/hyperlink" Target="https://popp.undp.org/document/unv-guidelines-cost-recovery" TargetMode="External"/><Relationship Id="rId2" Type="http://schemas.openxmlformats.org/officeDocument/2006/relationships/customXml" Target="../customXml/item2.xml"/><Relationship Id="rId16" Type="http://schemas.openxmlformats.org/officeDocument/2006/relationships/hyperlink" Target="https://popp.undp.org/es/node/1167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ndp.org/unit/pb/Partnerships%20Library/Forms/AllItems.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pp.undp.org/es/node/1173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planning-and-paying-delivery-enabling-services-projec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9A6A6-CDDC-47D6-A299-57D946D42CAA}">
  <ds:schemaRefs>
    <ds:schemaRef ds:uri="http://schemas.microsoft.com/sharepoint/v3/contenttype/forms"/>
  </ds:schemaRefs>
</ds:datastoreItem>
</file>

<file path=customXml/itemProps2.xml><?xml version="1.0" encoding="utf-8"?>
<ds:datastoreItem xmlns:ds="http://schemas.openxmlformats.org/officeDocument/2006/customXml" ds:itemID="{2BBF888D-8C18-42B2-99C6-95F201BE0E48}">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566224F2-61E8-4556-9F5F-2B6E0467253E}">
  <ds:schemaRefs>
    <ds:schemaRef ds:uri="http://schemas.openxmlformats.org/officeDocument/2006/bibliography"/>
  </ds:schemaRefs>
</ds:datastoreItem>
</file>

<file path=customXml/itemProps4.xml><?xml version="1.0" encoding="utf-8"?>
<ds:datastoreItem xmlns:ds="http://schemas.openxmlformats.org/officeDocument/2006/customXml" ds:itemID="{7B7BFF2D-98D0-465A-BFB9-440A9DD9D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2493</Words>
  <Characters>14216</Characters>
  <Application>Microsoft Office Word</Application>
  <DocSecurity>0</DocSecurity>
  <Lines>118</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14</cp:revision>
  <dcterms:created xsi:type="dcterms:W3CDTF">2026-01-07T22:14:00Z</dcterms:created>
  <dcterms:modified xsi:type="dcterms:W3CDTF">2026-01-08T18:05:00Z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e9ad26e5-2fc8-4347-836d-fc745bc0a4a3</vt:lpwstr>
  </property>
  <property fmtid="{D5CDD505-2E9C-101B-9397-08002B2CF9AE}" pid="3" name="ContentTypeId">
    <vt:lpwstr>0x010100DF4E5EB98AFACA49B955F57620F5DD44</vt:lpwstr>
  </property>
  <property fmtid="{D5CDD505-2E9C-101B-9397-08002B2CF9AE}" pid="4" name="MediaServiceImageTags">
    <vt:lpwstr/>
  </property>
</Properties>
</file>