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EBBC4" w14:textId="76F3D986" w:rsidR="005B66BC" w:rsidRDefault="005B66BC" w:rsidP="004D6918">
      <w:pPr>
        <w:pStyle w:val="Heading1"/>
        <w:jc w:val="right"/>
        <w:rPr>
          <w:lang w:val="en-GB"/>
        </w:rPr>
      </w:pPr>
      <w:bookmarkStart w:id="0" w:name="_Hlk55828768"/>
    </w:p>
    <w:p w14:paraId="76ECE31F" w14:textId="3380F975" w:rsidR="00C75E31" w:rsidRPr="00C17580" w:rsidRDefault="00C75E31" w:rsidP="00FA0B35">
      <w:pPr>
        <w:pStyle w:val="Heading1"/>
      </w:pPr>
      <w:bookmarkStart w:id="1" w:name="_Toc157083378"/>
      <w:r>
        <w:rPr>
          <w:lang w:bidi="es-ES"/>
        </w:rPr>
        <w:t>Declaración de Apetito de Riesgo del PNUD</w:t>
      </w:r>
      <w:bookmarkEnd w:id="1"/>
    </w:p>
    <w:p w14:paraId="034A5C08" w14:textId="56B94292" w:rsidR="00E96B1B" w:rsidRPr="00C17580" w:rsidRDefault="00E96B1B" w:rsidP="00FA0B35">
      <w:pPr>
        <w:pStyle w:val="Heading1"/>
      </w:pPr>
    </w:p>
    <w:p w14:paraId="3A0A1FEA" w14:textId="5BB85A12" w:rsidR="00E96B1B" w:rsidRPr="00E96B1B" w:rsidRDefault="00C2197A" w:rsidP="00FA0B35">
      <w:pPr>
        <w:pStyle w:val="Heading1"/>
      </w:pPr>
      <w:r w:rsidRPr="0CE8B703">
        <w:rPr>
          <w:lang w:bidi="es-ES"/>
        </w:rPr>
        <w:t xml:space="preserve"> </w:t>
      </w:r>
      <w:bookmarkStart w:id="2" w:name="_Toc157083379"/>
      <w:r w:rsidRPr="0CE8B703">
        <w:rPr>
          <w:lang w:bidi="es-ES"/>
        </w:rPr>
        <w:t>Declaración de Apetito de Riesgo</w:t>
      </w:r>
      <w:bookmarkEnd w:id="2"/>
      <w:r w:rsidRPr="0CE8B703">
        <w:rPr>
          <w:lang w:bidi="es-ES"/>
        </w:rPr>
        <w:t xml:space="preserve"> </w:t>
      </w:r>
    </w:p>
    <w:p w14:paraId="1C3BC691" w14:textId="74A6B047" w:rsidR="00E96B1B" w:rsidRPr="00C17580" w:rsidRDefault="00085235" w:rsidP="00FA0B35">
      <w:pPr>
        <w:pStyle w:val="Heading1"/>
      </w:pPr>
      <w:bookmarkStart w:id="3" w:name="_Toc157083380"/>
      <w:r>
        <w:rPr>
          <w:lang w:bidi="es-ES"/>
        </w:rPr>
        <w:t>Octubre de 2021</w:t>
      </w:r>
      <w:bookmarkEnd w:id="3"/>
    </w:p>
    <w:bookmarkEnd w:id="0"/>
    <w:p w14:paraId="7804816A" w14:textId="5FE5BFA2" w:rsidR="00E96B1B" w:rsidRPr="00C17580" w:rsidRDefault="00E96B1B" w:rsidP="00C30B49">
      <w:pPr>
        <w:rPr>
          <w:b/>
          <w:bCs/>
        </w:rPr>
      </w:pPr>
    </w:p>
    <w:p w14:paraId="52B1441D" w14:textId="77777777" w:rsidR="00C75E31" w:rsidRPr="00C17580" w:rsidRDefault="00C75E31" w:rsidP="00C30B49">
      <w:pPr>
        <w:rPr>
          <w:b/>
          <w:bCs/>
        </w:rPr>
      </w:pPr>
    </w:p>
    <w:p w14:paraId="28142A09" w14:textId="5717F7B9" w:rsidR="009374F2" w:rsidRPr="00C17580" w:rsidRDefault="009374F2">
      <w:pPr>
        <w:rPr>
          <w:b/>
          <w:bCs/>
        </w:rPr>
      </w:pPr>
      <w:r>
        <w:rPr>
          <w:b/>
          <w:lang w:bidi="es-ES"/>
        </w:rPr>
        <w:br w:type="page"/>
      </w:r>
    </w:p>
    <w:sdt>
      <w:sdtPr>
        <w:id w:val="-1920782770"/>
        <w:docPartObj>
          <w:docPartGallery w:val="Table of Contents"/>
          <w:docPartUnique/>
        </w:docPartObj>
      </w:sdtPr>
      <w:sdtEndPr>
        <w:rPr>
          <w:b/>
          <w:bCs/>
          <w:noProof/>
        </w:rPr>
      </w:sdtEndPr>
      <w:sdtContent>
        <w:p w14:paraId="1C9FE5FF" w14:textId="77777777" w:rsidR="00C17580" w:rsidRDefault="00073D44" w:rsidP="00651AD3">
          <w:pPr>
            <w:pStyle w:val="TOC1"/>
            <w:tabs>
              <w:tab w:val="right" w:leader="dot" w:pos="9350"/>
            </w:tabs>
            <w:rPr>
              <w:noProof/>
            </w:rPr>
          </w:pPr>
          <w:r w:rsidRPr="00C37545">
            <w:rPr>
              <w:rStyle w:val="Heading1Char"/>
              <w:lang w:bidi="es-ES"/>
            </w:rPr>
            <w:t>Índice</w:t>
          </w:r>
          <w:r>
            <w:rPr>
              <w:color w:val="2F5496" w:themeColor="accent1" w:themeShade="BF"/>
              <w:sz w:val="32"/>
              <w:lang w:bidi="es-ES"/>
            </w:rPr>
            <w:fldChar w:fldCharType="begin"/>
          </w:r>
          <w:r>
            <w:rPr>
              <w:lang w:bidi="es-ES"/>
            </w:rPr>
            <w:instrText xml:space="preserve"> TOC \o "1-3" \h \z \u </w:instrText>
          </w:r>
          <w:r>
            <w:rPr>
              <w:color w:val="2F5496" w:themeColor="accent1" w:themeShade="BF"/>
              <w:sz w:val="32"/>
              <w:lang w:bidi="es-ES"/>
            </w:rPr>
            <w:fldChar w:fldCharType="separate"/>
          </w:r>
        </w:p>
        <w:p w14:paraId="3D473736" w14:textId="3BDB2466" w:rsidR="00C17580" w:rsidRDefault="000F088E">
          <w:pPr>
            <w:pStyle w:val="TOC1"/>
            <w:tabs>
              <w:tab w:val="right" w:leader="dot" w:pos="9350"/>
            </w:tabs>
            <w:rPr>
              <w:rFonts w:eastAsiaTheme="minorEastAsia"/>
              <w:noProof/>
              <w:kern w:val="2"/>
              <w:lang w:eastAsia="ja-JP"/>
              <w14:ligatures w14:val="standardContextual"/>
            </w:rPr>
          </w:pPr>
          <w:hyperlink w:anchor="_Toc157083378" w:history="1">
            <w:r w:rsidR="00C17580" w:rsidRPr="00A71ED1">
              <w:rPr>
                <w:rStyle w:val="Hyperlink"/>
                <w:noProof/>
                <w:lang w:bidi="es-ES"/>
              </w:rPr>
              <w:t>Declaración de Apetito de Riesgo del PNUD</w:t>
            </w:r>
            <w:r w:rsidR="00C17580">
              <w:rPr>
                <w:noProof/>
                <w:webHidden/>
              </w:rPr>
              <w:tab/>
            </w:r>
            <w:r w:rsidR="00C17580">
              <w:rPr>
                <w:noProof/>
                <w:webHidden/>
              </w:rPr>
              <w:fldChar w:fldCharType="begin"/>
            </w:r>
            <w:r w:rsidR="00C17580">
              <w:rPr>
                <w:noProof/>
                <w:webHidden/>
              </w:rPr>
              <w:instrText xml:space="preserve"> PAGEREF _Toc157083378 \h </w:instrText>
            </w:r>
            <w:r w:rsidR="00C17580">
              <w:rPr>
                <w:noProof/>
                <w:webHidden/>
              </w:rPr>
            </w:r>
            <w:r w:rsidR="00C17580">
              <w:rPr>
                <w:noProof/>
                <w:webHidden/>
              </w:rPr>
              <w:fldChar w:fldCharType="separate"/>
            </w:r>
            <w:r w:rsidR="005B4EA1">
              <w:rPr>
                <w:noProof/>
                <w:webHidden/>
              </w:rPr>
              <w:t>1</w:t>
            </w:r>
            <w:r w:rsidR="00C17580">
              <w:rPr>
                <w:noProof/>
                <w:webHidden/>
              </w:rPr>
              <w:fldChar w:fldCharType="end"/>
            </w:r>
          </w:hyperlink>
        </w:p>
        <w:p w14:paraId="701DE8B5" w14:textId="44EEAE2F" w:rsidR="00C17580" w:rsidRDefault="000F088E">
          <w:pPr>
            <w:pStyle w:val="TOC1"/>
            <w:tabs>
              <w:tab w:val="right" w:leader="dot" w:pos="9350"/>
            </w:tabs>
            <w:rPr>
              <w:rFonts w:eastAsiaTheme="minorEastAsia"/>
              <w:noProof/>
              <w:kern w:val="2"/>
              <w:lang w:eastAsia="ja-JP"/>
              <w14:ligatures w14:val="standardContextual"/>
            </w:rPr>
          </w:pPr>
          <w:hyperlink w:anchor="_Toc157083379" w:history="1">
            <w:r w:rsidR="00C17580" w:rsidRPr="00A71ED1">
              <w:rPr>
                <w:rStyle w:val="Hyperlink"/>
                <w:noProof/>
                <w:lang w:bidi="es-ES"/>
              </w:rPr>
              <w:t>Declaración de Apetito de Riesgo</w:t>
            </w:r>
            <w:r w:rsidR="00C17580">
              <w:rPr>
                <w:noProof/>
                <w:webHidden/>
              </w:rPr>
              <w:tab/>
            </w:r>
            <w:r w:rsidR="00C17580">
              <w:rPr>
                <w:noProof/>
                <w:webHidden/>
              </w:rPr>
              <w:fldChar w:fldCharType="begin"/>
            </w:r>
            <w:r w:rsidR="00C17580">
              <w:rPr>
                <w:noProof/>
                <w:webHidden/>
              </w:rPr>
              <w:instrText xml:space="preserve"> PAGEREF _Toc157083379 \h </w:instrText>
            </w:r>
            <w:r w:rsidR="00C17580">
              <w:rPr>
                <w:noProof/>
                <w:webHidden/>
              </w:rPr>
            </w:r>
            <w:r w:rsidR="00C17580">
              <w:rPr>
                <w:noProof/>
                <w:webHidden/>
              </w:rPr>
              <w:fldChar w:fldCharType="separate"/>
            </w:r>
            <w:r w:rsidR="005B4EA1">
              <w:rPr>
                <w:noProof/>
                <w:webHidden/>
              </w:rPr>
              <w:t>1</w:t>
            </w:r>
            <w:r w:rsidR="00C17580">
              <w:rPr>
                <w:noProof/>
                <w:webHidden/>
              </w:rPr>
              <w:fldChar w:fldCharType="end"/>
            </w:r>
          </w:hyperlink>
        </w:p>
        <w:p w14:paraId="46755CA4" w14:textId="0D6BF131" w:rsidR="00C17580" w:rsidRDefault="000F088E">
          <w:pPr>
            <w:pStyle w:val="TOC1"/>
            <w:tabs>
              <w:tab w:val="right" w:leader="dot" w:pos="9350"/>
            </w:tabs>
            <w:rPr>
              <w:rFonts w:eastAsiaTheme="minorEastAsia"/>
              <w:noProof/>
              <w:kern w:val="2"/>
              <w:lang w:eastAsia="ja-JP"/>
              <w14:ligatures w14:val="standardContextual"/>
            </w:rPr>
          </w:pPr>
          <w:hyperlink w:anchor="_Toc157083380" w:history="1">
            <w:r w:rsidR="00C17580" w:rsidRPr="00A71ED1">
              <w:rPr>
                <w:rStyle w:val="Hyperlink"/>
                <w:noProof/>
                <w:lang w:bidi="es-ES"/>
              </w:rPr>
              <w:t>Octubre de 2021</w:t>
            </w:r>
            <w:r w:rsidR="00C17580">
              <w:rPr>
                <w:noProof/>
                <w:webHidden/>
              </w:rPr>
              <w:tab/>
            </w:r>
            <w:r w:rsidR="00C17580">
              <w:rPr>
                <w:noProof/>
                <w:webHidden/>
              </w:rPr>
              <w:fldChar w:fldCharType="begin"/>
            </w:r>
            <w:r w:rsidR="00C17580">
              <w:rPr>
                <w:noProof/>
                <w:webHidden/>
              </w:rPr>
              <w:instrText xml:space="preserve"> PAGEREF _Toc157083380 \h </w:instrText>
            </w:r>
            <w:r w:rsidR="00C17580">
              <w:rPr>
                <w:noProof/>
                <w:webHidden/>
              </w:rPr>
            </w:r>
            <w:r w:rsidR="00C17580">
              <w:rPr>
                <w:noProof/>
                <w:webHidden/>
              </w:rPr>
              <w:fldChar w:fldCharType="separate"/>
            </w:r>
            <w:r w:rsidR="005B4EA1">
              <w:rPr>
                <w:noProof/>
                <w:webHidden/>
              </w:rPr>
              <w:t>1</w:t>
            </w:r>
            <w:r w:rsidR="00C17580">
              <w:rPr>
                <w:noProof/>
                <w:webHidden/>
              </w:rPr>
              <w:fldChar w:fldCharType="end"/>
            </w:r>
          </w:hyperlink>
        </w:p>
        <w:p w14:paraId="1F6FE735" w14:textId="753007A4" w:rsidR="00C17580" w:rsidRDefault="000F088E">
          <w:pPr>
            <w:pStyle w:val="TOC1"/>
            <w:tabs>
              <w:tab w:val="left" w:pos="440"/>
              <w:tab w:val="right" w:leader="dot" w:pos="9350"/>
            </w:tabs>
            <w:rPr>
              <w:rFonts w:eastAsiaTheme="minorEastAsia"/>
              <w:noProof/>
              <w:kern w:val="2"/>
              <w:lang w:eastAsia="ja-JP"/>
              <w14:ligatures w14:val="standardContextual"/>
            </w:rPr>
          </w:pPr>
          <w:hyperlink w:anchor="_Toc157083381" w:history="1">
            <w:r w:rsidR="00C17580" w:rsidRPr="00A71ED1">
              <w:rPr>
                <w:rStyle w:val="Hyperlink"/>
                <w:noProof/>
                <w:lang w:val="en-GB"/>
              </w:rPr>
              <w:t>1)</w:t>
            </w:r>
            <w:r w:rsidR="00C17580">
              <w:rPr>
                <w:rFonts w:eastAsiaTheme="minorEastAsia"/>
                <w:noProof/>
                <w:kern w:val="2"/>
                <w:lang w:eastAsia="ja-JP"/>
                <w14:ligatures w14:val="standardContextual"/>
              </w:rPr>
              <w:tab/>
            </w:r>
            <w:r w:rsidR="00C17580" w:rsidRPr="00A71ED1">
              <w:rPr>
                <w:rStyle w:val="Hyperlink"/>
                <w:noProof/>
                <w:lang w:bidi="es-ES"/>
              </w:rPr>
              <w:t>Introducción</w:t>
            </w:r>
            <w:r w:rsidR="00C17580">
              <w:rPr>
                <w:noProof/>
                <w:webHidden/>
              </w:rPr>
              <w:tab/>
            </w:r>
            <w:r w:rsidR="00C17580">
              <w:rPr>
                <w:noProof/>
                <w:webHidden/>
              </w:rPr>
              <w:fldChar w:fldCharType="begin"/>
            </w:r>
            <w:r w:rsidR="00C17580">
              <w:rPr>
                <w:noProof/>
                <w:webHidden/>
              </w:rPr>
              <w:instrText xml:space="preserve"> PAGEREF _Toc157083381 \h </w:instrText>
            </w:r>
            <w:r w:rsidR="00C17580">
              <w:rPr>
                <w:noProof/>
                <w:webHidden/>
              </w:rPr>
            </w:r>
            <w:r w:rsidR="00C17580">
              <w:rPr>
                <w:noProof/>
                <w:webHidden/>
              </w:rPr>
              <w:fldChar w:fldCharType="separate"/>
            </w:r>
            <w:r w:rsidR="005B4EA1">
              <w:rPr>
                <w:noProof/>
                <w:webHidden/>
              </w:rPr>
              <w:t>3</w:t>
            </w:r>
            <w:r w:rsidR="00C17580">
              <w:rPr>
                <w:noProof/>
                <w:webHidden/>
              </w:rPr>
              <w:fldChar w:fldCharType="end"/>
            </w:r>
          </w:hyperlink>
        </w:p>
        <w:p w14:paraId="230597C0" w14:textId="3D66D1A7" w:rsidR="00C17580" w:rsidRDefault="000F088E">
          <w:pPr>
            <w:pStyle w:val="TOC1"/>
            <w:tabs>
              <w:tab w:val="left" w:pos="440"/>
              <w:tab w:val="right" w:leader="dot" w:pos="9350"/>
            </w:tabs>
            <w:rPr>
              <w:rFonts w:eastAsiaTheme="minorEastAsia"/>
              <w:noProof/>
              <w:kern w:val="2"/>
              <w:lang w:eastAsia="ja-JP"/>
              <w14:ligatures w14:val="standardContextual"/>
            </w:rPr>
          </w:pPr>
          <w:hyperlink w:anchor="_Toc157083382" w:history="1">
            <w:r w:rsidR="00C17580" w:rsidRPr="00A71ED1">
              <w:rPr>
                <w:rStyle w:val="Hyperlink"/>
                <w:noProof/>
              </w:rPr>
              <w:t>2)</w:t>
            </w:r>
            <w:r w:rsidR="00C17580">
              <w:rPr>
                <w:rFonts w:eastAsiaTheme="minorEastAsia"/>
                <w:noProof/>
                <w:kern w:val="2"/>
                <w:lang w:eastAsia="ja-JP"/>
                <w14:ligatures w14:val="standardContextual"/>
              </w:rPr>
              <w:tab/>
            </w:r>
            <w:r w:rsidR="00C17580" w:rsidRPr="00A71ED1">
              <w:rPr>
                <w:rStyle w:val="Hyperlink"/>
                <w:noProof/>
                <w:lang w:bidi="es-ES"/>
              </w:rPr>
              <w:t>Resumen de la Declaración de Apetito de Riesgo</w:t>
            </w:r>
            <w:r w:rsidR="00C17580">
              <w:rPr>
                <w:noProof/>
                <w:webHidden/>
              </w:rPr>
              <w:tab/>
            </w:r>
            <w:r w:rsidR="00C17580">
              <w:rPr>
                <w:noProof/>
                <w:webHidden/>
              </w:rPr>
              <w:fldChar w:fldCharType="begin"/>
            </w:r>
            <w:r w:rsidR="00C17580">
              <w:rPr>
                <w:noProof/>
                <w:webHidden/>
              </w:rPr>
              <w:instrText xml:space="preserve"> PAGEREF _Toc157083382 \h </w:instrText>
            </w:r>
            <w:r w:rsidR="00C17580">
              <w:rPr>
                <w:noProof/>
                <w:webHidden/>
              </w:rPr>
            </w:r>
            <w:r w:rsidR="00C17580">
              <w:rPr>
                <w:noProof/>
                <w:webHidden/>
              </w:rPr>
              <w:fldChar w:fldCharType="separate"/>
            </w:r>
            <w:r w:rsidR="005B4EA1">
              <w:rPr>
                <w:noProof/>
                <w:webHidden/>
              </w:rPr>
              <w:t>4</w:t>
            </w:r>
            <w:r w:rsidR="00C17580">
              <w:rPr>
                <w:noProof/>
                <w:webHidden/>
              </w:rPr>
              <w:fldChar w:fldCharType="end"/>
            </w:r>
          </w:hyperlink>
        </w:p>
        <w:p w14:paraId="289B5CC5" w14:textId="212488B0" w:rsidR="00C17580" w:rsidRDefault="000F088E">
          <w:pPr>
            <w:pStyle w:val="TOC1"/>
            <w:tabs>
              <w:tab w:val="left" w:pos="440"/>
              <w:tab w:val="right" w:leader="dot" w:pos="9350"/>
            </w:tabs>
            <w:rPr>
              <w:rFonts w:eastAsiaTheme="minorEastAsia"/>
              <w:noProof/>
              <w:kern w:val="2"/>
              <w:lang w:eastAsia="ja-JP"/>
              <w14:ligatures w14:val="standardContextual"/>
            </w:rPr>
          </w:pPr>
          <w:hyperlink w:anchor="_Toc157083383" w:history="1">
            <w:r w:rsidR="00C17580" w:rsidRPr="00A71ED1">
              <w:rPr>
                <w:rStyle w:val="Hyperlink"/>
                <w:noProof/>
              </w:rPr>
              <w:t>3)</w:t>
            </w:r>
            <w:r w:rsidR="00C17580">
              <w:rPr>
                <w:rFonts w:eastAsiaTheme="minorEastAsia"/>
                <w:noProof/>
                <w:kern w:val="2"/>
                <w:lang w:eastAsia="ja-JP"/>
                <w14:ligatures w14:val="standardContextual"/>
              </w:rPr>
              <w:tab/>
            </w:r>
            <w:r w:rsidR="00C17580" w:rsidRPr="00A71ED1">
              <w:rPr>
                <w:rStyle w:val="Hyperlink"/>
                <w:noProof/>
                <w:lang w:bidi="es-ES"/>
              </w:rPr>
              <w:t>Gestión de los riesgos por medio del apetito de riesgo</w:t>
            </w:r>
            <w:r w:rsidR="00C17580">
              <w:rPr>
                <w:noProof/>
                <w:webHidden/>
              </w:rPr>
              <w:tab/>
            </w:r>
            <w:r w:rsidR="00C17580">
              <w:rPr>
                <w:noProof/>
                <w:webHidden/>
              </w:rPr>
              <w:fldChar w:fldCharType="begin"/>
            </w:r>
            <w:r w:rsidR="00C17580">
              <w:rPr>
                <w:noProof/>
                <w:webHidden/>
              </w:rPr>
              <w:instrText xml:space="preserve"> PAGEREF _Toc157083383 \h </w:instrText>
            </w:r>
            <w:r w:rsidR="00C17580">
              <w:rPr>
                <w:noProof/>
                <w:webHidden/>
              </w:rPr>
            </w:r>
            <w:r w:rsidR="00C17580">
              <w:rPr>
                <w:noProof/>
                <w:webHidden/>
              </w:rPr>
              <w:fldChar w:fldCharType="separate"/>
            </w:r>
            <w:r w:rsidR="005B4EA1">
              <w:rPr>
                <w:noProof/>
                <w:webHidden/>
              </w:rPr>
              <w:t>8</w:t>
            </w:r>
            <w:r w:rsidR="00C17580">
              <w:rPr>
                <w:noProof/>
                <w:webHidden/>
              </w:rPr>
              <w:fldChar w:fldCharType="end"/>
            </w:r>
          </w:hyperlink>
        </w:p>
        <w:p w14:paraId="6B42B7FF" w14:textId="404D8898" w:rsidR="00C17580" w:rsidRDefault="000F088E">
          <w:pPr>
            <w:pStyle w:val="TOC1"/>
            <w:tabs>
              <w:tab w:val="left" w:pos="440"/>
              <w:tab w:val="right" w:leader="dot" w:pos="9350"/>
            </w:tabs>
            <w:rPr>
              <w:rFonts w:eastAsiaTheme="minorEastAsia"/>
              <w:noProof/>
              <w:kern w:val="2"/>
              <w:lang w:eastAsia="ja-JP"/>
              <w14:ligatures w14:val="standardContextual"/>
            </w:rPr>
          </w:pPr>
          <w:hyperlink w:anchor="_Toc157083384" w:history="1">
            <w:r w:rsidR="00C17580" w:rsidRPr="00A71ED1">
              <w:rPr>
                <w:rStyle w:val="Hyperlink"/>
                <w:noProof/>
              </w:rPr>
              <w:t>4)</w:t>
            </w:r>
            <w:r w:rsidR="00C17580">
              <w:rPr>
                <w:rFonts w:eastAsiaTheme="minorEastAsia"/>
                <w:noProof/>
                <w:kern w:val="2"/>
                <w:lang w:eastAsia="ja-JP"/>
                <w14:ligatures w14:val="standardContextual"/>
              </w:rPr>
              <w:tab/>
            </w:r>
            <w:r w:rsidR="00C17580" w:rsidRPr="00A71ED1">
              <w:rPr>
                <w:rStyle w:val="Hyperlink"/>
                <w:noProof/>
                <w:lang w:bidi="es-ES"/>
              </w:rPr>
              <w:t>Implantación y gobernanza del apetito de riesgo</w:t>
            </w:r>
            <w:r w:rsidR="00C17580">
              <w:rPr>
                <w:noProof/>
                <w:webHidden/>
              </w:rPr>
              <w:tab/>
            </w:r>
            <w:r w:rsidR="00C17580">
              <w:rPr>
                <w:noProof/>
                <w:webHidden/>
              </w:rPr>
              <w:fldChar w:fldCharType="begin"/>
            </w:r>
            <w:r w:rsidR="00C17580">
              <w:rPr>
                <w:noProof/>
                <w:webHidden/>
              </w:rPr>
              <w:instrText xml:space="preserve"> PAGEREF _Toc157083384 \h </w:instrText>
            </w:r>
            <w:r w:rsidR="00C17580">
              <w:rPr>
                <w:noProof/>
                <w:webHidden/>
              </w:rPr>
            </w:r>
            <w:r w:rsidR="00C17580">
              <w:rPr>
                <w:noProof/>
                <w:webHidden/>
              </w:rPr>
              <w:fldChar w:fldCharType="separate"/>
            </w:r>
            <w:r w:rsidR="005B4EA1">
              <w:rPr>
                <w:noProof/>
                <w:webHidden/>
              </w:rPr>
              <w:t>9</w:t>
            </w:r>
            <w:r w:rsidR="00C17580">
              <w:rPr>
                <w:noProof/>
                <w:webHidden/>
              </w:rPr>
              <w:fldChar w:fldCharType="end"/>
            </w:r>
          </w:hyperlink>
        </w:p>
        <w:p w14:paraId="59EFBB97" w14:textId="325A00EA" w:rsidR="00073D44" w:rsidRDefault="00073D44">
          <w:r>
            <w:rPr>
              <w:b/>
              <w:noProof/>
              <w:lang w:bidi="es-ES"/>
            </w:rPr>
            <w:fldChar w:fldCharType="end"/>
          </w:r>
        </w:p>
      </w:sdtContent>
    </w:sdt>
    <w:p w14:paraId="2886993F" w14:textId="77777777" w:rsidR="00073D44" w:rsidRDefault="00073D44">
      <w:pPr>
        <w:rPr>
          <w:rFonts w:asciiTheme="majorHAnsi" w:eastAsiaTheme="majorEastAsia" w:hAnsiTheme="majorHAnsi" w:cstheme="majorBidi"/>
          <w:color w:val="2F5496" w:themeColor="accent1" w:themeShade="BF"/>
          <w:sz w:val="32"/>
          <w:szCs w:val="32"/>
          <w:lang w:val="en-GB"/>
        </w:rPr>
      </w:pPr>
      <w:r>
        <w:rPr>
          <w:lang w:bidi="es-ES"/>
        </w:rPr>
        <w:br w:type="page"/>
      </w:r>
    </w:p>
    <w:p w14:paraId="3F5724D1" w14:textId="577E6F74" w:rsidR="00C30B49" w:rsidRPr="00E546C4" w:rsidRDefault="00C30B49" w:rsidP="00100469">
      <w:pPr>
        <w:pStyle w:val="Heading1"/>
        <w:numPr>
          <w:ilvl w:val="0"/>
          <w:numId w:val="11"/>
        </w:numPr>
        <w:ind w:left="357" w:hanging="357"/>
        <w:rPr>
          <w:lang w:val="en-GB"/>
        </w:rPr>
      </w:pPr>
      <w:bookmarkStart w:id="4" w:name="_Toc157083381"/>
      <w:r w:rsidRPr="00E546C4">
        <w:rPr>
          <w:lang w:bidi="es-ES"/>
        </w:rPr>
        <w:lastRenderedPageBreak/>
        <w:t>Introducción</w:t>
      </w:r>
      <w:bookmarkEnd w:id="4"/>
    </w:p>
    <w:p w14:paraId="4CCEC619" w14:textId="6674D075" w:rsidR="003F0AD3" w:rsidRPr="00C17580" w:rsidRDefault="00C30B49" w:rsidP="00C30B49">
      <w:r w:rsidRPr="00C30B49">
        <w:rPr>
          <w:lang w:bidi="es-ES"/>
        </w:rPr>
        <w:t xml:space="preserve">Saber desenvolverse en un contexto complejo plagado de incógnitas es un pilar fundamental del afán del PNUD por encontrar soluciones innovadoras a los problemas institucionales y de desarrollo. El sistema de gestión de los riesgos institucionales (ERM) del PNUD se ha ideado con la intención de que la organización adquiera visión de futuro y controle el efecto de las incertidumbres en los objetivos. En última instancia, la finalidad de la ERM es </w:t>
      </w:r>
      <w:r w:rsidRPr="00C30B49">
        <w:rPr>
          <w:b/>
          <w:lang w:bidi="es-ES"/>
        </w:rPr>
        <w:t>velar por la capacidad de previsión y la toma de decisiones responsables y fundamentadas en los riesgos</w:t>
      </w:r>
      <w:r w:rsidRPr="00C30B49">
        <w:rPr>
          <w:lang w:bidi="es-ES"/>
        </w:rPr>
        <w:t xml:space="preserve"> a todos los niveles de la organización, de modo que se potencien al máximo los resultados y la repercusión a la vez que se procura optimizar la rentabilidad y hacer un uso racional de los recursos que proporcionan los donantes.</w:t>
      </w:r>
    </w:p>
    <w:p w14:paraId="445FBC98" w14:textId="704C1C83" w:rsidR="009A37A1" w:rsidRPr="00C17580" w:rsidRDefault="009A37A1" w:rsidP="009A37A1">
      <w:pPr>
        <w:rPr>
          <w:rFonts w:cstheme="minorHAnsi"/>
        </w:rPr>
      </w:pPr>
      <w:r>
        <w:rPr>
          <w:b/>
          <w:lang w:bidi="es-ES"/>
        </w:rPr>
        <w:t>El apetito de riesgo del PNUD</w:t>
      </w:r>
      <w:r>
        <w:rPr>
          <w:lang w:bidi="es-ES"/>
        </w:rPr>
        <w:t xml:space="preserve"> marca sus preferencias de carácter interno en lo que respecta al grado de riesgo que se asume en una situación determinada. También refleja la filosofía institucional y la actitud de los asociados y partes interesadas externas clave en materia de riesgos.</w:t>
      </w:r>
    </w:p>
    <w:p w14:paraId="378F71F0" w14:textId="7E64A36E" w:rsidR="00854998" w:rsidRPr="00C17580" w:rsidRDefault="003F0AD3" w:rsidP="009A37A1">
      <w:pPr>
        <w:rPr>
          <w:rFonts w:cstheme="minorHAnsi"/>
        </w:rPr>
      </w:pPr>
      <w:r w:rsidRPr="00C7169C">
        <w:rPr>
          <w:lang w:bidi="es-ES"/>
        </w:rPr>
        <w:t>La presente Declaración de Apetito de Riesgo va orientada a crear una cultura que tolere el riesgo en el PNUD, donde se tomen decisiones fundamentadas en los riesgos y se busquen oportunidades en función de las necesidades y circunstancias del proyecto o programa y de nuestros asociados para el desarrollo, así como de los recursos y competencias con los que contamos. La Declaración de Apetito de Riesgo da pie a debates sobre el riesgo y lo que se considera aceptable en toda la organización, ya que tiene presente que el apetito y la capacidad o la necesidad de asumir mayores riesgos varía de una dependencia institucional a otra. Sirve de orientación sobre la cantidad y el tipo de riesgos que el PNUD está dispuesto a aceptar o asumir para llevar a la práctica el Plan Estratégico mediante el desarrollo que tiene en cuenta los riesgos. El PNUD asume riesgos con miras a ejecutar proyectos y programas, consolidar las alianzas con los gobiernos anfitriones, promover los derechos humanos y brindar espacios seguros a la población. También corre riesgos para fomentar la innovación, que a su vez facilita la gestión de los riesgos al generar soluciones creativas y adoptar enfoques poco convencionales, lo que abre la organización a nuevas relaciones y oportunidades que contribuyen a que siga alcanzando las metas ambiciosas de desarrollo en los países donde se ejecutan programas. La Declaración propicia que se tomen decisiones eficaces, coherentes y fundamentadas en los riesgos al acordar, compartir y difundir el apetito de riesgo común a todos los niveles de la organización. Permite intercambiar ideas con las partes interesadas sobre la distribución de los riesgos, ya que expone el apetito de riesgo del PNUD con claridad y congruencia para poder adoptar decisiones conjuntas sobre la respuesta de la administración. Como facilita las discusiones estructuradas y lógicas en torno a los riesgos que van a aceptarse, los que van a mitigarse y los que van a evitarse a fin de que se materialicen las prioridades de la organización, incita a seguir un enfoque pragmático y flexible en lo tocante a la gestión de los riesgos. Esta Declaración se complementa con directrices pormenorizadas que ilustran su aplicación práctica.</w:t>
      </w:r>
    </w:p>
    <w:p w14:paraId="7A9538D3" w14:textId="485D1D82" w:rsidR="00C30B49" w:rsidRPr="00C30B49" w:rsidRDefault="00C30B49" w:rsidP="009A37A1">
      <w:r w:rsidRPr="00C30B49">
        <w:rPr>
          <w:lang w:bidi="es-ES"/>
        </w:rPr>
        <w:t>La Declaración de Apetito de Riesgo se ha elaborado para ejecutar el Plan Estratégico con estos principios:</w:t>
      </w:r>
    </w:p>
    <w:p w14:paraId="7ECF65A4" w14:textId="201CD07C" w:rsidR="00302E4C" w:rsidRPr="009E23BA" w:rsidRDefault="00302E4C" w:rsidP="009A37A1">
      <w:pPr>
        <w:pStyle w:val="ListParagraph"/>
        <w:numPr>
          <w:ilvl w:val="0"/>
          <w:numId w:val="23"/>
        </w:numPr>
      </w:pPr>
      <w:r w:rsidRPr="009A37A1">
        <w:rPr>
          <w:lang w:bidi="es-ES"/>
        </w:rPr>
        <w:t xml:space="preserve">Respaldar la toma de decisiones bien meditadas, coherentes y fundamentadas en los riesgos. </w:t>
      </w:r>
    </w:p>
    <w:p w14:paraId="0DC5E422" w14:textId="2F14527D" w:rsidR="00C30B49" w:rsidRPr="00C30B49" w:rsidRDefault="00C30B49" w:rsidP="009A37A1">
      <w:pPr>
        <w:pStyle w:val="ListParagraph"/>
        <w:numPr>
          <w:ilvl w:val="0"/>
          <w:numId w:val="23"/>
        </w:numPr>
      </w:pPr>
      <w:r w:rsidRPr="009A37A1">
        <w:rPr>
          <w:lang w:bidi="es-ES"/>
        </w:rPr>
        <w:lastRenderedPageBreak/>
        <w:t>Abrir y facilitar debates en el seno de la organización y con otros organismos de las Naciones Unidas, partes interesadas y beneficiarios sobre los tipos y niveles de riesgo que el PNUD está dispuesto a asumir (y los que no) con tal de llevar a cabo sus planes.</w:t>
      </w:r>
    </w:p>
    <w:p w14:paraId="0DF9F4E0" w14:textId="4B794382" w:rsidR="00C30B49" w:rsidRPr="00C7169C" w:rsidRDefault="00C30B49" w:rsidP="009A37A1">
      <w:pPr>
        <w:pStyle w:val="ListParagraph"/>
        <w:numPr>
          <w:ilvl w:val="0"/>
          <w:numId w:val="23"/>
        </w:numPr>
      </w:pPr>
      <w:r w:rsidRPr="009A37A1">
        <w:rPr>
          <w:lang w:bidi="es-ES"/>
        </w:rPr>
        <w:t>Aprovechar lo máximo posible la financiación pública por medio de la gestión proporcionada de los riesgos.</w:t>
      </w:r>
    </w:p>
    <w:p w14:paraId="578C1FAA" w14:textId="061FB057" w:rsidR="000D2BA0" w:rsidRPr="00C17580" w:rsidRDefault="00C30B49" w:rsidP="623262FC">
      <w:pPr>
        <w:pStyle w:val="ListParagraph"/>
        <w:numPr>
          <w:ilvl w:val="0"/>
          <w:numId w:val="23"/>
        </w:numPr>
      </w:pPr>
      <w:r w:rsidRPr="623262FC">
        <w:rPr>
          <w:lang w:bidi="es-ES"/>
        </w:rPr>
        <w:t xml:space="preserve">Ser flexible y dejar margen para que haya desviaciones con respecto al apetito de riesgo —que se habrán planificado, comentado y acordado previamente— cuando resulte beneficioso para que se hagan realidad las ambiciones y el mandato del PNUD, aunque siempre con la seguridad de que existen medidas consensuadas y oportunas para mitigar los riesgos. </w:t>
      </w:r>
    </w:p>
    <w:p w14:paraId="052FE475" w14:textId="39AD494C" w:rsidR="00C30B49" w:rsidRPr="00C17580" w:rsidRDefault="000D2BA0" w:rsidP="623262FC">
      <w:pPr>
        <w:pStyle w:val="ListParagraph"/>
        <w:numPr>
          <w:ilvl w:val="0"/>
          <w:numId w:val="23"/>
        </w:numPr>
      </w:pPr>
      <w:r w:rsidRPr="623262FC">
        <w:rPr>
          <w:lang w:bidi="es-ES"/>
        </w:rPr>
        <w:t>Mejorar la planificación y los conocimientos en torno a los riesgos vinculados a los planes de la organización que aspiran a impulsar la innovación y el aprendizaje, encontrar soluciones creativas y abrir la puerta a otras oportunidades de programación y a forjar alianzas nuevas y más sólidas, sobre todo con agentes no estatales y el sector privado.</w:t>
      </w:r>
    </w:p>
    <w:p w14:paraId="7790F4E6" w14:textId="24624C71" w:rsidR="004F692F" w:rsidRPr="00893E60" w:rsidRDefault="001A1447" w:rsidP="009A37A1">
      <w:pPr>
        <w:rPr>
          <w:color w:val="0E101A"/>
        </w:rPr>
      </w:pPr>
      <w:r w:rsidRPr="00C7169C">
        <w:rPr>
          <w:lang w:bidi="es-ES"/>
        </w:rPr>
        <w:t>La Declaración de Apetito de Riesgo se formuló a partir de un proceso consultivo y no es un paradigma inamovible, sino que se revisa y se actualiza para facilitar la implantación del Plan Estratégico del PNUD y plasmar las capacidades y prioridades institucionales del momento con el propósito de asumir riesgos y gestionarlos con eficacia a fin de que el Plan Estratégico se materialice. Entre los hechos que provocan una revisión de la Declaración de Apetito de Riesgo, cabe destacar:</w:t>
      </w:r>
    </w:p>
    <w:p w14:paraId="6A216A28" w14:textId="102FFAB1" w:rsidR="00100469" w:rsidRPr="00100469" w:rsidRDefault="00100469" w:rsidP="00CA5A26">
      <w:pPr>
        <w:pStyle w:val="CommentText"/>
        <w:numPr>
          <w:ilvl w:val="0"/>
          <w:numId w:val="22"/>
        </w:numPr>
        <w:spacing w:after="0" w:line="259" w:lineRule="auto"/>
        <w:rPr>
          <w:sz w:val="22"/>
          <w:szCs w:val="22"/>
        </w:rPr>
      </w:pPr>
      <w:r w:rsidRPr="00100469">
        <w:rPr>
          <w:sz w:val="22"/>
          <w:lang w:bidi="es-ES"/>
        </w:rPr>
        <w:t>Cambios sustanciales en el entorno o contexto interno del PNUD, como un replanteamiento de las prioridades o una actitud distinta frente al riesgo.</w:t>
      </w:r>
    </w:p>
    <w:p w14:paraId="1EF27772" w14:textId="104C17EE" w:rsidR="00100469" w:rsidRPr="00100469" w:rsidRDefault="00100469" w:rsidP="00CA5A26">
      <w:pPr>
        <w:pStyle w:val="CommentText"/>
        <w:numPr>
          <w:ilvl w:val="0"/>
          <w:numId w:val="22"/>
        </w:numPr>
        <w:spacing w:after="0" w:line="259" w:lineRule="auto"/>
        <w:rPr>
          <w:sz w:val="22"/>
          <w:szCs w:val="22"/>
        </w:rPr>
      </w:pPr>
      <w:r>
        <w:rPr>
          <w:sz w:val="22"/>
          <w:lang w:bidi="es-ES"/>
        </w:rPr>
        <w:t>Cambios sustanciales en el entorno o contexto externo del PNUD, como un giro de la situación política que afecte a las funciones de la organización o un vuelco en la base de donantes o sus prioridades.</w:t>
      </w:r>
    </w:p>
    <w:p w14:paraId="56DD0E01" w14:textId="35458FAB" w:rsidR="00100469" w:rsidRPr="00100469" w:rsidRDefault="00100469" w:rsidP="00CA5A26">
      <w:pPr>
        <w:pStyle w:val="CommentText"/>
        <w:numPr>
          <w:ilvl w:val="0"/>
          <w:numId w:val="22"/>
        </w:numPr>
        <w:spacing w:after="0" w:line="259" w:lineRule="auto"/>
        <w:rPr>
          <w:sz w:val="22"/>
          <w:szCs w:val="22"/>
        </w:rPr>
      </w:pPr>
      <w:r>
        <w:rPr>
          <w:sz w:val="22"/>
          <w:lang w:bidi="es-ES"/>
        </w:rPr>
        <w:t>Cambios sustanciales en el modelo operativo o institucional del PNUD; por ejemplo, que se transformen los procesos y procedimientos, las funciones, las responsabilidades o las obligaciones de la organización.</w:t>
      </w:r>
    </w:p>
    <w:p w14:paraId="4DE1CA79" w14:textId="57281DEB" w:rsidR="00100469" w:rsidRPr="00CA5A26" w:rsidRDefault="00100469" w:rsidP="00CA5A26">
      <w:pPr>
        <w:pStyle w:val="ListParagraph"/>
        <w:numPr>
          <w:ilvl w:val="0"/>
          <w:numId w:val="22"/>
        </w:numPr>
        <w:autoSpaceDE w:val="0"/>
        <w:autoSpaceDN w:val="0"/>
        <w:adjustRightInd w:val="0"/>
        <w:spacing w:after="0"/>
        <w:rPr>
          <w:rFonts w:eastAsia="Times New Roman" w:cs="Times New Roman"/>
          <w:color w:val="0E101A"/>
        </w:rPr>
      </w:pPr>
      <w:r>
        <w:rPr>
          <w:lang w:bidi="es-ES"/>
        </w:rPr>
        <w:t>La definición de una nueva estrategia, lo cual abarca la formulación de un nuevo Plan Estratégico.</w:t>
      </w:r>
    </w:p>
    <w:p w14:paraId="595465E6" w14:textId="77777777" w:rsidR="00100469" w:rsidRPr="00100469" w:rsidRDefault="00100469" w:rsidP="00100469">
      <w:pPr>
        <w:autoSpaceDE w:val="0"/>
        <w:autoSpaceDN w:val="0"/>
        <w:adjustRightInd w:val="0"/>
        <w:spacing w:after="0" w:line="240" w:lineRule="auto"/>
        <w:ind w:left="720"/>
        <w:rPr>
          <w:rFonts w:eastAsia="Times New Roman" w:cs="Times New Roman"/>
          <w:color w:val="0E101A"/>
        </w:rPr>
      </w:pPr>
    </w:p>
    <w:p w14:paraId="14774CAD" w14:textId="0C9CD331" w:rsidR="0036724D" w:rsidRDefault="004F59D8" w:rsidP="0036724D">
      <w:pPr>
        <w:autoSpaceDE w:val="0"/>
        <w:autoSpaceDN w:val="0"/>
        <w:adjustRightInd w:val="0"/>
        <w:spacing w:after="0" w:line="240" w:lineRule="auto"/>
        <w:rPr>
          <w:rFonts w:eastAsia="Times New Roman" w:cs="Times New Roman"/>
          <w:color w:val="0E101A"/>
        </w:rPr>
      </w:pPr>
      <w:r>
        <w:rPr>
          <w:color w:val="0E101A"/>
          <w:lang w:bidi="es-ES"/>
        </w:rPr>
        <w:t>Las enseñanzas extraídas de la revisión de la Declaración —de forma planificada o puntual— deben anotarse en un registro de lecciones aprendidas para que sienten las bases del desarrollo de políticas en un futuro.</w:t>
      </w:r>
    </w:p>
    <w:p w14:paraId="54A6F011" w14:textId="0E44FF21" w:rsidR="00893E60" w:rsidRPr="00E546C4" w:rsidRDefault="00893E60" w:rsidP="00100469">
      <w:pPr>
        <w:pStyle w:val="Heading1"/>
        <w:numPr>
          <w:ilvl w:val="0"/>
          <w:numId w:val="11"/>
        </w:numPr>
        <w:ind w:left="357" w:hanging="357"/>
      </w:pPr>
      <w:bookmarkStart w:id="5" w:name="_Toc157083382"/>
      <w:r w:rsidRPr="00E546C4">
        <w:rPr>
          <w:lang w:bidi="es-ES"/>
        </w:rPr>
        <w:t>Resumen de la Declaración de Apetito de Riesgo</w:t>
      </w:r>
      <w:bookmarkEnd w:id="5"/>
      <w:r w:rsidRPr="00E546C4">
        <w:rPr>
          <w:lang w:bidi="es-ES"/>
        </w:rPr>
        <w:tab/>
      </w:r>
      <w:r w:rsidRPr="00E546C4">
        <w:rPr>
          <w:lang w:bidi="es-ES"/>
        </w:rPr>
        <w:tab/>
      </w:r>
    </w:p>
    <w:p w14:paraId="1E44AB12" w14:textId="01F1A632" w:rsidR="009D5A05" w:rsidRPr="00C17580" w:rsidRDefault="001729BC" w:rsidP="00893E60">
      <w:r>
        <w:rPr>
          <w:lang w:bidi="es-ES"/>
        </w:rPr>
        <w:t>El diagrama a continuación sintetiza el papel que desempeña la Declaración de Apetito de Riesgo a la hora de sustentar la ERM en el PNUD y demuestra que el apetito de riesgo está presente en todos los aspectos de la gestión de los riesgos institucionales.</w:t>
      </w:r>
    </w:p>
    <w:p w14:paraId="1DE2017D" w14:textId="77777777" w:rsidR="00CD58F8" w:rsidRPr="00C17580" w:rsidRDefault="00CD58F8" w:rsidP="00893E60"/>
    <w:p w14:paraId="4365E276" w14:textId="17C3DF29" w:rsidR="009D5A05" w:rsidRDefault="00375EE7" w:rsidP="00B6754C">
      <w:pPr>
        <w:jc w:val="center"/>
        <w:rPr>
          <w:lang w:val="en-GB"/>
        </w:rPr>
      </w:pPr>
      <w:r>
        <w:rPr>
          <w:noProof/>
          <w:lang w:bidi="es-ES"/>
        </w:rPr>
        <w:lastRenderedPageBreak/>
        <mc:AlternateContent>
          <mc:Choice Requires="wps">
            <w:drawing>
              <wp:anchor distT="0" distB="0" distL="114300" distR="114300" simplePos="0" relativeHeight="251658243" behindDoc="0" locked="0" layoutInCell="1" allowOverlap="1" wp14:anchorId="050F4547" wp14:editId="40D87F03">
                <wp:simplePos x="0" y="0"/>
                <wp:positionH relativeFrom="column">
                  <wp:posOffset>115570</wp:posOffset>
                </wp:positionH>
                <wp:positionV relativeFrom="paragraph">
                  <wp:posOffset>671195</wp:posOffset>
                </wp:positionV>
                <wp:extent cx="720725" cy="1318895"/>
                <wp:effectExtent l="5715" t="0" r="85090" b="27940"/>
                <wp:wrapNone/>
                <wp:docPr id="9" name="Speech Bubble: Rectangle with Corners Rounded 9"/>
                <wp:cNvGraphicFramePr/>
                <a:graphic xmlns:a="http://schemas.openxmlformats.org/drawingml/2006/main">
                  <a:graphicData uri="http://schemas.microsoft.com/office/word/2010/wordprocessingShape">
                    <wps:wsp>
                      <wps:cNvSpPr/>
                      <wps:spPr>
                        <a:xfrm rot="16200000">
                          <a:off x="0" y="0"/>
                          <a:ext cx="720725" cy="1318895"/>
                        </a:xfrm>
                        <a:prstGeom prst="wedgeRoundRect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8302B0B" w14:textId="5E9E0EE0" w:rsidR="00375EE7" w:rsidRPr="00C17580" w:rsidRDefault="00375EE7" w:rsidP="00A517F5">
                            <w:pPr>
                              <w:spacing w:after="0" w:line="240" w:lineRule="auto"/>
                              <w:rPr>
                                <w:color w:val="000000" w:themeColor="text1"/>
                                <w:sz w:val="14"/>
                                <w:szCs w:val="14"/>
                              </w:rPr>
                            </w:pPr>
                            <w:r w:rsidRPr="00C17580">
                              <w:rPr>
                                <w:color w:val="000000" w:themeColor="text1"/>
                                <w:sz w:val="14"/>
                                <w:szCs w:val="14"/>
                              </w:rPr>
                              <w:t>Las directrices concretan las disposiciones relativas a la implantación y la gobernanza</w:t>
                            </w:r>
                          </w:p>
                        </w:txbxContent>
                      </wps:txbx>
                      <wps:bodyPr rot="0" spcFirstLastPara="0" vertOverflow="overflow" horzOverflow="overflow" vert="vert"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0F454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9" o:spid="_x0000_s1026" type="#_x0000_t62" style="position:absolute;left:0;text-align:left;margin-left:9.1pt;margin-top:52.85pt;width:56.75pt;height:103.85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" adj="6300,24300" filled="f" strokecolor="#1f3763 [1604]" strokeweight="1pt">
                <v:textbox style="layout-flow:vertical" inset="1mm,1mm,1mm,1mm">
                  <w:txbxContent>
                    <w:p w14:paraId="78302B0B" w14:textId="5E9E0EE0" w:rsidR="00375EE7" w:rsidRPr="00C17580" w:rsidRDefault="00375EE7" w:rsidP="00A517F5">
                      <w:pPr>
                        <w:spacing w:after="0" w:line="240" w:lineRule="auto"/>
                        <w:rPr>
                          <w:color w:val="000000" w:themeColor="text1"/>
                          <w:sz w:val="14"/>
                          <w:szCs w:val="14"/>
                        </w:rPr>
                      </w:pPr>
                      <w:r w:rsidRPr="00C17580">
                        <w:rPr>
                          <w:color w:val="000000" w:themeColor="text1"/>
                          <w:sz w:val="14"/>
                          <w:szCs w:val="14"/>
                        </w:rPr>
                        <w:t>Las directrices concretan las disposiciones relativas a la implantación y la gobernanza</w:t>
                      </w:r>
                    </w:p>
                  </w:txbxContent>
                </v:textbox>
              </v:shape>
            </w:pict>
          </mc:Fallback>
        </mc:AlternateContent>
      </w:r>
      <w:r w:rsidR="002A0A28">
        <w:rPr>
          <w:noProof/>
          <w:lang w:bidi="es-ES"/>
        </w:rPr>
        <mc:AlternateContent>
          <mc:Choice Requires="wps">
            <w:drawing>
              <wp:anchor distT="0" distB="0" distL="114300" distR="114300" simplePos="0" relativeHeight="251658242" behindDoc="0" locked="0" layoutInCell="1" allowOverlap="1" wp14:anchorId="41802CEE" wp14:editId="4C8D66CA">
                <wp:simplePos x="0" y="0"/>
                <wp:positionH relativeFrom="column">
                  <wp:posOffset>5227955</wp:posOffset>
                </wp:positionH>
                <wp:positionV relativeFrom="paragraph">
                  <wp:posOffset>-133350</wp:posOffset>
                </wp:positionV>
                <wp:extent cx="719775" cy="1318895"/>
                <wp:effectExtent l="233680" t="52070" r="47625" b="47625"/>
                <wp:wrapNone/>
                <wp:docPr id="8" name="Speech Bubble: Rectangle with Corners Rounded 8"/>
                <wp:cNvGraphicFramePr/>
                <a:graphic xmlns:a="http://schemas.openxmlformats.org/drawingml/2006/main">
                  <a:graphicData uri="http://schemas.microsoft.com/office/word/2010/wordprocessingShape">
                    <wps:wsp>
                      <wps:cNvSpPr/>
                      <wps:spPr>
                        <a:xfrm rot="5400000">
                          <a:off x="0" y="0"/>
                          <a:ext cx="719775" cy="1318895"/>
                        </a:xfrm>
                        <a:prstGeom prst="wedgeRoundRectCallout">
                          <a:avLst/>
                        </a:prstGeom>
                        <a:noFill/>
                        <a:scene3d>
                          <a:camera prst="orthographicFront">
                            <a:rot lat="0" lon="0" rev="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txbx>
                        <w:txbxContent>
                          <w:p w14:paraId="419DB257" w14:textId="6733E4D9" w:rsidR="002A0A28" w:rsidRPr="00C17580" w:rsidRDefault="002A0A28" w:rsidP="002A0A28">
                            <w:pPr>
                              <w:spacing w:after="0" w:line="240" w:lineRule="auto"/>
                              <w:rPr>
                                <w:color w:val="000000" w:themeColor="text1"/>
                                <w:sz w:val="14"/>
                                <w:szCs w:val="14"/>
                              </w:rPr>
                            </w:pPr>
                            <w:r w:rsidRPr="00EF426F">
                              <w:rPr>
                                <w:sz w:val="18"/>
                                <w:lang w:bidi="es-ES"/>
                              </w:rPr>
                              <w:t xml:space="preserve">El proceso de la </w:t>
                            </w:r>
                            <w:r w:rsidRPr="00C17580">
                              <w:rPr>
                                <w:color w:val="000000" w:themeColor="text1"/>
                                <w:sz w:val="14"/>
                                <w:szCs w:val="14"/>
                              </w:rPr>
                              <w:t>Declaración de Apetito de Riesgo se integra en el proceso de toma de decisiones</w:t>
                            </w:r>
                          </w:p>
                          <w:p w14:paraId="59CF91DD" w14:textId="77777777" w:rsidR="002A0A28" w:rsidRPr="00C17580" w:rsidRDefault="002A0A28" w:rsidP="00A517F5">
                            <w:pPr>
                              <w:spacing w:after="0" w:line="240" w:lineRule="auto"/>
                              <w:jc w:val="center"/>
                              <w:rPr>
                                <w:color w:val="000000" w:themeColor="text1"/>
                                <w:sz w:val="14"/>
                                <w:szCs w:val="14"/>
                              </w:rPr>
                            </w:pPr>
                          </w:p>
                        </w:txbxContent>
                      </wps:txbx>
                      <wps:bodyPr rot="0" spcFirstLastPara="0" vertOverflow="overflow" horzOverflow="overflow" vert="vert270" wrap="square" lIns="36000" tIns="36000" rIns="36000" bIns="36000" numCol="1" spcCol="0" rtlCol="0" fromWordArt="0" anchor="ctr" anchorCtr="0" forceAA="0" compatLnSpc="1">
                        <a:prstTxWarp prst="textNoShape">
                          <a:avLst/>
                        </a:prstTxWarp>
                        <a:noAutofit/>
                        <a:scene3d>
                          <a:camera prst="orthographicFront">
                            <a:rot lat="0" lon="0" rev="0"/>
                          </a:camera>
                          <a:lightRig rig="threePt" dir="t"/>
                        </a:scene3d>
                      </wps:bodyPr>
                    </wps:wsp>
                  </a:graphicData>
                </a:graphic>
                <wp14:sizeRelH relativeFrom="margin">
                  <wp14:pctWidth>0</wp14:pctWidth>
                </wp14:sizeRelH>
                <wp14:sizeRelV relativeFrom="margin">
                  <wp14:pctHeight>0</wp14:pctHeight>
                </wp14:sizeRelV>
              </wp:anchor>
            </w:drawing>
          </mc:Choice>
          <mc:Fallback>
            <w:pict>
              <v:shape w14:anchorId="41802CEE" id="Speech Bubble: Rectangle with Corners Rounded 8" o:spid="_x0000_s1027" type="#_x0000_t62" style="position:absolute;left:0;text-align:left;margin-left:411.65pt;margin-top:-10.5pt;width:56.7pt;height:103.85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" adj="6300,24300" filled="f" strokecolor="#1f3763 [1604]" strokeweight="1pt">
                <v:textbox style="layout-flow:vertical;mso-layout-flow-alt:bottom-to-top" inset="1mm,1mm,1mm,1mm">
                  <w:txbxContent>
                    <w:p w14:paraId="419DB257" w14:textId="6733E4D9" w:rsidR="002A0A28" w:rsidRPr="00C17580" w:rsidRDefault="002A0A28" w:rsidP="002A0A28">
                      <w:pPr>
                        <w:spacing w:after="0" w:line="240" w:lineRule="auto"/>
                        <w:rPr>
                          <w:color w:val="000000" w:themeColor="text1"/>
                          <w:sz w:val="14"/>
                          <w:szCs w:val="14"/>
                        </w:rPr>
                      </w:pPr>
                      <w:r w:rsidRPr="00EF426F">
                        <w:rPr>
                          <w:sz w:val="18"/>
                          <w:lang w:bidi="es-ES"/>
                        </w:rPr>
                        <w:t xml:space="preserve">El proceso de la </w:t>
                      </w:r>
                      <w:r w:rsidRPr="00C17580">
                        <w:rPr>
                          <w:color w:val="000000" w:themeColor="text1"/>
                          <w:sz w:val="14"/>
                          <w:szCs w:val="14"/>
                        </w:rPr>
                        <w:t>Declaración de Apetito de Riesgo se integra en el proceso de toma de decisiones</w:t>
                      </w:r>
                    </w:p>
                    <w:p w14:paraId="59CF91DD" w14:textId="77777777" w:rsidR="002A0A28" w:rsidRPr="00C17580" w:rsidRDefault="002A0A28" w:rsidP="00A517F5">
                      <w:pPr>
                        <w:spacing w:after="0" w:line="240" w:lineRule="auto"/>
                        <w:jc w:val="center"/>
                        <w:rPr>
                          <w:color w:val="000000" w:themeColor="text1"/>
                          <w:sz w:val="14"/>
                          <w:szCs w:val="14"/>
                        </w:rPr>
                      </w:pPr>
                    </w:p>
                  </w:txbxContent>
                </v:textbox>
              </v:shape>
            </w:pict>
          </mc:Fallback>
        </mc:AlternateContent>
      </w:r>
      <w:r w:rsidR="002A0A28">
        <w:rPr>
          <w:noProof/>
          <w:lang w:bidi="es-ES"/>
        </w:rPr>
        <mc:AlternateContent>
          <mc:Choice Requires="wps">
            <w:drawing>
              <wp:anchor distT="0" distB="0" distL="114300" distR="114300" simplePos="0" relativeHeight="251658241" behindDoc="0" locked="0" layoutInCell="1" allowOverlap="1" wp14:anchorId="368455FF" wp14:editId="59F88A57">
                <wp:simplePos x="0" y="0"/>
                <wp:positionH relativeFrom="column">
                  <wp:posOffset>5269865</wp:posOffset>
                </wp:positionH>
                <wp:positionV relativeFrom="paragraph">
                  <wp:posOffset>728980</wp:posOffset>
                </wp:positionV>
                <wp:extent cx="719775" cy="1318895"/>
                <wp:effectExtent l="81280" t="0" r="28575" b="28575"/>
                <wp:wrapNone/>
                <wp:docPr id="4" name="Speech Bubble: Rectangle with Corners Rounded 4"/>
                <wp:cNvGraphicFramePr/>
                <a:graphic xmlns:a="http://schemas.openxmlformats.org/drawingml/2006/main">
                  <a:graphicData uri="http://schemas.microsoft.com/office/word/2010/wordprocessingShape">
                    <wps:wsp>
                      <wps:cNvSpPr/>
                      <wps:spPr>
                        <a:xfrm rot="5400000">
                          <a:off x="0" y="0"/>
                          <a:ext cx="719775" cy="1318895"/>
                        </a:xfrm>
                        <a:prstGeom prst="wedgeRoundRect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088AB69" w14:textId="667891BC" w:rsidR="002A0A28" w:rsidRPr="00C17580" w:rsidRDefault="002A0A28" w:rsidP="00710944">
                            <w:pPr>
                              <w:spacing w:after="0" w:line="240" w:lineRule="auto"/>
                              <w:rPr>
                                <w:color w:val="000000" w:themeColor="text1"/>
                                <w:sz w:val="14"/>
                                <w:szCs w:val="14"/>
                              </w:rPr>
                            </w:pPr>
                            <w:r w:rsidRPr="00C17580">
                              <w:rPr>
                                <w:color w:val="000000" w:themeColor="text1"/>
                                <w:sz w:val="14"/>
                                <w:szCs w:val="14"/>
                              </w:rPr>
                              <w:t>Al facilitar que se tomen decisiones más novedosas y acertadas, la Declaración de Apetito de Riesgo contribuye a la innovación y al aprendizaje</w:t>
                            </w:r>
                          </w:p>
                          <w:p w14:paraId="4624D38E" w14:textId="77777777" w:rsidR="002A0A28" w:rsidRPr="00C17580" w:rsidRDefault="002A0A28" w:rsidP="00A517F5">
                            <w:pPr>
                              <w:spacing w:after="0" w:line="240" w:lineRule="auto"/>
                              <w:jc w:val="center"/>
                              <w:rPr>
                                <w:color w:val="000000" w:themeColor="text1"/>
                                <w:sz w:val="14"/>
                                <w:szCs w:val="14"/>
                              </w:rPr>
                            </w:pPr>
                          </w:p>
                        </w:txbxContent>
                      </wps:txbx>
                      <wps:bodyPr rot="0" spcFirstLastPara="0" vertOverflow="overflow" horzOverflow="overflow" vert="vert270"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455FF" id="Speech Bubble: Rectangle with Corners Rounded 4" o:spid="_x0000_s1028" type="#_x0000_t62" style="position:absolute;left:0;text-align:left;margin-left:414.95pt;margin-top:57.4pt;width:56.7pt;height:103.8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" adj="6300,24300" filled="f" strokecolor="#1f3763 [1604]" strokeweight="1pt">
                <v:textbox style="layout-flow:vertical;mso-layout-flow-alt:bottom-to-top" inset="1mm,1mm,1mm,1mm">
                  <w:txbxContent>
                    <w:p w14:paraId="7088AB69" w14:textId="667891BC" w:rsidR="002A0A28" w:rsidRPr="00C17580" w:rsidRDefault="002A0A28" w:rsidP="00710944">
                      <w:pPr>
                        <w:spacing w:after="0" w:line="240" w:lineRule="auto"/>
                        <w:rPr>
                          <w:color w:val="000000" w:themeColor="text1"/>
                          <w:sz w:val="14"/>
                          <w:szCs w:val="14"/>
                        </w:rPr>
                      </w:pPr>
                      <w:r w:rsidRPr="00C17580">
                        <w:rPr>
                          <w:color w:val="000000" w:themeColor="text1"/>
                          <w:sz w:val="14"/>
                          <w:szCs w:val="14"/>
                        </w:rPr>
                        <w:t>Al facilitar que se tomen decisiones más novedosas y acertadas, la Declaración de Apetito de Riesgo contribuye a la innovación y al aprendizaje</w:t>
                      </w:r>
                    </w:p>
                    <w:p w14:paraId="4624D38E" w14:textId="77777777" w:rsidR="002A0A28" w:rsidRPr="00C17580" w:rsidRDefault="002A0A28" w:rsidP="00A517F5">
                      <w:pPr>
                        <w:spacing w:after="0" w:line="240" w:lineRule="auto"/>
                        <w:jc w:val="center"/>
                        <w:rPr>
                          <w:color w:val="000000" w:themeColor="text1"/>
                          <w:sz w:val="14"/>
                          <w:szCs w:val="14"/>
                        </w:rPr>
                      </w:pPr>
                    </w:p>
                  </w:txbxContent>
                </v:textbox>
              </v:shape>
            </w:pict>
          </mc:Fallback>
        </mc:AlternateContent>
      </w:r>
      <w:r w:rsidR="002A0A28">
        <w:rPr>
          <w:noProof/>
          <w:lang w:bidi="es-ES"/>
        </w:rPr>
        <mc:AlternateContent>
          <mc:Choice Requires="wps">
            <w:drawing>
              <wp:anchor distT="0" distB="0" distL="114300" distR="114300" simplePos="0" relativeHeight="251658240" behindDoc="0" locked="0" layoutInCell="1" allowOverlap="1" wp14:anchorId="53861678" wp14:editId="083D5417">
                <wp:simplePos x="0" y="0"/>
                <wp:positionH relativeFrom="column">
                  <wp:posOffset>91440</wp:posOffset>
                </wp:positionH>
                <wp:positionV relativeFrom="paragraph">
                  <wp:posOffset>-295911</wp:posOffset>
                </wp:positionV>
                <wp:extent cx="720725" cy="1318895"/>
                <wp:effectExtent l="5715" t="0" r="85090" b="27940"/>
                <wp:wrapNone/>
                <wp:docPr id="3" name="Speech Bubble: Rectangle with Corners Rounded 3"/>
                <wp:cNvGraphicFramePr/>
                <a:graphic xmlns:a="http://schemas.openxmlformats.org/drawingml/2006/main">
                  <a:graphicData uri="http://schemas.microsoft.com/office/word/2010/wordprocessingShape">
                    <wps:wsp>
                      <wps:cNvSpPr/>
                      <wps:spPr>
                        <a:xfrm rot="16200000">
                          <a:off x="0" y="0"/>
                          <a:ext cx="720725" cy="1318895"/>
                        </a:xfrm>
                        <a:prstGeom prst="wedgeRoundRect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667A55D" w14:textId="77777777" w:rsidR="002A0A28" w:rsidRPr="00C17580" w:rsidRDefault="002A0A28" w:rsidP="00710944">
                            <w:pPr>
                              <w:spacing w:after="0" w:line="240" w:lineRule="auto"/>
                              <w:rPr>
                                <w:color w:val="000000" w:themeColor="text1"/>
                                <w:sz w:val="14"/>
                                <w:szCs w:val="14"/>
                              </w:rPr>
                            </w:pPr>
                            <w:r w:rsidRPr="00C17580">
                              <w:rPr>
                                <w:color w:val="000000" w:themeColor="text1"/>
                                <w:sz w:val="14"/>
                                <w:szCs w:val="14"/>
                              </w:rPr>
                              <w:t>Esta declaración especifica la metodología de evaluación e implantación de la Declaración de Apetito de Riesgo</w:t>
                            </w:r>
                          </w:p>
                          <w:p w14:paraId="28D66F67" w14:textId="77777777" w:rsidR="002A0A28" w:rsidRPr="00C17580" w:rsidRDefault="002A0A28" w:rsidP="00A517F5">
                            <w:pPr>
                              <w:spacing w:after="0" w:line="240" w:lineRule="auto"/>
                              <w:jc w:val="center"/>
                              <w:rPr>
                                <w:color w:val="000000" w:themeColor="text1"/>
                                <w:sz w:val="10"/>
                                <w:szCs w:val="10"/>
                              </w:rPr>
                            </w:pPr>
                          </w:p>
                        </w:txbxContent>
                      </wps:txbx>
                      <wps:bodyPr rot="0" spcFirstLastPara="0" vertOverflow="overflow" horzOverflow="overflow" vert="vert"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61678" id="Speech Bubble: Rectangle with Corners Rounded 3" o:spid="_x0000_s1029" type="#_x0000_t62" style="position:absolute;left:0;text-align:left;margin-left:7.2pt;margin-top:-23.3pt;width:56.75pt;height:103.8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" adj="6300,24300" filled="f" strokecolor="#1f3763 [1604]" strokeweight="1pt">
                <v:textbox style="layout-flow:vertical" inset="1mm,1mm,1mm,1mm">
                  <w:txbxContent>
                    <w:p w14:paraId="2667A55D" w14:textId="77777777" w:rsidR="002A0A28" w:rsidRPr="00C17580" w:rsidRDefault="002A0A28" w:rsidP="00710944">
                      <w:pPr>
                        <w:spacing w:after="0" w:line="240" w:lineRule="auto"/>
                        <w:rPr>
                          <w:color w:val="000000" w:themeColor="text1"/>
                          <w:sz w:val="14"/>
                          <w:szCs w:val="14"/>
                        </w:rPr>
                      </w:pPr>
                      <w:r w:rsidRPr="00C17580">
                        <w:rPr>
                          <w:color w:val="000000" w:themeColor="text1"/>
                          <w:sz w:val="14"/>
                          <w:szCs w:val="14"/>
                        </w:rPr>
                        <w:t>Esta declaración especifica la metodología de evaluación e implantación de la Declaración de Apetito de Riesgo</w:t>
                      </w:r>
                    </w:p>
                    <w:p w14:paraId="28D66F67" w14:textId="77777777" w:rsidR="002A0A28" w:rsidRPr="00C17580" w:rsidRDefault="002A0A28" w:rsidP="00A517F5">
                      <w:pPr>
                        <w:spacing w:after="0" w:line="240" w:lineRule="auto"/>
                        <w:jc w:val="center"/>
                        <w:rPr>
                          <w:color w:val="000000" w:themeColor="text1"/>
                          <w:sz w:val="10"/>
                          <w:szCs w:val="10"/>
                        </w:rPr>
                      </w:pPr>
                    </w:p>
                  </w:txbxContent>
                </v:textbox>
              </v:shape>
            </w:pict>
          </mc:Fallback>
        </mc:AlternateContent>
      </w:r>
      <w:r w:rsidR="001E640A">
        <w:rPr>
          <w:noProof/>
        </w:rPr>
        <w:drawing>
          <wp:anchor distT="0" distB="0" distL="114300" distR="114300" simplePos="0" relativeHeight="251660300" behindDoc="0" locked="0" layoutInCell="1" allowOverlap="1" wp14:anchorId="5054F871" wp14:editId="3E58A6BB">
            <wp:simplePos x="0" y="0"/>
            <wp:positionH relativeFrom="column">
              <wp:posOffset>1277815</wp:posOffset>
            </wp:positionH>
            <wp:positionV relativeFrom="paragraph">
              <wp:posOffset>879</wp:posOffset>
            </wp:positionV>
            <wp:extent cx="3419475" cy="1970405"/>
            <wp:effectExtent l="0" t="0" r="9525" b="0"/>
            <wp:wrapNone/>
            <wp:docPr id="67616956" name="Picture 67616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19475" cy="1970405"/>
                    </a:xfrm>
                    <a:prstGeom prst="rect">
                      <a:avLst/>
                    </a:prstGeom>
                    <a:noFill/>
                    <a:ln>
                      <a:noFill/>
                    </a:ln>
                  </pic:spPr>
                </pic:pic>
              </a:graphicData>
            </a:graphic>
          </wp:anchor>
        </w:drawing>
      </w:r>
      <w:r w:rsidR="00FD1BA8" w:rsidRPr="00FD1BA8">
        <w:rPr>
          <w:noProof/>
          <w:lang w:bidi="es-ES"/>
        </w:rPr>
        <w:drawing>
          <wp:inline distT="0" distB="0" distL="0" distR="0" wp14:anchorId="3BCFF771" wp14:editId="533148B2">
            <wp:extent cx="3390142" cy="1953888"/>
            <wp:effectExtent l="0" t="0" r="1270" b="8890"/>
            <wp:docPr id="7" name="Picture 6">
              <a:extLst xmlns:a="http://schemas.openxmlformats.org/drawingml/2006/main">
                <a:ext uri="{FF2B5EF4-FFF2-40B4-BE49-F238E27FC236}">
                  <a16:creationId xmlns:a16="http://schemas.microsoft.com/office/drawing/2014/main" id="{47FCA0EE-4A35-4774-99D1-7958EC2EC9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7FCA0EE-4A35-4774-99D1-7958EC2EC93B}"/>
                        </a:ext>
                      </a:extLst>
                    </pic:cNvPr>
                    <pic:cNvPicPr>
                      <a:picLocks noChangeAspect="1"/>
                    </pic:cNvPicPr>
                  </pic:nvPicPr>
                  <pic:blipFill>
                    <a:blip r:embed="rId14"/>
                    <a:stretch>
                      <a:fillRect/>
                    </a:stretch>
                  </pic:blipFill>
                  <pic:spPr>
                    <a:xfrm>
                      <a:off x="0" y="0"/>
                      <a:ext cx="3423515" cy="1973122"/>
                    </a:xfrm>
                    <a:prstGeom prst="rect">
                      <a:avLst/>
                    </a:prstGeom>
                  </pic:spPr>
                </pic:pic>
              </a:graphicData>
            </a:graphic>
          </wp:inline>
        </w:drawing>
      </w:r>
    </w:p>
    <w:p w14:paraId="3E2D849A" w14:textId="3553415F" w:rsidR="00A04288" w:rsidRPr="00C17580" w:rsidRDefault="00D24E7B" w:rsidP="00FF788E">
      <w:r>
        <w:rPr>
          <w:lang w:bidi="es-ES"/>
        </w:rPr>
        <w:t>La Declaración de Apetito de Riesgo sitúa todas las categorías de riesgo en una escala que va desde “mínimo” a “elevado”, como puede verse en la figura a continuación:</w:t>
      </w:r>
    </w:p>
    <w:p w14:paraId="3940A21B" w14:textId="18F9DD22" w:rsidR="00A04288" w:rsidRPr="00C17580" w:rsidRDefault="007612A9" w:rsidP="00FF788E">
      <w:r>
        <w:rPr>
          <w:noProof/>
          <w:lang w:bidi="es-ES"/>
        </w:rPr>
        <mc:AlternateContent>
          <mc:Choice Requires="wpg">
            <w:drawing>
              <wp:anchor distT="0" distB="0" distL="114300" distR="114300" simplePos="0" relativeHeight="251658244" behindDoc="0" locked="0" layoutInCell="1" allowOverlap="1" wp14:anchorId="44A51D4C" wp14:editId="16292482">
                <wp:simplePos x="0" y="0"/>
                <wp:positionH relativeFrom="column">
                  <wp:posOffset>0</wp:posOffset>
                </wp:positionH>
                <wp:positionV relativeFrom="paragraph">
                  <wp:posOffset>15966</wp:posOffset>
                </wp:positionV>
                <wp:extent cx="6042667" cy="587459"/>
                <wp:effectExtent l="0" t="19050" r="0" b="0"/>
                <wp:wrapNone/>
                <wp:docPr id="10" name="Group 10"/>
                <wp:cNvGraphicFramePr/>
                <a:graphic xmlns:a="http://schemas.openxmlformats.org/drawingml/2006/main">
                  <a:graphicData uri="http://schemas.microsoft.com/office/word/2010/wordprocessingGroup">
                    <wpg:wgp>
                      <wpg:cNvGrpSpPr/>
                      <wpg:grpSpPr>
                        <a:xfrm>
                          <a:off x="0" y="0"/>
                          <a:ext cx="6042667" cy="587459"/>
                          <a:chOff x="0" y="0"/>
                          <a:chExt cx="6042667" cy="587459"/>
                        </a:xfrm>
                      </wpg:grpSpPr>
                      <wpg:grpSp>
                        <wpg:cNvPr id="12" name="Group 19"/>
                        <wpg:cNvGrpSpPr/>
                        <wpg:grpSpPr>
                          <a:xfrm>
                            <a:off x="91621" y="0"/>
                            <a:ext cx="5805752" cy="585670"/>
                            <a:chOff x="90822" y="0"/>
                            <a:chExt cx="5805752" cy="585670"/>
                          </a:xfrm>
                        </wpg:grpSpPr>
                        <wps:wsp>
                          <wps:cNvPr id="13" name="Arrow: Left-Right 13"/>
                          <wps:cNvSpPr/>
                          <wps:spPr>
                            <a:xfrm>
                              <a:off x="90822" y="0"/>
                              <a:ext cx="5805752" cy="152399"/>
                            </a:xfrm>
                            <a:prstGeom prst="leftRightArrow">
                              <a:avLst/>
                            </a:prstGeom>
                            <a:gradFill flip="none" rotWithShape="1">
                              <a:gsLst>
                                <a:gs pos="67000">
                                  <a:schemeClr val="accent1">
                                    <a:lumMod val="60000"/>
                                    <a:lumOff val="40000"/>
                                  </a:schemeClr>
                                </a:gs>
                                <a:gs pos="33000">
                                  <a:schemeClr val="accent1">
                                    <a:lumMod val="75000"/>
                                  </a:schemeClr>
                                </a:gs>
                                <a:gs pos="0">
                                  <a:schemeClr val="accent1">
                                    <a:lumMod val="50000"/>
                                  </a:schemeClr>
                                </a:gs>
                                <a:gs pos="100000">
                                  <a:schemeClr val="accent1">
                                    <a:lumMod val="40000"/>
                                    <a:lumOff val="60000"/>
                                    <a:shade val="100000"/>
                                    <a:satMod val="115000"/>
                                  </a:schemeClr>
                                </a:gs>
                              </a:gsLst>
                              <a:lin ang="10800000" scaled="1"/>
                              <a:tileRect/>
                            </a:gra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 name="TextBox 21"/>
                          <wps:cNvSpPr txBox="1"/>
                          <wps:spPr>
                            <a:xfrm>
                              <a:off x="4010614" y="225625"/>
                              <a:ext cx="739140" cy="360045"/>
                            </a:xfrm>
                            <a:prstGeom prst="rect">
                              <a:avLst/>
                            </a:prstGeom>
                            <a:noFill/>
                          </wps:spPr>
                          <wps:txbx>
                            <w:txbxContent>
                              <w:p w14:paraId="4026E44D" w14:textId="77777777" w:rsidR="00A04288" w:rsidRDefault="00A04288" w:rsidP="00A04288">
                                <w:pPr>
                                  <w:jc w:val="center"/>
                                  <w:rPr>
                                    <w:sz w:val="24"/>
                                    <w:szCs w:val="24"/>
                                  </w:rPr>
                                </w:pPr>
                                <w:r>
                                  <w:rPr>
                                    <w:b/>
                                    <w:color w:val="2F5496" w:themeColor="accent1" w:themeShade="BF"/>
                                    <w:kern w:val="24"/>
                                    <w:sz w:val="20"/>
                                    <w:lang w:bidi="es-ES"/>
                                  </w:rPr>
                                  <w:t xml:space="preserve">Abierto </w:t>
                                </w:r>
                              </w:p>
                            </w:txbxContent>
                          </wps:txbx>
                          <wps:bodyPr wrap="square" rtlCol="0">
                            <a:spAutoFit/>
                          </wps:bodyPr>
                        </wps:wsp>
                      </wpg:grpSp>
                      <wps:wsp>
                        <wps:cNvPr id="23" name="TextBox 22">
                          <a:extLst>
                            <a:ext uri="{FF2B5EF4-FFF2-40B4-BE49-F238E27FC236}">
                              <a16:creationId xmlns:a16="http://schemas.microsoft.com/office/drawing/2014/main" id="{75839BE1-89F3-4005-8672-6BEB2EC92904}"/>
                            </a:ext>
                          </a:extLst>
                        </wps:cNvPr>
                        <wps:cNvSpPr txBox="1"/>
                        <wps:spPr>
                          <a:xfrm>
                            <a:off x="0" y="220164"/>
                            <a:ext cx="738505" cy="360045"/>
                          </a:xfrm>
                          <a:prstGeom prst="rect">
                            <a:avLst/>
                          </a:prstGeom>
                          <a:noFill/>
                        </wps:spPr>
                        <wps:txbx>
                          <w:txbxContent>
                            <w:p w14:paraId="2F113DF5" w14:textId="77777777" w:rsidR="00A04288" w:rsidRDefault="00A04288" w:rsidP="00A04288">
                              <w:pPr>
                                <w:jc w:val="center"/>
                                <w:rPr>
                                  <w:sz w:val="24"/>
                                  <w:szCs w:val="24"/>
                                </w:rPr>
                              </w:pPr>
                              <w:r>
                                <w:rPr>
                                  <w:b/>
                                  <w:color w:val="9FB7E3"/>
                                  <w:kern w:val="24"/>
                                  <w:sz w:val="20"/>
                                  <w:lang w:bidi="es-ES"/>
                                </w:rPr>
                                <w:t>Mínimo</w:t>
                              </w:r>
                            </w:p>
                          </w:txbxContent>
                        </wps:txbx>
                        <wps:bodyPr wrap="square" rtlCol="0">
                          <a:spAutoFit/>
                        </wps:bodyPr>
                      </wps:wsp>
                      <wps:wsp>
                        <wps:cNvPr id="24" name="TextBox 23">
                          <a:extLst>
                            <a:ext uri="{FF2B5EF4-FFF2-40B4-BE49-F238E27FC236}">
                              <a16:creationId xmlns:a16="http://schemas.microsoft.com/office/drawing/2014/main" id="{E9C02621-456A-45E1-B01A-1BC42098D681}"/>
                            </a:ext>
                          </a:extLst>
                        </wps:cNvPr>
                        <wps:cNvSpPr txBox="1"/>
                        <wps:spPr>
                          <a:xfrm>
                            <a:off x="1175478" y="227414"/>
                            <a:ext cx="739140" cy="360045"/>
                          </a:xfrm>
                          <a:prstGeom prst="rect">
                            <a:avLst/>
                          </a:prstGeom>
                          <a:noFill/>
                        </wps:spPr>
                        <wps:txbx>
                          <w:txbxContent>
                            <w:p w14:paraId="4382ADA1" w14:textId="77777777" w:rsidR="00A04288" w:rsidRDefault="00A04288" w:rsidP="00A04288">
                              <w:pPr>
                                <w:jc w:val="center"/>
                                <w:rPr>
                                  <w:sz w:val="24"/>
                                  <w:szCs w:val="24"/>
                                </w:rPr>
                              </w:pPr>
                              <w:r>
                                <w:rPr>
                                  <w:b/>
                                  <w:color w:val="8EAADB" w:themeColor="accent1" w:themeTint="99"/>
                                  <w:kern w:val="24"/>
                                  <w:sz w:val="20"/>
                                  <w:lang w:bidi="es-ES"/>
                                </w:rPr>
                                <w:t>Moderado</w:t>
                              </w:r>
                            </w:p>
                          </w:txbxContent>
                        </wps:txbx>
                        <wps:bodyPr wrap="square" rtlCol="0">
                          <a:spAutoFit/>
                        </wps:bodyPr>
                      </wps:wsp>
                      <wps:wsp>
                        <wps:cNvPr id="25" name="TextBox 24">
                          <a:extLst>
                            <a:ext uri="{FF2B5EF4-FFF2-40B4-BE49-F238E27FC236}">
                              <a16:creationId xmlns:a16="http://schemas.microsoft.com/office/drawing/2014/main" id="{7AFF9DC1-10F3-41FC-834E-DCF95F7EB62F}"/>
                            </a:ext>
                          </a:extLst>
                        </wps:cNvPr>
                        <wps:cNvSpPr txBox="1"/>
                        <wps:spPr>
                          <a:xfrm>
                            <a:off x="2379980" y="220079"/>
                            <a:ext cx="1215390" cy="360045"/>
                          </a:xfrm>
                          <a:prstGeom prst="rect">
                            <a:avLst/>
                          </a:prstGeom>
                          <a:noFill/>
                        </wps:spPr>
                        <wps:txbx>
                          <w:txbxContent>
                            <w:p w14:paraId="074BDA39" w14:textId="77777777" w:rsidR="00A04288" w:rsidRDefault="00A04288" w:rsidP="00A04288">
                              <w:pPr>
                                <w:jc w:val="center"/>
                                <w:rPr>
                                  <w:sz w:val="24"/>
                                  <w:szCs w:val="24"/>
                                </w:rPr>
                              </w:pPr>
                              <w:r>
                                <w:rPr>
                                  <w:b/>
                                  <w:color w:val="4472C4" w:themeColor="accent1"/>
                                  <w:kern w:val="24"/>
                                  <w:sz w:val="20"/>
                                  <w:lang w:bidi="es-ES"/>
                                </w:rPr>
                                <w:t>Exploratorio</w:t>
                              </w:r>
                            </w:p>
                          </w:txbxContent>
                        </wps:txbx>
                        <wps:bodyPr wrap="square" rtlCol="0">
                          <a:spAutoFit/>
                        </wps:bodyPr>
                      </wps:wsp>
                      <wps:wsp>
                        <wps:cNvPr id="26" name="TextBox 25">
                          <a:extLst>
                            <a:ext uri="{FF2B5EF4-FFF2-40B4-BE49-F238E27FC236}">
                              <a16:creationId xmlns:a16="http://schemas.microsoft.com/office/drawing/2014/main" id="{08AB0481-ED8F-4F28-AD27-BFC59A440F5C}"/>
                            </a:ext>
                          </a:extLst>
                        </wps:cNvPr>
                        <wps:cNvSpPr txBox="1"/>
                        <wps:spPr>
                          <a:xfrm>
                            <a:off x="5304162" y="213016"/>
                            <a:ext cx="738505" cy="360045"/>
                          </a:xfrm>
                          <a:prstGeom prst="rect">
                            <a:avLst/>
                          </a:prstGeom>
                          <a:noFill/>
                        </wps:spPr>
                        <wps:txbx>
                          <w:txbxContent>
                            <w:p w14:paraId="03FF834B" w14:textId="77777777" w:rsidR="00A04288" w:rsidRDefault="00A04288" w:rsidP="00A04288">
                              <w:pPr>
                                <w:jc w:val="center"/>
                                <w:rPr>
                                  <w:sz w:val="24"/>
                                  <w:szCs w:val="24"/>
                                </w:rPr>
                              </w:pPr>
                              <w:r>
                                <w:rPr>
                                  <w:b/>
                                  <w:color w:val="1F3864" w:themeColor="accent1" w:themeShade="80"/>
                                  <w:kern w:val="24"/>
                                  <w:sz w:val="20"/>
                                  <w:lang w:bidi="es-ES"/>
                                </w:rPr>
                                <w:t>Elevado</w:t>
                              </w:r>
                            </w:p>
                          </w:txbxContent>
                        </wps:txbx>
                        <wps:bodyPr wrap="square" rtlCol="0">
                          <a:spAutoFit/>
                        </wps:bodyPr>
                      </wps:wsp>
                    </wpg:wgp>
                  </a:graphicData>
                </a:graphic>
              </wp:anchor>
            </w:drawing>
          </mc:Choice>
          <mc:Fallback>
            <w:pict>
              <v:group w14:anchorId="44A51D4C" id="Group 10" o:spid="_x0000_s1030" style="position:absolute;margin-left:0;margin-top:1.25pt;width:475.8pt;height:46.25pt;z-index:251658244" coordsize="60426,5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">
                <v:group id="Group 19" o:spid="_x0000_s1031" style="position:absolute;left:916;width:58057;height:5856" coordorigin="908" coordsize="58057,5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13" o:spid="_x0000_s1032" type="#_x0000_t69" style="position:absolute;left:908;width:58057;height:1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" adj="283" fillcolor="#1f3763 [1604]" strokecolor="#1f3763 [1604]" strokeweight="1pt">
                    <v:fill color2="#b4c6e7 [1300]" rotate="t" angle="270" colors="0 #203864;21627f #2f5597;43909f #8faadc;1 #b0c6eb" focus="100%" type="gradient"/>
                  </v:shape>
                  <v:shapetype id="_x0000_t202" coordsize="21600,21600" o:spt="202" path="m,l,21600r21600,l21600,xe">
                    <v:stroke joinstyle="miter"/>
                    <v:path gradientshapeok="t" o:connecttype="rect"/>
                  </v:shapetype>
                  <v:shape id="TextBox 21" o:spid="_x0000_s1033" type="#_x0000_t202" style="position:absolute;left:40106;top:2256;width:7391;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4026E44D" w14:textId="77777777" w:rsidR="00A04288" w:rsidRDefault="00A04288" w:rsidP="00A04288">
                          <w:pPr>
                            <w:jc w:val="center"/>
                            <w:rPr>
                              <w:sz w:val="24"/>
                              <w:szCs w:val="24"/>
                            </w:rPr>
                          </w:pPr>
                          <w:r>
                            <w:rPr>
                              <w:b/>
                              <w:color w:val="2F5496" w:themeColor="accent1" w:themeShade="BF"/>
                              <w:kern w:val="24"/>
                              <w:sz w:val="20"/>
                              <w:lang w:bidi="es-ES"/>
                            </w:rPr>
                            <w:t xml:space="preserve">Abierto </w:t>
                          </w:r>
                        </w:p>
                      </w:txbxContent>
                    </v:textbox>
                  </v:shape>
                </v:group>
                <v:shape id="TextBox 22" o:spid="_x0000_s1034" type="#_x0000_t202" style="position:absolute;top:2201;width:7385;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14:paraId="2F113DF5" w14:textId="77777777" w:rsidR="00A04288" w:rsidRDefault="00A04288" w:rsidP="00A04288">
                        <w:pPr>
                          <w:jc w:val="center"/>
                          <w:rPr>
                            <w:sz w:val="24"/>
                            <w:szCs w:val="24"/>
                          </w:rPr>
                        </w:pPr>
                        <w:r>
                          <w:rPr>
                            <w:b/>
                            <w:color w:val="9FB7E3"/>
                            <w:kern w:val="24"/>
                            <w:sz w:val="20"/>
                            <w:lang w:bidi="es-ES"/>
                          </w:rPr>
                          <w:t>Mínimo</w:t>
                        </w:r>
                      </w:p>
                    </w:txbxContent>
                  </v:textbox>
                </v:shape>
                <v:shape id="TextBox 23" o:spid="_x0000_s1035" type="#_x0000_t202" style="position:absolute;left:11754;top:2274;width:739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v:textbox style="mso-fit-shape-to-text:t">
                    <w:txbxContent>
                      <w:p w14:paraId="4382ADA1" w14:textId="77777777" w:rsidR="00A04288" w:rsidRDefault="00A04288" w:rsidP="00A04288">
                        <w:pPr>
                          <w:jc w:val="center"/>
                          <w:rPr>
                            <w:sz w:val="24"/>
                            <w:szCs w:val="24"/>
                          </w:rPr>
                        </w:pPr>
                        <w:r>
                          <w:rPr>
                            <w:b/>
                            <w:color w:val="8EAADB" w:themeColor="accent1" w:themeTint="99"/>
                            <w:kern w:val="24"/>
                            <w:sz w:val="20"/>
                            <w:lang w:bidi="es-ES"/>
                          </w:rPr>
                          <w:t>Moderado</w:t>
                        </w:r>
                      </w:p>
                    </w:txbxContent>
                  </v:textbox>
                </v:shape>
                <v:shape id="TextBox 24" o:spid="_x0000_s1036" type="#_x0000_t202" style="position:absolute;left:23799;top:2200;width:12154;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" filled="f" stroked="f">
                  <v:textbox style="mso-fit-shape-to-text:t">
                    <w:txbxContent>
                      <w:p w14:paraId="074BDA39" w14:textId="77777777" w:rsidR="00A04288" w:rsidRDefault="00A04288" w:rsidP="00A04288">
                        <w:pPr>
                          <w:jc w:val="center"/>
                          <w:rPr>
                            <w:sz w:val="24"/>
                            <w:szCs w:val="24"/>
                          </w:rPr>
                        </w:pPr>
                        <w:r>
                          <w:rPr>
                            <w:b/>
                            <w:color w:val="4472C4" w:themeColor="accent1"/>
                            <w:kern w:val="24"/>
                            <w:sz w:val="20"/>
                            <w:lang w:bidi="es-ES"/>
                          </w:rPr>
                          <w:t>Exploratorio</w:t>
                        </w:r>
                      </w:p>
                    </w:txbxContent>
                  </v:textbox>
                </v:shape>
                <v:shape id="TextBox 25" o:spid="_x0000_s1037" type="#_x0000_t202" style="position:absolute;left:53041;top:2130;width:738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" filled="f" stroked="f">
                  <v:textbox style="mso-fit-shape-to-text:t">
                    <w:txbxContent>
                      <w:p w14:paraId="03FF834B" w14:textId="77777777" w:rsidR="00A04288" w:rsidRDefault="00A04288" w:rsidP="00A04288">
                        <w:pPr>
                          <w:jc w:val="center"/>
                          <w:rPr>
                            <w:sz w:val="24"/>
                            <w:szCs w:val="24"/>
                          </w:rPr>
                        </w:pPr>
                        <w:r>
                          <w:rPr>
                            <w:b/>
                            <w:color w:val="1F3864" w:themeColor="accent1" w:themeShade="80"/>
                            <w:kern w:val="24"/>
                            <w:sz w:val="20"/>
                            <w:lang w:bidi="es-ES"/>
                          </w:rPr>
                          <w:t>Elevado</w:t>
                        </w:r>
                      </w:p>
                    </w:txbxContent>
                  </v:textbox>
                </v:shape>
              </v:group>
            </w:pict>
          </mc:Fallback>
        </mc:AlternateContent>
      </w:r>
    </w:p>
    <w:p w14:paraId="7D0764CF" w14:textId="0DB00C8B" w:rsidR="00A04288" w:rsidRPr="00C17580" w:rsidRDefault="00A04288" w:rsidP="00FF788E"/>
    <w:p w14:paraId="21F933F9" w14:textId="4187A4A1" w:rsidR="00583C0A" w:rsidRDefault="00375EE7" w:rsidP="00583C0A">
      <w:pPr>
        <w:pStyle w:val="ListParagraph"/>
        <w:numPr>
          <w:ilvl w:val="0"/>
          <w:numId w:val="15"/>
        </w:numPr>
      </w:pPr>
      <w:r>
        <w:rPr>
          <w:b/>
          <w:lang w:bidi="es-ES"/>
        </w:rPr>
        <w:t>Apetito de riesgo mínimo:</w:t>
      </w:r>
      <w:r>
        <w:rPr>
          <w:lang w:bidi="es-ES"/>
        </w:rPr>
        <w:t xml:space="preserve"> esferas en las que el PNUD generará un entorno sólido de control para rebajar o reducir al mínimo la probabilidad de que un riesgo se materialice o para mitigar sus efectos.</w:t>
      </w:r>
    </w:p>
    <w:p w14:paraId="27D8E8E4" w14:textId="35C828C1" w:rsidR="00375EE7" w:rsidRDefault="00375EE7" w:rsidP="00583C0A">
      <w:pPr>
        <w:pStyle w:val="ListParagraph"/>
        <w:numPr>
          <w:ilvl w:val="0"/>
          <w:numId w:val="15"/>
        </w:numPr>
      </w:pPr>
      <w:r w:rsidRPr="00BFEFB5">
        <w:rPr>
          <w:b/>
          <w:lang w:bidi="es-ES"/>
        </w:rPr>
        <w:t>Apetito de riesgo moderado:</w:t>
      </w:r>
      <w:r w:rsidRPr="00BFEFB5">
        <w:rPr>
          <w:lang w:bidi="es-ES"/>
        </w:rPr>
        <w:t xml:space="preserve"> esferas en las que el PNUD busca opciones de ejecución que planteen pocos riesgos y donde solo pondrá a prueba las innovaciones en un entorno controlado.</w:t>
      </w:r>
    </w:p>
    <w:p w14:paraId="13FE5B66" w14:textId="06643D5E" w:rsidR="00583C0A" w:rsidRDefault="00375EE7" w:rsidP="00583C0A">
      <w:pPr>
        <w:pStyle w:val="ListParagraph"/>
        <w:numPr>
          <w:ilvl w:val="0"/>
          <w:numId w:val="15"/>
        </w:numPr>
      </w:pPr>
      <w:r>
        <w:rPr>
          <w:b/>
          <w:lang w:bidi="es-ES"/>
        </w:rPr>
        <w:t>Apetito de riesgo exploratorio:</w:t>
      </w:r>
      <w:r>
        <w:rPr>
          <w:lang w:bidi="es-ES"/>
        </w:rPr>
        <w:t xml:space="preserve"> esferas en las que el PNUD ha alcanzado un equilibrio entre las posibles ventajas y el riesgo de perjuicios que conlleva una decisión e investiga nuevas soluciones y opciones de ejecución.</w:t>
      </w:r>
    </w:p>
    <w:p w14:paraId="6612D16B" w14:textId="4E92E583" w:rsidR="00583C0A" w:rsidRDefault="00375EE7" w:rsidP="00AA5424">
      <w:pPr>
        <w:pStyle w:val="ListParagraph"/>
        <w:numPr>
          <w:ilvl w:val="0"/>
          <w:numId w:val="15"/>
        </w:numPr>
      </w:pPr>
      <w:r w:rsidRPr="61CACD70">
        <w:rPr>
          <w:b/>
          <w:lang w:bidi="es-ES"/>
        </w:rPr>
        <w:t>Apetito de riesgo abierto:</w:t>
      </w:r>
      <w:r w:rsidRPr="61CACD70">
        <w:rPr>
          <w:lang w:bidi="es-ES"/>
        </w:rPr>
        <w:t xml:space="preserve"> esferas en las que el PNUD ha decidido que las posibles ventajas compensan los riesgos y va a correr riesgos fundamentados. Se barajan todas las posibilidades.</w:t>
      </w:r>
    </w:p>
    <w:p w14:paraId="45AE63E0" w14:textId="747BAC6D" w:rsidR="00375EE7" w:rsidRPr="00C7169C" w:rsidRDefault="00375EE7" w:rsidP="00AA5424">
      <w:pPr>
        <w:pStyle w:val="ListParagraph"/>
        <w:numPr>
          <w:ilvl w:val="0"/>
          <w:numId w:val="15"/>
        </w:numPr>
      </w:pPr>
      <w:r>
        <w:rPr>
          <w:b/>
          <w:lang w:bidi="es-ES"/>
        </w:rPr>
        <w:t xml:space="preserve">Apetito de riesgo elevado: </w:t>
      </w:r>
      <w:r>
        <w:rPr>
          <w:lang w:bidi="es-ES"/>
        </w:rPr>
        <w:t>esferas en las que el PNUD asume riesgos al trabajar con nuevas ideas y metodologías, buscar la innovación y contemplar los fracasos como oportunidades de aprendizaje y mejora.</w:t>
      </w:r>
    </w:p>
    <w:p w14:paraId="66C91A47" w14:textId="6E9D4B96" w:rsidR="00FF788E" w:rsidRPr="001B7B2B" w:rsidRDefault="00FF788E" w:rsidP="00FF788E">
      <w:r>
        <w:rPr>
          <w:lang w:bidi="es-ES"/>
        </w:rPr>
        <w:t xml:space="preserve">El apetito de riesgo se clasifica en ocho categorías de riesgo basadas en las de la ERM. Seguidamente se muestra el apetito general de riesgo que corresponde a cada categoría. Las directrices recurren a una serie de ejemplos para concretar lo que estos apetitos de riesgo suponen en la práctica. </w:t>
      </w:r>
    </w:p>
    <w:tbl>
      <w:tblPr>
        <w:tblStyle w:val="ListTable3"/>
        <w:tblW w:w="0" w:type="auto"/>
        <w:tblLook w:val="04A0" w:firstRow="1" w:lastRow="0" w:firstColumn="1" w:lastColumn="0" w:noHBand="0" w:noVBand="1"/>
      </w:tblPr>
      <w:tblGrid>
        <w:gridCol w:w="7763"/>
        <w:gridCol w:w="1587"/>
      </w:tblGrid>
      <w:tr w:rsidR="002A0EF3" w14:paraId="42FA7361" w14:textId="77777777" w:rsidTr="008E40C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Pr>
          <w:p w14:paraId="4C020AD5" w14:textId="77777777" w:rsidR="00FF788E" w:rsidRDefault="00FF788E" w:rsidP="00FF788E">
            <w:r>
              <w:rPr>
                <w:lang w:bidi="es-ES"/>
              </w:rPr>
              <w:t>Categoría de riesgo</w:t>
            </w:r>
          </w:p>
        </w:tc>
        <w:tc>
          <w:tcPr>
            <w:tcW w:w="0" w:type="auto"/>
          </w:tcPr>
          <w:p w14:paraId="05665C95" w14:textId="77777777" w:rsidR="00FF788E" w:rsidRDefault="00FF788E" w:rsidP="00FF788E">
            <w:pPr>
              <w:cnfStyle w:val="100000000000" w:firstRow="1" w:lastRow="0" w:firstColumn="0" w:lastColumn="0" w:oddVBand="0" w:evenVBand="0" w:oddHBand="0" w:evenHBand="0" w:firstRowFirstColumn="0" w:firstRowLastColumn="0" w:lastRowFirstColumn="0" w:lastRowLastColumn="0"/>
            </w:pPr>
            <w:r>
              <w:rPr>
                <w:lang w:bidi="es-ES"/>
              </w:rPr>
              <w:t>Apetito general de riesgo</w:t>
            </w:r>
          </w:p>
        </w:tc>
      </w:tr>
      <w:tr w:rsidR="0033654B" w:rsidRPr="00CA19B6" w14:paraId="1BD49323" w14:textId="77777777" w:rsidTr="00A26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FD888CB" w14:textId="7BE7391B" w:rsidR="0033654B" w:rsidRDefault="0033654B" w:rsidP="00A26CA2">
            <w:pPr>
              <w:rPr>
                <w:b w:val="0"/>
                <w:bCs w:val="0"/>
              </w:rPr>
            </w:pPr>
            <w:r>
              <w:rPr>
                <w:lang w:bidi="es-ES"/>
              </w:rPr>
              <w:t>Social y ambiental</w:t>
            </w:r>
          </w:p>
          <w:p w14:paraId="7104A531" w14:textId="77D88DA9" w:rsidR="0033654B" w:rsidRDefault="0033654B" w:rsidP="00A26CA2">
            <w:pPr>
              <w:rPr>
                <w:b w:val="0"/>
                <w:bCs w:val="0"/>
              </w:rPr>
            </w:pPr>
            <w:r>
              <w:rPr>
                <w:b w:val="0"/>
                <w:lang w:bidi="es-ES"/>
              </w:rPr>
              <w:lastRenderedPageBreak/>
              <w:t>El PNUD planifica todas sus actividades programáticas y de proyecto para proteger a quienes se ven afectadas por ellas y no hacer daño desde el punto de vista social o medioambiental, siempre con un comportamiento ético.</w:t>
            </w:r>
          </w:p>
          <w:p w14:paraId="5A4233A6" w14:textId="516D8327" w:rsidR="0033654B" w:rsidRPr="00C90672" w:rsidRDefault="0033654B" w:rsidP="00A26CA2">
            <w:r>
              <w:rPr>
                <w:b w:val="0"/>
                <w:lang w:bidi="es-ES"/>
              </w:rPr>
              <w:t xml:space="preserve"> La organización toma medidas positivas de cara a la interacción con grupos desfavorecidos y no permite ningún tipo de discriminación ni acoso. Para mitigar esos riesgos, procurará que el personal y los asociados sean conscientes de los controles que hay que introducir para proteger a la población y el medio ambiente, así como para garantizar la adherencia al principio de “no hacer daño”. </w:t>
            </w:r>
          </w:p>
          <w:p w14:paraId="38C4420B" w14:textId="0DF9AB27" w:rsidR="0033654B" w:rsidRDefault="009A1DC6" w:rsidP="00A26CA2">
            <w:r>
              <w:rPr>
                <w:noProof/>
              </w:rPr>
              <w:drawing>
                <wp:anchor distT="0" distB="0" distL="114300" distR="114300" simplePos="0" relativeHeight="251662348" behindDoc="0" locked="0" layoutInCell="1" allowOverlap="1" wp14:anchorId="3E27AA58" wp14:editId="09FD9124">
                  <wp:simplePos x="0" y="0"/>
                  <wp:positionH relativeFrom="column">
                    <wp:posOffset>-1417</wp:posOffset>
                  </wp:positionH>
                  <wp:positionV relativeFrom="paragraph">
                    <wp:posOffset>-195</wp:posOffset>
                  </wp:positionV>
                  <wp:extent cx="5752306" cy="603738"/>
                  <wp:effectExtent l="0" t="0" r="1270" b="6350"/>
                  <wp:wrapNone/>
                  <wp:docPr id="1744431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94749" cy="6081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26788F" w14:textId="77777777" w:rsidR="0033654B" w:rsidRPr="00C90672" w:rsidRDefault="0033654B" w:rsidP="00A26CA2"/>
          <w:p w14:paraId="4AEBFA9D" w14:textId="77777777" w:rsidR="0033654B" w:rsidRPr="00C90672" w:rsidRDefault="0033654B" w:rsidP="00A26CA2"/>
          <w:p w14:paraId="59FA2BC1" w14:textId="77777777" w:rsidR="0033654B" w:rsidRPr="001F63F9" w:rsidRDefault="0033654B" w:rsidP="00A26CA2">
            <w:pPr>
              <w:rPr>
                <w:b w:val="0"/>
                <w:bCs w:val="0"/>
              </w:rPr>
            </w:pPr>
          </w:p>
        </w:tc>
        <w:tc>
          <w:tcPr>
            <w:tcW w:w="0" w:type="auto"/>
          </w:tcPr>
          <w:p w14:paraId="6D6D7955" w14:textId="00590B2F" w:rsidR="0033654B" w:rsidRPr="00CA19B6" w:rsidRDefault="0033654B" w:rsidP="00A26CA2">
            <w:pPr>
              <w:cnfStyle w:val="000000100000" w:firstRow="0" w:lastRow="0" w:firstColumn="0" w:lastColumn="0" w:oddVBand="0" w:evenVBand="0" w:oddHBand="1" w:evenHBand="0" w:firstRowFirstColumn="0" w:firstRowLastColumn="0" w:lastRowFirstColumn="0" w:lastRowLastColumn="0"/>
              <w:rPr>
                <w:b/>
                <w:bCs/>
              </w:rPr>
            </w:pPr>
            <w:r w:rsidRPr="00CA19B6">
              <w:rPr>
                <w:b/>
                <w:lang w:bidi="es-ES"/>
              </w:rPr>
              <w:lastRenderedPageBreak/>
              <w:t xml:space="preserve">Moderado </w:t>
            </w:r>
          </w:p>
        </w:tc>
      </w:tr>
      <w:tr w:rsidR="00C54868" w:rsidRPr="00CA19B6" w14:paraId="25A68179" w14:textId="77777777" w:rsidTr="00A26CA2">
        <w:tc>
          <w:tcPr>
            <w:cnfStyle w:val="001000000000" w:firstRow="0" w:lastRow="0" w:firstColumn="1" w:lastColumn="0" w:oddVBand="0" w:evenVBand="0" w:oddHBand="0" w:evenHBand="0" w:firstRowFirstColumn="0" w:firstRowLastColumn="0" w:lastRowFirstColumn="0" w:lastRowLastColumn="0"/>
            <w:tcW w:w="0" w:type="auto"/>
          </w:tcPr>
          <w:p w14:paraId="140297BB" w14:textId="77777777" w:rsidR="00C54868" w:rsidRDefault="00C54868" w:rsidP="00A26CA2">
            <w:pPr>
              <w:rPr>
                <w:b w:val="0"/>
                <w:bCs w:val="0"/>
              </w:rPr>
            </w:pPr>
            <w:r>
              <w:rPr>
                <w:lang w:bidi="es-ES"/>
              </w:rPr>
              <w:t xml:space="preserve">Financiero </w:t>
            </w:r>
          </w:p>
          <w:p w14:paraId="428394EF" w14:textId="77777777" w:rsidR="00C54868" w:rsidRDefault="00C54868" w:rsidP="00A26CA2">
            <w:r w:rsidRPr="0022322F">
              <w:rPr>
                <w:b w:val="0"/>
                <w:lang w:bidi="es-ES"/>
              </w:rPr>
              <w:t>El PNUD se propone gestionar los recursos financieros con eficacia para poder cumplir sus objetivos con prontitud al mismo tiempo que mantiene la sostenibilidad y la estabilidad de la institución, reduce al mínimo los casos de fraude y vela por la protección de los activos. La organización deja un cierto margen de flexibilidad financiera mientras trabaja en favor de sus objetivos y lleva a cabo actividades con fondos de desarrollo, pero nunca hasta el punto de que suponga una amenaza para las iniciativas institucionales básicas. Siempre hace lo posible por lograr los objetivos del Plan Estratégico. El PNUD obra con transparencia en todo momento y protege sus fondos del riesgo de fraude.</w:t>
            </w:r>
          </w:p>
          <w:p w14:paraId="4CF570E9" w14:textId="7BF85B60" w:rsidR="00C54868" w:rsidRDefault="0062094C" w:rsidP="00A26CA2">
            <w:r>
              <w:rPr>
                <w:noProof/>
              </w:rPr>
              <w:drawing>
                <wp:anchor distT="0" distB="0" distL="114300" distR="114300" simplePos="0" relativeHeight="251664396" behindDoc="0" locked="0" layoutInCell="1" allowOverlap="1" wp14:anchorId="01D67C6C" wp14:editId="4A41AEC9">
                  <wp:simplePos x="0" y="0"/>
                  <wp:positionH relativeFrom="column">
                    <wp:posOffset>-635</wp:posOffset>
                  </wp:positionH>
                  <wp:positionV relativeFrom="paragraph">
                    <wp:posOffset>635</wp:posOffset>
                  </wp:positionV>
                  <wp:extent cx="5767200" cy="626400"/>
                  <wp:effectExtent l="0" t="0" r="5080" b="2540"/>
                  <wp:wrapNone/>
                  <wp:docPr id="2005448665" name="Picture 2005448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7200" cy="626400"/>
                          </a:xfrm>
                          <a:prstGeom prst="rect">
                            <a:avLst/>
                          </a:prstGeom>
                          <a:noFill/>
                          <a:ln>
                            <a:noFill/>
                          </a:ln>
                        </pic:spPr>
                      </pic:pic>
                    </a:graphicData>
                  </a:graphic>
                </wp:anchor>
              </w:drawing>
            </w:r>
          </w:p>
          <w:p w14:paraId="7EF97D8C" w14:textId="77777777" w:rsidR="00C54868" w:rsidRPr="00C90672" w:rsidRDefault="00C54868" w:rsidP="00A26CA2"/>
          <w:p w14:paraId="44525B12" w14:textId="77777777" w:rsidR="00C54868" w:rsidRPr="00C90672" w:rsidRDefault="00C54868" w:rsidP="00A26CA2"/>
          <w:p w14:paraId="267C9B15" w14:textId="77777777" w:rsidR="00C54868" w:rsidRPr="00AA5424" w:rsidRDefault="00C54868" w:rsidP="00A26CA2">
            <w:pPr>
              <w:rPr>
                <w:b w:val="0"/>
                <w:bCs w:val="0"/>
              </w:rPr>
            </w:pPr>
          </w:p>
        </w:tc>
        <w:tc>
          <w:tcPr>
            <w:tcW w:w="0" w:type="auto"/>
          </w:tcPr>
          <w:p w14:paraId="15562A6E" w14:textId="77777777" w:rsidR="00C54868" w:rsidRPr="00CA19B6" w:rsidRDefault="00C54868" w:rsidP="00A26CA2">
            <w:pPr>
              <w:cnfStyle w:val="000000000000" w:firstRow="0" w:lastRow="0" w:firstColumn="0" w:lastColumn="0" w:oddVBand="0" w:evenVBand="0" w:oddHBand="0" w:evenHBand="0" w:firstRowFirstColumn="0" w:firstRowLastColumn="0" w:lastRowFirstColumn="0" w:lastRowLastColumn="0"/>
              <w:rPr>
                <w:b/>
                <w:bCs/>
              </w:rPr>
            </w:pPr>
            <w:r w:rsidRPr="00CA19B6">
              <w:rPr>
                <w:b/>
                <w:lang w:bidi="es-ES"/>
              </w:rPr>
              <w:t xml:space="preserve">De mínimo a moderado </w:t>
            </w:r>
          </w:p>
        </w:tc>
      </w:tr>
      <w:tr w:rsidR="00C54868" w:rsidRPr="00871D0E" w14:paraId="5591984D" w14:textId="77777777" w:rsidTr="00A26CA2">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0" w:type="auto"/>
          </w:tcPr>
          <w:p w14:paraId="7A003717" w14:textId="77777777" w:rsidR="00C54868" w:rsidRDefault="00C54868" w:rsidP="00A26CA2">
            <w:pPr>
              <w:rPr>
                <w:b w:val="0"/>
                <w:bCs w:val="0"/>
              </w:rPr>
            </w:pPr>
            <w:r>
              <w:rPr>
                <w:lang w:bidi="es-ES"/>
              </w:rPr>
              <w:t>Operacional</w:t>
            </w:r>
          </w:p>
          <w:p w14:paraId="754E7546" w14:textId="77777777" w:rsidR="00C54868" w:rsidRDefault="00C54868" w:rsidP="00A26CA2">
            <w:r>
              <w:rPr>
                <w:b w:val="0"/>
                <w:lang w:bidi="es-ES"/>
              </w:rPr>
              <w:t>El PNUD aboga por la variedad en la calidad y la ejecución operativas de cara a estudiar metodologías innovadoras y colaborar con nuevos asociados mientras que no ponga en peligro la confianza que las partes interesadas depositan en la organización. El PNUD no cesa de incorporar herramientas operativas, enfoques de adquisición, procedimientos y mecanismos novedosos y de reciente aparición con ánimo de potenciar la ejecución y la continuidad de las operaciones y la implantación de los programas. Considera que los fracasos son oportunidades para aprender y desarrollarse.</w:t>
            </w:r>
          </w:p>
          <w:p w14:paraId="5DF5EB73" w14:textId="69F01F14" w:rsidR="00C54868" w:rsidRDefault="0003318D" w:rsidP="00A26CA2">
            <w:r>
              <w:rPr>
                <w:noProof/>
              </w:rPr>
              <w:drawing>
                <wp:anchor distT="0" distB="0" distL="114300" distR="114300" simplePos="0" relativeHeight="251666444" behindDoc="0" locked="0" layoutInCell="1" allowOverlap="1" wp14:anchorId="3BE52146" wp14:editId="285BBF78">
                  <wp:simplePos x="0" y="0"/>
                  <wp:positionH relativeFrom="column">
                    <wp:posOffset>-635</wp:posOffset>
                  </wp:positionH>
                  <wp:positionV relativeFrom="paragraph">
                    <wp:posOffset>4445</wp:posOffset>
                  </wp:positionV>
                  <wp:extent cx="5756400" cy="597600"/>
                  <wp:effectExtent l="0" t="0" r="0" b="0"/>
                  <wp:wrapNone/>
                  <wp:docPr id="859777061" name="Picture 859777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6400" cy="597600"/>
                          </a:xfrm>
                          <a:prstGeom prst="rect">
                            <a:avLst/>
                          </a:prstGeom>
                          <a:noFill/>
                          <a:ln>
                            <a:noFill/>
                          </a:ln>
                        </pic:spPr>
                      </pic:pic>
                    </a:graphicData>
                  </a:graphic>
                </wp:anchor>
              </w:drawing>
            </w:r>
          </w:p>
          <w:p w14:paraId="3E567FB5" w14:textId="77777777" w:rsidR="00C54868" w:rsidRDefault="00C54868" w:rsidP="00A26CA2"/>
          <w:p w14:paraId="176E0FEF" w14:textId="77777777" w:rsidR="00C54868" w:rsidRDefault="00C54868" w:rsidP="00A26CA2"/>
          <w:p w14:paraId="7465FABE" w14:textId="77777777" w:rsidR="00C54868" w:rsidRPr="00AA5424" w:rsidRDefault="00C54868" w:rsidP="00A26CA2">
            <w:pPr>
              <w:rPr>
                <w:b w:val="0"/>
                <w:bCs w:val="0"/>
              </w:rPr>
            </w:pPr>
          </w:p>
        </w:tc>
        <w:tc>
          <w:tcPr>
            <w:tcW w:w="0" w:type="auto"/>
          </w:tcPr>
          <w:p w14:paraId="075150B3" w14:textId="77777777" w:rsidR="00C54868" w:rsidRPr="00871D0E" w:rsidRDefault="00C54868" w:rsidP="00A26CA2">
            <w:pPr>
              <w:cnfStyle w:val="000000100000" w:firstRow="0" w:lastRow="0" w:firstColumn="0" w:lastColumn="0" w:oddVBand="0" w:evenVBand="0" w:oddHBand="1" w:evenHBand="0" w:firstRowFirstColumn="0" w:firstRowLastColumn="0" w:lastRowFirstColumn="0" w:lastRowLastColumn="0"/>
              <w:rPr>
                <w:b/>
                <w:bCs/>
              </w:rPr>
            </w:pPr>
            <w:r w:rsidRPr="00871D0E">
              <w:rPr>
                <w:b/>
                <w:lang w:bidi="es-ES"/>
              </w:rPr>
              <w:t>De exploratorio a abierto</w:t>
            </w:r>
          </w:p>
        </w:tc>
      </w:tr>
      <w:tr w:rsidR="00F70BA0" w:rsidRPr="00871D0E" w14:paraId="4C71A550" w14:textId="77777777" w:rsidTr="00A26CA2">
        <w:tc>
          <w:tcPr>
            <w:cnfStyle w:val="001000000000" w:firstRow="0" w:lastRow="0" w:firstColumn="1" w:lastColumn="0" w:oddVBand="0" w:evenVBand="0" w:oddHBand="0" w:evenHBand="0" w:firstRowFirstColumn="0" w:firstRowLastColumn="0" w:lastRowFirstColumn="0" w:lastRowLastColumn="0"/>
            <w:tcW w:w="0" w:type="auto"/>
          </w:tcPr>
          <w:p w14:paraId="7EB2C9F0" w14:textId="77777777" w:rsidR="00F70BA0" w:rsidRDefault="00F70BA0" w:rsidP="00A26CA2">
            <w:pPr>
              <w:rPr>
                <w:b w:val="0"/>
                <w:bCs w:val="0"/>
              </w:rPr>
            </w:pPr>
            <w:r>
              <w:rPr>
                <w:lang w:bidi="es-ES"/>
              </w:rPr>
              <w:lastRenderedPageBreak/>
              <w:t>Organizacional</w:t>
            </w:r>
          </w:p>
          <w:p w14:paraId="2BFA017D" w14:textId="77777777" w:rsidR="00F70BA0" w:rsidRDefault="00F70BA0" w:rsidP="00A26CA2">
            <w:r>
              <w:rPr>
                <w:b w:val="0"/>
                <w:lang w:bidi="es-ES"/>
              </w:rPr>
              <w:t xml:space="preserve">El PNUD sigue un enfoque ágil en lo que respecta a mantenerse a la vanguardia de todas las esferas de intervención y asume riesgos fundamentados para garantizar la eficacia, el dinamismo, el aprendizaje y la resiliencia en el seno de la organización. Se asegura de cumplir las normas y políticas de gobernanza institucional y de adherirse a las normas éticas sin dejar de explorar otros métodos originales e innovadores para llevar a cabo su labor y ser una institución adecuada a sus metas. </w:t>
            </w:r>
          </w:p>
          <w:p w14:paraId="3117D148" w14:textId="4C7D83DA" w:rsidR="00F70BA0" w:rsidRDefault="002C2D35" w:rsidP="00A26CA2">
            <w:pPr>
              <w:rPr>
                <w:b w:val="0"/>
                <w:bCs w:val="0"/>
              </w:rPr>
            </w:pPr>
            <w:r>
              <w:rPr>
                <w:noProof/>
              </w:rPr>
              <w:drawing>
                <wp:anchor distT="0" distB="0" distL="114300" distR="114300" simplePos="0" relativeHeight="251668492" behindDoc="0" locked="0" layoutInCell="1" allowOverlap="1" wp14:anchorId="063826D4" wp14:editId="7067B655">
                  <wp:simplePos x="0" y="0"/>
                  <wp:positionH relativeFrom="column">
                    <wp:posOffset>-635</wp:posOffset>
                  </wp:positionH>
                  <wp:positionV relativeFrom="paragraph">
                    <wp:posOffset>1905</wp:posOffset>
                  </wp:positionV>
                  <wp:extent cx="5756400" cy="597600"/>
                  <wp:effectExtent l="0" t="0" r="0" b="0"/>
                  <wp:wrapNone/>
                  <wp:docPr id="1032458582" name="Picture 1032458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6400" cy="597600"/>
                          </a:xfrm>
                          <a:prstGeom prst="rect">
                            <a:avLst/>
                          </a:prstGeom>
                          <a:noFill/>
                          <a:ln>
                            <a:noFill/>
                          </a:ln>
                        </pic:spPr>
                      </pic:pic>
                    </a:graphicData>
                  </a:graphic>
                </wp:anchor>
              </w:drawing>
            </w:r>
          </w:p>
          <w:p w14:paraId="79C48BD2" w14:textId="77777777" w:rsidR="00F70BA0" w:rsidRDefault="00F70BA0" w:rsidP="00A26CA2">
            <w:pPr>
              <w:rPr>
                <w:b w:val="0"/>
                <w:bCs w:val="0"/>
              </w:rPr>
            </w:pPr>
          </w:p>
          <w:p w14:paraId="0435013C" w14:textId="77777777" w:rsidR="00F70BA0" w:rsidRDefault="00F70BA0" w:rsidP="00A26CA2"/>
          <w:p w14:paraId="007D1DB6" w14:textId="77777777" w:rsidR="00F70BA0" w:rsidRPr="00AA5424" w:rsidRDefault="00F70BA0" w:rsidP="00A26CA2">
            <w:pPr>
              <w:rPr>
                <w:b w:val="0"/>
                <w:bCs w:val="0"/>
              </w:rPr>
            </w:pPr>
          </w:p>
        </w:tc>
        <w:tc>
          <w:tcPr>
            <w:tcW w:w="0" w:type="auto"/>
          </w:tcPr>
          <w:p w14:paraId="5AE98A76" w14:textId="77777777" w:rsidR="00F70BA0" w:rsidRPr="00871D0E" w:rsidRDefault="00F70BA0" w:rsidP="00A26CA2">
            <w:pPr>
              <w:cnfStyle w:val="000000000000" w:firstRow="0" w:lastRow="0" w:firstColumn="0" w:lastColumn="0" w:oddVBand="0" w:evenVBand="0" w:oddHBand="0" w:evenHBand="0" w:firstRowFirstColumn="0" w:firstRowLastColumn="0" w:lastRowFirstColumn="0" w:lastRowLastColumn="0"/>
              <w:rPr>
                <w:b/>
                <w:bCs/>
              </w:rPr>
            </w:pPr>
            <w:r w:rsidRPr="00871D0E">
              <w:rPr>
                <w:b/>
                <w:lang w:bidi="es-ES"/>
              </w:rPr>
              <w:t>De exploratorio a abierto</w:t>
            </w:r>
          </w:p>
        </w:tc>
      </w:tr>
      <w:tr w:rsidR="00F70BA0" w:rsidRPr="00871D0E" w14:paraId="31CBC574" w14:textId="77777777" w:rsidTr="00A26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7487A6F" w14:textId="7519DDAE" w:rsidR="00F70BA0" w:rsidRDefault="00F70BA0" w:rsidP="00A26CA2">
            <w:pPr>
              <w:rPr>
                <w:b w:val="0"/>
                <w:bCs w:val="0"/>
              </w:rPr>
            </w:pPr>
            <w:r>
              <w:rPr>
                <w:lang w:bidi="es-ES"/>
              </w:rPr>
              <w:t>Reputacional</w:t>
            </w:r>
          </w:p>
          <w:p w14:paraId="728DC073" w14:textId="77777777" w:rsidR="00F70BA0" w:rsidRDefault="00F70BA0" w:rsidP="00A26CA2">
            <w:r w:rsidRPr="001F63F9">
              <w:rPr>
                <w:b w:val="0"/>
                <w:lang w:bidi="es-ES"/>
              </w:rPr>
              <w:t>El PNUD es una organización sumamente apreciada que inspira mucha confianza. No puede poner en entredicho su postura ética ni la credibilidad y la reputación que se ha granjeado entre las partes interesadas con las que colabora (gobiernos, donantes, asociados en la ejecución, el sector privado, la sociedad civil, beneficiarios, etc.). La entidad está decidida a proteger su reputación y su valor como organización. Para ello, llevará a ejecución la programación, satisfará los compromisos, completará las actividades de diligencia debida, mantendrá alianzas y gestionará las expectativas con eficacia y espíritu innovador sin dejar de estudiar nuevas opciones de ejecución y asociación ni de aprender y desarrollarse gracias a las pruebas piloto.</w:t>
            </w:r>
          </w:p>
          <w:p w14:paraId="431CEA99" w14:textId="0EC7C77F" w:rsidR="00F70BA0" w:rsidRDefault="00CD60A6" w:rsidP="00A26CA2">
            <w:pPr>
              <w:rPr>
                <w:b w:val="0"/>
                <w:bCs w:val="0"/>
              </w:rPr>
            </w:pPr>
            <w:r>
              <w:rPr>
                <w:noProof/>
              </w:rPr>
              <w:drawing>
                <wp:anchor distT="0" distB="0" distL="114300" distR="114300" simplePos="0" relativeHeight="251670540" behindDoc="0" locked="0" layoutInCell="1" allowOverlap="1" wp14:anchorId="213D1BE5" wp14:editId="4063E1FB">
                  <wp:simplePos x="0" y="0"/>
                  <wp:positionH relativeFrom="column">
                    <wp:posOffset>-635</wp:posOffset>
                  </wp:positionH>
                  <wp:positionV relativeFrom="paragraph">
                    <wp:posOffset>1270</wp:posOffset>
                  </wp:positionV>
                  <wp:extent cx="5752306" cy="603738"/>
                  <wp:effectExtent l="0" t="0" r="1270" b="6350"/>
                  <wp:wrapNone/>
                  <wp:docPr id="6376049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94749" cy="6081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60BBEF" w14:textId="77777777" w:rsidR="00F70BA0" w:rsidRPr="00C90672" w:rsidRDefault="00F70BA0" w:rsidP="00A26CA2">
            <w:pPr>
              <w:rPr>
                <w:b w:val="0"/>
              </w:rPr>
            </w:pPr>
          </w:p>
          <w:p w14:paraId="65169D2F" w14:textId="77777777" w:rsidR="00F70BA0" w:rsidRPr="00C90672" w:rsidRDefault="00F70BA0" w:rsidP="00A26CA2">
            <w:pPr>
              <w:rPr>
                <w:b w:val="0"/>
              </w:rPr>
            </w:pPr>
          </w:p>
          <w:p w14:paraId="2F98FA5A" w14:textId="77777777" w:rsidR="00F70BA0" w:rsidRPr="001F63F9" w:rsidRDefault="00F70BA0" w:rsidP="00A26CA2">
            <w:pPr>
              <w:rPr>
                <w:b w:val="0"/>
                <w:bCs w:val="0"/>
              </w:rPr>
            </w:pPr>
          </w:p>
        </w:tc>
        <w:tc>
          <w:tcPr>
            <w:tcW w:w="0" w:type="auto"/>
          </w:tcPr>
          <w:p w14:paraId="1AC92637" w14:textId="77777777" w:rsidR="00F70BA0" w:rsidRPr="00871D0E" w:rsidRDefault="00F70BA0" w:rsidP="00A26CA2">
            <w:pPr>
              <w:cnfStyle w:val="000000100000" w:firstRow="0" w:lastRow="0" w:firstColumn="0" w:lastColumn="0" w:oddVBand="0" w:evenVBand="0" w:oddHBand="1" w:evenHBand="0" w:firstRowFirstColumn="0" w:firstRowLastColumn="0" w:lastRowFirstColumn="0" w:lastRowLastColumn="0"/>
              <w:rPr>
                <w:b/>
                <w:bCs/>
              </w:rPr>
            </w:pPr>
            <w:r w:rsidRPr="00871D0E">
              <w:rPr>
                <w:b/>
                <w:lang w:bidi="es-ES"/>
              </w:rPr>
              <w:t xml:space="preserve">Moderado </w:t>
            </w:r>
          </w:p>
        </w:tc>
      </w:tr>
      <w:tr w:rsidR="00737A4A" w:rsidRPr="00CA19B6" w14:paraId="78417F38" w14:textId="77777777" w:rsidTr="00A26CA2">
        <w:tc>
          <w:tcPr>
            <w:cnfStyle w:val="001000000000" w:firstRow="0" w:lastRow="0" w:firstColumn="1" w:lastColumn="0" w:oddVBand="0" w:evenVBand="0" w:oddHBand="0" w:evenHBand="0" w:firstRowFirstColumn="0" w:firstRowLastColumn="0" w:lastRowFirstColumn="0" w:lastRowLastColumn="0"/>
            <w:tcW w:w="0" w:type="auto"/>
          </w:tcPr>
          <w:p w14:paraId="4E001FE2" w14:textId="77777777" w:rsidR="00737A4A" w:rsidRDefault="00737A4A" w:rsidP="00A26CA2">
            <w:pPr>
              <w:rPr>
                <w:b w:val="0"/>
                <w:bCs w:val="0"/>
              </w:rPr>
            </w:pPr>
            <w:r>
              <w:rPr>
                <w:lang w:bidi="es-ES"/>
              </w:rPr>
              <w:t>Regulatorio</w:t>
            </w:r>
          </w:p>
          <w:p w14:paraId="75D41251" w14:textId="77777777" w:rsidR="00737A4A" w:rsidRDefault="00737A4A" w:rsidP="00A26CA2">
            <w:r>
              <w:rPr>
                <w:b w:val="0"/>
                <w:lang w:bidi="es-ES"/>
              </w:rPr>
              <w:t>El PNUD encontrará métodos válidos para valerse del marco jurídico y regulatorio a fin de llevar a buen término sus planes estratégicos, como sumarse a la interpretación de los reglamentos que hacen otros organismos de las Naciones Unidas con marcos regulatorios parecidos.</w:t>
            </w:r>
          </w:p>
          <w:p w14:paraId="63CF98DF" w14:textId="7159AFC8" w:rsidR="00737A4A" w:rsidRDefault="00CD60A6" w:rsidP="00A26CA2">
            <w:r>
              <w:rPr>
                <w:noProof/>
              </w:rPr>
              <w:drawing>
                <wp:anchor distT="0" distB="0" distL="114300" distR="114300" simplePos="0" relativeHeight="251672588" behindDoc="0" locked="0" layoutInCell="1" allowOverlap="1" wp14:anchorId="18B96ECA" wp14:editId="1CDBFAD9">
                  <wp:simplePos x="0" y="0"/>
                  <wp:positionH relativeFrom="column">
                    <wp:posOffset>-635</wp:posOffset>
                  </wp:positionH>
                  <wp:positionV relativeFrom="paragraph">
                    <wp:posOffset>4445</wp:posOffset>
                  </wp:positionV>
                  <wp:extent cx="5752306" cy="603738"/>
                  <wp:effectExtent l="0" t="0" r="1270" b="6350"/>
                  <wp:wrapNone/>
                  <wp:docPr id="2644963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94749" cy="6081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288F22" w14:textId="77777777" w:rsidR="00737A4A" w:rsidRDefault="00737A4A" w:rsidP="00A26CA2"/>
          <w:p w14:paraId="6507E94F" w14:textId="0CC9255D" w:rsidR="00737A4A" w:rsidRDefault="00737A4A" w:rsidP="00A26CA2"/>
          <w:p w14:paraId="7B8E735B" w14:textId="77777777" w:rsidR="00737A4A" w:rsidRDefault="00737A4A" w:rsidP="00A26CA2"/>
          <w:p w14:paraId="22EC6D56" w14:textId="77777777" w:rsidR="00737A4A" w:rsidRDefault="00737A4A" w:rsidP="00A26CA2"/>
          <w:p w14:paraId="632B38B5" w14:textId="77777777" w:rsidR="00737A4A" w:rsidRPr="00AA5424" w:rsidRDefault="00737A4A" w:rsidP="00A26CA2">
            <w:pPr>
              <w:rPr>
                <w:b w:val="0"/>
                <w:bCs w:val="0"/>
              </w:rPr>
            </w:pPr>
          </w:p>
        </w:tc>
        <w:tc>
          <w:tcPr>
            <w:tcW w:w="0" w:type="auto"/>
          </w:tcPr>
          <w:p w14:paraId="0C2B6800" w14:textId="4DEC5BDE" w:rsidR="00737A4A" w:rsidRPr="00CA19B6" w:rsidRDefault="00737A4A" w:rsidP="00A26CA2">
            <w:pPr>
              <w:cnfStyle w:val="000000000000" w:firstRow="0" w:lastRow="0" w:firstColumn="0" w:lastColumn="0" w:oddVBand="0" w:evenVBand="0" w:oddHBand="0" w:evenHBand="0" w:firstRowFirstColumn="0" w:firstRowLastColumn="0" w:lastRowFirstColumn="0" w:lastRowLastColumn="0"/>
              <w:rPr>
                <w:b/>
                <w:bCs/>
              </w:rPr>
            </w:pPr>
            <w:r w:rsidRPr="00CA19B6">
              <w:rPr>
                <w:b/>
                <w:lang w:bidi="es-ES"/>
              </w:rPr>
              <w:t>Moderado</w:t>
            </w:r>
          </w:p>
        </w:tc>
      </w:tr>
      <w:tr w:rsidR="0033654B" w14:paraId="119D7EB5" w14:textId="77777777" w:rsidTr="00C93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A080C46" w14:textId="77777777" w:rsidR="0033654B" w:rsidRDefault="0033654B" w:rsidP="0033654B">
            <w:pPr>
              <w:rPr>
                <w:b w:val="0"/>
                <w:bCs w:val="0"/>
              </w:rPr>
            </w:pPr>
            <w:r>
              <w:rPr>
                <w:lang w:bidi="es-ES"/>
              </w:rPr>
              <w:t>Estratégico</w:t>
            </w:r>
          </w:p>
          <w:p w14:paraId="11CB9513" w14:textId="77777777" w:rsidR="0033654B" w:rsidRDefault="0033654B" w:rsidP="0033654B">
            <w:pPr>
              <w:rPr>
                <w:b w:val="0"/>
                <w:bCs w:val="0"/>
              </w:rPr>
            </w:pPr>
            <w:r>
              <w:rPr>
                <w:b w:val="0"/>
                <w:lang w:bidi="es-ES"/>
              </w:rPr>
              <w:t xml:space="preserve">El PNUD da prioridad a la elaboración y ejecución de su estrategia, de modo que busca tácticas novedosas y de reciente aparición para prestar servicios de gran valor, ofrecer programas y cumplir objetivos a la vez que amplía y diversifica el </w:t>
            </w:r>
            <w:r>
              <w:rPr>
                <w:b w:val="0"/>
                <w:lang w:bidi="es-ES"/>
              </w:rPr>
              <w:lastRenderedPageBreak/>
              <w:t>plantel de donantes y asociados. Mientras tanto, aprende de los errores que haya podido cometer y nunca deja de seguir sus principios éticos.</w:t>
            </w:r>
          </w:p>
          <w:p w14:paraId="4A22C3DB" w14:textId="64FC4A09" w:rsidR="0033654B" w:rsidRDefault="002E2155" w:rsidP="0033654B">
            <w:pPr>
              <w:rPr>
                <w:b w:val="0"/>
                <w:bCs w:val="0"/>
              </w:rPr>
            </w:pPr>
            <w:r>
              <w:rPr>
                <w:noProof/>
              </w:rPr>
              <w:drawing>
                <wp:anchor distT="0" distB="0" distL="114300" distR="114300" simplePos="0" relativeHeight="251674636" behindDoc="0" locked="0" layoutInCell="1" allowOverlap="1" wp14:anchorId="3DB11C9A" wp14:editId="7F6FEC8E">
                  <wp:simplePos x="0" y="0"/>
                  <wp:positionH relativeFrom="column">
                    <wp:posOffset>-635</wp:posOffset>
                  </wp:positionH>
                  <wp:positionV relativeFrom="paragraph">
                    <wp:posOffset>1905</wp:posOffset>
                  </wp:positionV>
                  <wp:extent cx="5814000" cy="65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14000" cy="651600"/>
                          </a:xfrm>
                          <a:prstGeom prst="rect">
                            <a:avLst/>
                          </a:prstGeom>
                          <a:noFill/>
                          <a:ln>
                            <a:noFill/>
                          </a:ln>
                        </pic:spPr>
                      </pic:pic>
                    </a:graphicData>
                  </a:graphic>
                </wp:anchor>
              </w:drawing>
            </w:r>
          </w:p>
          <w:p w14:paraId="32C08D1D" w14:textId="77777777" w:rsidR="0033654B" w:rsidRPr="00C90672" w:rsidRDefault="0033654B" w:rsidP="0033654B">
            <w:pPr>
              <w:rPr>
                <w:b w:val="0"/>
              </w:rPr>
            </w:pPr>
          </w:p>
          <w:p w14:paraId="1FF2623C" w14:textId="77777777" w:rsidR="0033654B" w:rsidRPr="00C90672" w:rsidRDefault="0033654B" w:rsidP="0033654B">
            <w:pPr>
              <w:rPr>
                <w:b w:val="0"/>
              </w:rPr>
            </w:pPr>
          </w:p>
          <w:p w14:paraId="2945B0F8" w14:textId="77777777" w:rsidR="0033654B" w:rsidRPr="00C90672" w:rsidRDefault="0033654B" w:rsidP="0033654B"/>
        </w:tc>
        <w:tc>
          <w:tcPr>
            <w:tcW w:w="0" w:type="auto"/>
          </w:tcPr>
          <w:p w14:paraId="71A2E7A4" w14:textId="4236CCF4" w:rsidR="0033654B" w:rsidRPr="00871D0E" w:rsidRDefault="0033654B" w:rsidP="0033654B">
            <w:pPr>
              <w:cnfStyle w:val="000000100000" w:firstRow="0" w:lastRow="0" w:firstColumn="0" w:lastColumn="0" w:oddVBand="0" w:evenVBand="0" w:oddHBand="1" w:evenHBand="0" w:firstRowFirstColumn="0" w:firstRowLastColumn="0" w:lastRowFirstColumn="0" w:lastRowLastColumn="0"/>
              <w:rPr>
                <w:b/>
                <w:bCs/>
              </w:rPr>
            </w:pPr>
            <w:r w:rsidRPr="00871D0E">
              <w:rPr>
                <w:b/>
                <w:lang w:bidi="es-ES"/>
              </w:rPr>
              <w:lastRenderedPageBreak/>
              <w:t>De abierto a elevado</w:t>
            </w:r>
          </w:p>
        </w:tc>
      </w:tr>
      <w:tr w:rsidR="0033654B" w14:paraId="114AD60A" w14:textId="77777777" w:rsidTr="008E40C1">
        <w:tc>
          <w:tcPr>
            <w:cnfStyle w:val="001000000000" w:firstRow="0" w:lastRow="0" w:firstColumn="1" w:lastColumn="0" w:oddVBand="0" w:evenVBand="0" w:oddHBand="0" w:evenHBand="0" w:firstRowFirstColumn="0" w:firstRowLastColumn="0" w:lastRowFirstColumn="0" w:lastRowLastColumn="0"/>
            <w:tcW w:w="0" w:type="auto"/>
          </w:tcPr>
          <w:p w14:paraId="020F75E0" w14:textId="692FA8CC" w:rsidR="0033654B" w:rsidRDefault="0033654B" w:rsidP="0033654B">
            <w:pPr>
              <w:rPr>
                <w:b w:val="0"/>
                <w:bCs w:val="0"/>
              </w:rPr>
            </w:pPr>
            <w:r>
              <w:rPr>
                <w:lang w:bidi="es-ES"/>
              </w:rPr>
              <w:t>Protección y seguridad</w:t>
            </w:r>
          </w:p>
          <w:p w14:paraId="58B8A298" w14:textId="78D7B5B5" w:rsidR="0033654B" w:rsidRPr="007E75BF" w:rsidRDefault="0033654B" w:rsidP="0033654B">
            <w:pPr>
              <w:rPr>
                <w:b w:val="0"/>
                <w:bCs w:val="0"/>
              </w:rPr>
            </w:pPr>
            <w:r w:rsidRPr="00CD1C74">
              <w:rPr>
                <w:b w:val="0"/>
                <w:lang w:bidi="es-ES"/>
              </w:rPr>
              <w:t>El PNUD adopta medidas eficaces encaminadas a reducir su grado de exposición a los riesgos de seguridad y protección que afectan al personal, las instalaciones, los activos y las operaciones para así lograr la puesta en marcha de las actividades. Incluso en circunstancias de riesgo considerable, las actividades programáticas de la organización se llevarán a cabo con los controles y medidas de mitigación oportunos que se hayan acordado. El PNUD asumirá los riesgos necesarios —también las decisiones en el plano indicado de la autoridad delegada— hasta que se haya hecho todo lo posible por reducir los riesgos a unos niveles aceptables de acuerdo con la Política de Gestión de los Riegos para la Seguridad del sistema de gestión de la seguridad de las Naciones Unidas (SGSNU)</w:t>
            </w:r>
            <w:r w:rsidRPr="007E75BF">
              <w:rPr>
                <w:rStyle w:val="FootnoteReference"/>
                <w:b w:val="0"/>
                <w:lang w:bidi="es-ES"/>
              </w:rPr>
              <w:footnoteReference w:id="2"/>
            </w:r>
            <w:r w:rsidRPr="00CD1C74">
              <w:rPr>
                <w:b w:val="0"/>
                <w:lang w:bidi="es-ES"/>
              </w:rPr>
              <w:t>.</w:t>
            </w:r>
          </w:p>
          <w:p w14:paraId="69D6B0D6" w14:textId="448062BB" w:rsidR="0033654B" w:rsidRDefault="0033654B" w:rsidP="0033654B">
            <w:r>
              <w:rPr>
                <w:b w:val="0"/>
                <w:lang w:bidi="es-ES"/>
              </w:rPr>
              <w:t>El PNUD gestiona la ciberseguridad con vistas a mantener la confidencialidad y la integridad de la información que atesora</w:t>
            </w:r>
            <w:r>
              <w:rPr>
                <w:rStyle w:val="FootnoteReference"/>
                <w:b w:val="0"/>
                <w:lang w:bidi="es-ES"/>
              </w:rPr>
              <w:footnoteReference w:id="3"/>
            </w:r>
            <w:r>
              <w:rPr>
                <w:b w:val="0"/>
                <w:lang w:bidi="es-ES"/>
              </w:rPr>
              <w:t>.</w:t>
            </w:r>
          </w:p>
          <w:p w14:paraId="13CA5BC5" w14:textId="77C21A88" w:rsidR="0033654B" w:rsidRDefault="0074034E" w:rsidP="0033654B">
            <w:r>
              <w:rPr>
                <w:noProof/>
              </w:rPr>
              <w:drawing>
                <wp:anchor distT="0" distB="0" distL="114300" distR="114300" simplePos="0" relativeHeight="251676684" behindDoc="0" locked="0" layoutInCell="1" allowOverlap="1" wp14:anchorId="6C80C7EB" wp14:editId="24AE43CF">
                  <wp:simplePos x="0" y="0"/>
                  <wp:positionH relativeFrom="column">
                    <wp:posOffset>1397</wp:posOffset>
                  </wp:positionH>
                  <wp:positionV relativeFrom="paragraph">
                    <wp:posOffset>6909</wp:posOffset>
                  </wp:positionV>
                  <wp:extent cx="5752306" cy="603738"/>
                  <wp:effectExtent l="0" t="0" r="1270" b="6350"/>
                  <wp:wrapNone/>
                  <wp:docPr id="17104674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2306" cy="6037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77F6CE" w14:textId="382D9F26" w:rsidR="0033654B" w:rsidRDefault="0033654B" w:rsidP="0033654B"/>
          <w:p w14:paraId="67A63BE3" w14:textId="1951E8CD" w:rsidR="0033654B" w:rsidRDefault="0033654B" w:rsidP="0033654B"/>
          <w:p w14:paraId="1C02E800" w14:textId="074E3248" w:rsidR="0033654B" w:rsidRPr="00AA5424" w:rsidRDefault="0033654B" w:rsidP="0033654B">
            <w:pPr>
              <w:rPr>
                <w:b w:val="0"/>
                <w:bCs w:val="0"/>
              </w:rPr>
            </w:pPr>
          </w:p>
        </w:tc>
        <w:tc>
          <w:tcPr>
            <w:tcW w:w="0" w:type="auto"/>
          </w:tcPr>
          <w:p w14:paraId="368B1900" w14:textId="765CC88D" w:rsidR="0033654B" w:rsidRPr="00CA19B6" w:rsidRDefault="0033654B" w:rsidP="0033654B">
            <w:pPr>
              <w:cnfStyle w:val="000000000000" w:firstRow="0" w:lastRow="0" w:firstColumn="0" w:lastColumn="0" w:oddVBand="0" w:evenVBand="0" w:oddHBand="0" w:evenHBand="0" w:firstRowFirstColumn="0" w:firstRowLastColumn="0" w:lastRowFirstColumn="0" w:lastRowLastColumn="0"/>
              <w:rPr>
                <w:b/>
                <w:bCs/>
              </w:rPr>
            </w:pPr>
            <w:r w:rsidRPr="00CA19B6">
              <w:rPr>
                <w:b/>
                <w:lang w:bidi="es-ES"/>
              </w:rPr>
              <w:t xml:space="preserve">Moderado </w:t>
            </w:r>
          </w:p>
        </w:tc>
      </w:tr>
    </w:tbl>
    <w:p w14:paraId="71FFCF75" w14:textId="77777777" w:rsidR="00F74900" w:rsidRDefault="00F74900" w:rsidP="00F74900">
      <w:pPr>
        <w:pStyle w:val="Heading1"/>
        <w:numPr>
          <w:ilvl w:val="0"/>
          <w:numId w:val="11"/>
        </w:numPr>
        <w:ind w:left="357" w:hanging="357"/>
      </w:pPr>
      <w:bookmarkStart w:id="6" w:name="_Toc157083383"/>
      <w:r>
        <w:rPr>
          <w:lang w:bidi="es-ES"/>
        </w:rPr>
        <w:t>Gestión de los riesgos por medio del apetito de riesgo</w:t>
      </w:r>
      <w:bookmarkEnd w:id="6"/>
    </w:p>
    <w:p w14:paraId="7DC6A945" w14:textId="77777777" w:rsidR="00F74900" w:rsidRPr="00100469" w:rsidRDefault="00F74900" w:rsidP="00F74900">
      <w:pPr>
        <w:spacing w:after="0"/>
      </w:pPr>
      <w:r w:rsidRPr="00100469">
        <w:rPr>
          <w:lang w:bidi="es-ES"/>
        </w:rPr>
        <w:t>Puesto que el PNUD desempeña su labor en un entorno de muchos riesgos, hay que determinar cuáles van más allá del apetito de riesgo. En estos casos, existen cuatro opciones:</w:t>
      </w:r>
    </w:p>
    <w:p w14:paraId="4958C051" w14:textId="77777777" w:rsidR="00F74900" w:rsidRPr="00100469" w:rsidRDefault="00F74900" w:rsidP="00F74900">
      <w:pPr>
        <w:pStyle w:val="ListParagraph"/>
        <w:numPr>
          <w:ilvl w:val="0"/>
          <w:numId w:val="20"/>
        </w:numPr>
        <w:ind w:left="714" w:hanging="357"/>
      </w:pPr>
      <w:r w:rsidRPr="00100469">
        <w:rPr>
          <w:lang w:bidi="es-ES"/>
        </w:rPr>
        <w:t>Mitigar los riesgos con más controles.</w:t>
      </w:r>
    </w:p>
    <w:p w14:paraId="6CD6ADD4" w14:textId="1C897249" w:rsidR="00F74900" w:rsidRPr="00100469" w:rsidRDefault="008678D9" w:rsidP="00F74900">
      <w:pPr>
        <w:pStyle w:val="ListParagraph"/>
        <w:numPr>
          <w:ilvl w:val="0"/>
          <w:numId w:val="20"/>
        </w:numPr>
      </w:pPr>
      <w:r>
        <w:rPr>
          <w:lang w:bidi="es-ES"/>
        </w:rPr>
        <w:t>Tolerar los riesgos a su nivel actual.</w:t>
      </w:r>
    </w:p>
    <w:p w14:paraId="02D78605" w14:textId="5FF21D47" w:rsidR="00F74900" w:rsidRPr="00100469" w:rsidRDefault="00E90931" w:rsidP="00F74900">
      <w:pPr>
        <w:pStyle w:val="ListParagraph"/>
        <w:numPr>
          <w:ilvl w:val="0"/>
          <w:numId w:val="20"/>
        </w:numPr>
      </w:pPr>
      <w:r>
        <w:rPr>
          <w:lang w:bidi="es-ES"/>
        </w:rPr>
        <w:t>Poner fin a los riesgos con otras formas de proceder sin dejar de lograr los objetivos generales del programa.</w:t>
      </w:r>
    </w:p>
    <w:p w14:paraId="213D25CA" w14:textId="481EF428" w:rsidR="00F74900" w:rsidRPr="00100469" w:rsidRDefault="008678D9" w:rsidP="00F74900">
      <w:pPr>
        <w:pStyle w:val="ListParagraph"/>
        <w:numPr>
          <w:ilvl w:val="0"/>
          <w:numId w:val="20"/>
        </w:numPr>
      </w:pPr>
      <w:r>
        <w:rPr>
          <w:lang w:bidi="es-ES"/>
        </w:rPr>
        <w:t>Transferir los riesgos a terceros o distribuirlos con ellos.</w:t>
      </w:r>
    </w:p>
    <w:p w14:paraId="41DF8429" w14:textId="21092A27" w:rsidR="00F74900" w:rsidRPr="00100469" w:rsidRDefault="00F74900" w:rsidP="00F74900">
      <w:r w:rsidRPr="00100469">
        <w:rPr>
          <w:lang w:bidi="es-ES"/>
        </w:rPr>
        <w:lastRenderedPageBreak/>
        <w:t>Para poder consensuar las medidas y las decisiones que van a tomarse, es indispensable mantener un diálogo concienzudo que se fundamente en análisis cualitativos y cuantitativos de los riesgos y dejar constancia de él. En el caso de los riesgos inevitables que no puedan restringirse al apetito de riesgo a través de métodos proporcionados y rentables, será necesario obtener una autorización para proseguir conforme a las disposiciones normalizadas de gobernanza. Las directrices explican esta cuestión en mayor profundidad.</w:t>
      </w:r>
    </w:p>
    <w:p w14:paraId="3E4DADD9" w14:textId="36D49EE5" w:rsidR="001B7B2B" w:rsidRPr="00C17580" w:rsidRDefault="001B7B2B" w:rsidP="00CD07AF">
      <w:pPr>
        <w:pStyle w:val="Heading1"/>
        <w:numPr>
          <w:ilvl w:val="0"/>
          <w:numId w:val="11"/>
        </w:numPr>
        <w:ind w:left="357" w:hanging="357"/>
      </w:pPr>
      <w:bookmarkStart w:id="7" w:name="_Toc157083384"/>
      <w:r w:rsidRPr="00C30B49">
        <w:rPr>
          <w:lang w:bidi="es-ES"/>
        </w:rPr>
        <w:t>Implantación y gobernanza del apetito de riesgo</w:t>
      </w:r>
      <w:bookmarkEnd w:id="7"/>
      <w:r w:rsidRPr="00C30B49">
        <w:rPr>
          <w:lang w:bidi="es-ES"/>
        </w:rPr>
        <w:tab/>
      </w:r>
    </w:p>
    <w:p w14:paraId="21BA4C8D" w14:textId="337F0120" w:rsidR="00510AAB" w:rsidRDefault="0074789C" w:rsidP="001B7B2B">
      <w:r>
        <w:rPr>
          <w:lang w:bidi="es-ES"/>
        </w:rPr>
        <w:t>En el PNUD, la gobernanza del riesgo se lleva a cabo siguiendo el modelo de las tres líneas de defensa</w:t>
      </w:r>
      <w:r w:rsidR="004B71F9">
        <w:rPr>
          <w:rStyle w:val="FootnoteReference"/>
          <w:lang w:bidi="es-ES"/>
        </w:rPr>
        <w:footnoteReference w:id="4"/>
      </w:r>
      <w:r>
        <w:rPr>
          <w:lang w:bidi="es-ES"/>
        </w:rPr>
        <w:t xml:space="preserve">, que ayuda a gestionar los riesgos con más eficacia al incorporar un enfoque de gobernanza y supervisión estructuradas que aclara y separa las funciones y las responsabilidades. La gobernanza y la implantación de la Declaración de Apetito de Riesgo se valen de los mismos procedimientos, y la Declaración se emplea para respaldar la toma de decisiones bien meditadas y eficaces (encontrará más información en las directrices). Los acontecimientos que motivan la revisión de la Declaración de Apetito de Riesgo se explican en la sección 1. La rendición de cuentas en materia de gestión de los riesgos se ciñe a la jerarquía del PNUD, de modo que, dentro de cada dependencia, el responsable jerárquico rinde cuentas por la gestión de los riesgos en su ámbito de responsabilidad, tal y como se especifica en el </w:t>
      </w:r>
      <w:bookmarkStart w:id="8" w:name="_Hlk55833725"/>
      <w:r w:rsidR="00510AAB">
        <w:rPr>
          <w:lang w:bidi="es-ES"/>
        </w:rPr>
        <w:fldChar w:fldCharType="begin"/>
      </w:r>
      <w:r w:rsidR="00377739">
        <w:rPr>
          <w:lang w:bidi="es-ES"/>
        </w:rPr>
        <w:instrText>HYPERLINK "https://popp.undp.org/document/3871/view/es"</w:instrText>
      </w:r>
      <w:r w:rsidR="00377739">
        <w:rPr>
          <w:lang w:bidi="es-ES"/>
        </w:rPr>
      </w:r>
      <w:r w:rsidR="00510AAB">
        <w:rPr>
          <w:lang w:bidi="es-ES"/>
        </w:rPr>
        <w:fldChar w:fldCharType="separate"/>
      </w:r>
      <w:r w:rsidR="00510AAB">
        <w:rPr>
          <w:rStyle w:val="Hyperlink"/>
          <w:lang w:bidi="es-ES"/>
        </w:rPr>
        <w:t>Marco</w:t>
      </w:r>
      <w:r w:rsidR="00510AAB">
        <w:rPr>
          <w:rStyle w:val="Hyperlink"/>
          <w:lang w:bidi="es-ES"/>
        </w:rPr>
        <w:t xml:space="preserve"> </w:t>
      </w:r>
      <w:r w:rsidR="00510AAB">
        <w:rPr>
          <w:rStyle w:val="Hyperlink"/>
          <w:lang w:bidi="es-ES"/>
        </w:rPr>
        <w:t>de Rendición de Cuentas</w:t>
      </w:r>
      <w:r w:rsidR="00510AAB">
        <w:rPr>
          <w:lang w:bidi="es-ES"/>
        </w:rPr>
        <w:fldChar w:fldCharType="end"/>
      </w:r>
      <w:r>
        <w:rPr>
          <w:lang w:bidi="es-ES"/>
        </w:rPr>
        <w:t xml:space="preserve"> del PNUD. </w:t>
      </w:r>
    </w:p>
    <w:p w14:paraId="70A278CD" w14:textId="4F86CDE8" w:rsidR="001B7B2B" w:rsidRPr="001B7B2B" w:rsidRDefault="001B7B2B" w:rsidP="001B7B2B">
      <w:r w:rsidRPr="001B7B2B">
        <w:rPr>
          <w:lang w:bidi="es-ES"/>
        </w:rPr>
        <w:t>La Declaración de Apetito de Riesgo se implanta en el contexto de una cultura de gestión de los riesgos que define, analiza y mitiga o potencia los riesgos a fin de hacer realidad las prioridades programáticas de la entidad y su Plan Estratégico. Contribuye a la eficacia del modelo descentralizado de la organización al facilitar que el enfoque en lo tocante al riesgo sea congruente en todos los niveles, sin olvidar el plano nacional y regional. La Declaración se lleva a la práctica en un entorno flexible donde se usan controles para que la ejecución resulte eficaz. Más concretamente:</w:t>
      </w:r>
    </w:p>
    <w:p w14:paraId="24013D0C" w14:textId="6DDD2482" w:rsidR="001B7B2B" w:rsidRPr="00C17580" w:rsidRDefault="00DA1DA7" w:rsidP="61CACD70">
      <w:pPr>
        <w:numPr>
          <w:ilvl w:val="0"/>
          <w:numId w:val="4"/>
        </w:numPr>
      </w:pPr>
      <w:r w:rsidRPr="61CACD70">
        <w:rPr>
          <w:b/>
          <w:lang w:bidi="es-ES"/>
        </w:rPr>
        <w:t>Las decisiones se fundamentan en los riesgos</w:t>
      </w:r>
      <w:r w:rsidRPr="61CACD70">
        <w:rPr>
          <w:lang w:bidi="es-ES"/>
        </w:rPr>
        <w:t>: todos los informes orientados a la toma de decisiones exigen que se evalúen los riesgos y se les otorgue una puntuación, así como que se cotejen con las declaraciones de apetito de riesgo oportunas. Si las actividades se ciñen al apetito de riesgo pertinente, hay que examinar los controles para determinar cuáles podrían relajarse y liberar recursos para gestionar los riesgos que se acerquen al límite del apetito de riesgo en cuestión o lo rebasen. Si las actividades se aproximan al límite del apetito de riesgo o lo superan, hay que aclarar cómo se van a gestionar y llevar a cabo, algo para lo que se tomará una decisión fundamentada en los riesgos.</w:t>
      </w:r>
    </w:p>
    <w:p w14:paraId="5E8FB07A" w14:textId="41D6A901" w:rsidR="001B7B2B" w:rsidRPr="001B7B2B" w:rsidRDefault="001B7B2B" w:rsidP="001B7B2B">
      <w:pPr>
        <w:numPr>
          <w:ilvl w:val="0"/>
          <w:numId w:val="4"/>
        </w:numPr>
      </w:pPr>
      <w:r w:rsidRPr="00F20C15">
        <w:rPr>
          <w:b/>
          <w:lang w:bidi="es-ES"/>
        </w:rPr>
        <w:t>La asunción responsable de riesgos y la innovación se premian</w:t>
      </w:r>
      <w:r w:rsidRPr="00F20C15">
        <w:rPr>
          <w:lang w:bidi="es-ES"/>
        </w:rPr>
        <w:t xml:space="preserve">: si se conoce el apetito de riesgo del PNUD en los diversos ámbitos, es posible asumir riesgos e innovar con coherencia, reflexión, </w:t>
      </w:r>
      <w:r w:rsidRPr="00F20C15">
        <w:rPr>
          <w:lang w:bidi="es-ES"/>
        </w:rPr>
        <w:lastRenderedPageBreak/>
        <w:t xml:space="preserve">intencionalidad y ponderación partiendo de lo que la organización está dispuesta a tolerar y lo que no. </w:t>
      </w:r>
    </w:p>
    <w:p w14:paraId="66A01A98" w14:textId="655CF0C0" w:rsidR="00801B83" w:rsidRPr="00801B83" w:rsidRDefault="00DA1DA7">
      <w:pPr>
        <w:numPr>
          <w:ilvl w:val="0"/>
          <w:numId w:val="4"/>
        </w:numPr>
      </w:pPr>
      <w:r w:rsidRPr="00F20C15">
        <w:rPr>
          <w:b/>
          <w:lang w:bidi="es-ES"/>
        </w:rPr>
        <w:t>Se reconocen los errores y se aprende de ellos</w:t>
      </w:r>
      <w:r w:rsidRPr="00F20C15">
        <w:rPr>
          <w:lang w:bidi="es-ES"/>
        </w:rPr>
        <w:t>: si se cuenta con los controles y mecanismos de gobernanza adecuados, es posible asumir riesgos que vayan más allá del apetito. En estos casos, los fracasos que puedan resultar ofrecen una oportunidad de aprendizaje. Sin embargo, cuando los controles y el marco de gobernanza no se respetan a la hora de correr riesgos, debería estudiarse la situación para ayudar a que el PNUD comprenda lo sucedido y garantizar que la Declaración de Apetito de Riesgo y su aplicación se perfeccionan constantemente. Por otra parte, la organización extrae enseñanzas de todas sus actividades a fin de mejorar su puesta en marcha y encontrar formas novedosas y más eficaces de implementar los programas.</w:t>
      </w:r>
    </w:p>
    <w:p w14:paraId="18082A89" w14:textId="0DFD89D2" w:rsidR="00533554" w:rsidRDefault="00801B83" w:rsidP="623262FC">
      <w:pPr>
        <w:numPr>
          <w:ilvl w:val="0"/>
          <w:numId w:val="4"/>
        </w:numPr>
      </w:pPr>
      <w:r w:rsidRPr="623262FC">
        <w:rPr>
          <w:b/>
          <w:lang w:bidi="es-ES"/>
        </w:rPr>
        <w:t>Se mantiene una cultura que invita a “trabajar en voz alta” y una comunicación abierta sobre los problemas y lecciones aprendidas que tienen que ver con la gestión de los riesgos</w:t>
      </w:r>
      <w:r w:rsidRPr="623262FC">
        <w:rPr>
          <w:lang w:bidi="es-ES"/>
        </w:rPr>
        <w:t>: todo el mundo tiene su propio apetito de riesgo y su noción del nivel de riesgo que el PNUD está dispuesto a asumir para desempeñar su labor. Haber preparado una Declaración de Apetito de Riesgo permite entablar diálogos abiertos en torno a un marco que ya se conoce (tanto dentro como fuera de la organización) en lugar de hacer suposiciones y basarse en ellas para actuar</w:t>
      </w:r>
      <w:bookmarkEnd w:id="8"/>
      <w:r w:rsidRPr="623262FC">
        <w:rPr>
          <w:lang w:bidi="es-ES"/>
        </w:rPr>
        <w:t>.</w:t>
      </w:r>
    </w:p>
    <w:p w14:paraId="1BF7B4B8" w14:textId="77777777" w:rsidR="00E84387" w:rsidRDefault="00E84387" w:rsidP="00E84387"/>
    <w:p w14:paraId="5BE3BED7" w14:textId="77777777" w:rsidR="00E84387" w:rsidRDefault="00E84387" w:rsidP="00E84387"/>
    <w:p w14:paraId="387F75D1" w14:textId="77777777" w:rsidR="00E84387" w:rsidRDefault="00E84387" w:rsidP="00E84387"/>
    <w:p w14:paraId="2E9DD5E3" w14:textId="77777777" w:rsidR="00E84387" w:rsidRPr="00C00B49" w:rsidRDefault="00E84387" w:rsidP="00E84387">
      <w:pPr>
        <w:rPr>
          <w:i/>
          <w:iCs/>
          <w:lang w:val="en-GB"/>
        </w:rPr>
      </w:pPr>
      <w:r w:rsidRPr="00C00B49">
        <w:rPr>
          <w:b/>
          <w:bCs/>
          <w:i/>
          <w:iCs/>
          <w:lang w:val="en-GB"/>
        </w:rPr>
        <w:t>Disclaimer</w:t>
      </w:r>
      <w:r w:rsidRPr="00C00B49">
        <w:rPr>
          <w:i/>
          <w:iCs/>
          <w:lang w:val="en-GB"/>
        </w:rPr>
        <w:t>: This document was translated from English into Spanish. In the event of any discrepancy between this translation and the original English document, the original English document shall prevail.</w:t>
      </w:r>
    </w:p>
    <w:p w14:paraId="78233449" w14:textId="77777777" w:rsidR="00E84387" w:rsidRPr="00C00B49" w:rsidRDefault="00E84387" w:rsidP="00E84387">
      <w:pPr>
        <w:rPr>
          <w:i/>
          <w:iCs/>
          <w:lang w:val="en-GB"/>
        </w:rPr>
      </w:pPr>
    </w:p>
    <w:p w14:paraId="7999D804" w14:textId="77777777" w:rsidR="00E84387" w:rsidRPr="00C00B49" w:rsidRDefault="00E84387" w:rsidP="00E84387">
      <w:pPr>
        <w:rPr>
          <w:i/>
          <w:iCs/>
        </w:rPr>
      </w:pPr>
      <w:r w:rsidRPr="00C00B49">
        <w:rPr>
          <w:b/>
          <w:bCs/>
          <w:i/>
          <w:iCs/>
        </w:rPr>
        <w:t>Descargo de responsabilidad</w:t>
      </w:r>
      <w:r w:rsidRPr="00C00B49">
        <w:rPr>
          <w:i/>
          <w:iCs/>
        </w:rPr>
        <w:t>: esta es una traducción de un documento original en Inglés. En caso de discrepancias entre esta traducción y el documento original en inglés, prevalecerá el documento original en inglés.</w:t>
      </w:r>
    </w:p>
    <w:p w14:paraId="15A9D004" w14:textId="77777777" w:rsidR="00E84387" w:rsidRPr="00C17580" w:rsidRDefault="00E84387" w:rsidP="00E84387"/>
    <w:sectPr w:rsidR="00E84387" w:rsidRPr="00C17580">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4F223" w14:textId="77777777" w:rsidR="00586297" w:rsidRDefault="00586297" w:rsidP="00481B8E">
      <w:pPr>
        <w:spacing w:after="0" w:line="240" w:lineRule="auto"/>
      </w:pPr>
      <w:r>
        <w:separator/>
      </w:r>
    </w:p>
  </w:endnote>
  <w:endnote w:type="continuationSeparator" w:id="0">
    <w:p w14:paraId="4CD637BA" w14:textId="77777777" w:rsidR="00586297" w:rsidRDefault="00586297" w:rsidP="00481B8E">
      <w:pPr>
        <w:spacing w:after="0" w:line="240" w:lineRule="auto"/>
      </w:pPr>
      <w:r>
        <w:continuationSeparator/>
      </w:r>
    </w:p>
  </w:endnote>
  <w:endnote w:type="continuationNotice" w:id="1">
    <w:p w14:paraId="09C7DF32" w14:textId="77777777" w:rsidR="00586297" w:rsidRDefault="005862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A9913" w14:textId="77777777" w:rsidR="008E6B20" w:rsidRDefault="008E6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331270"/>
      <w:docPartObj>
        <w:docPartGallery w:val="Page Numbers (Bottom of Page)"/>
        <w:docPartUnique/>
      </w:docPartObj>
    </w:sdtPr>
    <w:sdtEndPr>
      <w:rPr>
        <w:noProof/>
      </w:rPr>
    </w:sdtEndPr>
    <w:sdtContent>
      <w:p w14:paraId="76E9C58E" w14:textId="787A6BBF" w:rsidR="009374F2" w:rsidRDefault="009374F2">
        <w:pPr>
          <w:pStyle w:val="Footer"/>
          <w:jc w:val="center"/>
        </w:pPr>
        <w:r>
          <w:rPr>
            <w:lang w:bidi="es-ES"/>
          </w:rPr>
          <w:fldChar w:fldCharType="begin"/>
        </w:r>
        <w:r>
          <w:rPr>
            <w:lang w:bidi="es-ES"/>
          </w:rPr>
          <w:instrText xml:space="preserve"> PAGE   \* MERGEFORMAT </w:instrText>
        </w:r>
        <w:r>
          <w:rPr>
            <w:lang w:bidi="es-ES"/>
          </w:rPr>
          <w:fldChar w:fldCharType="separate"/>
        </w:r>
        <w:r w:rsidR="002D5874">
          <w:rPr>
            <w:noProof/>
            <w:lang w:bidi="es-ES"/>
          </w:rPr>
          <w:t>5</w:t>
        </w:r>
        <w:r>
          <w:rPr>
            <w:noProof/>
            <w:lang w:bidi="es-ES"/>
          </w:rPr>
          <w:fldChar w:fldCharType="end"/>
        </w:r>
      </w:p>
    </w:sdtContent>
  </w:sdt>
  <w:p w14:paraId="7C9A9F13" w14:textId="77777777" w:rsidR="009374F2" w:rsidRDefault="00937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E10B" w14:textId="77777777" w:rsidR="008E6B20" w:rsidRDefault="008E6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A84B" w14:textId="77777777" w:rsidR="00586297" w:rsidRDefault="00586297" w:rsidP="00481B8E">
      <w:pPr>
        <w:spacing w:after="0" w:line="240" w:lineRule="auto"/>
      </w:pPr>
      <w:r>
        <w:separator/>
      </w:r>
    </w:p>
  </w:footnote>
  <w:footnote w:type="continuationSeparator" w:id="0">
    <w:p w14:paraId="48D4978E" w14:textId="77777777" w:rsidR="00586297" w:rsidRDefault="00586297" w:rsidP="00481B8E">
      <w:pPr>
        <w:spacing w:after="0" w:line="240" w:lineRule="auto"/>
      </w:pPr>
      <w:r>
        <w:continuationSeparator/>
      </w:r>
    </w:p>
  </w:footnote>
  <w:footnote w:type="continuationNotice" w:id="1">
    <w:p w14:paraId="52D47303" w14:textId="77777777" w:rsidR="00586297" w:rsidRDefault="00586297">
      <w:pPr>
        <w:spacing w:after="0" w:line="240" w:lineRule="auto"/>
      </w:pPr>
    </w:p>
  </w:footnote>
  <w:footnote w:id="2">
    <w:p w14:paraId="757EC36C" w14:textId="2673C198" w:rsidR="0033654B" w:rsidRPr="00AB231B" w:rsidRDefault="0033654B" w:rsidP="00CD1C74">
      <w:pPr>
        <w:pStyle w:val="FootnoteText"/>
        <w:rPr>
          <w:sz w:val="18"/>
          <w:szCs w:val="18"/>
        </w:rPr>
      </w:pPr>
      <w:r w:rsidRPr="00AB231B">
        <w:rPr>
          <w:rStyle w:val="FootnoteReference"/>
          <w:sz w:val="18"/>
          <w:lang w:bidi="es-ES"/>
        </w:rPr>
        <w:footnoteRef/>
      </w:r>
      <w:r w:rsidRPr="00AB231B">
        <w:rPr>
          <w:sz w:val="18"/>
          <w:lang w:bidi="es-ES"/>
        </w:rPr>
        <w:t xml:space="preserve"> La Política de Gestión de los Riegos para la Seguridad del SGSNU ha recibido el respaldo de la Junta de los Jefes Ejecutivos para la Coordinación (JJE) y traza las líneas generales del modelo de riesgo aceptable, en el que se mantiene un equilibrio entre los riesgos de seguridad y las ventajas para los programas. Según este modelo, los riesgos se aceptan cuando las ventajas los sobrepasan. </w:t>
      </w:r>
    </w:p>
  </w:footnote>
  <w:footnote w:id="3">
    <w:p w14:paraId="6A1EE46F" w14:textId="2CD94796" w:rsidR="0033654B" w:rsidRPr="001811F8" w:rsidRDefault="0033654B">
      <w:pPr>
        <w:pStyle w:val="FootnoteText"/>
        <w:rPr>
          <w:sz w:val="18"/>
          <w:szCs w:val="18"/>
        </w:rPr>
      </w:pPr>
      <w:r w:rsidRPr="001811F8">
        <w:rPr>
          <w:rStyle w:val="FootnoteReference"/>
          <w:sz w:val="18"/>
          <w:lang w:bidi="es-ES"/>
        </w:rPr>
        <w:footnoteRef/>
      </w:r>
      <w:r w:rsidRPr="001811F8">
        <w:rPr>
          <w:sz w:val="18"/>
          <w:lang w:bidi="es-ES"/>
        </w:rPr>
        <w:t xml:space="preserve"> La ciberseguridad no forma parte de la Política de Gestión de los Riegos para la Seguridad del SGSNU y el PNUD se encarga de gestionar los riesgos conexos. </w:t>
      </w:r>
    </w:p>
  </w:footnote>
  <w:footnote w:id="4">
    <w:p w14:paraId="0ADAA787" w14:textId="29DD4DAA" w:rsidR="004B71F9" w:rsidRDefault="004B71F9">
      <w:pPr>
        <w:pStyle w:val="FootnoteText"/>
      </w:pPr>
      <w:r w:rsidRPr="001811F8">
        <w:rPr>
          <w:rStyle w:val="FootnoteReference"/>
          <w:sz w:val="18"/>
          <w:lang w:bidi="es-ES"/>
        </w:rPr>
        <w:footnoteRef/>
      </w:r>
      <w:r w:rsidR="00AB231B" w:rsidRPr="001811F8">
        <w:rPr>
          <w:sz w:val="18"/>
          <w:lang w:bidi="es-ES"/>
        </w:rPr>
        <w:t xml:space="preserve"> El modelo de las tres líneas de defensa</w:t>
      </w:r>
      <w:r w:rsidR="00AB231B" w:rsidRPr="001811F8">
        <w:rPr>
          <w:rStyle w:val="FootnoteReference"/>
          <w:sz w:val="18"/>
          <w:lang w:bidi="es-ES"/>
        </w:rPr>
        <w:footnoteRef/>
      </w:r>
      <w:r w:rsidR="00AB231B" w:rsidRPr="001811F8">
        <w:rPr>
          <w:sz w:val="18"/>
          <w:lang w:bidi="es-ES"/>
        </w:rPr>
        <w:t xml:space="preserve"> ayuda a gestionar los riesgos con más eficacia al incorporar un enfoque de gobernanza y supervisión estructuradas que aclara y separa las funciones y las responsabilidades en tres vertientes. A la primera línea de defensa le corresponde la titularidad y la gestión directa de los riesgos. La segunda se encarga de la supervisión y el seguimiento de los riesgos, así como de la asistencia técnica. La tercera, que engloba la auditoría interna, funciona como un mecanismo independiente que garantiza las otras dos líneas.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A6CC7" w14:textId="77777777" w:rsidR="008E6B20" w:rsidRDefault="008E6B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ED93" w14:textId="36130B15" w:rsidR="008E6B20" w:rsidRDefault="008E6B20" w:rsidP="008E6B20">
    <w:pPr>
      <w:pStyle w:val="Header"/>
      <w:ind w:left="9026"/>
    </w:pPr>
    <w:r>
      <w:rPr>
        <w:noProof/>
        <w:lang w:bidi="es-ES"/>
      </w:rPr>
      <w:drawing>
        <wp:inline distT="0" distB="0" distL="0" distR="0" wp14:anchorId="139D054A" wp14:editId="09E0A780">
          <wp:extent cx="673100" cy="1025252"/>
          <wp:effectExtent l="0" t="0" r="0" b="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0671" cy="103678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2968" w14:textId="77777777" w:rsidR="008E6B20" w:rsidRDefault="008E6B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EC2"/>
    <w:multiLevelType w:val="hybridMultilevel"/>
    <w:tmpl w:val="68AC170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91D42"/>
    <w:multiLevelType w:val="hybridMultilevel"/>
    <w:tmpl w:val="2940F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F4D85"/>
    <w:multiLevelType w:val="hybridMultilevel"/>
    <w:tmpl w:val="CE447C16"/>
    <w:lvl w:ilvl="0" w:tplc="2B72FF5E">
      <w:start w:val="1"/>
      <w:numFmt w:val="decimal"/>
      <w:lvlText w:val="%1)"/>
      <w:lvlJc w:val="left"/>
      <w:pPr>
        <w:ind w:left="39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EA58AF"/>
    <w:multiLevelType w:val="hybridMultilevel"/>
    <w:tmpl w:val="DF02E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91F9B"/>
    <w:multiLevelType w:val="hybridMultilevel"/>
    <w:tmpl w:val="F904CA72"/>
    <w:lvl w:ilvl="0" w:tplc="B9742B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F0E94"/>
    <w:multiLevelType w:val="hybridMultilevel"/>
    <w:tmpl w:val="12FEE2CE"/>
    <w:lvl w:ilvl="0" w:tplc="35AC8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97BF5"/>
    <w:multiLevelType w:val="hybridMultilevel"/>
    <w:tmpl w:val="629A110A"/>
    <w:lvl w:ilvl="0" w:tplc="22A0BD82">
      <w:start w:val="1"/>
      <w:numFmt w:val="bullet"/>
      <w:lvlText w:val="•"/>
      <w:lvlJc w:val="left"/>
      <w:pPr>
        <w:tabs>
          <w:tab w:val="num" w:pos="720"/>
        </w:tabs>
        <w:ind w:left="720" w:hanging="360"/>
      </w:pPr>
      <w:rPr>
        <w:rFonts w:ascii="Arial" w:hAnsi="Arial" w:hint="default"/>
      </w:rPr>
    </w:lvl>
    <w:lvl w:ilvl="1" w:tplc="C54EC5EA" w:tentative="1">
      <w:start w:val="1"/>
      <w:numFmt w:val="bullet"/>
      <w:lvlText w:val="•"/>
      <w:lvlJc w:val="left"/>
      <w:pPr>
        <w:tabs>
          <w:tab w:val="num" w:pos="1440"/>
        </w:tabs>
        <w:ind w:left="1440" w:hanging="360"/>
      </w:pPr>
      <w:rPr>
        <w:rFonts w:ascii="Arial" w:hAnsi="Arial" w:hint="default"/>
      </w:rPr>
    </w:lvl>
    <w:lvl w:ilvl="2" w:tplc="581CB574" w:tentative="1">
      <w:start w:val="1"/>
      <w:numFmt w:val="bullet"/>
      <w:lvlText w:val="•"/>
      <w:lvlJc w:val="left"/>
      <w:pPr>
        <w:tabs>
          <w:tab w:val="num" w:pos="2160"/>
        </w:tabs>
        <w:ind w:left="2160" w:hanging="360"/>
      </w:pPr>
      <w:rPr>
        <w:rFonts w:ascii="Arial" w:hAnsi="Arial" w:hint="default"/>
      </w:rPr>
    </w:lvl>
    <w:lvl w:ilvl="3" w:tplc="D51633A4" w:tentative="1">
      <w:start w:val="1"/>
      <w:numFmt w:val="bullet"/>
      <w:lvlText w:val="•"/>
      <w:lvlJc w:val="left"/>
      <w:pPr>
        <w:tabs>
          <w:tab w:val="num" w:pos="2880"/>
        </w:tabs>
        <w:ind w:left="2880" w:hanging="360"/>
      </w:pPr>
      <w:rPr>
        <w:rFonts w:ascii="Arial" w:hAnsi="Arial" w:hint="default"/>
      </w:rPr>
    </w:lvl>
    <w:lvl w:ilvl="4" w:tplc="863C26AA" w:tentative="1">
      <w:start w:val="1"/>
      <w:numFmt w:val="bullet"/>
      <w:lvlText w:val="•"/>
      <w:lvlJc w:val="left"/>
      <w:pPr>
        <w:tabs>
          <w:tab w:val="num" w:pos="3600"/>
        </w:tabs>
        <w:ind w:left="3600" w:hanging="360"/>
      </w:pPr>
      <w:rPr>
        <w:rFonts w:ascii="Arial" w:hAnsi="Arial" w:hint="default"/>
      </w:rPr>
    </w:lvl>
    <w:lvl w:ilvl="5" w:tplc="A3AEBDC6" w:tentative="1">
      <w:start w:val="1"/>
      <w:numFmt w:val="bullet"/>
      <w:lvlText w:val="•"/>
      <w:lvlJc w:val="left"/>
      <w:pPr>
        <w:tabs>
          <w:tab w:val="num" w:pos="4320"/>
        </w:tabs>
        <w:ind w:left="4320" w:hanging="360"/>
      </w:pPr>
      <w:rPr>
        <w:rFonts w:ascii="Arial" w:hAnsi="Arial" w:hint="default"/>
      </w:rPr>
    </w:lvl>
    <w:lvl w:ilvl="6" w:tplc="02DAC298" w:tentative="1">
      <w:start w:val="1"/>
      <w:numFmt w:val="bullet"/>
      <w:lvlText w:val="•"/>
      <w:lvlJc w:val="left"/>
      <w:pPr>
        <w:tabs>
          <w:tab w:val="num" w:pos="5040"/>
        </w:tabs>
        <w:ind w:left="5040" w:hanging="360"/>
      </w:pPr>
      <w:rPr>
        <w:rFonts w:ascii="Arial" w:hAnsi="Arial" w:hint="default"/>
      </w:rPr>
    </w:lvl>
    <w:lvl w:ilvl="7" w:tplc="B1E65D82" w:tentative="1">
      <w:start w:val="1"/>
      <w:numFmt w:val="bullet"/>
      <w:lvlText w:val="•"/>
      <w:lvlJc w:val="left"/>
      <w:pPr>
        <w:tabs>
          <w:tab w:val="num" w:pos="5760"/>
        </w:tabs>
        <w:ind w:left="5760" w:hanging="360"/>
      </w:pPr>
      <w:rPr>
        <w:rFonts w:ascii="Arial" w:hAnsi="Arial" w:hint="default"/>
      </w:rPr>
    </w:lvl>
    <w:lvl w:ilvl="8" w:tplc="DDBE7D0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DA3A11"/>
    <w:multiLevelType w:val="hybridMultilevel"/>
    <w:tmpl w:val="83888C26"/>
    <w:lvl w:ilvl="0" w:tplc="2B72FF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556C6B"/>
    <w:multiLevelType w:val="hybridMultilevel"/>
    <w:tmpl w:val="2B5CC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3674B1"/>
    <w:multiLevelType w:val="hybridMultilevel"/>
    <w:tmpl w:val="B4D02984"/>
    <w:lvl w:ilvl="0" w:tplc="7304CD6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8820192"/>
    <w:multiLevelType w:val="hybridMultilevel"/>
    <w:tmpl w:val="BF523D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A575A56"/>
    <w:multiLevelType w:val="hybridMultilevel"/>
    <w:tmpl w:val="E27E8D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065F06"/>
    <w:multiLevelType w:val="hybridMultilevel"/>
    <w:tmpl w:val="2C5AFF78"/>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441BF0"/>
    <w:multiLevelType w:val="hybridMultilevel"/>
    <w:tmpl w:val="E160D3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3B1A5C"/>
    <w:multiLevelType w:val="hybridMultilevel"/>
    <w:tmpl w:val="FE8CC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C378F9"/>
    <w:multiLevelType w:val="multilevel"/>
    <w:tmpl w:val="71D2088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CF220D"/>
    <w:multiLevelType w:val="hybridMultilevel"/>
    <w:tmpl w:val="06568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F742E3"/>
    <w:multiLevelType w:val="multilevel"/>
    <w:tmpl w:val="D36A12F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E6F7698"/>
    <w:multiLevelType w:val="hybridMultilevel"/>
    <w:tmpl w:val="DF1E0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615391"/>
    <w:multiLevelType w:val="hybridMultilevel"/>
    <w:tmpl w:val="562EB8B8"/>
    <w:lvl w:ilvl="0" w:tplc="09D0BE76">
      <w:start w:val="1"/>
      <w:numFmt w:val="bullet"/>
      <w:lvlText w:val="•"/>
      <w:lvlJc w:val="left"/>
      <w:pPr>
        <w:tabs>
          <w:tab w:val="num" w:pos="720"/>
        </w:tabs>
        <w:ind w:left="720" w:hanging="360"/>
      </w:pPr>
      <w:rPr>
        <w:rFonts w:ascii="Arial" w:hAnsi="Arial" w:hint="default"/>
      </w:rPr>
    </w:lvl>
    <w:lvl w:ilvl="1" w:tplc="614ABF40" w:tentative="1">
      <w:start w:val="1"/>
      <w:numFmt w:val="bullet"/>
      <w:lvlText w:val="•"/>
      <w:lvlJc w:val="left"/>
      <w:pPr>
        <w:tabs>
          <w:tab w:val="num" w:pos="1440"/>
        </w:tabs>
        <w:ind w:left="1440" w:hanging="360"/>
      </w:pPr>
      <w:rPr>
        <w:rFonts w:ascii="Arial" w:hAnsi="Arial" w:hint="default"/>
      </w:rPr>
    </w:lvl>
    <w:lvl w:ilvl="2" w:tplc="A0C6582A" w:tentative="1">
      <w:start w:val="1"/>
      <w:numFmt w:val="bullet"/>
      <w:lvlText w:val="•"/>
      <w:lvlJc w:val="left"/>
      <w:pPr>
        <w:tabs>
          <w:tab w:val="num" w:pos="2160"/>
        </w:tabs>
        <w:ind w:left="2160" w:hanging="360"/>
      </w:pPr>
      <w:rPr>
        <w:rFonts w:ascii="Arial" w:hAnsi="Arial" w:hint="default"/>
      </w:rPr>
    </w:lvl>
    <w:lvl w:ilvl="3" w:tplc="A796AFF2" w:tentative="1">
      <w:start w:val="1"/>
      <w:numFmt w:val="bullet"/>
      <w:lvlText w:val="•"/>
      <w:lvlJc w:val="left"/>
      <w:pPr>
        <w:tabs>
          <w:tab w:val="num" w:pos="2880"/>
        </w:tabs>
        <w:ind w:left="2880" w:hanging="360"/>
      </w:pPr>
      <w:rPr>
        <w:rFonts w:ascii="Arial" w:hAnsi="Arial" w:hint="default"/>
      </w:rPr>
    </w:lvl>
    <w:lvl w:ilvl="4" w:tplc="46A0F42C" w:tentative="1">
      <w:start w:val="1"/>
      <w:numFmt w:val="bullet"/>
      <w:lvlText w:val="•"/>
      <w:lvlJc w:val="left"/>
      <w:pPr>
        <w:tabs>
          <w:tab w:val="num" w:pos="3600"/>
        </w:tabs>
        <w:ind w:left="3600" w:hanging="360"/>
      </w:pPr>
      <w:rPr>
        <w:rFonts w:ascii="Arial" w:hAnsi="Arial" w:hint="default"/>
      </w:rPr>
    </w:lvl>
    <w:lvl w:ilvl="5" w:tplc="F3BAB4AA" w:tentative="1">
      <w:start w:val="1"/>
      <w:numFmt w:val="bullet"/>
      <w:lvlText w:val="•"/>
      <w:lvlJc w:val="left"/>
      <w:pPr>
        <w:tabs>
          <w:tab w:val="num" w:pos="4320"/>
        </w:tabs>
        <w:ind w:left="4320" w:hanging="360"/>
      </w:pPr>
      <w:rPr>
        <w:rFonts w:ascii="Arial" w:hAnsi="Arial" w:hint="default"/>
      </w:rPr>
    </w:lvl>
    <w:lvl w:ilvl="6" w:tplc="4AE4A20C" w:tentative="1">
      <w:start w:val="1"/>
      <w:numFmt w:val="bullet"/>
      <w:lvlText w:val="•"/>
      <w:lvlJc w:val="left"/>
      <w:pPr>
        <w:tabs>
          <w:tab w:val="num" w:pos="5040"/>
        </w:tabs>
        <w:ind w:left="5040" w:hanging="360"/>
      </w:pPr>
      <w:rPr>
        <w:rFonts w:ascii="Arial" w:hAnsi="Arial" w:hint="default"/>
      </w:rPr>
    </w:lvl>
    <w:lvl w:ilvl="7" w:tplc="1AC20E76" w:tentative="1">
      <w:start w:val="1"/>
      <w:numFmt w:val="bullet"/>
      <w:lvlText w:val="•"/>
      <w:lvlJc w:val="left"/>
      <w:pPr>
        <w:tabs>
          <w:tab w:val="num" w:pos="5760"/>
        </w:tabs>
        <w:ind w:left="5760" w:hanging="360"/>
      </w:pPr>
      <w:rPr>
        <w:rFonts w:ascii="Arial" w:hAnsi="Arial" w:hint="default"/>
      </w:rPr>
    </w:lvl>
    <w:lvl w:ilvl="8" w:tplc="2C00884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7D87E2B"/>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1" w15:restartNumberingAfterBreak="0">
    <w:nsid w:val="782D1C01"/>
    <w:multiLevelType w:val="hybridMultilevel"/>
    <w:tmpl w:val="2B76A038"/>
    <w:lvl w:ilvl="0" w:tplc="2BF4B154">
      <w:start w:val="1"/>
      <w:numFmt w:val="bullet"/>
      <w:lvlText w:val="•"/>
      <w:lvlJc w:val="left"/>
      <w:pPr>
        <w:tabs>
          <w:tab w:val="num" w:pos="720"/>
        </w:tabs>
        <w:ind w:left="720" w:hanging="360"/>
      </w:pPr>
      <w:rPr>
        <w:rFonts w:ascii="Arial" w:hAnsi="Arial" w:hint="default"/>
      </w:rPr>
    </w:lvl>
    <w:lvl w:ilvl="1" w:tplc="73E0B134" w:tentative="1">
      <w:start w:val="1"/>
      <w:numFmt w:val="bullet"/>
      <w:lvlText w:val="•"/>
      <w:lvlJc w:val="left"/>
      <w:pPr>
        <w:tabs>
          <w:tab w:val="num" w:pos="1440"/>
        </w:tabs>
        <w:ind w:left="1440" w:hanging="360"/>
      </w:pPr>
      <w:rPr>
        <w:rFonts w:ascii="Arial" w:hAnsi="Arial" w:hint="default"/>
      </w:rPr>
    </w:lvl>
    <w:lvl w:ilvl="2" w:tplc="B9FC68E6" w:tentative="1">
      <w:start w:val="1"/>
      <w:numFmt w:val="bullet"/>
      <w:lvlText w:val="•"/>
      <w:lvlJc w:val="left"/>
      <w:pPr>
        <w:tabs>
          <w:tab w:val="num" w:pos="2160"/>
        </w:tabs>
        <w:ind w:left="2160" w:hanging="360"/>
      </w:pPr>
      <w:rPr>
        <w:rFonts w:ascii="Arial" w:hAnsi="Arial" w:hint="default"/>
      </w:rPr>
    </w:lvl>
    <w:lvl w:ilvl="3" w:tplc="A5286A8A" w:tentative="1">
      <w:start w:val="1"/>
      <w:numFmt w:val="bullet"/>
      <w:lvlText w:val="•"/>
      <w:lvlJc w:val="left"/>
      <w:pPr>
        <w:tabs>
          <w:tab w:val="num" w:pos="2880"/>
        </w:tabs>
        <w:ind w:left="2880" w:hanging="360"/>
      </w:pPr>
      <w:rPr>
        <w:rFonts w:ascii="Arial" w:hAnsi="Arial" w:hint="default"/>
      </w:rPr>
    </w:lvl>
    <w:lvl w:ilvl="4" w:tplc="8D74FD7E" w:tentative="1">
      <w:start w:val="1"/>
      <w:numFmt w:val="bullet"/>
      <w:lvlText w:val="•"/>
      <w:lvlJc w:val="left"/>
      <w:pPr>
        <w:tabs>
          <w:tab w:val="num" w:pos="3600"/>
        </w:tabs>
        <w:ind w:left="3600" w:hanging="360"/>
      </w:pPr>
      <w:rPr>
        <w:rFonts w:ascii="Arial" w:hAnsi="Arial" w:hint="default"/>
      </w:rPr>
    </w:lvl>
    <w:lvl w:ilvl="5" w:tplc="6A0A8AF0" w:tentative="1">
      <w:start w:val="1"/>
      <w:numFmt w:val="bullet"/>
      <w:lvlText w:val="•"/>
      <w:lvlJc w:val="left"/>
      <w:pPr>
        <w:tabs>
          <w:tab w:val="num" w:pos="4320"/>
        </w:tabs>
        <w:ind w:left="4320" w:hanging="360"/>
      </w:pPr>
      <w:rPr>
        <w:rFonts w:ascii="Arial" w:hAnsi="Arial" w:hint="default"/>
      </w:rPr>
    </w:lvl>
    <w:lvl w:ilvl="6" w:tplc="A516D952" w:tentative="1">
      <w:start w:val="1"/>
      <w:numFmt w:val="bullet"/>
      <w:lvlText w:val="•"/>
      <w:lvlJc w:val="left"/>
      <w:pPr>
        <w:tabs>
          <w:tab w:val="num" w:pos="5040"/>
        </w:tabs>
        <w:ind w:left="5040" w:hanging="360"/>
      </w:pPr>
      <w:rPr>
        <w:rFonts w:ascii="Arial" w:hAnsi="Arial" w:hint="default"/>
      </w:rPr>
    </w:lvl>
    <w:lvl w:ilvl="7" w:tplc="CC602A10" w:tentative="1">
      <w:start w:val="1"/>
      <w:numFmt w:val="bullet"/>
      <w:lvlText w:val="•"/>
      <w:lvlJc w:val="left"/>
      <w:pPr>
        <w:tabs>
          <w:tab w:val="num" w:pos="5760"/>
        </w:tabs>
        <w:ind w:left="5760" w:hanging="360"/>
      </w:pPr>
      <w:rPr>
        <w:rFonts w:ascii="Arial" w:hAnsi="Arial" w:hint="default"/>
      </w:rPr>
    </w:lvl>
    <w:lvl w:ilvl="8" w:tplc="02DCFE4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C801D34"/>
    <w:multiLevelType w:val="hybridMultilevel"/>
    <w:tmpl w:val="F6CA39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343E9C"/>
    <w:multiLevelType w:val="multilevel"/>
    <w:tmpl w:val="6E4CF05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7506888">
    <w:abstractNumId w:val="19"/>
  </w:num>
  <w:num w:numId="2" w16cid:durableId="1829444488">
    <w:abstractNumId w:val="12"/>
  </w:num>
  <w:num w:numId="3" w16cid:durableId="2032951505">
    <w:abstractNumId w:val="6"/>
  </w:num>
  <w:num w:numId="4" w16cid:durableId="795834815">
    <w:abstractNumId w:val="21"/>
  </w:num>
  <w:num w:numId="5" w16cid:durableId="1733843253">
    <w:abstractNumId w:val="9"/>
  </w:num>
  <w:num w:numId="6" w16cid:durableId="1168986074">
    <w:abstractNumId w:val="5"/>
  </w:num>
  <w:num w:numId="7" w16cid:durableId="1616133522">
    <w:abstractNumId w:val="17"/>
  </w:num>
  <w:num w:numId="8" w16cid:durableId="1104307739">
    <w:abstractNumId w:val="13"/>
  </w:num>
  <w:num w:numId="9" w16cid:durableId="1043015134">
    <w:abstractNumId w:val="15"/>
  </w:num>
  <w:num w:numId="10" w16cid:durableId="846099264">
    <w:abstractNumId w:val="7"/>
  </w:num>
  <w:num w:numId="11" w16cid:durableId="1937404624">
    <w:abstractNumId w:val="2"/>
  </w:num>
  <w:num w:numId="12" w16cid:durableId="1911429313">
    <w:abstractNumId w:val="0"/>
  </w:num>
  <w:num w:numId="13" w16cid:durableId="1499420047">
    <w:abstractNumId w:val="20"/>
  </w:num>
  <w:num w:numId="14" w16cid:durableId="1462845195">
    <w:abstractNumId w:val="23"/>
  </w:num>
  <w:num w:numId="15" w16cid:durableId="1489442201">
    <w:abstractNumId w:val="14"/>
  </w:num>
  <w:num w:numId="16" w16cid:durableId="661500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8400567">
    <w:abstractNumId w:val="8"/>
  </w:num>
  <w:num w:numId="18" w16cid:durableId="1030453728">
    <w:abstractNumId w:val="22"/>
  </w:num>
  <w:num w:numId="19" w16cid:durableId="29301483">
    <w:abstractNumId w:val="4"/>
  </w:num>
  <w:num w:numId="20" w16cid:durableId="54934738">
    <w:abstractNumId w:val="3"/>
  </w:num>
  <w:num w:numId="21" w16cid:durableId="372655688">
    <w:abstractNumId w:val="11"/>
  </w:num>
  <w:num w:numId="22" w16cid:durableId="1822497901">
    <w:abstractNumId w:val="18"/>
  </w:num>
  <w:num w:numId="23" w16cid:durableId="1171800849">
    <w:abstractNumId w:val="1"/>
  </w:num>
  <w:num w:numId="24" w16cid:durableId="2991155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B49"/>
    <w:rsid w:val="00017964"/>
    <w:rsid w:val="00027E20"/>
    <w:rsid w:val="0003318D"/>
    <w:rsid w:val="00033FAB"/>
    <w:rsid w:val="00035DF1"/>
    <w:rsid w:val="00036E05"/>
    <w:rsid w:val="0004124F"/>
    <w:rsid w:val="00053C3F"/>
    <w:rsid w:val="000643EF"/>
    <w:rsid w:val="0006580A"/>
    <w:rsid w:val="00073043"/>
    <w:rsid w:val="00073D44"/>
    <w:rsid w:val="00075C1A"/>
    <w:rsid w:val="00085235"/>
    <w:rsid w:val="00090892"/>
    <w:rsid w:val="00092F49"/>
    <w:rsid w:val="0009469F"/>
    <w:rsid w:val="000A11B4"/>
    <w:rsid w:val="000A3A1F"/>
    <w:rsid w:val="000C29C0"/>
    <w:rsid w:val="000C35B2"/>
    <w:rsid w:val="000C5099"/>
    <w:rsid w:val="000C623A"/>
    <w:rsid w:val="000D2BA0"/>
    <w:rsid w:val="000D2D51"/>
    <w:rsid w:val="000D4951"/>
    <w:rsid w:val="000D6174"/>
    <w:rsid w:val="000E4F6E"/>
    <w:rsid w:val="000F07E6"/>
    <w:rsid w:val="000F088E"/>
    <w:rsid w:val="000F08CC"/>
    <w:rsid w:val="000F13E4"/>
    <w:rsid w:val="00100469"/>
    <w:rsid w:val="00111E66"/>
    <w:rsid w:val="00113CA0"/>
    <w:rsid w:val="00131216"/>
    <w:rsid w:val="00147518"/>
    <w:rsid w:val="001542E5"/>
    <w:rsid w:val="001729BC"/>
    <w:rsid w:val="001811F8"/>
    <w:rsid w:val="00181B9A"/>
    <w:rsid w:val="001832F6"/>
    <w:rsid w:val="001949D3"/>
    <w:rsid w:val="001A1447"/>
    <w:rsid w:val="001A1927"/>
    <w:rsid w:val="001A4DF6"/>
    <w:rsid w:val="001B10F1"/>
    <w:rsid w:val="001B1170"/>
    <w:rsid w:val="001B4522"/>
    <w:rsid w:val="001B5535"/>
    <w:rsid w:val="001B7603"/>
    <w:rsid w:val="001B7B2B"/>
    <w:rsid w:val="001C308D"/>
    <w:rsid w:val="001D06AD"/>
    <w:rsid w:val="001E0C3A"/>
    <w:rsid w:val="001E2CDC"/>
    <w:rsid w:val="001E46F4"/>
    <w:rsid w:val="001E640A"/>
    <w:rsid w:val="001F63F9"/>
    <w:rsid w:val="002025E9"/>
    <w:rsid w:val="00206230"/>
    <w:rsid w:val="00211E9C"/>
    <w:rsid w:val="00216DB2"/>
    <w:rsid w:val="002221EE"/>
    <w:rsid w:val="0022271D"/>
    <w:rsid w:val="00222F86"/>
    <w:rsid w:val="0022322F"/>
    <w:rsid w:val="00237013"/>
    <w:rsid w:val="00250434"/>
    <w:rsid w:val="00250D4B"/>
    <w:rsid w:val="00255022"/>
    <w:rsid w:val="002559FC"/>
    <w:rsid w:val="00262C43"/>
    <w:rsid w:val="00271BDE"/>
    <w:rsid w:val="00285C7E"/>
    <w:rsid w:val="00290613"/>
    <w:rsid w:val="00291064"/>
    <w:rsid w:val="0029757C"/>
    <w:rsid w:val="002A0A28"/>
    <w:rsid w:val="002A0EF3"/>
    <w:rsid w:val="002A63C5"/>
    <w:rsid w:val="002B1E0A"/>
    <w:rsid w:val="002B63F2"/>
    <w:rsid w:val="002C2D35"/>
    <w:rsid w:val="002C3F00"/>
    <w:rsid w:val="002C6201"/>
    <w:rsid w:val="002D002A"/>
    <w:rsid w:val="002D3EC6"/>
    <w:rsid w:val="002D4867"/>
    <w:rsid w:val="002D5874"/>
    <w:rsid w:val="002D751E"/>
    <w:rsid w:val="002E2155"/>
    <w:rsid w:val="002F2EFD"/>
    <w:rsid w:val="002F3FF0"/>
    <w:rsid w:val="002F6522"/>
    <w:rsid w:val="00302E4C"/>
    <w:rsid w:val="003032CB"/>
    <w:rsid w:val="0033654B"/>
    <w:rsid w:val="003515F0"/>
    <w:rsid w:val="0036444A"/>
    <w:rsid w:val="00364FC5"/>
    <w:rsid w:val="0036724D"/>
    <w:rsid w:val="003745F2"/>
    <w:rsid w:val="00374AE4"/>
    <w:rsid w:val="00375EE7"/>
    <w:rsid w:val="00377739"/>
    <w:rsid w:val="003850A7"/>
    <w:rsid w:val="00395576"/>
    <w:rsid w:val="003A4D3B"/>
    <w:rsid w:val="003B3BA4"/>
    <w:rsid w:val="003B4597"/>
    <w:rsid w:val="003B5D46"/>
    <w:rsid w:val="003C01B9"/>
    <w:rsid w:val="003C117A"/>
    <w:rsid w:val="003F0AD3"/>
    <w:rsid w:val="00407622"/>
    <w:rsid w:val="00411922"/>
    <w:rsid w:val="0041340B"/>
    <w:rsid w:val="004135F1"/>
    <w:rsid w:val="004175AA"/>
    <w:rsid w:val="00420A3B"/>
    <w:rsid w:val="00420F38"/>
    <w:rsid w:val="00420F77"/>
    <w:rsid w:val="00430A38"/>
    <w:rsid w:val="00431822"/>
    <w:rsid w:val="00436FA0"/>
    <w:rsid w:val="0045306C"/>
    <w:rsid w:val="00460A80"/>
    <w:rsid w:val="00476519"/>
    <w:rsid w:val="00481B8E"/>
    <w:rsid w:val="00483619"/>
    <w:rsid w:val="00486616"/>
    <w:rsid w:val="00487617"/>
    <w:rsid w:val="004A0F59"/>
    <w:rsid w:val="004A22E5"/>
    <w:rsid w:val="004A406C"/>
    <w:rsid w:val="004B11A2"/>
    <w:rsid w:val="004B5472"/>
    <w:rsid w:val="004B56FC"/>
    <w:rsid w:val="004B71F9"/>
    <w:rsid w:val="004C2539"/>
    <w:rsid w:val="004C5B63"/>
    <w:rsid w:val="004C72F9"/>
    <w:rsid w:val="004D1DA6"/>
    <w:rsid w:val="004D6918"/>
    <w:rsid w:val="004F07DD"/>
    <w:rsid w:val="004F59D8"/>
    <w:rsid w:val="004F692F"/>
    <w:rsid w:val="004F69A7"/>
    <w:rsid w:val="00501FAE"/>
    <w:rsid w:val="00504AEF"/>
    <w:rsid w:val="00510AAB"/>
    <w:rsid w:val="00523F13"/>
    <w:rsid w:val="005277A2"/>
    <w:rsid w:val="00531DD4"/>
    <w:rsid w:val="00533554"/>
    <w:rsid w:val="00545CF9"/>
    <w:rsid w:val="005472AB"/>
    <w:rsid w:val="00550433"/>
    <w:rsid w:val="00553FC9"/>
    <w:rsid w:val="00566F99"/>
    <w:rsid w:val="00576EA3"/>
    <w:rsid w:val="005814CE"/>
    <w:rsid w:val="00583C0A"/>
    <w:rsid w:val="00586297"/>
    <w:rsid w:val="005A08CD"/>
    <w:rsid w:val="005A79F8"/>
    <w:rsid w:val="005B4E9D"/>
    <w:rsid w:val="005B4EA1"/>
    <w:rsid w:val="005B59DC"/>
    <w:rsid w:val="005B66BC"/>
    <w:rsid w:val="005D3ECF"/>
    <w:rsid w:val="005D7096"/>
    <w:rsid w:val="005E4D88"/>
    <w:rsid w:val="005F0841"/>
    <w:rsid w:val="00601D31"/>
    <w:rsid w:val="00611FFD"/>
    <w:rsid w:val="00613C5A"/>
    <w:rsid w:val="0062094C"/>
    <w:rsid w:val="00622E4A"/>
    <w:rsid w:val="00627C2E"/>
    <w:rsid w:val="00636FC4"/>
    <w:rsid w:val="00651AD3"/>
    <w:rsid w:val="00652387"/>
    <w:rsid w:val="00655207"/>
    <w:rsid w:val="0065721A"/>
    <w:rsid w:val="006775E9"/>
    <w:rsid w:val="006938C8"/>
    <w:rsid w:val="00697002"/>
    <w:rsid w:val="006A039D"/>
    <w:rsid w:val="006C4C3D"/>
    <w:rsid w:val="006D2FB4"/>
    <w:rsid w:val="006E123B"/>
    <w:rsid w:val="006E3DA5"/>
    <w:rsid w:val="006E7C3F"/>
    <w:rsid w:val="006F05E1"/>
    <w:rsid w:val="006F5B25"/>
    <w:rsid w:val="006F71EB"/>
    <w:rsid w:val="006F79E8"/>
    <w:rsid w:val="00710944"/>
    <w:rsid w:val="007176B9"/>
    <w:rsid w:val="0072770D"/>
    <w:rsid w:val="00735C31"/>
    <w:rsid w:val="0073735E"/>
    <w:rsid w:val="00737A4A"/>
    <w:rsid w:val="0074034E"/>
    <w:rsid w:val="00740DC1"/>
    <w:rsid w:val="0074789C"/>
    <w:rsid w:val="00752700"/>
    <w:rsid w:val="00752E03"/>
    <w:rsid w:val="0075400D"/>
    <w:rsid w:val="007548EE"/>
    <w:rsid w:val="00757B43"/>
    <w:rsid w:val="007612A9"/>
    <w:rsid w:val="007618EF"/>
    <w:rsid w:val="00763DE1"/>
    <w:rsid w:val="00766197"/>
    <w:rsid w:val="0077138C"/>
    <w:rsid w:val="00774453"/>
    <w:rsid w:val="00784BBB"/>
    <w:rsid w:val="00786ECB"/>
    <w:rsid w:val="007B0CA1"/>
    <w:rsid w:val="007B2384"/>
    <w:rsid w:val="007B256B"/>
    <w:rsid w:val="007B5106"/>
    <w:rsid w:val="007B7A79"/>
    <w:rsid w:val="007C3115"/>
    <w:rsid w:val="007D1FAE"/>
    <w:rsid w:val="007D22FF"/>
    <w:rsid w:val="007D47CA"/>
    <w:rsid w:val="007D5EF1"/>
    <w:rsid w:val="007E6246"/>
    <w:rsid w:val="007E69B1"/>
    <w:rsid w:val="007E75BF"/>
    <w:rsid w:val="007F4A12"/>
    <w:rsid w:val="007F5B4A"/>
    <w:rsid w:val="00800DF0"/>
    <w:rsid w:val="00801B83"/>
    <w:rsid w:val="00810EBD"/>
    <w:rsid w:val="00811D4B"/>
    <w:rsid w:val="00822AE1"/>
    <w:rsid w:val="008359C3"/>
    <w:rsid w:val="00836B30"/>
    <w:rsid w:val="008376A9"/>
    <w:rsid w:val="00843D8E"/>
    <w:rsid w:val="00845C1B"/>
    <w:rsid w:val="00853B22"/>
    <w:rsid w:val="00854998"/>
    <w:rsid w:val="008573D2"/>
    <w:rsid w:val="00860E81"/>
    <w:rsid w:val="00866616"/>
    <w:rsid w:val="008678D9"/>
    <w:rsid w:val="00871D0E"/>
    <w:rsid w:val="0087755F"/>
    <w:rsid w:val="0088192A"/>
    <w:rsid w:val="00887B5D"/>
    <w:rsid w:val="00893E60"/>
    <w:rsid w:val="008940E8"/>
    <w:rsid w:val="00897F75"/>
    <w:rsid w:val="008A11D5"/>
    <w:rsid w:val="008A191F"/>
    <w:rsid w:val="008A475B"/>
    <w:rsid w:val="008B0889"/>
    <w:rsid w:val="008B21A9"/>
    <w:rsid w:val="008B4A27"/>
    <w:rsid w:val="008B5010"/>
    <w:rsid w:val="008C1C93"/>
    <w:rsid w:val="008C26DB"/>
    <w:rsid w:val="008C362E"/>
    <w:rsid w:val="008E3A2A"/>
    <w:rsid w:val="008E40C1"/>
    <w:rsid w:val="008E5439"/>
    <w:rsid w:val="008E6B20"/>
    <w:rsid w:val="008F0B2D"/>
    <w:rsid w:val="008F11CD"/>
    <w:rsid w:val="00900335"/>
    <w:rsid w:val="0092396F"/>
    <w:rsid w:val="00925062"/>
    <w:rsid w:val="009303CF"/>
    <w:rsid w:val="009374F2"/>
    <w:rsid w:val="00943ECE"/>
    <w:rsid w:val="00946300"/>
    <w:rsid w:val="00950C06"/>
    <w:rsid w:val="00954E40"/>
    <w:rsid w:val="009570D2"/>
    <w:rsid w:val="00965EB2"/>
    <w:rsid w:val="00966AD2"/>
    <w:rsid w:val="009763EA"/>
    <w:rsid w:val="00981FB4"/>
    <w:rsid w:val="00986678"/>
    <w:rsid w:val="00990107"/>
    <w:rsid w:val="0099041C"/>
    <w:rsid w:val="009911CB"/>
    <w:rsid w:val="009A1DC6"/>
    <w:rsid w:val="009A37A1"/>
    <w:rsid w:val="009A4DD8"/>
    <w:rsid w:val="009B3732"/>
    <w:rsid w:val="009B4D3E"/>
    <w:rsid w:val="009B54ED"/>
    <w:rsid w:val="009D5A05"/>
    <w:rsid w:val="009D6426"/>
    <w:rsid w:val="009D6FA5"/>
    <w:rsid w:val="009E2044"/>
    <w:rsid w:val="009E23BA"/>
    <w:rsid w:val="009F0FF9"/>
    <w:rsid w:val="00A0030C"/>
    <w:rsid w:val="00A04288"/>
    <w:rsid w:val="00A160D4"/>
    <w:rsid w:val="00A2225E"/>
    <w:rsid w:val="00A22B14"/>
    <w:rsid w:val="00A236DB"/>
    <w:rsid w:val="00A247BE"/>
    <w:rsid w:val="00A24C33"/>
    <w:rsid w:val="00A26870"/>
    <w:rsid w:val="00A26CA2"/>
    <w:rsid w:val="00A3161E"/>
    <w:rsid w:val="00A352DF"/>
    <w:rsid w:val="00A3574C"/>
    <w:rsid w:val="00A37B20"/>
    <w:rsid w:val="00A45A06"/>
    <w:rsid w:val="00A4669A"/>
    <w:rsid w:val="00A517F5"/>
    <w:rsid w:val="00A61628"/>
    <w:rsid w:val="00A61996"/>
    <w:rsid w:val="00A7421B"/>
    <w:rsid w:val="00A75612"/>
    <w:rsid w:val="00A84C7E"/>
    <w:rsid w:val="00A97EC3"/>
    <w:rsid w:val="00AA522E"/>
    <w:rsid w:val="00AA5424"/>
    <w:rsid w:val="00AB0B53"/>
    <w:rsid w:val="00AB231B"/>
    <w:rsid w:val="00AB2E8D"/>
    <w:rsid w:val="00AB53C4"/>
    <w:rsid w:val="00AC0E28"/>
    <w:rsid w:val="00AD4660"/>
    <w:rsid w:val="00AD5FE9"/>
    <w:rsid w:val="00AD78BA"/>
    <w:rsid w:val="00AF3CE3"/>
    <w:rsid w:val="00AF7403"/>
    <w:rsid w:val="00B0331C"/>
    <w:rsid w:val="00B20BC6"/>
    <w:rsid w:val="00B3320C"/>
    <w:rsid w:val="00B333F6"/>
    <w:rsid w:val="00B46735"/>
    <w:rsid w:val="00B52ADE"/>
    <w:rsid w:val="00B5519D"/>
    <w:rsid w:val="00B567A8"/>
    <w:rsid w:val="00B6754C"/>
    <w:rsid w:val="00B67B5A"/>
    <w:rsid w:val="00B70A8B"/>
    <w:rsid w:val="00B726BE"/>
    <w:rsid w:val="00B7313D"/>
    <w:rsid w:val="00B776F1"/>
    <w:rsid w:val="00B85A6F"/>
    <w:rsid w:val="00B9289B"/>
    <w:rsid w:val="00BA4DD3"/>
    <w:rsid w:val="00BA521D"/>
    <w:rsid w:val="00BB3E22"/>
    <w:rsid w:val="00BD10B3"/>
    <w:rsid w:val="00BD307D"/>
    <w:rsid w:val="00BD3882"/>
    <w:rsid w:val="00BE4E17"/>
    <w:rsid w:val="00BE59D2"/>
    <w:rsid w:val="00BE7306"/>
    <w:rsid w:val="00BE7904"/>
    <w:rsid w:val="00BF0C99"/>
    <w:rsid w:val="00BF481A"/>
    <w:rsid w:val="00BF557C"/>
    <w:rsid w:val="00BFEFB5"/>
    <w:rsid w:val="00C05852"/>
    <w:rsid w:val="00C111BF"/>
    <w:rsid w:val="00C1484B"/>
    <w:rsid w:val="00C15914"/>
    <w:rsid w:val="00C15A73"/>
    <w:rsid w:val="00C17580"/>
    <w:rsid w:val="00C214C7"/>
    <w:rsid w:val="00C2197A"/>
    <w:rsid w:val="00C23659"/>
    <w:rsid w:val="00C30B49"/>
    <w:rsid w:val="00C357B1"/>
    <w:rsid w:val="00C37545"/>
    <w:rsid w:val="00C43050"/>
    <w:rsid w:val="00C45E00"/>
    <w:rsid w:val="00C51AF5"/>
    <w:rsid w:val="00C534B5"/>
    <w:rsid w:val="00C54868"/>
    <w:rsid w:val="00C56A28"/>
    <w:rsid w:val="00C57F7B"/>
    <w:rsid w:val="00C664EF"/>
    <w:rsid w:val="00C67F5F"/>
    <w:rsid w:val="00C7169C"/>
    <w:rsid w:val="00C75E31"/>
    <w:rsid w:val="00C80D77"/>
    <w:rsid w:val="00C8550E"/>
    <w:rsid w:val="00C90672"/>
    <w:rsid w:val="00C92811"/>
    <w:rsid w:val="00C93AEE"/>
    <w:rsid w:val="00C93C46"/>
    <w:rsid w:val="00CA19B6"/>
    <w:rsid w:val="00CA1FB5"/>
    <w:rsid w:val="00CA582E"/>
    <w:rsid w:val="00CA5A26"/>
    <w:rsid w:val="00CA76FB"/>
    <w:rsid w:val="00CB08C0"/>
    <w:rsid w:val="00CB1B16"/>
    <w:rsid w:val="00CB3ABA"/>
    <w:rsid w:val="00CC25BF"/>
    <w:rsid w:val="00CC33CA"/>
    <w:rsid w:val="00CC618F"/>
    <w:rsid w:val="00CC712C"/>
    <w:rsid w:val="00CD07AF"/>
    <w:rsid w:val="00CD1C74"/>
    <w:rsid w:val="00CD454C"/>
    <w:rsid w:val="00CD58F8"/>
    <w:rsid w:val="00CD60A6"/>
    <w:rsid w:val="00CD6800"/>
    <w:rsid w:val="00CE02AB"/>
    <w:rsid w:val="00CE1C37"/>
    <w:rsid w:val="00CE666A"/>
    <w:rsid w:val="00CE714C"/>
    <w:rsid w:val="00CF11AE"/>
    <w:rsid w:val="00CF6511"/>
    <w:rsid w:val="00D073BD"/>
    <w:rsid w:val="00D17829"/>
    <w:rsid w:val="00D17D4B"/>
    <w:rsid w:val="00D2380E"/>
    <w:rsid w:val="00D24E7B"/>
    <w:rsid w:val="00D5260F"/>
    <w:rsid w:val="00D6684C"/>
    <w:rsid w:val="00D66F0C"/>
    <w:rsid w:val="00D73980"/>
    <w:rsid w:val="00D74B5B"/>
    <w:rsid w:val="00D760F8"/>
    <w:rsid w:val="00D77EC2"/>
    <w:rsid w:val="00D9228E"/>
    <w:rsid w:val="00DA1DA7"/>
    <w:rsid w:val="00DB719D"/>
    <w:rsid w:val="00DC194A"/>
    <w:rsid w:val="00DC67A7"/>
    <w:rsid w:val="00DC77C7"/>
    <w:rsid w:val="00DC7FC3"/>
    <w:rsid w:val="00DD0DD4"/>
    <w:rsid w:val="00DE010A"/>
    <w:rsid w:val="00E02514"/>
    <w:rsid w:val="00E03777"/>
    <w:rsid w:val="00E0534B"/>
    <w:rsid w:val="00E13E94"/>
    <w:rsid w:val="00E30641"/>
    <w:rsid w:val="00E35D60"/>
    <w:rsid w:val="00E403E3"/>
    <w:rsid w:val="00E525A6"/>
    <w:rsid w:val="00E53885"/>
    <w:rsid w:val="00E546C4"/>
    <w:rsid w:val="00E72ABB"/>
    <w:rsid w:val="00E74B3D"/>
    <w:rsid w:val="00E83772"/>
    <w:rsid w:val="00E84387"/>
    <w:rsid w:val="00E85F2B"/>
    <w:rsid w:val="00E86AA8"/>
    <w:rsid w:val="00E90931"/>
    <w:rsid w:val="00E96B1B"/>
    <w:rsid w:val="00E97CAD"/>
    <w:rsid w:val="00EB13E4"/>
    <w:rsid w:val="00EC0378"/>
    <w:rsid w:val="00EC04BC"/>
    <w:rsid w:val="00EC2DF5"/>
    <w:rsid w:val="00ED1F56"/>
    <w:rsid w:val="00EE31A8"/>
    <w:rsid w:val="00EE4AD6"/>
    <w:rsid w:val="00EE56CD"/>
    <w:rsid w:val="00F11096"/>
    <w:rsid w:val="00F1503A"/>
    <w:rsid w:val="00F17A1F"/>
    <w:rsid w:val="00F20C15"/>
    <w:rsid w:val="00F21117"/>
    <w:rsid w:val="00F36C89"/>
    <w:rsid w:val="00F4593D"/>
    <w:rsid w:val="00F53462"/>
    <w:rsid w:val="00F53AD1"/>
    <w:rsid w:val="00F5706A"/>
    <w:rsid w:val="00F70BA0"/>
    <w:rsid w:val="00F737F9"/>
    <w:rsid w:val="00F74900"/>
    <w:rsid w:val="00F9011C"/>
    <w:rsid w:val="00F90F0A"/>
    <w:rsid w:val="00F957B0"/>
    <w:rsid w:val="00FA0B35"/>
    <w:rsid w:val="00FA2419"/>
    <w:rsid w:val="00FA439D"/>
    <w:rsid w:val="00FC17F8"/>
    <w:rsid w:val="00FC2512"/>
    <w:rsid w:val="00FC3F6B"/>
    <w:rsid w:val="00FC4CA9"/>
    <w:rsid w:val="00FC7DF5"/>
    <w:rsid w:val="00FD1BA8"/>
    <w:rsid w:val="00FD3BED"/>
    <w:rsid w:val="00FD465A"/>
    <w:rsid w:val="00FD6994"/>
    <w:rsid w:val="00FE047E"/>
    <w:rsid w:val="00FF788E"/>
    <w:rsid w:val="0CE8B703"/>
    <w:rsid w:val="0E04238A"/>
    <w:rsid w:val="60D2A5F0"/>
    <w:rsid w:val="61CACD70"/>
    <w:rsid w:val="623262FC"/>
    <w:rsid w:val="77C677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3888"/>
  <w15:chartTrackingRefBased/>
  <w15:docId w15:val="{4904964E-E3B6-467D-BED0-0ABBB63B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B2B"/>
  </w:style>
  <w:style w:type="paragraph" w:styleId="Heading1">
    <w:name w:val="heading 1"/>
    <w:basedOn w:val="Normal"/>
    <w:next w:val="Normal"/>
    <w:link w:val="Heading1Char"/>
    <w:uiPriority w:val="9"/>
    <w:qFormat/>
    <w:rsid w:val="00E546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3D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3D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73D4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B49"/>
    <w:rPr>
      <w:rFonts w:ascii="Segoe UI" w:hAnsi="Segoe UI" w:cs="Segoe UI"/>
      <w:sz w:val="18"/>
      <w:szCs w:val="18"/>
    </w:rPr>
  </w:style>
  <w:style w:type="paragraph" w:customStyle="1" w:styleId="Default">
    <w:name w:val="Default"/>
    <w:rsid w:val="003F0AD3"/>
    <w:pPr>
      <w:autoSpaceDE w:val="0"/>
      <w:autoSpaceDN w:val="0"/>
      <w:adjustRightInd w:val="0"/>
      <w:spacing w:after="0" w:line="240" w:lineRule="auto"/>
    </w:pPr>
    <w:rPr>
      <w:rFonts w:ascii="Gill Sans MT" w:hAnsi="Gill Sans MT" w:cs="Gill Sans MT"/>
      <w:color w:val="000000"/>
      <w:sz w:val="24"/>
      <w:szCs w:val="24"/>
    </w:rPr>
  </w:style>
  <w:style w:type="paragraph" w:styleId="NoSpacing">
    <w:name w:val="No Spacing"/>
    <w:uiPriority w:val="1"/>
    <w:qFormat/>
    <w:rsid w:val="00854998"/>
    <w:pPr>
      <w:spacing w:after="0" w:line="240" w:lineRule="auto"/>
    </w:pPr>
  </w:style>
  <w:style w:type="paragraph" w:styleId="NormalWeb">
    <w:name w:val="Normal (Web)"/>
    <w:basedOn w:val="Normal"/>
    <w:uiPriority w:val="99"/>
    <w:unhideWhenUsed/>
    <w:rsid w:val="004F69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30641"/>
    <w:rPr>
      <w:sz w:val="16"/>
      <w:szCs w:val="16"/>
    </w:rPr>
  </w:style>
  <w:style w:type="paragraph" w:styleId="CommentText">
    <w:name w:val="annotation text"/>
    <w:basedOn w:val="Normal"/>
    <w:link w:val="CommentTextChar"/>
    <w:uiPriority w:val="99"/>
    <w:unhideWhenUsed/>
    <w:rsid w:val="00E30641"/>
    <w:pPr>
      <w:spacing w:line="240" w:lineRule="auto"/>
    </w:pPr>
    <w:rPr>
      <w:sz w:val="20"/>
      <w:szCs w:val="20"/>
    </w:rPr>
  </w:style>
  <w:style w:type="character" w:customStyle="1" w:styleId="CommentTextChar">
    <w:name w:val="Comment Text Char"/>
    <w:basedOn w:val="DefaultParagraphFont"/>
    <w:link w:val="CommentText"/>
    <w:uiPriority w:val="99"/>
    <w:rsid w:val="00E30641"/>
    <w:rPr>
      <w:sz w:val="20"/>
      <w:szCs w:val="20"/>
    </w:rPr>
  </w:style>
  <w:style w:type="paragraph" w:styleId="CommentSubject">
    <w:name w:val="annotation subject"/>
    <w:basedOn w:val="CommentText"/>
    <w:next w:val="CommentText"/>
    <w:link w:val="CommentSubjectChar"/>
    <w:uiPriority w:val="99"/>
    <w:semiHidden/>
    <w:unhideWhenUsed/>
    <w:rsid w:val="00E30641"/>
    <w:rPr>
      <w:b/>
      <w:bCs/>
    </w:rPr>
  </w:style>
  <w:style w:type="character" w:customStyle="1" w:styleId="CommentSubjectChar">
    <w:name w:val="Comment Subject Char"/>
    <w:basedOn w:val="CommentTextChar"/>
    <w:link w:val="CommentSubject"/>
    <w:uiPriority w:val="99"/>
    <w:semiHidden/>
    <w:rsid w:val="00E30641"/>
    <w:rPr>
      <w:b/>
      <w:bCs/>
      <w:sz w:val="20"/>
      <w:szCs w:val="20"/>
    </w:rPr>
  </w:style>
  <w:style w:type="paragraph" w:styleId="ListParagraph">
    <w:name w:val="List Paragraph"/>
    <w:basedOn w:val="Normal"/>
    <w:uiPriority w:val="34"/>
    <w:qFormat/>
    <w:rsid w:val="00C7169C"/>
    <w:pPr>
      <w:ind w:left="720"/>
      <w:contextualSpacing/>
    </w:pPr>
  </w:style>
  <w:style w:type="paragraph" w:styleId="Revision">
    <w:name w:val="Revision"/>
    <w:hidden/>
    <w:uiPriority w:val="99"/>
    <w:semiHidden/>
    <w:rsid w:val="00B3320C"/>
    <w:pPr>
      <w:spacing w:after="0" w:line="240" w:lineRule="auto"/>
    </w:pPr>
  </w:style>
  <w:style w:type="table" w:styleId="TableGrid">
    <w:name w:val="Table Grid"/>
    <w:basedOn w:val="TableNormal"/>
    <w:uiPriority w:val="39"/>
    <w:rsid w:val="00E85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E85F2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eading1Char">
    <w:name w:val="Heading 1 Char"/>
    <w:basedOn w:val="DefaultParagraphFont"/>
    <w:link w:val="Heading1"/>
    <w:uiPriority w:val="9"/>
    <w:rsid w:val="00E546C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73D44"/>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073D44"/>
    <w:pPr>
      <w:outlineLvl w:val="9"/>
    </w:pPr>
  </w:style>
  <w:style w:type="paragraph" w:styleId="TOC1">
    <w:name w:val="toc 1"/>
    <w:basedOn w:val="Normal"/>
    <w:next w:val="Normal"/>
    <w:autoRedefine/>
    <w:uiPriority w:val="39"/>
    <w:unhideWhenUsed/>
    <w:rsid w:val="00073D44"/>
    <w:pPr>
      <w:spacing w:after="100"/>
    </w:pPr>
  </w:style>
  <w:style w:type="paragraph" w:styleId="TOC2">
    <w:name w:val="toc 2"/>
    <w:basedOn w:val="Normal"/>
    <w:next w:val="Normal"/>
    <w:autoRedefine/>
    <w:uiPriority w:val="39"/>
    <w:unhideWhenUsed/>
    <w:rsid w:val="00AD4660"/>
    <w:pPr>
      <w:tabs>
        <w:tab w:val="left" w:pos="426"/>
        <w:tab w:val="right" w:leader="dot" w:pos="9350"/>
      </w:tabs>
      <w:spacing w:after="100"/>
    </w:pPr>
  </w:style>
  <w:style w:type="character" w:styleId="Hyperlink">
    <w:name w:val="Hyperlink"/>
    <w:basedOn w:val="DefaultParagraphFont"/>
    <w:uiPriority w:val="99"/>
    <w:unhideWhenUsed/>
    <w:rsid w:val="00073D44"/>
    <w:rPr>
      <w:color w:val="0563C1" w:themeColor="hyperlink"/>
      <w:u w:val="single"/>
    </w:rPr>
  </w:style>
  <w:style w:type="character" w:customStyle="1" w:styleId="Heading3Char">
    <w:name w:val="Heading 3 Char"/>
    <w:basedOn w:val="DefaultParagraphFont"/>
    <w:link w:val="Heading3"/>
    <w:uiPriority w:val="9"/>
    <w:rsid w:val="00073D4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73D44"/>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481B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1B8E"/>
    <w:rPr>
      <w:sz w:val="20"/>
      <w:szCs w:val="20"/>
    </w:rPr>
  </w:style>
  <w:style w:type="character" w:styleId="FootnoteReference">
    <w:name w:val="footnote reference"/>
    <w:basedOn w:val="DefaultParagraphFont"/>
    <w:uiPriority w:val="99"/>
    <w:semiHidden/>
    <w:unhideWhenUsed/>
    <w:rsid w:val="00481B8E"/>
    <w:rPr>
      <w:vertAlign w:val="superscript"/>
    </w:rPr>
  </w:style>
  <w:style w:type="paragraph" w:styleId="TOC3">
    <w:name w:val="toc 3"/>
    <w:basedOn w:val="Normal"/>
    <w:next w:val="Normal"/>
    <w:autoRedefine/>
    <w:uiPriority w:val="39"/>
    <w:unhideWhenUsed/>
    <w:rsid w:val="00FA0B35"/>
    <w:pPr>
      <w:spacing w:after="100"/>
      <w:ind w:left="440"/>
    </w:pPr>
  </w:style>
  <w:style w:type="paragraph" w:styleId="Header">
    <w:name w:val="header"/>
    <w:basedOn w:val="Normal"/>
    <w:link w:val="HeaderChar"/>
    <w:uiPriority w:val="99"/>
    <w:unhideWhenUsed/>
    <w:rsid w:val="00937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4F2"/>
  </w:style>
  <w:style w:type="paragraph" w:styleId="Footer">
    <w:name w:val="footer"/>
    <w:basedOn w:val="Normal"/>
    <w:link w:val="FooterChar"/>
    <w:uiPriority w:val="99"/>
    <w:unhideWhenUsed/>
    <w:rsid w:val="00937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4F2"/>
  </w:style>
  <w:style w:type="character" w:customStyle="1" w:styleId="UnresolvedMention1">
    <w:name w:val="Unresolved Mention1"/>
    <w:basedOn w:val="DefaultParagraphFont"/>
    <w:uiPriority w:val="99"/>
    <w:semiHidden/>
    <w:unhideWhenUsed/>
    <w:rsid w:val="009374F2"/>
    <w:rPr>
      <w:color w:val="605E5C"/>
      <w:shd w:val="clear" w:color="auto" w:fill="E1DFDD"/>
    </w:rPr>
  </w:style>
  <w:style w:type="paragraph" w:styleId="EndnoteText">
    <w:name w:val="endnote text"/>
    <w:basedOn w:val="Normal"/>
    <w:link w:val="EndnoteTextChar"/>
    <w:uiPriority w:val="99"/>
    <w:semiHidden/>
    <w:unhideWhenUsed/>
    <w:rsid w:val="004B71F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71F9"/>
    <w:rPr>
      <w:sz w:val="20"/>
      <w:szCs w:val="20"/>
    </w:rPr>
  </w:style>
  <w:style w:type="character" w:styleId="EndnoteReference">
    <w:name w:val="endnote reference"/>
    <w:basedOn w:val="DefaultParagraphFont"/>
    <w:uiPriority w:val="99"/>
    <w:semiHidden/>
    <w:unhideWhenUsed/>
    <w:rsid w:val="004B71F9"/>
    <w:rPr>
      <w:vertAlign w:val="superscript"/>
    </w:rPr>
  </w:style>
  <w:style w:type="character" w:styleId="Mention">
    <w:name w:val="Mention"/>
    <w:basedOn w:val="DefaultParagraphFont"/>
    <w:uiPriority w:val="99"/>
    <w:unhideWhenUsed/>
    <w:rsid w:val="00786ECB"/>
    <w:rPr>
      <w:color w:val="2B579A"/>
      <w:shd w:val="clear" w:color="auto" w:fill="E1DFDD"/>
    </w:rPr>
  </w:style>
  <w:style w:type="character" w:styleId="FollowedHyperlink">
    <w:name w:val="FollowedHyperlink"/>
    <w:basedOn w:val="DefaultParagraphFont"/>
    <w:uiPriority w:val="99"/>
    <w:semiHidden/>
    <w:unhideWhenUsed/>
    <w:rsid w:val="00A26C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9295">
      <w:bodyDiv w:val="1"/>
      <w:marLeft w:val="0"/>
      <w:marRight w:val="0"/>
      <w:marTop w:val="0"/>
      <w:marBottom w:val="0"/>
      <w:divBdr>
        <w:top w:val="none" w:sz="0" w:space="0" w:color="auto"/>
        <w:left w:val="none" w:sz="0" w:space="0" w:color="auto"/>
        <w:bottom w:val="none" w:sz="0" w:space="0" w:color="auto"/>
        <w:right w:val="none" w:sz="0" w:space="0" w:color="auto"/>
      </w:divBdr>
    </w:div>
    <w:div w:id="70665871">
      <w:bodyDiv w:val="1"/>
      <w:marLeft w:val="0"/>
      <w:marRight w:val="0"/>
      <w:marTop w:val="0"/>
      <w:marBottom w:val="0"/>
      <w:divBdr>
        <w:top w:val="none" w:sz="0" w:space="0" w:color="auto"/>
        <w:left w:val="none" w:sz="0" w:space="0" w:color="auto"/>
        <w:bottom w:val="none" w:sz="0" w:space="0" w:color="auto"/>
        <w:right w:val="none" w:sz="0" w:space="0" w:color="auto"/>
      </w:divBdr>
    </w:div>
    <w:div w:id="70859925">
      <w:bodyDiv w:val="1"/>
      <w:marLeft w:val="0"/>
      <w:marRight w:val="0"/>
      <w:marTop w:val="0"/>
      <w:marBottom w:val="0"/>
      <w:divBdr>
        <w:top w:val="none" w:sz="0" w:space="0" w:color="auto"/>
        <w:left w:val="none" w:sz="0" w:space="0" w:color="auto"/>
        <w:bottom w:val="none" w:sz="0" w:space="0" w:color="auto"/>
        <w:right w:val="none" w:sz="0" w:space="0" w:color="auto"/>
      </w:divBdr>
    </w:div>
    <w:div w:id="145440270">
      <w:bodyDiv w:val="1"/>
      <w:marLeft w:val="0"/>
      <w:marRight w:val="0"/>
      <w:marTop w:val="0"/>
      <w:marBottom w:val="0"/>
      <w:divBdr>
        <w:top w:val="none" w:sz="0" w:space="0" w:color="auto"/>
        <w:left w:val="none" w:sz="0" w:space="0" w:color="auto"/>
        <w:bottom w:val="none" w:sz="0" w:space="0" w:color="auto"/>
        <w:right w:val="none" w:sz="0" w:space="0" w:color="auto"/>
      </w:divBdr>
    </w:div>
    <w:div w:id="314578018">
      <w:bodyDiv w:val="1"/>
      <w:marLeft w:val="0"/>
      <w:marRight w:val="0"/>
      <w:marTop w:val="0"/>
      <w:marBottom w:val="0"/>
      <w:divBdr>
        <w:top w:val="none" w:sz="0" w:space="0" w:color="auto"/>
        <w:left w:val="none" w:sz="0" w:space="0" w:color="auto"/>
        <w:bottom w:val="none" w:sz="0" w:space="0" w:color="auto"/>
        <w:right w:val="none" w:sz="0" w:space="0" w:color="auto"/>
      </w:divBdr>
    </w:div>
    <w:div w:id="329717399">
      <w:bodyDiv w:val="1"/>
      <w:marLeft w:val="0"/>
      <w:marRight w:val="0"/>
      <w:marTop w:val="0"/>
      <w:marBottom w:val="0"/>
      <w:divBdr>
        <w:top w:val="none" w:sz="0" w:space="0" w:color="auto"/>
        <w:left w:val="none" w:sz="0" w:space="0" w:color="auto"/>
        <w:bottom w:val="none" w:sz="0" w:space="0" w:color="auto"/>
        <w:right w:val="none" w:sz="0" w:space="0" w:color="auto"/>
      </w:divBdr>
    </w:div>
    <w:div w:id="365832156">
      <w:bodyDiv w:val="1"/>
      <w:marLeft w:val="0"/>
      <w:marRight w:val="0"/>
      <w:marTop w:val="0"/>
      <w:marBottom w:val="0"/>
      <w:divBdr>
        <w:top w:val="none" w:sz="0" w:space="0" w:color="auto"/>
        <w:left w:val="none" w:sz="0" w:space="0" w:color="auto"/>
        <w:bottom w:val="none" w:sz="0" w:space="0" w:color="auto"/>
        <w:right w:val="none" w:sz="0" w:space="0" w:color="auto"/>
      </w:divBdr>
    </w:div>
    <w:div w:id="434251956">
      <w:bodyDiv w:val="1"/>
      <w:marLeft w:val="0"/>
      <w:marRight w:val="0"/>
      <w:marTop w:val="0"/>
      <w:marBottom w:val="0"/>
      <w:divBdr>
        <w:top w:val="none" w:sz="0" w:space="0" w:color="auto"/>
        <w:left w:val="none" w:sz="0" w:space="0" w:color="auto"/>
        <w:bottom w:val="none" w:sz="0" w:space="0" w:color="auto"/>
        <w:right w:val="none" w:sz="0" w:space="0" w:color="auto"/>
      </w:divBdr>
    </w:div>
    <w:div w:id="624583335">
      <w:bodyDiv w:val="1"/>
      <w:marLeft w:val="0"/>
      <w:marRight w:val="0"/>
      <w:marTop w:val="0"/>
      <w:marBottom w:val="0"/>
      <w:divBdr>
        <w:top w:val="none" w:sz="0" w:space="0" w:color="auto"/>
        <w:left w:val="none" w:sz="0" w:space="0" w:color="auto"/>
        <w:bottom w:val="none" w:sz="0" w:space="0" w:color="auto"/>
        <w:right w:val="none" w:sz="0" w:space="0" w:color="auto"/>
      </w:divBdr>
    </w:div>
    <w:div w:id="758716515">
      <w:bodyDiv w:val="1"/>
      <w:marLeft w:val="0"/>
      <w:marRight w:val="0"/>
      <w:marTop w:val="0"/>
      <w:marBottom w:val="0"/>
      <w:divBdr>
        <w:top w:val="none" w:sz="0" w:space="0" w:color="auto"/>
        <w:left w:val="none" w:sz="0" w:space="0" w:color="auto"/>
        <w:bottom w:val="none" w:sz="0" w:space="0" w:color="auto"/>
        <w:right w:val="none" w:sz="0" w:space="0" w:color="auto"/>
      </w:divBdr>
    </w:div>
    <w:div w:id="841235426">
      <w:bodyDiv w:val="1"/>
      <w:marLeft w:val="0"/>
      <w:marRight w:val="0"/>
      <w:marTop w:val="0"/>
      <w:marBottom w:val="0"/>
      <w:divBdr>
        <w:top w:val="none" w:sz="0" w:space="0" w:color="auto"/>
        <w:left w:val="none" w:sz="0" w:space="0" w:color="auto"/>
        <w:bottom w:val="none" w:sz="0" w:space="0" w:color="auto"/>
        <w:right w:val="none" w:sz="0" w:space="0" w:color="auto"/>
      </w:divBdr>
    </w:div>
    <w:div w:id="942299632">
      <w:bodyDiv w:val="1"/>
      <w:marLeft w:val="0"/>
      <w:marRight w:val="0"/>
      <w:marTop w:val="0"/>
      <w:marBottom w:val="0"/>
      <w:divBdr>
        <w:top w:val="none" w:sz="0" w:space="0" w:color="auto"/>
        <w:left w:val="none" w:sz="0" w:space="0" w:color="auto"/>
        <w:bottom w:val="none" w:sz="0" w:space="0" w:color="auto"/>
        <w:right w:val="none" w:sz="0" w:space="0" w:color="auto"/>
      </w:divBdr>
    </w:div>
    <w:div w:id="963266352">
      <w:bodyDiv w:val="1"/>
      <w:marLeft w:val="0"/>
      <w:marRight w:val="0"/>
      <w:marTop w:val="0"/>
      <w:marBottom w:val="0"/>
      <w:divBdr>
        <w:top w:val="none" w:sz="0" w:space="0" w:color="auto"/>
        <w:left w:val="none" w:sz="0" w:space="0" w:color="auto"/>
        <w:bottom w:val="none" w:sz="0" w:space="0" w:color="auto"/>
        <w:right w:val="none" w:sz="0" w:space="0" w:color="auto"/>
      </w:divBdr>
      <w:divsChild>
        <w:div w:id="663047432">
          <w:marLeft w:val="0"/>
          <w:marRight w:val="0"/>
          <w:marTop w:val="0"/>
          <w:marBottom w:val="0"/>
          <w:divBdr>
            <w:top w:val="none" w:sz="0" w:space="0" w:color="auto"/>
            <w:left w:val="none" w:sz="0" w:space="0" w:color="auto"/>
            <w:bottom w:val="none" w:sz="0" w:space="0" w:color="auto"/>
            <w:right w:val="none" w:sz="0" w:space="0" w:color="auto"/>
          </w:divBdr>
          <w:divsChild>
            <w:div w:id="2141875042">
              <w:marLeft w:val="0"/>
              <w:marRight w:val="0"/>
              <w:marTop w:val="0"/>
              <w:marBottom w:val="0"/>
              <w:divBdr>
                <w:top w:val="none" w:sz="0" w:space="0" w:color="auto"/>
                <w:left w:val="none" w:sz="0" w:space="0" w:color="auto"/>
                <w:bottom w:val="none" w:sz="0" w:space="0" w:color="auto"/>
                <w:right w:val="none" w:sz="0" w:space="0" w:color="auto"/>
              </w:divBdr>
              <w:divsChild>
                <w:div w:id="6870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718834">
      <w:bodyDiv w:val="1"/>
      <w:marLeft w:val="0"/>
      <w:marRight w:val="0"/>
      <w:marTop w:val="0"/>
      <w:marBottom w:val="0"/>
      <w:divBdr>
        <w:top w:val="none" w:sz="0" w:space="0" w:color="auto"/>
        <w:left w:val="none" w:sz="0" w:space="0" w:color="auto"/>
        <w:bottom w:val="none" w:sz="0" w:space="0" w:color="auto"/>
        <w:right w:val="none" w:sz="0" w:space="0" w:color="auto"/>
      </w:divBdr>
    </w:div>
    <w:div w:id="1012610121">
      <w:bodyDiv w:val="1"/>
      <w:marLeft w:val="0"/>
      <w:marRight w:val="0"/>
      <w:marTop w:val="0"/>
      <w:marBottom w:val="0"/>
      <w:divBdr>
        <w:top w:val="none" w:sz="0" w:space="0" w:color="auto"/>
        <w:left w:val="none" w:sz="0" w:space="0" w:color="auto"/>
        <w:bottom w:val="none" w:sz="0" w:space="0" w:color="auto"/>
        <w:right w:val="none" w:sz="0" w:space="0" w:color="auto"/>
      </w:divBdr>
    </w:div>
    <w:div w:id="1016663284">
      <w:bodyDiv w:val="1"/>
      <w:marLeft w:val="0"/>
      <w:marRight w:val="0"/>
      <w:marTop w:val="0"/>
      <w:marBottom w:val="0"/>
      <w:divBdr>
        <w:top w:val="none" w:sz="0" w:space="0" w:color="auto"/>
        <w:left w:val="none" w:sz="0" w:space="0" w:color="auto"/>
        <w:bottom w:val="none" w:sz="0" w:space="0" w:color="auto"/>
        <w:right w:val="none" w:sz="0" w:space="0" w:color="auto"/>
      </w:divBdr>
    </w:div>
    <w:div w:id="1018315073">
      <w:bodyDiv w:val="1"/>
      <w:marLeft w:val="0"/>
      <w:marRight w:val="0"/>
      <w:marTop w:val="0"/>
      <w:marBottom w:val="0"/>
      <w:divBdr>
        <w:top w:val="none" w:sz="0" w:space="0" w:color="auto"/>
        <w:left w:val="none" w:sz="0" w:space="0" w:color="auto"/>
        <w:bottom w:val="none" w:sz="0" w:space="0" w:color="auto"/>
        <w:right w:val="none" w:sz="0" w:space="0" w:color="auto"/>
      </w:divBdr>
      <w:divsChild>
        <w:div w:id="15665333">
          <w:marLeft w:val="446"/>
          <w:marRight w:val="0"/>
          <w:marTop w:val="0"/>
          <w:marBottom w:val="0"/>
          <w:divBdr>
            <w:top w:val="none" w:sz="0" w:space="0" w:color="auto"/>
            <w:left w:val="none" w:sz="0" w:space="0" w:color="auto"/>
            <w:bottom w:val="none" w:sz="0" w:space="0" w:color="auto"/>
            <w:right w:val="none" w:sz="0" w:space="0" w:color="auto"/>
          </w:divBdr>
        </w:div>
        <w:div w:id="59059688">
          <w:marLeft w:val="446"/>
          <w:marRight w:val="0"/>
          <w:marTop w:val="0"/>
          <w:marBottom w:val="0"/>
          <w:divBdr>
            <w:top w:val="none" w:sz="0" w:space="0" w:color="auto"/>
            <w:left w:val="none" w:sz="0" w:space="0" w:color="auto"/>
            <w:bottom w:val="none" w:sz="0" w:space="0" w:color="auto"/>
            <w:right w:val="none" w:sz="0" w:space="0" w:color="auto"/>
          </w:divBdr>
        </w:div>
        <w:div w:id="288974680">
          <w:marLeft w:val="446"/>
          <w:marRight w:val="0"/>
          <w:marTop w:val="0"/>
          <w:marBottom w:val="0"/>
          <w:divBdr>
            <w:top w:val="none" w:sz="0" w:space="0" w:color="auto"/>
            <w:left w:val="none" w:sz="0" w:space="0" w:color="auto"/>
            <w:bottom w:val="none" w:sz="0" w:space="0" w:color="auto"/>
            <w:right w:val="none" w:sz="0" w:space="0" w:color="auto"/>
          </w:divBdr>
        </w:div>
        <w:div w:id="959527676">
          <w:marLeft w:val="446"/>
          <w:marRight w:val="0"/>
          <w:marTop w:val="0"/>
          <w:marBottom w:val="0"/>
          <w:divBdr>
            <w:top w:val="none" w:sz="0" w:space="0" w:color="auto"/>
            <w:left w:val="none" w:sz="0" w:space="0" w:color="auto"/>
            <w:bottom w:val="none" w:sz="0" w:space="0" w:color="auto"/>
            <w:right w:val="none" w:sz="0" w:space="0" w:color="auto"/>
          </w:divBdr>
        </w:div>
        <w:div w:id="982349397">
          <w:marLeft w:val="446"/>
          <w:marRight w:val="0"/>
          <w:marTop w:val="0"/>
          <w:marBottom w:val="0"/>
          <w:divBdr>
            <w:top w:val="none" w:sz="0" w:space="0" w:color="auto"/>
            <w:left w:val="none" w:sz="0" w:space="0" w:color="auto"/>
            <w:bottom w:val="none" w:sz="0" w:space="0" w:color="auto"/>
            <w:right w:val="none" w:sz="0" w:space="0" w:color="auto"/>
          </w:divBdr>
        </w:div>
        <w:div w:id="1194198091">
          <w:marLeft w:val="446"/>
          <w:marRight w:val="0"/>
          <w:marTop w:val="0"/>
          <w:marBottom w:val="0"/>
          <w:divBdr>
            <w:top w:val="none" w:sz="0" w:space="0" w:color="auto"/>
            <w:left w:val="none" w:sz="0" w:space="0" w:color="auto"/>
            <w:bottom w:val="none" w:sz="0" w:space="0" w:color="auto"/>
            <w:right w:val="none" w:sz="0" w:space="0" w:color="auto"/>
          </w:divBdr>
        </w:div>
        <w:div w:id="1293288009">
          <w:marLeft w:val="446"/>
          <w:marRight w:val="0"/>
          <w:marTop w:val="0"/>
          <w:marBottom w:val="240"/>
          <w:divBdr>
            <w:top w:val="none" w:sz="0" w:space="0" w:color="auto"/>
            <w:left w:val="none" w:sz="0" w:space="0" w:color="auto"/>
            <w:bottom w:val="none" w:sz="0" w:space="0" w:color="auto"/>
            <w:right w:val="none" w:sz="0" w:space="0" w:color="auto"/>
          </w:divBdr>
        </w:div>
        <w:div w:id="1564830497">
          <w:marLeft w:val="446"/>
          <w:marRight w:val="0"/>
          <w:marTop w:val="0"/>
          <w:marBottom w:val="0"/>
          <w:divBdr>
            <w:top w:val="none" w:sz="0" w:space="0" w:color="auto"/>
            <w:left w:val="none" w:sz="0" w:space="0" w:color="auto"/>
            <w:bottom w:val="none" w:sz="0" w:space="0" w:color="auto"/>
            <w:right w:val="none" w:sz="0" w:space="0" w:color="auto"/>
          </w:divBdr>
        </w:div>
        <w:div w:id="1827748502">
          <w:marLeft w:val="446"/>
          <w:marRight w:val="0"/>
          <w:marTop w:val="0"/>
          <w:marBottom w:val="0"/>
          <w:divBdr>
            <w:top w:val="none" w:sz="0" w:space="0" w:color="auto"/>
            <w:left w:val="none" w:sz="0" w:space="0" w:color="auto"/>
            <w:bottom w:val="none" w:sz="0" w:space="0" w:color="auto"/>
            <w:right w:val="none" w:sz="0" w:space="0" w:color="auto"/>
          </w:divBdr>
        </w:div>
        <w:div w:id="2127775999">
          <w:marLeft w:val="446"/>
          <w:marRight w:val="0"/>
          <w:marTop w:val="0"/>
          <w:marBottom w:val="0"/>
          <w:divBdr>
            <w:top w:val="none" w:sz="0" w:space="0" w:color="auto"/>
            <w:left w:val="none" w:sz="0" w:space="0" w:color="auto"/>
            <w:bottom w:val="none" w:sz="0" w:space="0" w:color="auto"/>
            <w:right w:val="none" w:sz="0" w:space="0" w:color="auto"/>
          </w:divBdr>
        </w:div>
      </w:divsChild>
    </w:div>
    <w:div w:id="1034118763">
      <w:bodyDiv w:val="1"/>
      <w:marLeft w:val="0"/>
      <w:marRight w:val="0"/>
      <w:marTop w:val="0"/>
      <w:marBottom w:val="0"/>
      <w:divBdr>
        <w:top w:val="none" w:sz="0" w:space="0" w:color="auto"/>
        <w:left w:val="none" w:sz="0" w:space="0" w:color="auto"/>
        <w:bottom w:val="none" w:sz="0" w:space="0" w:color="auto"/>
        <w:right w:val="none" w:sz="0" w:space="0" w:color="auto"/>
      </w:divBdr>
    </w:div>
    <w:div w:id="1086267553">
      <w:bodyDiv w:val="1"/>
      <w:marLeft w:val="0"/>
      <w:marRight w:val="0"/>
      <w:marTop w:val="0"/>
      <w:marBottom w:val="0"/>
      <w:divBdr>
        <w:top w:val="none" w:sz="0" w:space="0" w:color="auto"/>
        <w:left w:val="none" w:sz="0" w:space="0" w:color="auto"/>
        <w:bottom w:val="none" w:sz="0" w:space="0" w:color="auto"/>
        <w:right w:val="none" w:sz="0" w:space="0" w:color="auto"/>
      </w:divBdr>
    </w:div>
    <w:div w:id="1206715562">
      <w:bodyDiv w:val="1"/>
      <w:marLeft w:val="0"/>
      <w:marRight w:val="0"/>
      <w:marTop w:val="0"/>
      <w:marBottom w:val="0"/>
      <w:divBdr>
        <w:top w:val="none" w:sz="0" w:space="0" w:color="auto"/>
        <w:left w:val="none" w:sz="0" w:space="0" w:color="auto"/>
        <w:bottom w:val="none" w:sz="0" w:space="0" w:color="auto"/>
        <w:right w:val="none" w:sz="0" w:space="0" w:color="auto"/>
      </w:divBdr>
    </w:div>
    <w:div w:id="1210917813">
      <w:bodyDiv w:val="1"/>
      <w:marLeft w:val="0"/>
      <w:marRight w:val="0"/>
      <w:marTop w:val="0"/>
      <w:marBottom w:val="0"/>
      <w:divBdr>
        <w:top w:val="none" w:sz="0" w:space="0" w:color="auto"/>
        <w:left w:val="none" w:sz="0" w:space="0" w:color="auto"/>
        <w:bottom w:val="none" w:sz="0" w:space="0" w:color="auto"/>
        <w:right w:val="none" w:sz="0" w:space="0" w:color="auto"/>
      </w:divBdr>
      <w:divsChild>
        <w:div w:id="1198079422">
          <w:marLeft w:val="446"/>
          <w:marRight w:val="0"/>
          <w:marTop w:val="0"/>
          <w:marBottom w:val="0"/>
          <w:divBdr>
            <w:top w:val="none" w:sz="0" w:space="0" w:color="auto"/>
            <w:left w:val="none" w:sz="0" w:space="0" w:color="auto"/>
            <w:bottom w:val="none" w:sz="0" w:space="0" w:color="auto"/>
            <w:right w:val="none" w:sz="0" w:space="0" w:color="auto"/>
          </w:divBdr>
        </w:div>
        <w:div w:id="1861624035">
          <w:marLeft w:val="446"/>
          <w:marRight w:val="0"/>
          <w:marTop w:val="0"/>
          <w:marBottom w:val="0"/>
          <w:divBdr>
            <w:top w:val="none" w:sz="0" w:space="0" w:color="auto"/>
            <w:left w:val="none" w:sz="0" w:space="0" w:color="auto"/>
            <w:bottom w:val="none" w:sz="0" w:space="0" w:color="auto"/>
            <w:right w:val="none" w:sz="0" w:space="0" w:color="auto"/>
          </w:divBdr>
        </w:div>
        <w:div w:id="1950890089">
          <w:marLeft w:val="446"/>
          <w:marRight w:val="0"/>
          <w:marTop w:val="0"/>
          <w:marBottom w:val="0"/>
          <w:divBdr>
            <w:top w:val="none" w:sz="0" w:space="0" w:color="auto"/>
            <w:left w:val="none" w:sz="0" w:space="0" w:color="auto"/>
            <w:bottom w:val="none" w:sz="0" w:space="0" w:color="auto"/>
            <w:right w:val="none" w:sz="0" w:space="0" w:color="auto"/>
          </w:divBdr>
        </w:div>
      </w:divsChild>
    </w:div>
    <w:div w:id="1218667154">
      <w:bodyDiv w:val="1"/>
      <w:marLeft w:val="0"/>
      <w:marRight w:val="0"/>
      <w:marTop w:val="0"/>
      <w:marBottom w:val="0"/>
      <w:divBdr>
        <w:top w:val="none" w:sz="0" w:space="0" w:color="auto"/>
        <w:left w:val="none" w:sz="0" w:space="0" w:color="auto"/>
        <w:bottom w:val="none" w:sz="0" w:space="0" w:color="auto"/>
        <w:right w:val="none" w:sz="0" w:space="0" w:color="auto"/>
      </w:divBdr>
    </w:div>
    <w:div w:id="1267617236">
      <w:bodyDiv w:val="1"/>
      <w:marLeft w:val="0"/>
      <w:marRight w:val="0"/>
      <w:marTop w:val="0"/>
      <w:marBottom w:val="0"/>
      <w:divBdr>
        <w:top w:val="none" w:sz="0" w:space="0" w:color="auto"/>
        <w:left w:val="none" w:sz="0" w:space="0" w:color="auto"/>
        <w:bottom w:val="none" w:sz="0" w:space="0" w:color="auto"/>
        <w:right w:val="none" w:sz="0" w:space="0" w:color="auto"/>
      </w:divBdr>
      <w:divsChild>
        <w:div w:id="166136271">
          <w:marLeft w:val="446"/>
          <w:marRight w:val="0"/>
          <w:marTop w:val="0"/>
          <w:marBottom w:val="0"/>
          <w:divBdr>
            <w:top w:val="none" w:sz="0" w:space="0" w:color="auto"/>
            <w:left w:val="none" w:sz="0" w:space="0" w:color="auto"/>
            <w:bottom w:val="none" w:sz="0" w:space="0" w:color="auto"/>
            <w:right w:val="none" w:sz="0" w:space="0" w:color="auto"/>
          </w:divBdr>
        </w:div>
        <w:div w:id="641933828">
          <w:marLeft w:val="446"/>
          <w:marRight w:val="0"/>
          <w:marTop w:val="0"/>
          <w:marBottom w:val="0"/>
          <w:divBdr>
            <w:top w:val="none" w:sz="0" w:space="0" w:color="auto"/>
            <w:left w:val="none" w:sz="0" w:space="0" w:color="auto"/>
            <w:bottom w:val="none" w:sz="0" w:space="0" w:color="auto"/>
            <w:right w:val="none" w:sz="0" w:space="0" w:color="auto"/>
          </w:divBdr>
        </w:div>
        <w:div w:id="1834834863">
          <w:marLeft w:val="446"/>
          <w:marRight w:val="0"/>
          <w:marTop w:val="0"/>
          <w:marBottom w:val="0"/>
          <w:divBdr>
            <w:top w:val="none" w:sz="0" w:space="0" w:color="auto"/>
            <w:left w:val="none" w:sz="0" w:space="0" w:color="auto"/>
            <w:bottom w:val="none" w:sz="0" w:space="0" w:color="auto"/>
            <w:right w:val="none" w:sz="0" w:space="0" w:color="auto"/>
          </w:divBdr>
        </w:div>
      </w:divsChild>
    </w:div>
    <w:div w:id="1317414568">
      <w:bodyDiv w:val="1"/>
      <w:marLeft w:val="0"/>
      <w:marRight w:val="0"/>
      <w:marTop w:val="0"/>
      <w:marBottom w:val="0"/>
      <w:divBdr>
        <w:top w:val="none" w:sz="0" w:space="0" w:color="auto"/>
        <w:left w:val="none" w:sz="0" w:space="0" w:color="auto"/>
        <w:bottom w:val="none" w:sz="0" w:space="0" w:color="auto"/>
        <w:right w:val="none" w:sz="0" w:space="0" w:color="auto"/>
      </w:divBdr>
    </w:div>
    <w:div w:id="1403328217">
      <w:bodyDiv w:val="1"/>
      <w:marLeft w:val="0"/>
      <w:marRight w:val="0"/>
      <w:marTop w:val="0"/>
      <w:marBottom w:val="0"/>
      <w:divBdr>
        <w:top w:val="none" w:sz="0" w:space="0" w:color="auto"/>
        <w:left w:val="none" w:sz="0" w:space="0" w:color="auto"/>
        <w:bottom w:val="none" w:sz="0" w:space="0" w:color="auto"/>
        <w:right w:val="none" w:sz="0" w:space="0" w:color="auto"/>
      </w:divBdr>
    </w:div>
    <w:div w:id="1550992683">
      <w:bodyDiv w:val="1"/>
      <w:marLeft w:val="0"/>
      <w:marRight w:val="0"/>
      <w:marTop w:val="0"/>
      <w:marBottom w:val="0"/>
      <w:divBdr>
        <w:top w:val="none" w:sz="0" w:space="0" w:color="auto"/>
        <w:left w:val="none" w:sz="0" w:space="0" w:color="auto"/>
        <w:bottom w:val="none" w:sz="0" w:space="0" w:color="auto"/>
        <w:right w:val="none" w:sz="0" w:space="0" w:color="auto"/>
      </w:divBdr>
    </w:div>
    <w:div w:id="1586843084">
      <w:bodyDiv w:val="1"/>
      <w:marLeft w:val="0"/>
      <w:marRight w:val="0"/>
      <w:marTop w:val="0"/>
      <w:marBottom w:val="0"/>
      <w:divBdr>
        <w:top w:val="none" w:sz="0" w:space="0" w:color="auto"/>
        <w:left w:val="none" w:sz="0" w:space="0" w:color="auto"/>
        <w:bottom w:val="none" w:sz="0" w:space="0" w:color="auto"/>
        <w:right w:val="none" w:sz="0" w:space="0" w:color="auto"/>
      </w:divBdr>
    </w:div>
    <w:div w:id="1842162619">
      <w:bodyDiv w:val="1"/>
      <w:marLeft w:val="0"/>
      <w:marRight w:val="0"/>
      <w:marTop w:val="0"/>
      <w:marBottom w:val="0"/>
      <w:divBdr>
        <w:top w:val="none" w:sz="0" w:space="0" w:color="auto"/>
        <w:left w:val="none" w:sz="0" w:space="0" w:color="auto"/>
        <w:bottom w:val="none" w:sz="0" w:space="0" w:color="auto"/>
        <w:right w:val="none" w:sz="0" w:space="0" w:color="auto"/>
      </w:divBdr>
    </w:div>
    <w:div w:id="1873765193">
      <w:bodyDiv w:val="1"/>
      <w:marLeft w:val="0"/>
      <w:marRight w:val="0"/>
      <w:marTop w:val="0"/>
      <w:marBottom w:val="0"/>
      <w:divBdr>
        <w:top w:val="none" w:sz="0" w:space="0" w:color="auto"/>
        <w:left w:val="none" w:sz="0" w:space="0" w:color="auto"/>
        <w:bottom w:val="none" w:sz="0" w:space="0" w:color="auto"/>
        <w:right w:val="none" w:sz="0" w:space="0" w:color="auto"/>
      </w:divBdr>
    </w:div>
    <w:div w:id="1907644718">
      <w:bodyDiv w:val="1"/>
      <w:marLeft w:val="0"/>
      <w:marRight w:val="0"/>
      <w:marTop w:val="0"/>
      <w:marBottom w:val="0"/>
      <w:divBdr>
        <w:top w:val="none" w:sz="0" w:space="0" w:color="auto"/>
        <w:left w:val="none" w:sz="0" w:space="0" w:color="auto"/>
        <w:bottom w:val="none" w:sz="0" w:space="0" w:color="auto"/>
        <w:right w:val="none" w:sz="0" w:space="0" w:color="auto"/>
      </w:divBdr>
    </w:div>
    <w:div w:id="1927571524">
      <w:bodyDiv w:val="1"/>
      <w:marLeft w:val="0"/>
      <w:marRight w:val="0"/>
      <w:marTop w:val="0"/>
      <w:marBottom w:val="0"/>
      <w:divBdr>
        <w:top w:val="none" w:sz="0" w:space="0" w:color="auto"/>
        <w:left w:val="none" w:sz="0" w:space="0" w:color="auto"/>
        <w:bottom w:val="none" w:sz="0" w:space="0" w:color="auto"/>
        <w:right w:val="none" w:sz="0" w:space="0" w:color="auto"/>
      </w:divBdr>
    </w:div>
    <w:div w:id="1975408428">
      <w:bodyDiv w:val="1"/>
      <w:marLeft w:val="0"/>
      <w:marRight w:val="0"/>
      <w:marTop w:val="0"/>
      <w:marBottom w:val="0"/>
      <w:divBdr>
        <w:top w:val="none" w:sz="0" w:space="0" w:color="auto"/>
        <w:left w:val="none" w:sz="0" w:space="0" w:color="auto"/>
        <w:bottom w:val="none" w:sz="0" w:space="0" w:color="auto"/>
        <w:right w:val="none" w:sz="0" w:space="0" w:color="auto"/>
      </w:divBdr>
    </w:div>
    <w:div w:id="1993634824">
      <w:bodyDiv w:val="1"/>
      <w:marLeft w:val="0"/>
      <w:marRight w:val="0"/>
      <w:marTop w:val="0"/>
      <w:marBottom w:val="0"/>
      <w:divBdr>
        <w:top w:val="none" w:sz="0" w:space="0" w:color="auto"/>
        <w:left w:val="none" w:sz="0" w:space="0" w:color="auto"/>
        <w:bottom w:val="none" w:sz="0" w:space="0" w:color="auto"/>
        <w:right w:val="none" w:sz="0" w:space="0" w:color="auto"/>
      </w:divBdr>
      <w:divsChild>
        <w:div w:id="2004964444">
          <w:marLeft w:val="0"/>
          <w:marRight w:val="0"/>
          <w:marTop w:val="0"/>
          <w:marBottom w:val="0"/>
          <w:divBdr>
            <w:top w:val="none" w:sz="0" w:space="0" w:color="auto"/>
            <w:left w:val="none" w:sz="0" w:space="0" w:color="auto"/>
            <w:bottom w:val="none" w:sz="0" w:space="0" w:color="auto"/>
            <w:right w:val="none" w:sz="0" w:space="0" w:color="auto"/>
          </w:divBdr>
          <w:divsChild>
            <w:div w:id="363603483">
              <w:marLeft w:val="0"/>
              <w:marRight w:val="0"/>
              <w:marTop w:val="0"/>
              <w:marBottom w:val="0"/>
              <w:divBdr>
                <w:top w:val="none" w:sz="0" w:space="0" w:color="auto"/>
                <w:left w:val="none" w:sz="0" w:space="0" w:color="auto"/>
                <w:bottom w:val="none" w:sz="0" w:space="0" w:color="auto"/>
                <w:right w:val="none" w:sz="0" w:space="0" w:color="auto"/>
              </w:divBdr>
              <w:divsChild>
                <w:div w:id="9128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420320">
      <w:bodyDiv w:val="1"/>
      <w:marLeft w:val="0"/>
      <w:marRight w:val="0"/>
      <w:marTop w:val="0"/>
      <w:marBottom w:val="0"/>
      <w:divBdr>
        <w:top w:val="none" w:sz="0" w:space="0" w:color="auto"/>
        <w:left w:val="none" w:sz="0" w:space="0" w:color="auto"/>
        <w:bottom w:val="none" w:sz="0" w:space="0" w:color="auto"/>
        <w:right w:val="none" w:sz="0" w:space="0" w:color="auto"/>
      </w:divBdr>
      <w:divsChild>
        <w:div w:id="407308906">
          <w:marLeft w:val="0"/>
          <w:marRight w:val="0"/>
          <w:marTop w:val="0"/>
          <w:marBottom w:val="0"/>
          <w:divBdr>
            <w:top w:val="none" w:sz="0" w:space="0" w:color="auto"/>
            <w:left w:val="none" w:sz="0" w:space="0" w:color="auto"/>
            <w:bottom w:val="none" w:sz="0" w:space="0" w:color="auto"/>
            <w:right w:val="none" w:sz="0" w:space="0" w:color="auto"/>
          </w:divBdr>
          <w:divsChild>
            <w:div w:id="573442159">
              <w:marLeft w:val="0"/>
              <w:marRight w:val="0"/>
              <w:marTop w:val="0"/>
              <w:marBottom w:val="0"/>
              <w:divBdr>
                <w:top w:val="none" w:sz="0" w:space="0" w:color="auto"/>
                <w:left w:val="none" w:sz="0" w:space="0" w:color="auto"/>
                <w:bottom w:val="none" w:sz="0" w:space="0" w:color="auto"/>
                <w:right w:val="none" w:sz="0" w:space="0" w:color="auto"/>
              </w:divBdr>
              <w:divsChild>
                <w:div w:id="12841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 xsi:nil="true"/>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UNDP Risk Appetite Statement</UNDP_POPP_TITLE_EN>
    <TaxCatchAll xmlns="8264c5cc-ec60-4b56-8111-ce635d3d139a">
      <Value>356</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Lock xmlns="e560140e-7b2f-4392-90df-e7567e3021a3" xsi:nil="true"/>
    <DLCPolicyLabelClientValue xmlns="e560140e-7b2f-4392-90df-e7567e3021a3">Effective Date: {Effective Date}                                                Version #: {POPPRefItemVersion}</DLCPolicyLabelClientValue>
    <UNDP_POPP_BUSINESSUNITID_HIDDEN xmlns="8264c5cc-ec60-4b56-8111-ce635d3d139a" xsi:nil="true"/>
    <_dlc_DocId xmlns="8264c5cc-ec60-4b56-8111-ce635d3d139a">POPP-11-3634</_dlc_DocId>
    <_dlc_DocIdUrl xmlns="8264c5cc-ec60-4b56-8111-ce635d3d139a">
      <Url>https://popp.undp.org/_layouts/15/DocIdRedir.aspx?ID=POPP-11-3634</Url>
      <Description>POPP-11-3634</Description>
    </_dlc_DocIdUrl>
    <DLCPolicyLabelValue xmlns="e560140e-7b2f-4392-90df-e7567e3021a3">Effective Date: {Effective Date}                                                Version #: {POPPRefItemVersion}</DLCPolicyLabelValue>
  </documentManagement>
</p:properti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08E81-2D1F-4405-86E6-871E066DBF6C}">
  <ds:schemaRefs>
    <ds:schemaRef ds:uri="http://purl.org/dc/terms/"/>
    <ds:schemaRef ds:uri="8264c5cc-ec60-4b56-8111-ce635d3d139a"/>
    <ds:schemaRef ds:uri="e560140e-7b2f-4392-90df-e7567e3021a3"/>
    <ds:schemaRef ds:uri="http://schemas.openxmlformats.org/package/2006/metadata/core-properties"/>
    <ds:schemaRef ds:uri="http://schemas.microsoft.com/office/2006/metadata/properties"/>
    <ds:schemaRef ds:uri="http://purl.org/dc/elements/1.1/"/>
    <ds:schemaRef ds:uri="http://www.w3.org/XML/1998/namespace"/>
    <ds:schemaRef ds:uri="http://purl.org/dc/dcmitype/"/>
    <ds:schemaRef ds:uri="http://schemas.microsoft.com/sharepoint/v3"/>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2E2C5130-3B4F-480B-9A68-C5FA53D5F6D0}">
  <ds:schemaRefs>
    <ds:schemaRef ds:uri="office.server.policy"/>
  </ds:schemaRefs>
</ds:datastoreItem>
</file>

<file path=customXml/itemProps3.xml><?xml version="1.0" encoding="utf-8"?>
<ds:datastoreItem xmlns:ds="http://schemas.openxmlformats.org/officeDocument/2006/customXml" ds:itemID="{BFAF7800-A4C5-49DE-BB0E-62CF6DCDAC44}">
  <ds:schemaRefs>
    <ds:schemaRef ds:uri="http://schemas.microsoft.com/sharepoint/v3/contenttype/forms"/>
  </ds:schemaRefs>
</ds:datastoreItem>
</file>

<file path=customXml/itemProps4.xml><?xml version="1.0" encoding="utf-8"?>
<ds:datastoreItem xmlns:ds="http://schemas.openxmlformats.org/officeDocument/2006/customXml" ds:itemID="{228E85DD-331C-4E13-98EA-4E301C21EF91}">
  <ds:schemaRefs>
    <ds:schemaRef ds:uri="http://schemas.microsoft.com/sharepoint/events"/>
  </ds:schemaRefs>
</ds:datastoreItem>
</file>

<file path=customXml/itemProps5.xml><?xml version="1.0" encoding="utf-8"?>
<ds:datastoreItem xmlns:ds="http://schemas.openxmlformats.org/officeDocument/2006/customXml" ds:itemID="{A6F783B5-D5E8-4726-AC1B-3BC4E07362D0}">
  <ds:schemaRefs>
    <ds:schemaRef ds:uri="http://schemas.openxmlformats.org/officeDocument/2006/bibliography"/>
  </ds:schemaRefs>
</ds:datastoreItem>
</file>

<file path=customXml/itemProps6.xml><?xml version="1.0" encoding="utf-8"?>
<ds:datastoreItem xmlns:ds="http://schemas.openxmlformats.org/officeDocument/2006/customXml" ds:itemID="{15BFE232-0FC2-4C00-944B-C34B9CFFC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2834</Words>
  <Characters>16154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Nesreen Al-Hebshi</dc:creator>
  <cp:keywords/>
  <dc:description/>
  <cp:lastModifiedBy>Emiliana Zhivkova</cp:lastModifiedBy>
  <cp:revision>2</cp:revision>
  <dcterms:created xsi:type="dcterms:W3CDTF">2024-02-15T19:08:00Z</dcterms:created>
  <dcterms:modified xsi:type="dcterms:W3CDTF">2024-02-15T19:08:00Z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Location">
    <vt:lpwstr>Public</vt:lpwstr>
  </property>
  <property fmtid="{D5CDD505-2E9C-101B-9397-08002B2CF9AE}" pid="4" name="UNDP_POPP_BUSINESSUNIT">
    <vt:lpwstr>356;#Accountability|5b42d95a-f181-4192-a566-012e3d461a46</vt:lpwstr>
  </property>
  <property fmtid="{D5CDD505-2E9C-101B-9397-08002B2CF9AE}" pid="5" name="POPPBusinessProcess">
    <vt:lpwstr/>
  </property>
  <property fmtid="{D5CDD505-2E9C-101B-9397-08002B2CF9AE}" pid="6" name="_dlc_DocIdItemGuid">
    <vt:lpwstr>f0b1aab2-8041-4837-a028-a5242e7a7e5d</vt:lpwstr>
  </property>
</Properties>
</file>