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432E" w14:textId="77777777" w:rsidR="0035520B" w:rsidRPr="003A5087" w:rsidRDefault="0035520B" w:rsidP="0035520B">
      <w:pPr>
        <w:tabs>
          <w:tab w:val="left" w:pos="8190"/>
        </w:tabs>
        <w:rPr>
          <w:b/>
          <w:bCs/>
          <w:lang w:val="pt-BR"/>
        </w:rPr>
      </w:pPr>
      <w:r w:rsidRPr="003A5087">
        <w:rPr>
          <w:b/>
          <w:bCs/>
          <w:lang w:val="pt-BR"/>
        </w:rPr>
        <w:t xml:space="preserve">Términos de Referencia de Comité de Riesgos </w:t>
      </w:r>
    </w:p>
    <w:p w14:paraId="1D6A0272" w14:textId="77777777" w:rsidR="0035520B" w:rsidRPr="003A5087" w:rsidRDefault="0035520B" w:rsidP="0035520B">
      <w:pPr>
        <w:rPr>
          <w:rFonts w:cstheme="minorHAnsi"/>
          <w:lang w:val="pt-BR"/>
        </w:rPr>
      </w:pPr>
    </w:p>
    <w:p w14:paraId="06EC94E0" w14:textId="77777777" w:rsidR="0035520B" w:rsidRPr="003A5087" w:rsidRDefault="0035520B" w:rsidP="0035520B">
      <w:pPr>
        <w:pStyle w:val="Heading3"/>
        <w:rPr>
          <w:rFonts w:asciiTheme="minorHAnsi" w:hAnsiTheme="minorHAnsi" w:cstheme="minorHAnsi"/>
          <w:color w:val="2F5496" w:themeColor="accent1" w:themeShade="BF"/>
          <w:lang w:val="pt-BR"/>
        </w:rPr>
      </w:pPr>
      <w:bookmarkStart w:id="0" w:name="_Toc210826066"/>
      <w:r w:rsidRPr="003A5087">
        <w:rPr>
          <w:rFonts w:asciiTheme="minorHAnsi" w:eastAsiaTheme="minorEastAsia" w:hAnsiTheme="minorHAnsi" w:cstheme="minorHAnsi"/>
          <w:lang w:val="pt-BR"/>
        </w:rPr>
        <w:t>Antecedentes</w:t>
      </w:r>
      <w:bookmarkEnd w:id="0"/>
      <w:r w:rsidRPr="003A5087">
        <w:rPr>
          <w:rFonts w:asciiTheme="minorHAnsi" w:eastAsiaTheme="minorEastAsia" w:hAnsiTheme="minorHAnsi" w:cstheme="minorHAnsi"/>
          <w:lang w:val="pt-BR"/>
        </w:rPr>
        <w:t xml:space="preserve"> </w:t>
      </w:r>
      <w:r w:rsidRPr="003A5087">
        <w:rPr>
          <w:rFonts w:asciiTheme="minorHAnsi" w:hAnsiTheme="minorHAnsi" w:cstheme="minorHAnsi"/>
          <w:color w:val="2F5496" w:themeColor="accent1" w:themeShade="BF"/>
          <w:lang w:val="pt-BR"/>
        </w:rPr>
        <w:t xml:space="preserve"> </w:t>
      </w:r>
    </w:p>
    <w:p w14:paraId="3D181776" w14:textId="77777777" w:rsidR="0035520B" w:rsidRPr="003A5087" w:rsidRDefault="0035520B" w:rsidP="0035520B">
      <w:pPr>
        <w:jc w:val="both"/>
        <w:rPr>
          <w:rFonts w:cstheme="minorHAnsi"/>
          <w:sz w:val="22"/>
          <w:szCs w:val="22"/>
          <w:lang w:val="pt-BR"/>
        </w:rPr>
      </w:pPr>
      <w:r w:rsidRPr="003A5087">
        <w:rPr>
          <w:rFonts w:cstheme="minorHAnsi"/>
          <w:sz w:val="22"/>
          <w:szCs w:val="22"/>
          <w:lang w:val="pt-BR"/>
        </w:rPr>
        <w:t>La gestión del riesgo institucional (ERM), incluido el aspecto estratégico de la gestión de seguridad, gestión de crisis y gestión de la continuidad de las actividades</w:t>
      </w:r>
      <w:r w:rsidRPr="003A5087" w:rsidDel="00215BCA">
        <w:rPr>
          <w:rFonts w:cstheme="minorHAnsi"/>
          <w:sz w:val="22"/>
          <w:szCs w:val="22"/>
          <w:lang w:val="pt-BR"/>
        </w:rPr>
        <w:t xml:space="preserve"> </w:t>
      </w:r>
      <w:r w:rsidRPr="003A5087">
        <w:rPr>
          <w:rFonts w:cstheme="minorHAnsi"/>
          <w:sz w:val="22"/>
          <w:szCs w:val="22"/>
          <w:lang w:val="pt-BR"/>
        </w:rPr>
        <w:t xml:space="preserve">son partes integrantes del riesgo y disciplinas de una gestión eficaz para obtener resultados en materia de desarrollo. A medida que el PNUD avanza hacia programas que implican un mayor nivel de asesoramiento político y un cambio transformador en todo el sistema, la consecución de resultados programáticos dependerá cada vez más de factores que escapan total o parcialmente a nuestro control. Esto incluye riesgos que debemos sortear y gestionar en cooperación con los asociados y otras partes interesadas. Aprovechar las oportunidades prometedoras exige a menudo que la organización asuma riesgos calculados. Ser ágiles, receptivos y proactivos es fundamental para lograr resultados. </w:t>
      </w:r>
    </w:p>
    <w:p w14:paraId="3FA5053A" w14:textId="77777777" w:rsidR="00BF06EC" w:rsidRPr="003A5087" w:rsidRDefault="00BF06EC" w:rsidP="0035520B">
      <w:pPr>
        <w:jc w:val="both"/>
        <w:rPr>
          <w:rFonts w:cstheme="minorHAnsi"/>
          <w:sz w:val="22"/>
          <w:szCs w:val="22"/>
          <w:lang w:val="pt-BR"/>
        </w:rPr>
      </w:pPr>
    </w:p>
    <w:p w14:paraId="6048EBA6" w14:textId="77777777" w:rsidR="0035520B" w:rsidRPr="00F44EB7" w:rsidRDefault="0035520B" w:rsidP="0035520B">
      <w:pPr>
        <w:jc w:val="both"/>
        <w:rPr>
          <w:rFonts w:cstheme="minorHAnsi"/>
          <w:sz w:val="22"/>
          <w:szCs w:val="22"/>
          <w:lang w:val="pt-BR"/>
        </w:rPr>
      </w:pPr>
      <w:r w:rsidRPr="00F44EB7">
        <w:rPr>
          <w:rFonts w:cstheme="minorHAnsi"/>
          <w:sz w:val="22"/>
          <w:szCs w:val="22"/>
          <w:lang w:val="pt-BR"/>
        </w:rPr>
        <w:t xml:space="preserve">La Política de ERM del PNUD guiará la conducta y la aplicación de la ERM y define las funciones y responsabilidades. A nivel institucional, el Comité de Riesgos es un grupo asesor presidido por el Administrador Asociado para supervisar la aplicación general y el uso del marco de gestión de riesgos en el PNUD. El Comité de Riesgos es un subcomité del Grupo de Expertos que provee asesoramiento/revisión sobre temas a requerimiento del Administrador y  reporta al GE según sea necesario. </w:t>
      </w:r>
    </w:p>
    <w:p w14:paraId="68851AB7" w14:textId="77777777" w:rsidR="0035520B" w:rsidRPr="00F44EB7" w:rsidRDefault="0035520B" w:rsidP="0035520B">
      <w:pPr>
        <w:rPr>
          <w:rFonts w:cstheme="minorHAnsi"/>
          <w:sz w:val="22"/>
          <w:szCs w:val="22"/>
          <w:lang w:val="pt-BR"/>
        </w:rPr>
      </w:pPr>
    </w:p>
    <w:p w14:paraId="555ECF65" w14:textId="77777777" w:rsidR="0035520B" w:rsidRPr="003A5087" w:rsidRDefault="0035520B" w:rsidP="0035520B">
      <w:pPr>
        <w:pStyle w:val="Heading3"/>
        <w:rPr>
          <w:rFonts w:asciiTheme="minorHAnsi" w:eastAsiaTheme="minorEastAsia" w:hAnsiTheme="minorHAnsi" w:cstheme="minorHAnsi"/>
          <w:lang w:val="pt-BR"/>
        </w:rPr>
      </w:pPr>
      <w:bookmarkStart w:id="1" w:name="_Toc124522934"/>
      <w:bookmarkStart w:id="2" w:name="_Toc210826067"/>
      <w:r w:rsidRPr="003A5087">
        <w:rPr>
          <w:rFonts w:asciiTheme="minorHAnsi" w:eastAsiaTheme="minorEastAsia" w:hAnsiTheme="minorHAnsi" w:cstheme="minorHAnsi"/>
          <w:lang w:val="pt-BR"/>
        </w:rPr>
        <w:t xml:space="preserve">Deberes y </w:t>
      </w:r>
      <w:bookmarkEnd w:id="1"/>
      <w:r w:rsidRPr="003A5087">
        <w:rPr>
          <w:rFonts w:asciiTheme="minorHAnsi" w:eastAsiaTheme="minorEastAsia" w:hAnsiTheme="minorHAnsi" w:cstheme="minorHAnsi"/>
          <w:lang w:val="pt-BR"/>
        </w:rPr>
        <w:t>Responsabilidades</w:t>
      </w:r>
      <w:bookmarkEnd w:id="2"/>
      <w:r w:rsidRPr="003A5087">
        <w:rPr>
          <w:rFonts w:asciiTheme="minorHAnsi" w:eastAsiaTheme="minorEastAsia" w:hAnsiTheme="minorHAnsi" w:cstheme="minorHAnsi"/>
          <w:lang w:val="pt-BR"/>
        </w:rPr>
        <w:t xml:space="preserve"> </w:t>
      </w:r>
    </w:p>
    <w:p w14:paraId="31474BA1" w14:textId="77777777" w:rsidR="0035520B" w:rsidRPr="003A5087" w:rsidRDefault="0035520B" w:rsidP="0035520B">
      <w:pPr>
        <w:pStyle w:val="Default"/>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En consonancia con las políticas pertinentes, el Comité de Riesgos es responsable de: </w:t>
      </w:r>
    </w:p>
    <w:p w14:paraId="172D3595" w14:textId="77777777" w:rsidR="0035520B" w:rsidRPr="003A5087" w:rsidRDefault="0035520B" w:rsidP="0035520B">
      <w:pPr>
        <w:pStyle w:val="Default"/>
        <w:numPr>
          <w:ilvl w:val="0"/>
          <w:numId w:val="1"/>
        </w:numPr>
        <w:spacing w:after="120" w:line="276" w:lineRule="auto"/>
        <w:ind w:left="360"/>
        <w:jc w:val="both"/>
        <w:rPr>
          <w:rFonts w:asciiTheme="minorHAnsi" w:hAnsiTheme="minorHAnsi" w:cstheme="minorHAnsi"/>
          <w:b/>
          <w:bCs/>
          <w:i/>
          <w:iCs/>
          <w:color w:val="auto"/>
          <w:sz w:val="22"/>
          <w:szCs w:val="22"/>
          <w:lang w:val="pt-BR"/>
        </w:rPr>
      </w:pPr>
      <w:r w:rsidRPr="003A5087">
        <w:rPr>
          <w:rFonts w:asciiTheme="minorHAnsi" w:hAnsiTheme="minorHAnsi" w:cstheme="minorHAnsi"/>
          <w:b/>
          <w:bCs/>
          <w:i/>
          <w:iCs/>
          <w:color w:val="auto"/>
          <w:sz w:val="22"/>
          <w:szCs w:val="22"/>
          <w:lang w:val="pt-BR"/>
        </w:rPr>
        <w:t>Revisar y analizar los riesgos corporativos</w:t>
      </w:r>
    </w:p>
    <w:p w14:paraId="3C6D63A8" w14:textId="0BF7D9BF" w:rsidR="0035520B" w:rsidRPr="00F44EB7" w:rsidRDefault="0035520B" w:rsidP="0035520B">
      <w:pPr>
        <w:pStyle w:val="Default"/>
        <w:spacing w:after="120" w:line="276" w:lineRule="auto"/>
        <w:jc w:val="both"/>
        <w:rPr>
          <w:rFonts w:asciiTheme="minorHAnsi" w:hAnsiTheme="minorHAnsi" w:cstheme="minorHAnsi"/>
          <w:color w:val="auto"/>
          <w:sz w:val="22"/>
          <w:szCs w:val="22"/>
          <w:lang w:val="pt-BR"/>
        </w:rPr>
      </w:pPr>
      <w:r w:rsidRPr="00F44EB7">
        <w:rPr>
          <w:rFonts w:asciiTheme="minorHAnsi" w:hAnsiTheme="minorHAnsi" w:cstheme="minorHAnsi"/>
          <w:color w:val="auto"/>
          <w:sz w:val="22"/>
          <w:szCs w:val="22"/>
          <w:lang w:val="pt-BR"/>
        </w:rPr>
        <w:t xml:space="preserve">En virtud de esta responsabilidad, el Comité identificará, examinará y deliberará sobre riesgos corporativos y sobre las estrategias de gestión de riesgos y, en caso necesario, propondrá modificaciones o revisará las estrategias. El Comité se centrará en los riesgos corporativos estratégicos que sean identificados o escalados por el Comité, dejando la discusión de los riesgos operativos en otros foros respectivos. (por ejemplo, el OPG, , el ET, el Consejo de Crisis).  </w:t>
      </w:r>
    </w:p>
    <w:p w14:paraId="4B94E54B" w14:textId="77777777" w:rsidR="0035520B" w:rsidRPr="003A5087" w:rsidRDefault="0035520B" w:rsidP="0035520B">
      <w:pPr>
        <w:pStyle w:val="Default"/>
        <w:numPr>
          <w:ilvl w:val="0"/>
          <w:numId w:val="2"/>
        </w:numPr>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Riesgos escalados desde otros mecanismos corporativos;</w:t>
      </w:r>
    </w:p>
    <w:p w14:paraId="2A2D501B" w14:textId="77777777" w:rsidR="0035520B" w:rsidRPr="003A5087" w:rsidRDefault="0035520B" w:rsidP="0035520B">
      <w:pPr>
        <w:pStyle w:val="Default"/>
        <w:spacing w:after="120" w:line="276" w:lineRule="auto"/>
        <w:ind w:left="36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El presidente y los miembros del Comité pueden poner sobre la mesa los riesgos identificados que deban elevarse al Comité a través de los distintos mecanismos corporativos, por ejemplo:</w:t>
      </w:r>
    </w:p>
    <w:p w14:paraId="2766D7D4" w14:textId="77777777" w:rsidR="0035520B" w:rsidRPr="003A5087" w:rsidRDefault="0035520B" w:rsidP="0035520B">
      <w:pPr>
        <w:pStyle w:val="Default"/>
        <w:numPr>
          <w:ilvl w:val="0"/>
          <w:numId w:val="3"/>
        </w:numPr>
        <w:spacing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El Grupo de Desempeño Organizativo (OPG por sus siglas en inglés), para los riesgos institucionales/operacionales altos relacionados con el desempeño organizativo, incluidas las principales prioridades de los riesgos de auditoría;</w:t>
      </w:r>
    </w:p>
    <w:p w14:paraId="2F72A673" w14:textId="77777777" w:rsidR="0035520B" w:rsidRPr="003A5087" w:rsidRDefault="0035520B" w:rsidP="0035520B">
      <w:pPr>
        <w:pStyle w:val="Default"/>
        <w:numPr>
          <w:ilvl w:val="0"/>
          <w:numId w:val="3"/>
        </w:numPr>
        <w:spacing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La </w:t>
      </w:r>
      <w:r w:rsidRPr="003A5087">
        <w:rPr>
          <w:rFonts w:asciiTheme="minorHAnsi" w:hAnsiTheme="minorHAnsi" w:cstheme="minorHAnsi"/>
          <w:i/>
          <w:iCs/>
          <w:color w:val="auto"/>
          <w:sz w:val="22"/>
          <w:szCs w:val="22"/>
          <w:lang w:val="pt-BR"/>
        </w:rPr>
        <w:t>Junta de Crisis</w:t>
      </w:r>
      <w:r w:rsidRPr="003A5087">
        <w:rPr>
          <w:rFonts w:asciiTheme="minorHAnsi" w:hAnsiTheme="minorHAnsi" w:cstheme="minorHAnsi"/>
          <w:color w:val="auto"/>
          <w:sz w:val="22"/>
          <w:szCs w:val="22"/>
          <w:lang w:val="pt-BR"/>
        </w:rPr>
        <w:t>, para los riesgos altos relacionados con un programa nacional concreto en crisis;</w:t>
      </w:r>
    </w:p>
    <w:p w14:paraId="2A470725" w14:textId="77777777" w:rsidR="0035520B" w:rsidRPr="003A5087" w:rsidRDefault="0035520B" w:rsidP="004D2FE3">
      <w:pPr>
        <w:pStyle w:val="Default"/>
        <w:numPr>
          <w:ilvl w:val="0"/>
          <w:numId w:val="3"/>
        </w:numPr>
        <w:spacing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Comité de Diligencia Debida del Sector Privado, para las asociaciones de alto riesgo con el sector privado; y Otros mecanismos corporativos, según proceda.</w:t>
      </w:r>
    </w:p>
    <w:p w14:paraId="01E9D05D" w14:textId="77777777" w:rsidR="0035520B" w:rsidRPr="003A5087" w:rsidRDefault="0035520B" w:rsidP="0035520B">
      <w:pPr>
        <w:pStyle w:val="Default"/>
        <w:spacing w:line="276" w:lineRule="auto"/>
        <w:ind w:left="360"/>
        <w:jc w:val="both"/>
        <w:rPr>
          <w:rFonts w:asciiTheme="minorHAnsi" w:hAnsiTheme="minorHAnsi" w:cstheme="minorHAnsi"/>
          <w:color w:val="auto"/>
          <w:sz w:val="22"/>
          <w:szCs w:val="22"/>
          <w:lang w:val="pt-BR"/>
        </w:rPr>
      </w:pPr>
    </w:p>
    <w:p w14:paraId="01EB42ED" w14:textId="77777777" w:rsidR="0035520B" w:rsidRPr="003A5087" w:rsidRDefault="0035520B" w:rsidP="0035520B">
      <w:pPr>
        <w:pStyle w:val="Default"/>
        <w:numPr>
          <w:ilvl w:val="0"/>
          <w:numId w:val="2"/>
        </w:numPr>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Análisis del Registro de Riesgos agregado; </w:t>
      </w:r>
    </w:p>
    <w:p w14:paraId="397327FC" w14:textId="77777777" w:rsidR="0035520B" w:rsidRPr="003A5087" w:rsidRDefault="0035520B" w:rsidP="0035520B">
      <w:pPr>
        <w:pStyle w:val="Default"/>
        <w:spacing w:after="120" w:line="276" w:lineRule="auto"/>
        <w:jc w:val="both"/>
        <w:rPr>
          <w:rFonts w:asciiTheme="minorHAnsi" w:hAnsiTheme="minorHAnsi" w:cstheme="minorHAnsi"/>
          <w:color w:val="auto"/>
          <w:sz w:val="22"/>
          <w:szCs w:val="22"/>
          <w:lang w:val="pt-BR"/>
        </w:rPr>
      </w:pPr>
      <w:r w:rsidRPr="00F44EB7">
        <w:rPr>
          <w:rFonts w:asciiTheme="minorHAnsi" w:hAnsiTheme="minorHAnsi" w:cstheme="minorHAnsi"/>
          <w:color w:val="auto"/>
          <w:sz w:val="22"/>
          <w:szCs w:val="22"/>
          <w:lang w:val="pt-BR"/>
        </w:rPr>
        <w:t xml:space="preserve">Cada  año, debe presentarse al Comité un análisis los riesgos de los buros consignados en los registros de riesgos agregados, a fin de detectar posibles riesgos emergentes y/o riesgos de importancia cada vez mayor que puedan requerir un tratamiento a nivel corporativo. </w:t>
      </w:r>
      <w:r w:rsidRPr="003A5087">
        <w:rPr>
          <w:rFonts w:asciiTheme="minorHAnsi" w:hAnsiTheme="minorHAnsi" w:cstheme="minorHAnsi"/>
          <w:color w:val="auto"/>
          <w:sz w:val="22"/>
          <w:szCs w:val="22"/>
          <w:lang w:val="pt-BR"/>
        </w:rPr>
        <w:t xml:space="preserve">Este análisis, cuando proceda, podría incluir la comparación entre los riesgos registrados en el sistema y los riesgos materializados en el periodo de referencia. </w:t>
      </w:r>
    </w:p>
    <w:p w14:paraId="11D1CDA1" w14:textId="77777777" w:rsidR="0035520B" w:rsidRPr="000F0D21" w:rsidRDefault="0035520B" w:rsidP="0035520B">
      <w:pPr>
        <w:pStyle w:val="Default"/>
        <w:numPr>
          <w:ilvl w:val="0"/>
          <w:numId w:val="2"/>
        </w:numPr>
        <w:spacing w:after="120" w:line="276" w:lineRule="auto"/>
        <w:jc w:val="both"/>
        <w:rPr>
          <w:rFonts w:asciiTheme="minorHAnsi" w:hAnsiTheme="minorHAnsi" w:cstheme="minorHAnsi"/>
          <w:color w:val="auto"/>
          <w:sz w:val="22"/>
          <w:szCs w:val="22"/>
          <w:lang w:val="en-GB"/>
        </w:rPr>
      </w:pPr>
      <w:proofErr w:type="spellStart"/>
      <w:r w:rsidRPr="000F0D21">
        <w:rPr>
          <w:rFonts w:asciiTheme="minorHAnsi" w:hAnsiTheme="minorHAnsi" w:cstheme="minorHAnsi"/>
          <w:color w:val="auto"/>
          <w:sz w:val="22"/>
          <w:szCs w:val="22"/>
        </w:rPr>
        <w:lastRenderedPageBreak/>
        <w:t>Riesgos</w:t>
      </w:r>
      <w:proofErr w:type="spellEnd"/>
      <w:r w:rsidRPr="000F0D21">
        <w:rPr>
          <w:rFonts w:asciiTheme="minorHAnsi" w:hAnsiTheme="minorHAnsi" w:cstheme="minorHAnsi"/>
          <w:color w:val="auto"/>
          <w:sz w:val="22"/>
          <w:szCs w:val="22"/>
        </w:rPr>
        <w:t xml:space="preserve"> </w:t>
      </w:r>
      <w:proofErr w:type="spellStart"/>
      <w:r w:rsidRPr="000F0D21">
        <w:rPr>
          <w:rFonts w:asciiTheme="minorHAnsi" w:hAnsiTheme="minorHAnsi" w:cstheme="minorHAnsi"/>
          <w:color w:val="auto"/>
          <w:sz w:val="22"/>
          <w:szCs w:val="22"/>
        </w:rPr>
        <w:t>identificados</w:t>
      </w:r>
      <w:proofErr w:type="spellEnd"/>
      <w:r w:rsidRPr="000F0D21">
        <w:rPr>
          <w:rFonts w:asciiTheme="minorHAnsi" w:hAnsiTheme="minorHAnsi" w:cstheme="minorHAnsi"/>
          <w:color w:val="auto"/>
          <w:sz w:val="22"/>
          <w:szCs w:val="22"/>
        </w:rPr>
        <w:t xml:space="preserve"> </w:t>
      </w:r>
      <w:proofErr w:type="spellStart"/>
      <w:r w:rsidRPr="000F0D21">
        <w:rPr>
          <w:rFonts w:asciiTheme="minorHAnsi" w:hAnsiTheme="minorHAnsi" w:cstheme="minorHAnsi"/>
          <w:color w:val="auto"/>
          <w:sz w:val="22"/>
          <w:szCs w:val="22"/>
        </w:rPr>
        <w:t>corporativamente</w:t>
      </w:r>
      <w:proofErr w:type="spellEnd"/>
    </w:p>
    <w:p w14:paraId="38CA5894" w14:textId="77777777" w:rsidR="0035520B" w:rsidRPr="003A5087" w:rsidRDefault="0035520B" w:rsidP="0035520B">
      <w:pPr>
        <w:pStyle w:val="Default"/>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Los miembros del Comité de Riesgos, junto con los expertos técnicos pertinentes, presentarán de forma proactiva pruebas sobre los riesgos corporativos al Comité de Riesgos con vistas a permitir la identificación de los riesgos críticos de importancia estratégica.</w:t>
      </w:r>
    </w:p>
    <w:p w14:paraId="45B4FD5B" w14:textId="77777777" w:rsidR="0035520B" w:rsidRPr="003A5087" w:rsidRDefault="0035520B" w:rsidP="0035520B">
      <w:pPr>
        <w:pStyle w:val="Default"/>
        <w:numPr>
          <w:ilvl w:val="0"/>
          <w:numId w:val="2"/>
        </w:numPr>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Riesgos escalados desde las oficinas de país y las unidades</w:t>
      </w:r>
    </w:p>
    <w:p w14:paraId="4B6872DC" w14:textId="77777777" w:rsidR="0035520B" w:rsidRPr="00F44EB7" w:rsidRDefault="0035520B" w:rsidP="0035520B">
      <w:pPr>
        <w:pStyle w:val="Default"/>
        <w:spacing w:after="120" w:line="276" w:lineRule="auto"/>
        <w:jc w:val="both"/>
        <w:rPr>
          <w:rFonts w:asciiTheme="minorHAnsi" w:hAnsiTheme="minorHAnsi" w:cstheme="minorHAnsi"/>
          <w:color w:val="auto"/>
          <w:sz w:val="22"/>
          <w:szCs w:val="22"/>
          <w:lang w:val="pt-BR"/>
        </w:rPr>
      </w:pPr>
      <w:r w:rsidRPr="00F44EB7">
        <w:rPr>
          <w:rFonts w:asciiTheme="minorHAnsi" w:hAnsiTheme="minorHAnsi" w:cstheme="minorHAnsi"/>
          <w:color w:val="auto"/>
          <w:sz w:val="22"/>
          <w:szCs w:val="22"/>
          <w:lang w:val="pt-BR"/>
        </w:rPr>
        <w:t xml:space="preserve">En línea con los criterios para la escalada de riesgos, todos los riesgos que se escalen a nivel corporativo se revisarán electrónicamente, especialmente en el caso de los riesgos más graves del proyecto, que pueden tratarse mediante revisión electrónica. Cuando sea necesario los riesgos escalados serán deliberados en la reunión del Comité para la toma de decisiones y puntos de acción.. </w:t>
      </w:r>
    </w:p>
    <w:p w14:paraId="010B43DB" w14:textId="77777777" w:rsidR="0035520B" w:rsidRPr="003A5087" w:rsidRDefault="0035520B" w:rsidP="0035520B">
      <w:pPr>
        <w:pStyle w:val="Default"/>
        <w:numPr>
          <w:ilvl w:val="0"/>
          <w:numId w:val="1"/>
        </w:numPr>
        <w:spacing w:after="120" w:line="276" w:lineRule="auto"/>
        <w:ind w:left="360"/>
        <w:jc w:val="both"/>
        <w:rPr>
          <w:rFonts w:asciiTheme="minorHAnsi" w:hAnsiTheme="minorHAnsi" w:cstheme="minorHAnsi"/>
          <w:b/>
          <w:bCs/>
          <w:i/>
          <w:iCs/>
          <w:color w:val="auto"/>
          <w:sz w:val="22"/>
          <w:szCs w:val="22"/>
          <w:lang w:val="pt-BR"/>
        </w:rPr>
      </w:pPr>
      <w:r w:rsidRPr="003A5087">
        <w:rPr>
          <w:rFonts w:asciiTheme="minorHAnsi" w:hAnsiTheme="minorHAnsi" w:cstheme="minorHAnsi"/>
          <w:b/>
          <w:bCs/>
          <w:i/>
          <w:iCs/>
          <w:color w:val="auto"/>
          <w:sz w:val="22"/>
          <w:szCs w:val="22"/>
          <w:lang w:val="pt-BR"/>
        </w:rPr>
        <w:t>Mantenimiento del marco general de riesgos y resiliencia</w:t>
      </w:r>
    </w:p>
    <w:p w14:paraId="2836EB8C" w14:textId="77777777" w:rsidR="0035520B" w:rsidRPr="003A5087" w:rsidRDefault="0035520B" w:rsidP="0035520B">
      <w:pPr>
        <w:pStyle w:val="Default"/>
        <w:spacing w:after="120" w:line="276" w:lineRule="auto"/>
        <w:jc w:val="both"/>
        <w:rPr>
          <w:rFonts w:asciiTheme="minorHAnsi" w:hAnsiTheme="minorHAnsi" w:cstheme="minorHAnsi"/>
          <w:color w:val="auto"/>
          <w:sz w:val="22"/>
          <w:szCs w:val="22"/>
          <w:lang w:val="pt-BR"/>
        </w:rPr>
      </w:pPr>
      <w:bookmarkStart w:id="3" w:name="_Hlk514504003"/>
      <w:r w:rsidRPr="003A5087">
        <w:rPr>
          <w:rFonts w:asciiTheme="minorHAnsi" w:hAnsiTheme="minorHAnsi" w:cstheme="minorHAnsi"/>
          <w:color w:val="auto"/>
          <w:sz w:val="22"/>
          <w:szCs w:val="22"/>
          <w:lang w:val="pt-BR"/>
        </w:rPr>
        <w:t>Bajo esta responsabilidad, el Comité revisará las Políticas y Procedimientos relacionados con la Gestión de Riesgos Empresariales, incluyendo los aspectos estratégicos de la Gestión de Continuidad de Negocio (BCM), la Gestión de Seguridad y Crisis y las Reservas de Riesgo.</w:t>
      </w:r>
    </w:p>
    <w:p w14:paraId="5DF71C2C" w14:textId="77777777" w:rsidR="0035520B" w:rsidRPr="003A5087" w:rsidRDefault="0035520B" w:rsidP="0035520B">
      <w:pPr>
        <w:pStyle w:val="Default"/>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sz w:val="22"/>
          <w:szCs w:val="22"/>
          <w:lang w:val="pt-BR"/>
        </w:rPr>
        <w:t xml:space="preserve">Como parte de esta función, el Comité también debe examinar el aspecto general de la gestión del conocimiento de los riesgos, incluyendo la captura y revisión de las lecciones aprendidas y las mejores prácticas que se deben aplicar y/o difundir en toda la organización. </w:t>
      </w:r>
      <w:r w:rsidRPr="003A5087">
        <w:rPr>
          <w:rFonts w:asciiTheme="minorHAnsi" w:hAnsiTheme="minorHAnsi" w:cstheme="minorHAnsi"/>
          <w:color w:val="auto"/>
          <w:sz w:val="22"/>
          <w:szCs w:val="22"/>
          <w:lang w:val="pt-BR"/>
        </w:rPr>
        <w:t xml:space="preserve">En el desempeño de esta función, el Comité puede solicitar al Grupo de Desempeño Organizativo (OPG) que haga aportaciones y comentarios antes de proponer las políticas pertinentes al Grupo Ejecutivo (EG) para su aprobación. </w:t>
      </w:r>
    </w:p>
    <w:p w14:paraId="6C009FCE"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3A5087">
        <w:rPr>
          <w:rFonts w:asciiTheme="minorHAnsi" w:hAnsiTheme="minorHAnsi" w:cstheme="minorHAnsi"/>
          <w:color w:val="auto"/>
          <w:sz w:val="22"/>
          <w:szCs w:val="22"/>
          <w:lang w:val="pt-BR"/>
        </w:rPr>
        <w:t xml:space="preserve">El Comité de Riesgos también examina y recomienda actualizaciones al Grupo Ejecutivo, para su aprobación, la Declaración sobre la propensión al riesgo del PNUD. </w:t>
      </w:r>
      <w:r w:rsidRPr="000F0D21">
        <w:rPr>
          <w:rFonts w:asciiTheme="minorHAnsi" w:hAnsiTheme="minorHAnsi" w:cstheme="minorHAnsi"/>
          <w:color w:val="auto"/>
          <w:sz w:val="22"/>
          <w:szCs w:val="22"/>
        </w:rPr>
        <w:t xml:space="preserve">La </w:t>
      </w:r>
      <w:proofErr w:type="spellStart"/>
      <w:r w:rsidRPr="000F0D21">
        <w:rPr>
          <w:rFonts w:asciiTheme="minorHAnsi" w:hAnsiTheme="minorHAnsi" w:cstheme="minorHAnsi"/>
          <w:color w:val="auto"/>
          <w:sz w:val="22"/>
          <w:szCs w:val="22"/>
        </w:rPr>
        <w:t>declaración</w:t>
      </w:r>
      <w:proofErr w:type="spellEnd"/>
      <w:r w:rsidRPr="000F0D21">
        <w:rPr>
          <w:rFonts w:asciiTheme="minorHAnsi" w:hAnsiTheme="minorHAnsi" w:cstheme="minorHAnsi"/>
          <w:color w:val="auto"/>
          <w:sz w:val="22"/>
          <w:szCs w:val="22"/>
        </w:rPr>
        <w:t xml:space="preserve"> </w:t>
      </w:r>
      <w:proofErr w:type="spellStart"/>
      <w:r w:rsidRPr="000F0D21">
        <w:rPr>
          <w:rFonts w:asciiTheme="minorHAnsi" w:hAnsiTheme="minorHAnsi" w:cstheme="minorHAnsi"/>
          <w:color w:val="auto"/>
          <w:sz w:val="22"/>
          <w:szCs w:val="22"/>
        </w:rPr>
        <w:t>debe</w:t>
      </w:r>
      <w:proofErr w:type="spellEnd"/>
      <w:r w:rsidRPr="000F0D21">
        <w:rPr>
          <w:rFonts w:asciiTheme="minorHAnsi" w:hAnsiTheme="minorHAnsi" w:cstheme="minorHAnsi"/>
          <w:color w:val="auto"/>
          <w:sz w:val="22"/>
          <w:szCs w:val="22"/>
        </w:rPr>
        <w:t xml:space="preserve"> </w:t>
      </w:r>
      <w:proofErr w:type="spellStart"/>
      <w:r w:rsidRPr="000F0D21">
        <w:rPr>
          <w:rFonts w:asciiTheme="minorHAnsi" w:hAnsiTheme="minorHAnsi" w:cstheme="minorHAnsi"/>
          <w:color w:val="auto"/>
          <w:sz w:val="22"/>
          <w:szCs w:val="22"/>
        </w:rPr>
        <w:t>revisarse</w:t>
      </w:r>
      <w:proofErr w:type="spellEnd"/>
      <w:r w:rsidRPr="000F0D21">
        <w:rPr>
          <w:rFonts w:asciiTheme="minorHAnsi" w:hAnsiTheme="minorHAnsi" w:cstheme="minorHAnsi"/>
          <w:color w:val="auto"/>
          <w:sz w:val="22"/>
          <w:szCs w:val="22"/>
        </w:rPr>
        <w:t xml:space="preserve"> y </w:t>
      </w:r>
      <w:proofErr w:type="spellStart"/>
      <w:r w:rsidRPr="000F0D21">
        <w:rPr>
          <w:rFonts w:asciiTheme="minorHAnsi" w:hAnsiTheme="minorHAnsi" w:cstheme="minorHAnsi"/>
          <w:color w:val="auto"/>
          <w:sz w:val="22"/>
          <w:szCs w:val="22"/>
        </w:rPr>
        <w:t>actualizarse</w:t>
      </w:r>
      <w:proofErr w:type="spellEnd"/>
      <w:r w:rsidRPr="000F0D21">
        <w:rPr>
          <w:rFonts w:asciiTheme="minorHAnsi" w:hAnsiTheme="minorHAnsi" w:cstheme="minorHAnsi"/>
          <w:color w:val="auto"/>
          <w:sz w:val="22"/>
          <w:szCs w:val="22"/>
        </w:rPr>
        <w:t xml:space="preserve"> </w:t>
      </w:r>
      <w:proofErr w:type="spellStart"/>
      <w:r w:rsidRPr="000F0D21">
        <w:rPr>
          <w:rFonts w:asciiTheme="minorHAnsi" w:hAnsiTheme="minorHAnsi" w:cstheme="minorHAnsi"/>
          <w:color w:val="auto"/>
          <w:sz w:val="22"/>
          <w:szCs w:val="22"/>
        </w:rPr>
        <w:t>según</w:t>
      </w:r>
      <w:proofErr w:type="spellEnd"/>
      <w:r w:rsidRPr="000F0D21">
        <w:rPr>
          <w:rFonts w:asciiTheme="minorHAnsi" w:hAnsiTheme="minorHAnsi" w:cstheme="minorHAnsi"/>
          <w:color w:val="auto"/>
          <w:sz w:val="22"/>
          <w:szCs w:val="22"/>
        </w:rPr>
        <w:t xml:space="preserve"> sea </w:t>
      </w:r>
      <w:proofErr w:type="spellStart"/>
      <w:r w:rsidRPr="000F0D21">
        <w:rPr>
          <w:rFonts w:asciiTheme="minorHAnsi" w:hAnsiTheme="minorHAnsi" w:cstheme="minorHAnsi"/>
          <w:color w:val="auto"/>
          <w:sz w:val="22"/>
          <w:szCs w:val="22"/>
        </w:rPr>
        <w:t>necesario</w:t>
      </w:r>
      <w:proofErr w:type="spellEnd"/>
      <w:r w:rsidRPr="000F0D21">
        <w:rPr>
          <w:rFonts w:asciiTheme="minorHAnsi" w:hAnsiTheme="minorHAnsi" w:cstheme="minorHAnsi"/>
          <w:color w:val="auto"/>
          <w:sz w:val="22"/>
          <w:szCs w:val="22"/>
        </w:rPr>
        <w:t>.</w:t>
      </w:r>
      <w:bookmarkStart w:id="4" w:name="_Toc114076471"/>
    </w:p>
    <w:bookmarkEnd w:id="3"/>
    <w:bookmarkEnd w:id="4"/>
    <w:p w14:paraId="6EFFA5DB" w14:textId="77777777" w:rsidR="0035520B" w:rsidRPr="003A5087" w:rsidRDefault="0035520B" w:rsidP="0035520B">
      <w:pPr>
        <w:pStyle w:val="Default"/>
        <w:numPr>
          <w:ilvl w:val="0"/>
          <w:numId w:val="1"/>
        </w:numPr>
        <w:spacing w:after="120" w:line="276" w:lineRule="auto"/>
        <w:ind w:left="360"/>
        <w:jc w:val="both"/>
        <w:rPr>
          <w:rFonts w:asciiTheme="minorHAnsi" w:hAnsiTheme="minorHAnsi" w:cstheme="minorHAnsi"/>
          <w:b/>
          <w:bCs/>
          <w:i/>
          <w:iCs/>
          <w:color w:val="auto"/>
          <w:sz w:val="22"/>
          <w:szCs w:val="22"/>
          <w:lang w:val="pt-BR"/>
        </w:rPr>
      </w:pPr>
      <w:r w:rsidRPr="003A5087">
        <w:rPr>
          <w:rFonts w:asciiTheme="minorHAnsi" w:hAnsiTheme="minorHAnsi" w:cstheme="minorHAnsi"/>
          <w:b/>
          <w:bCs/>
          <w:i/>
          <w:iCs/>
          <w:color w:val="auto"/>
          <w:sz w:val="22"/>
          <w:szCs w:val="22"/>
          <w:lang w:val="pt-BR"/>
        </w:rPr>
        <w:t>Comité Corporativo de Validación (CVC)</w:t>
      </w:r>
    </w:p>
    <w:p w14:paraId="608AC4DB" w14:textId="77777777" w:rsidR="0035520B" w:rsidRPr="003A5087" w:rsidRDefault="0035520B" w:rsidP="0035520B">
      <w:pPr>
        <w:pStyle w:val="NormalWeb"/>
        <w:spacing w:before="120" w:beforeAutospacing="0" w:after="0" w:afterAutospacing="0"/>
        <w:jc w:val="both"/>
        <w:rPr>
          <w:rFonts w:asciiTheme="minorHAnsi" w:hAnsiTheme="minorHAnsi" w:cstheme="minorHAnsi"/>
          <w:sz w:val="22"/>
          <w:szCs w:val="22"/>
          <w:lang w:val="pt-BR"/>
        </w:rPr>
      </w:pPr>
      <w:r w:rsidRPr="00F44EB7">
        <w:rPr>
          <w:rFonts w:asciiTheme="minorHAnsi" w:hAnsiTheme="minorHAnsi" w:cstheme="minorHAnsi"/>
          <w:sz w:val="22"/>
          <w:szCs w:val="22"/>
          <w:lang w:val="pt-BR"/>
        </w:rPr>
        <w:t xml:space="preserve">El Comité de Riesgos del PNUD también actúa como Comité de Examen Corporativo. Se podrá invitar a expertos y otros representantes pertinentes, según sea necesario, para apoyar las deliberaciones del comité. </w:t>
      </w:r>
      <w:r w:rsidRPr="003A5087">
        <w:rPr>
          <w:rFonts w:asciiTheme="minorHAnsi" w:hAnsiTheme="minorHAnsi" w:cstheme="minorHAnsi"/>
          <w:sz w:val="22"/>
          <w:szCs w:val="22"/>
          <w:lang w:val="pt-BR"/>
        </w:rPr>
        <w:t>El CVC es responsable de asesorar al Oficial Superior Designado (SDO)</w:t>
      </w:r>
      <w:r w:rsidRPr="000F0D21">
        <w:rPr>
          <w:rStyle w:val="FootnoteReference"/>
          <w:rFonts w:asciiTheme="minorHAnsi" w:hAnsiTheme="minorHAnsi" w:cstheme="minorHAnsi"/>
          <w:sz w:val="22"/>
          <w:szCs w:val="22"/>
        </w:rPr>
        <w:footnoteReference w:id="1"/>
      </w:r>
      <w:r w:rsidRPr="003A5087">
        <w:rPr>
          <w:rFonts w:asciiTheme="minorHAnsi" w:hAnsiTheme="minorHAnsi" w:cstheme="minorHAnsi"/>
          <w:sz w:val="22"/>
          <w:szCs w:val="22"/>
          <w:lang w:val="pt-BR"/>
        </w:rPr>
        <w:t xml:space="preserve"> sobre lo siguiente:</w:t>
      </w:r>
    </w:p>
    <w:p w14:paraId="46AF00F7" w14:textId="77777777" w:rsidR="0035520B" w:rsidRPr="003A5087" w:rsidRDefault="0035520B" w:rsidP="0035520B">
      <w:pPr>
        <w:pStyle w:val="NormalWeb"/>
        <w:spacing w:before="0" w:beforeAutospacing="0" w:after="0" w:afterAutospacing="0"/>
        <w:jc w:val="both"/>
        <w:rPr>
          <w:rFonts w:asciiTheme="minorHAnsi" w:hAnsiTheme="minorHAnsi" w:cstheme="minorHAnsi"/>
          <w:sz w:val="22"/>
          <w:szCs w:val="22"/>
          <w:lang w:val="pt-BR"/>
        </w:rPr>
      </w:pPr>
    </w:p>
    <w:p w14:paraId="42C4E3CA" w14:textId="77777777" w:rsidR="0035520B" w:rsidRPr="00F44EB7" w:rsidRDefault="0035520B" w:rsidP="0035520B">
      <w:pPr>
        <w:numPr>
          <w:ilvl w:val="0"/>
          <w:numId w:val="10"/>
        </w:numPr>
        <w:jc w:val="both"/>
        <w:rPr>
          <w:rFonts w:eastAsia="Times New Roman" w:cstheme="minorHAnsi"/>
          <w:sz w:val="22"/>
          <w:szCs w:val="22"/>
          <w:lang w:val="pt-BR"/>
        </w:rPr>
      </w:pPr>
      <w:r w:rsidRPr="00F44EB7">
        <w:rPr>
          <w:rFonts w:eastAsia="Times New Roman" w:cstheme="minorHAnsi"/>
          <w:sz w:val="22"/>
          <w:szCs w:val="22"/>
          <w:lang w:val="pt-BR"/>
        </w:rPr>
        <w:t>Toma de decisiones con respecto a asuntos de ALD/CFT, incluyendo:</w:t>
      </w:r>
    </w:p>
    <w:p w14:paraId="166390FB" w14:textId="77777777" w:rsidR="0035520B" w:rsidRPr="003A5087" w:rsidRDefault="0035520B" w:rsidP="0035520B">
      <w:pPr>
        <w:numPr>
          <w:ilvl w:val="0"/>
          <w:numId w:val="11"/>
        </w:numPr>
        <w:jc w:val="both"/>
        <w:rPr>
          <w:rFonts w:eastAsia="Times New Roman" w:cstheme="minorHAnsi"/>
          <w:sz w:val="22"/>
          <w:szCs w:val="22"/>
          <w:lang w:val="pt-BR"/>
        </w:rPr>
      </w:pPr>
      <w:r w:rsidRPr="003A5087">
        <w:rPr>
          <w:rFonts w:eastAsia="Times New Roman" w:cstheme="minorHAnsi"/>
          <w:sz w:val="22"/>
          <w:szCs w:val="22"/>
          <w:lang w:val="pt-BR"/>
        </w:rPr>
        <w:t>Relaciones comerciales con contrapartes de alto riesgo;</w:t>
      </w:r>
    </w:p>
    <w:p w14:paraId="04BDA370" w14:textId="5C3D0E92" w:rsidR="0035520B" w:rsidRPr="003A5087" w:rsidRDefault="0035520B" w:rsidP="0035520B">
      <w:pPr>
        <w:numPr>
          <w:ilvl w:val="0"/>
          <w:numId w:val="11"/>
        </w:numPr>
        <w:jc w:val="both"/>
        <w:rPr>
          <w:rFonts w:eastAsia="Times New Roman" w:cstheme="minorHAnsi"/>
          <w:sz w:val="22"/>
          <w:szCs w:val="22"/>
          <w:lang w:val="pt-BR"/>
        </w:rPr>
      </w:pPr>
      <w:r w:rsidRPr="003A5087">
        <w:rPr>
          <w:rFonts w:eastAsia="Times New Roman" w:cstheme="minorHAnsi"/>
          <w:sz w:val="22"/>
          <w:szCs w:val="22"/>
          <w:lang w:val="pt-BR"/>
        </w:rPr>
        <w:t>Relaciones con contrapartes que deben abandonarse, prohibirse y/o añadirse a la “</w:t>
      </w:r>
      <w:r w:rsidRPr="001D21F4">
        <w:rPr>
          <w:sz w:val="22"/>
          <w:szCs w:val="22"/>
        </w:rPr>
        <w:fldChar w:fldCharType="begin"/>
      </w:r>
      <w:r w:rsidRPr="001D21F4">
        <w:rPr>
          <w:sz w:val="22"/>
          <w:szCs w:val="22"/>
        </w:rPr>
        <w:instrText>HYPERLINK "https://popp.undp.org/es/documento/guia-operativa-para-la-implementacion-de-la-politica-de-lucha-contra-el-lavado-de-activos"</w:instrText>
      </w:r>
      <w:r w:rsidRPr="001D21F4">
        <w:rPr>
          <w:sz w:val="22"/>
          <w:szCs w:val="22"/>
        </w:rPr>
      </w:r>
      <w:r w:rsidRPr="001D21F4">
        <w:rPr>
          <w:sz w:val="22"/>
          <w:szCs w:val="22"/>
        </w:rPr>
        <w:fldChar w:fldCharType="separate"/>
      </w:r>
      <w:r w:rsidRPr="001D21F4">
        <w:rPr>
          <w:rStyle w:val="Hyperlink"/>
        </w:rPr>
        <w:t xml:space="preserve">Lista de </w:t>
      </w:r>
      <w:proofErr w:type="spellStart"/>
      <w:r w:rsidRPr="001D21F4">
        <w:rPr>
          <w:rStyle w:val="Hyperlink"/>
        </w:rPr>
        <w:t>exclusión</w:t>
      </w:r>
      <w:proofErr w:type="spellEnd"/>
      <w:r w:rsidRPr="001D21F4">
        <w:rPr>
          <w:rStyle w:val="Hyperlink"/>
        </w:rPr>
        <w:t xml:space="preserve"> interna</w:t>
      </w:r>
      <w:r w:rsidRPr="001D21F4">
        <w:rPr>
          <w:sz w:val="22"/>
          <w:szCs w:val="22"/>
        </w:rPr>
        <w:fldChar w:fldCharType="end"/>
      </w:r>
      <w:r w:rsidRPr="003A5087">
        <w:rPr>
          <w:rFonts w:eastAsia="Times New Roman" w:cstheme="minorHAnsi"/>
          <w:sz w:val="22"/>
          <w:szCs w:val="22"/>
          <w:lang w:val="pt-BR"/>
        </w:rPr>
        <w:t xml:space="preserve">”; </w:t>
      </w:r>
    </w:p>
    <w:p w14:paraId="7A33A047" w14:textId="2D64E110" w:rsidR="0035520B" w:rsidRPr="000F0D21" w:rsidRDefault="0035520B" w:rsidP="0035520B">
      <w:pPr>
        <w:numPr>
          <w:ilvl w:val="0"/>
          <w:numId w:val="11"/>
        </w:numPr>
        <w:jc w:val="both"/>
        <w:rPr>
          <w:rFonts w:eastAsia="Times New Roman" w:cstheme="minorHAnsi"/>
          <w:sz w:val="22"/>
          <w:szCs w:val="22"/>
          <w:lang w:val="en-GB"/>
        </w:rPr>
      </w:pPr>
      <w:r w:rsidRPr="000F0D21">
        <w:rPr>
          <w:rFonts w:eastAsia="Times New Roman" w:cstheme="minorHAnsi"/>
          <w:sz w:val="22"/>
          <w:szCs w:val="22"/>
          <w:lang w:val="en-GB"/>
        </w:rPr>
        <w:t>Counterparties to be added to the “</w:t>
      </w:r>
      <w:hyperlink r:id="rId10" w:history="1">
        <w:r w:rsidRPr="001D21F4">
          <w:rPr>
            <w:rStyle w:val="Hyperlink"/>
          </w:rPr>
          <w:t xml:space="preserve">Lista de </w:t>
        </w:r>
        <w:proofErr w:type="spellStart"/>
        <w:r w:rsidRPr="001D21F4">
          <w:rPr>
            <w:rStyle w:val="Hyperlink"/>
          </w:rPr>
          <w:t>Dispensas</w:t>
        </w:r>
        <w:proofErr w:type="spellEnd"/>
      </w:hyperlink>
      <w:r w:rsidRPr="000F0D21">
        <w:rPr>
          <w:rFonts w:eastAsia="Times New Roman" w:cstheme="minorHAnsi"/>
          <w:sz w:val="22"/>
          <w:szCs w:val="22"/>
          <w:lang w:val="en-GB"/>
        </w:rPr>
        <w:t>”; y</w:t>
      </w:r>
    </w:p>
    <w:p w14:paraId="2998C485" w14:textId="77777777" w:rsidR="0035520B" w:rsidRDefault="0035520B" w:rsidP="0035520B">
      <w:pPr>
        <w:numPr>
          <w:ilvl w:val="0"/>
          <w:numId w:val="11"/>
        </w:numPr>
        <w:jc w:val="both"/>
        <w:rPr>
          <w:rFonts w:eastAsia="Times New Roman" w:cstheme="minorHAnsi"/>
          <w:sz w:val="22"/>
          <w:szCs w:val="22"/>
          <w:lang w:val="pt-BR"/>
        </w:rPr>
      </w:pPr>
      <w:r w:rsidRPr="003A5087">
        <w:rPr>
          <w:rFonts w:eastAsia="Times New Roman" w:cstheme="minorHAnsi"/>
          <w:sz w:val="22"/>
          <w:szCs w:val="22"/>
          <w:lang w:val="pt-BR"/>
        </w:rPr>
        <w:t>Cualquier otro asunto relacionado que requiera consideración y toma de decisiones a nivel superior según lo considere oportuno la SDO.</w:t>
      </w:r>
    </w:p>
    <w:p w14:paraId="77012E5D" w14:textId="77777777" w:rsidR="008B6C6A" w:rsidRPr="003A5087" w:rsidRDefault="008B6C6A" w:rsidP="001D21F4">
      <w:pPr>
        <w:ind w:left="1440"/>
        <w:jc w:val="both"/>
        <w:rPr>
          <w:rFonts w:eastAsia="Times New Roman" w:cstheme="minorHAnsi"/>
          <w:sz w:val="22"/>
          <w:szCs w:val="22"/>
          <w:lang w:val="pt-BR"/>
        </w:rPr>
      </w:pPr>
    </w:p>
    <w:p w14:paraId="64B7FE8D" w14:textId="77777777" w:rsidR="0035520B" w:rsidRPr="003A5087" w:rsidRDefault="0035520B" w:rsidP="0035520B">
      <w:pPr>
        <w:numPr>
          <w:ilvl w:val="0"/>
          <w:numId w:val="10"/>
        </w:numPr>
        <w:jc w:val="both"/>
        <w:rPr>
          <w:rFonts w:cstheme="minorHAnsi"/>
          <w:sz w:val="22"/>
          <w:szCs w:val="22"/>
          <w:lang w:val="pt-BR"/>
        </w:rPr>
      </w:pPr>
      <w:r w:rsidRPr="003A5087">
        <w:rPr>
          <w:rFonts w:eastAsia="Times New Roman" w:cstheme="minorHAnsi"/>
          <w:sz w:val="22"/>
          <w:szCs w:val="22"/>
          <w:lang w:val="pt-BR"/>
        </w:rPr>
        <w:t>Aplicación y perfeccionamiento (según proceda) de la política, los procesos, las herramientas y los programas piloto en materia de PBC/FT.</w:t>
      </w:r>
    </w:p>
    <w:p w14:paraId="209A85F4" w14:textId="77777777" w:rsidR="0035520B" w:rsidRPr="003A5087" w:rsidRDefault="0035520B" w:rsidP="0035520B">
      <w:pPr>
        <w:ind w:left="502"/>
        <w:jc w:val="both"/>
        <w:rPr>
          <w:rFonts w:cstheme="minorHAnsi"/>
          <w:sz w:val="22"/>
          <w:szCs w:val="22"/>
          <w:lang w:val="pt-BR"/>
        </w:rPr>
      </w:pPr>
    </w:p>
    <w:p w14:paraId="01AD5812" w14:textId="77777777" w:rsidR="0035520B" w:rsidRPr="003A5087" w:rsidRDefault="0035520B" w:rsidP="0035520B">
      <w:pPr>
        <w:pStyle w:val="Heading3"/>
        <w:rPr>
          <w:rFonts w:asciiTheme="minorHAnsi" w:eastAsiaTheme="minorEastAsia" w:hAnsiTheme="minorHAnsi" w:cstheme="minorHAnsi"/>
          <w:lang w:val="pt-BR"/>
        </w:rPr>
      </w:pPr>
      <w:bookmarkStart w:id="5" w:name="_Toc124522935"/>
      <w:bookmarkStart w:id="6" w:name="_Toc210826068"/>
      <w:r w:rsidRPr="003A5087">
        <w:rPr>
          <w:rFonts w:asciiTheme="minorHAnsi" w:eastAsiaTheme="minorEastAsia" w:hAnsiTheme="minorHAnsi" w:cstheme="minorHAnsi"/>
          <w:lang w:val="pt-BR"/>
        </w:rPr>
        <w:lastRenderedPageBreak/>
        <w:t>Disposiciones de gestión</w:t>
      </w:r>
      <w:bookmarkEnd w:id="5"/>
      <w:bookmarkEnd w:id="6"/>
      <w:r w:rsidRPr="003A5087">
        <w:rPr>
          <w:rFonts w:asciiTheme="minorHAnsi" w:eastAsiaTheme="minorEastAsia" w:hAnsiTheme="minorHAnsi" w:cstheme="minorHAnsi"/>
          <w:lang w:val="pt-BR"/>
        </w:rPr>
        <w:t xml:space="preserve"> </w:t>
      </w:r>
    </w:p>
    <w:p w14:paraId="72184CC7" w14:textId="337D106A" w:rsidR="0035520B" w:rsidRPr="003A5087" w:rsidRDefault="0035520B" w:rsidP="0035520B">
      <w:pPr>
        <w:pStyle w:val="Default"/>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El Comité es un subcomité del Grupo Ejecutivo (GE) y sirve de plataforma principal para identificar, evaluar, desarrollar el tratamiento y supervisar los riesgos a nivel corporativo. El Comité informa al Grupo Ejecutivo cada vez que sea requerido. </w:t>
      </w:r>
    </w:p>
    <w:p w14:paraId="29466EE0" w14:textId="2BB5F88B" w:rsidR="0035520B" w:rsidRPr="000F0D21" w:rsidRDefault="0035520B" w:rsidP="0035520B">
      <w:pPr>
        <w:pStyle w:val="Default"/>
        <w:numPr>
          <w:ilvl w:val="0"/>
          <w:numId w:val="4"/>
        </w:numPr>
        <w:spacing w:after="120" w:line="276" w:lineRule="auto"/>
        <w:ind w:left="360"/>
        <w:jc w:val="both"/>
        <w:rPr>
          <w:rFonts w:asciiTheme="minorHAnsi" w:hAnsiTheme="minorHAnsi" w:cstheme="minorHAnsi"/>
          <w:b/>
          <w:bCs/>
          <w:i/>
          <w:iCs/>
          <w:color w:val="auto"/>
          <w:sz w:val="22"/>
          <w:szCs w:val="22"/>
        </w:rPr>
      </w:pPr>
      <w:proofErr w:type="spellStart"/>
      <w:r w:rsidRPr="000F0D21">
        <w:rPr>
          <w:rFonts w:asciiTheme="minorHAnsi" w:hAnsiTheme="minorHAnsi" w:cstheme="minorHAnsi"/>
          <w:b/>
          <w:bCs/>
          <w:i/>
          <w:iCs/>
          <w:color w:val="auto"/>
          <w:sz w:val="22"/>
          <w:szCs w:val="22"/>
        </w:rPr>
        <w:t>Membresía</w:t>
      </w:r>
      <w:proofErr w:type="spellEnd"/>
      <w:r w:rsidRPr="000F0D21">
        <w:rPr>
          <w:rFonts w:asciiTheme="minorHAnsi" w:hAnsiTheme="minorHAnsi" w:cstheme="minorHAnsi"/>
          <w:b/>
          <w:bCs/>
          <w:i/>
          <w:iCs/>
          <w:color w:val="auto"/>
          <w:sz w:val="22"/>
          <w:szCs w:val="22"/>
        </w:rPr>
        <w:t xml:space="preserve"> del </w:t>
      </w:r>
      <w:proofErr w:type="spellStart"/>
      <w:r w:rsidRPr="000F0D21">
        <w:rPr>
          <w:rFonts w:asciiTheme="minorHAnsi" w:hAnsiTheme="minorHAnsi" w:cstheme="minorHAnsi"/>
          <w:b/>
          <w:bCs/>
          <w:i/>
          <w:iCs/>
          <w:color w:val="auto"/>
          <w:sz w:val="22"/>
          <w:szCs w:val="22"/>
        </w:rPr>
        <w:t>Comité</w:t>
      </w:r>
      <w:proofErr w:type="spellEnd"/>
    </w:p>
    <w:p w14:paraId="0E18463E" w14:textId="446B86C9" w:rsidR="0035520B" w:rsidRPr="00F44EB7" w:rsidRDefault="0035520B" w:rsidP="0035520B">
      <w:pPr>
        <w:pStyle w:val="Default"/>
        <w:spacing w:after="120" w:line="276" w:lineRule="auto"/>
        <w:jc w:val="both"/>
        <w:rPr>
          <w:rFonts w:asciiTheme="minorHAnsi" w:hAnsiTheme="minorHAnsi" w:cstheme="minorHAnsi"/>
          <w:color w:val="auto"/>
          <w:sz w:val="22"/>
          <w:szCs w:val="22"/>
          <w:lang w:val="pt-BR"/>
        </w:rPr>
      </w:pPr>
      <w:r w:rsidRPr="00F44EB7">
        <w:rPr>
          <w:rFonts w:asciiTheme="minorHAnsi" w:hAnsiTheme="minorHAnsi" w:cstheme="minorHAnsi"/>
          <w:color w:val="auto"/>
          <w:sz w:val="22"/>
          <w:szCs w:val="22"/>
          <w:lang w:val="pt-BR"/>
        </w:rPr>
        <w:t xml:space="preserve">La composición del Comité de Riesgos incluirá una representación adecuada de la perspectiva corporativa en las cinco categorías de consecuencias de los riesgos (es decir, Financieros y de recursos; Seguridad y protección; Ejecución programática; Eficacia institucional; y Reputación). A este respecto, la composición permanente del Comité es la siguiente: </w:t>
      </w:r>
    </w:p>
    <w:p w14:paraId="4B01AFC8" w14:textId="29512511" w:rsidR="00E10345" w:rsidRPr="003A5087" w:rsidRDefault="0035520B" w:rsidP="00625DAB">
      <w:pPr>
        <w:pStyle w:val="Default"/>
        <w:numPr>
          <w:ilvl w:val="0"/>
          <w:numId w:val="17"/>
        </w:numPr>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El Administrador Asociado como presidente; </w:t>
      </w:r>
    </w:p>
    <w:p w14:paraId="6EC2936B" w14:textId="31848876" w:rsidR="0035520B" w:rsidRPr="00E10345" w:rsidRDefault="0035520B" w:rsidP="00625DAB">
      <w:pPr>
        <w:pStyle w:val="Default"/>
        <w:numPr>
          <w:ilvl w:val="0"/>
          <w:numId w:val="17"/>
        </w:numPr>
        <w:spacing w:after="120" w:line="276" w:lineRule="auto"/>
        <w:jc w:val="both"/>
        <w:rPr>
          <w:rFonts w:asciiTheme="minorHAnsi" w:hAnsiTheme="minorHAnsi" w:cstheme="minorHAnsi"/>
          <w:color w:val="auto"/>
          <w:sz w:val="22"/>
          <w:szCs w:val="22"/>
        </w:rPr>
      </w:pPr>
      <w:r w:rsidRPr="00E10345">
        <w:rPr>
          <w:rFonts w:asciiTheme="minorHAnsi" w:hAnsiTheme="minorHAnsi" w:cstheme="minorHAnsi"/>
          <w:color w:val="auto"/>
          <w:sz w:val="22"/>
          <w:szCs w:val="22"/>
        </w:rPr>
        <w:t xml:space="preserve">La </w:t>
      </w:r>
      <w:proofErr w:type="spellStart"/>
      <w:r w:rsidRPr="00E10345">
        <w:rPr>
          <w:rFonts w:asciiTheme="minorHAnsi" w:hAnsiTheme="minorHAnsi" w:cstheme="minorHAnsi"/>
          <w:color w:val="auto"/>
          <w:sz w:val="22"/>
          <w:szCs w:val="22"/>
        </w:rPr>
        <w:t>Oficina</w:t>
      </w:r>
      <w:proofErr w:type="spellEnd"/>
      <w:r w:rsidRPr="00E10345">
        <w:rPr>
          <w:rFonts w:asciiTheme="minorHAnsi" w:hAnsiTheme="minorHAnsi" w:cstheme="minorHAnsi"/>
          <w:color w:val="auto"/>
          <w:sz w:val="22"/>
          <w:szCs w:val="22"/>
        </w:rPr>
        <w:t xml:space="preserve"> Ejecutiva;</w:t>
      </w:r>
    </w:p>
    <w:p w14:paraId="399E50AE" w14:textId="5E40FDB1" w:rsidR="0035520B" w:rsidRPr="003A5087" w:rsidRDefault="0035520B" w:rsidP="0035520B">
      <w:pPr>
        <w:pStyle w:val="Default"/>
        <w:numPr>
          <w:ilvl w:val="0"/>
          <w:numId w:val="12"/>
        </w:numPr>
        <w:spacing w:after="12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Los Directores de todas las Oficinas Regionales</w:t>
      </w:r>
      <w:r w:rsidR="00625DAB" w:rsidRPr="003A5087">
        <w:rPr>
          <w:rFonts w:asciiTheme="minorHAnsi" w:hAnsiTheme="minorHAnsi" w:cstheme="minorHAnsi"/>
          <w:color w:val="auto"/>
          <w:sz w:val="22"/>
          <w:szCs w:val="22"/>
          <w:lang w:val="pt-BR"/>
        </w:rPr>
        <w:t>;</w:t>
      </w:r>
      <w:r w:rsidRPr="003A5087">
        <w:rPr>
          <w:rFonts w:asciiTheme="minorHAnsi" w:hAnsiTheme="minorHAnsi" w:cstheme="minorHAnsi"/>
          <w:color w:val="auto"/>
          <w:sz w:val="22"/>
          <w:szCs w:val="22"/>
          <w:lang w:val="pt-BR"/>
        </w:rPr>
        <w:t xml:space="preserve"> </w:t>
      </w:r>
    </w:p>
    <w:p w14:paraId="0989F0C4" w14:textId="50123E29" w:rsidR="0035520B" w:rsidRPr="003A5087" w:rsidRDefault="0035520B" w:rsidP="0035520B">
      <w:pPr>
        <w:pStyle w:val="Default"/>
        <w:numPr>
          <w:ilvl w:val="0"/>
          <w:numId w:val="12"/>
        </w:numPr>
        <w:spacing w:after="12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Director de la Oficina de Servicios de Gestión;</w:t>
      </w:r>
    </w:p>
    <w:p w14:paraId="0BE6429C"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de BERA;</w:t>
      </w:r>
    </w:p>
    <w:p w14:paraId="1B95FF04"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de BPPS;</w:t>
      </w:r>
    </w:p>
    <w:p w14:paraId="6464F399" w14:textId="77777777" w:rsidR="0035520B" w:rsidRPr="003A5087" w:rsidRDefault="0035520B" w:rsidP="0035520B">
      <w:pPr>
        <w:pStyle w:val="Default"/>
        <w:numPr>
          <w:ilvl w:val="0"/>
          <w:numId w:val="12"/>
        </w:numPr>
        <w:spacing w:after="12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Director del Buró de Crisis;</w:t>
      </w:r>
    </w:p>
    <w:p w14:paraId="0FE228CD"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Finanzas;</w:t>
      </w:r>
    </w:p>
    <w:p w14:paraId="4A4AF3A3" w14:textId="04375327" w:rsidR="00E10345" w:rsidRPr="00F44EB7" w:rsidRDefault="00E10345" w:rsidP="00E10345">
      <w:pPr>
        <w:pStyle w:val="Default"/>
        <w:numPr>
          <w:ilvl w:val="0"/>
          <w:numId w:val="12"/>
        </w:numPr>
        <w:spacing w:after="120"/>
        <w:jc w:val="both"/>
        <w:rPr>
          <w:rFonts w:asciiTheme="minorHAnsi" w:hAnsiTheme="minorHAnsi" w:cstheme="minorHAnsi"/>
          <w:color w:val="auto"/>
          <w:sz w:val="22"/>
          <w:szCs w:val="22"/>
          <w:lang w:val="pt-BR"/>
        </w:rPr>
      </w:pPr>
      <w:r w:rsidRPr="00F44EB7">
        <w:rPr>
          <w:rFonts w:asciiTheme="minorHAnsi" w:hAnsiTheme="minorHAnsi" w:cstheme="minorHAnsi"/>
          <w:color w:val="auto"/>
          <w:sz w:val="22"/>
          <w:szCs w:val="22"/>
          <w:lang w:val="pt-BR"/>
        </w:rPr>
        <w:t>Asesor Jurídico Principal y Director de la Oficina de Servicios Jurídicos.</w:t>
      </w:r>
    </w:p>
    <w:p w14:paraId="30695145" w14:textId="77777777" w:rsidR="00E10345" w:rsidRPr="00F44EB7" w:rsidRDefault="00E10345" w:rsidP="00625DAB">
      <w:pPr>
        <w:pStyle w:val="Default"/>
        <w:spacing w:after="120"/>
        <w:ind w:left="720"/>
        <w:jc w:val="both"/>
        <w:rPr>
          <w:rFonts w:asciiTheme="minorHAnsi" w:hAnsiTheme="minorHAnsi" w:cstheme="minorHAnsi"/>
          <w:color w:val="auto"/>
          <w:sz w:val="22"/>
          <w:szCs w:val="22"/>
          <w:lang w:val="pt-BR"/>
        </w:rPr>
      </w:pPr>
    </w:p>
    <w:p w14:paraId="325D352F" w14:textId="4D1D4CB6"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F44EB7">
        <w:rPr>
          <w:rFonts w:asciiTheme="minorHAnsi" w:hAnsiTheme="minorHAnsi" w:cstheme="minorHAnsi"/>
          <w:color w:val="auto"/>
          <w:sz w:val="22"/>
          <w:szCs w:val="22"/>
          <w:lang w:val="pt-BR"/>
        </w:rPr>
        <w:t xml:space="preserve">Los miembros del Comité son insustituibles. En caso de que un miembro del Comité no esté disponible para asistir a una reunión del Comité de Riesgos, la participación </w:t>
      </w:r>
      <w:r w:rsidR="00E10345" w:rsidRPr="00F44EB7">
        <w:rPr>
          <w:rFonts w:asciiTheme="minorHAnsi" w:hAnsiTheme="minorHAnsi" w:cstheme="minorHAnsi"/>
          <w:color w:val="auto"/>
          <w:sz w:val="22"/>
          <w:szCs w:val="22"/>
          <w:lang w:val="pt-BR"/>
        </w:rPr>
        <w:t xml:space="preserve">solo podrá delegarse en un responsable interino, con la autorización del Administrador Asociado / </w:t>
      </w:r>
      <w:r w:rsidR="00E10345" w:rsidRPr="00D94642">
        <w:rPr>
          <w:rFonts w:cstheme="minorHAnsi"/>
          <w:color w:val="000000" w:themeColor="text1"/>
          <w:sz w:val="22"/>
          <w:szCs w:val="22"/>
          <w:lang w:val="pt-BR"/>
        </w:rPr>
        <w:t>Oficial Principal de Riesgos</w:t>
      </w:r>
      <w:r w:rsidR="00E10345" w:rsidRPr="00F44EB7">
        <w:rPr>
          <w:rFonts w:asciiTheme="minorHAnsi" w:hAnsiTheme="minorHAnsi" w:cstheme="minorHAnsi"/>
          <w:color w:val="auto"/>
          <w:sz w:val="22"/>
          <w:szCs w:val="22"/>
          <w:lang w:val="pt-BR"/>
        </w:rPr>
        <w:t xml:space="preserve">. Con carácter ad hoc, el Comité podrá invitar a otros miembros del personal a participar en la reunión del Comité de Riesgos para deliberar sobre cuestiones específicas. </w:t>
      </w:r>
      <w:r w:rsidR="00E10345" w:rsidRPr="00FA0F4F">
        <w:rPr>
          <w:rFonts w:asciiTheme="minorHAnsi" w:hAnsiTheme="minorHAnsi" w:cstheme="minorHAnsi"/>
          <w:color w:val="auto"/>
          <w:sz w:val="22"/>
          <w:szCs w:val="22"/>
        </w:rPr>
        <w:t xml:space="preserve">Esto </w:t>
      </w:r>
      <w:proofErr w:type="spellStart"/>
      <w:r w:rsidR="00E10345" w:rsidRPr="00FA0F4F">
        <w:rPr>
          <w:rFonts w:asciiTheme="minorHAnsi" w:hAnsiTheme="minorHAnsi" w:cstheme="minorHAnsi"/>
          <w:color w:val="auto"/>
          <w:sz w:val="22"/>
          <w:szCs w:val="22"/>
        </w:rPr>
        <w:t>puede</w:t>
      </w:r>
      <w:proofErr w:type="spellEnd"/>
      <w:r w:rsidR="00E10345" w:rsidRPr="00FA0F4F">
        <w:rPr>
          <w:rFonts w:asciiTheme="minorHAnsi" w:hAnsiTheme="minorHAnsi" w:cstheme="minorHAnsi"/>
          <w:color w:val="auto"/>
          <w:sz w:val="22"/>
          <w:szCs w:val="22"/>
        </w:rPr>
        <w:t xml:space="preserve"> </w:t>
      </w:r>
      <w:proofErr w:type="spellStart"/>
      <w:r w:rsidR="00E10345" w:rsidRPr="00FA0F4F">
        <w:rPr>
          <w:rFonts w:asciiTheme="minorHAnsi" w:hAnsiTheme="minorHAnsi" w:cstheme="minorHAnsi"/>
          <w:color w:val="auto"/>
          <w:sz w:val="22"/>
          <w:szCs w:val="22"/>
        </w:rPr>
        <w:t>incluir</w:t>
      </w:r>
      <w:proofErr w:type="spellEnd"/>
      <w:r w:rsidR="00E10345" w:rsidRPr="00FA0F4F">
        <w:rPr>
          <w:rFonts w:asciiTheme="minorHAnsi" w:hAnsiTheme="minorHAnsi" w:cstheme="minorHAnsi"/>
          <w:color w:val="auto"/>
          <w:sz w:val="22"/>
          <w:szCs w:val="22"/>
        </w:rPr>
        <w:t>:</w:t>
      </w:r>
    </w:p>
    <w:p w14:paraId="4D2AC0C8" w14:textId="0A32A470" w:rsidR="00E10345" w:rsidRPr="003A5087" w:rsidRDefault="00E10345" w:rsidP="00E10345">
      <w:pPr>
        <w:pStyle w:val="Default"/>
        <w:numPr>
          <w:ilvl w:val="0"/>
          <w:numId w:val="13"/>
        </w:numPr>
        <w:spacing w:after="120" w:line="276" w:lineRule="auto"/>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Director de la Oficina de Seguridad;</w:t>
      </w:r>
    </w:p>
    <w:p w14:paraId="3CCE2B29" w14:textId="7CB2854E" w:rsidR="0035520B" w:rsidRPr="003A5087" w:rsidRDefault="0035520B" w:rsidP="0035520B">
      <w:pPr>
        <w:pStyle w:val="Default"/>
        <w:numPr>
          <w:ilvl w:val="1"/>
          <w:numId w:val="13"/>
        </w:numPr>
        <w:spacing w:after="12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Propietario de riesgo de entradas de riesgo corporativas específicas;</w:t>
      </w:r>
    </w:p>
    <w:p w14:paraId="4C5A8AA0" w14:textId="311FFA78" w:rsidR="0035520B" w:rsidRPr="003A5087" w:rsidRDefault="0035520B" w:rsidP="0035520B">
      <w:pPr>
        <w:pStyle w:val="Default"/>
        <w:numPr>
          <w:ilvl w:val="1"/>
          <w:numId w:val="13"/>
        </w:numPr>
        <w:spacing w:after="12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Jefe de línea de una oficina/unidad específica; </w:t>
      </w:r>
    </w:p>
    <w:p w14:paraId="488507F2" w14:textId="0D75C6D2" w:rsidR="0035520B" w:rsidRPr="000F0D21" w:rsidRDefault="0035520B" w:rsidP="0035520B">
      <w:pPr>
        <w:pStyle w:val="Default"/>
        <w:numPr>
          <w:ilvl w:val="1"/>
          <w:numId w:val="13"/>
        </w:numPr>
        <w:spacing w:after="120"/>
        <w:jc w:val="both"/>
        <w:rPr>
          <w:rFonts w:asciiTheme="minorHAnsi" w:hAnsiTheme="minorHAnsi" w:cstheme="minorHAnsi"/>
          <w:color w:val="auto"/>
          <w:sz w:val="22"/>
          <w:szCs w:val="22"/>
        </w:rPr>
      </w:pPr>
      <w:proofErr w:type="spellStart"/>
      <w:r w:rsidRPr="000F0D21">
        <w:rPr>
          <w:rFonts w:asciiTheme="minorHAnsi" w:hAnsiTheme="minorHAnsi" w:cstheme="minorHAnsi"/>
          <w:color w:val="auto"/>
          <w:sz w:val="22"/>
          <w:szCs w:val="22"/>
        </w:rPr>
        <w:t>Gestores</w:t>
      </w:r>
      <w:proofErr w:type="spellEnd"/>
      <w:r w:rsidRPr="000F0D21">
        <w:rPr>
          <w:rFonts w:asciiTheme="minorHAnsi" w:hAnsiTheme="minorHAnsi" w:cstheme="minorHAnsi"/>
          <w:color w:val="auto"/>
          <w:sz w:val="22"/>
          <w:szCs w:val="22"/>
        </w:rPr>
        <w:t xml:space="preserve"> de </w:t>
      </w:r>
      <w:proofErr w:type="spellStart"/>
      <w:r w:rsidRPr="000F0D21">
        <w:rPr>
          <w:rFonts w:asciiTheme="minorHAnsi" w:hAnsiTheme="minorHAnsi" w:cstheme="minorHAnsi"/>
          <w:color w:val="auto"/>
          <w:sz w:val="22"/>
          <w:szCs w:val="22"/>
        </w:rPr>
        <w:t>fondos</w:t>
      </w:r>
      <w:proofErr w:type="spellEnd"/>
      <w:r w:rsidRPr="000F0D21">
        <w:rPr>
          <w:rFonts w:asciiTheme="minorHAnsi" w:hAnsiTheme="minorHAnsi" w:cstheme="minorHAnsi"/>
          <w:color w:val="auto"/>
          <w:sz w:val="22"/>
          <w:szCs w:val="22"/>
        </w:rPr>
        <w:t xml:space="preserve"> </w:t>
      </w:r>
      <w:proofErr w:type="spellStart"/>
      <w:r w:rsidRPr="000F0D21">
        <w:rPr>
          <w:rFonts w:asciiTheme="minorHAnsi" w:hAnsiTheme="minorHAnsi" w:cstheme="minorHAnsi"/>
          <w:color w:val="auto"/>
          <w:sz w:val="22"/>
          <w:szCs w:val="22"/>
        </w:rPr>
        <w:t>verticales</w:t>
      </w:r>
      <w:proofErr w:type="spellEnd"/>
      <w:r w:rsidRPr="000F0D21">
        <w:rPr>
          <w:rFonts w:asciiTheme="minorHAnsi" w:hAnsiTheme="minorHAnsi" w:cstheme="minorHAnsi"/>
          <w:color w:val="auto"/>
          <w:sz w:val="22"/>
          <w:szCs w:val="22"/>
        </w:rPr>
        <w:t>;</w:t>
      </w:r>
    </w:p>
    <w:p w14:paraId="328EB75E" w14:textId="7B4EBDC2" w:rsidR="0035520B" w:rsidRPr="000F0D21" w:rsidRDefault="0035520B" w:rsidP="0035520B">
      <w:pPr>
        <w:pStyle w:val="Default"/>
        <w:numPr>
          <w:ilvl w:val="1"/>
          <w:numId w:val="13"/>
        </w:numPr>
        <w:spacing w:after="120"/>
        <w:jc w:val="both"/>
        <w:rPr>
          <w:rFonts w:asciiTheme="minorHAnsi" w:hAnsiTheme="minorHAnsi" w:cstheme="minorHAnsi"/>
          <w:color w:val="auto"/>
          <w:sz w:val="22"/>
          <w:szCs w:val="22"/>
        </w:rPr>
      </w:pPr>
      <w:proofErr w:type="spellStart"/>
      <w:r w:rsidRPr="000F0D21">
        <w:rPr>
          <w:rFonts w:asciiTheme="minorHAnsi" w:hAnsiTheme="minorHAnsi" w:cstheme="minorHAnsi"/>
          <w:color w:val="auto"/>
          <w:sz w:val="22"/>
          <w:szCs w:val="22"/>
        </w:rPr>
        <w:t>Directores</w:t>
      </w:r>
      <w:proofErr w:type="spellEnd"/>
      <w:r w:rsidRPr="000F0D21">
        <w:rPr>
          <w:rFonts w:asciiTheme="minorHAnsi" w:hAnsiTheme="minorHAnsi" w:cstheme="minorHAnsi"/>
          <w:color w:val="auto"/>
          <w:sz w:val="22"/>
          <w:szCs w:val="22"/>
        </w:rPr>
        <w:t xml:space="preserve"> </w:t>
      </w:r>
      <w:proofErr w:type="spellStart"/>
      <w:r w:rsidRPr="000F0D21">
        <w:rPr>
          <w:rFonts w:asciiTheme="minorHAnsi" w:hAnsiTheme="minorHAnsi" w:cstheme="minorHAnsi"/>
          <w:color w:val="auto"/>
          <w:sz w:val="22"/>
          <w:szCs w:val="22"/>
        </w:rPr>
        <w:t>adjuntos</w:t>
      </w:r>
      <w:proofErr w:type="spellEnd"/>
      <w:r w:rsidRPr="000F0D21">
        <w:rPr>
          <w:rFonts w:asciiTheme="minorHAnsi" w:hAnsiTheme="minorHAnsi" w:cstheme="minorHAnsi"/>
          <w:color w:val="auto"/>
          <w:sz w:val="22"/>
          <w:szCs w:val="22"/>
        </w:rPr>
        <w:t xml:space="preserve"> de </w:t>
      </w:r>
      <w:proofErr w:type="spellStart"/>
      <w:r w:rsidRPr="000F0D21">
        <w:rPr>
          <w:rFonts w:asciiTheme="minorHAnsi" w:hAnsiTheme="minorHAnsi" w:cstheme="minorHAnsi"/>
          <w:color w:val="auto"/>
          <w:sz w:val="22"/>
          <w:szCs w:val="22"/>
        </w:rPr>
        <w:t>oficina</w:t>
      </w:r>
      <w:proofErr w:type="spellEnd"/>
      <w:r w:rsidRPr="000F0D21">
        <w:rPr>
          <w:rFonts w:asciiTheme="minorHAnsi" w:hAnsiTheme="minorHAnsi" w:cstheme="minorHAnsi"/>
          <w:color w:val="auto"/>
          <w:sz w:val="22"/>
          <w:szCs w:val="22"/>
        </w:rPr>
        <w:t>;</w:t>
      </w:r>
    </w:p>
    <w:p w14:paraId="281D4C92" w14:textId="33480FFB" w:rsidR="0035520B" w:rsidRPr="003A5087" w:rsidRDefault="0035520B" w:rsidP="0035520B">
      <w:pPr>
        <w:pStyle w:val="Default"/>
        <w:numPr>
          <w:ilvl w:val="1"/>
          <w:numId w:val="13"/>
        </w:numPr>
        <w:spacing w:after="12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Expertos o especialistas en temas concretos;</w:t>
      </w:r>
    </w:p>
    <w:p w14:paraId="070F3218" w14:textId="77777777" w:rsidR="0035520B" w:rsidRPr="003A5087" w:rsidRDefault="0035520B" w:rsidP="0035520B">
      <w:pPr>
        <w:pStyle w:val="Default"/>
        <w:numPr>
          <w:ilvl w:val="1"/>
          <w:numId w:val="13"/>
        </w:numPr>
        <w:spacing w:after="12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Otro personal, según sea necesario.</w:t>
      </w:r>
    </w:p>
    <w:p w14:paraId="6D0166E8" w14:textId="77777777" w:rsidR="0035520B" w:rsidRPr="003A5087" w:rsidRDefault="0035520B" w:rsidP="0035520B">
      <w:pPr>
        <w:pStyle w:val="Default"/>
        <w:spacing w:after="120"/>
        <w:ind w:left="360"/>
        <w:jc w:val="both"/>
        <w:rPr>
          <w:rFonts w:asciiTheme="minorHAnsi" w:hAnsiTheme="minorHAnsi" w:cstheme="minorHAnsi"/>
          <w:color w:val="auto"/>
          <w:sz w:val="22"/>
          <w:szCs w:val="22"/>
          <w:lang w:val="pt-BR"/>
        </w:rPr>
      </w:pPr>
    </w:p>
    <w:p w14:paraId="69D5C837" w14:textId="77777777" w:rsidR="0035520B" w:rsidRPr="003A5087" w:rsidRDefault="0035520B" w:rsidP="0035520B">
      <w:pPr>
        <w:pStyle w:val="Default"/>
        <w:numPr>
          <w:ilvl w:val="0"/>
          <w:numId w:val="4"/>
        </w:numPr>
        <w:spacing w:after="120" w:line="276" w:lineRule="auto"/>
        <w:ind w:left="360"/>
        <w:jc w:val="both"/>
        <w:rPr>
          <w:rFonts w:asciiTheme="minorHAnsi" w:hAnsiTheme="minorHAnsi" w:cstheme="minorHAnsi"/>
          <w:b/>
          <w:bCs/>
          <w:i/>
          <w:iCs/>
          <w:color w:val="auto"/>
          <w:sz w:val="22"/>
          <w:szCs w:val="22"/>
          <w:lang w:val="pt-BR"/>
        </w:rPr>
      </w:pPr>
      <w:r w:rsidRPr="003A5087">
        <w:rPr>
          <w:rFonts w:asciiTheme="minorHAnsi" w:hAnsiTheme="minorHAnsi" w:cstheme="minorHAnsi"/>
          <w:b/>
          <w:bCs/>
          <w:i/>
          <w:iCs/>
          <w:color w:val="auto"/>
          <w:sz w:val="22"/>
          <w:szCs w:val="22"/>
          <w:lang w:val="pt-BR"/>
        </w:rPr>
        <w:t>Relación con otras estructuras corporativas de toma de decisiones</w:t>
      </w:r>
    </w:p>
    <w:p w14:paraId="496EE296" w14:textId="740AC0BD" w:rsidR="0035520B" w:rsidRPr="003A5087" w:rsidRDefault="0035520B" w:rsidP="0035520B">
      <w:pPr>
        <w:pStyle w:val="Default"/>
        <w:spacing w:after="120" w:line="276" w:lineRule="auto"/>
        <w:jc w:val="both"/>
        <w:rPr>
          <w:rFonts w:asciiTheme="minorHAnsi" w:hAnsiTheme="minorHAnsi" w:cstheme="minorHAnsi"/>
          <w:sz w:val="22"/>
          <w:szCs w:val="22"/>
          <w:lang w:val="pt-BR"/>
        </w:rPr>
      </w:pPr>
      <w:r w:rsidRPr="003A5087">
        <w:rPr>
          <w:rFonts w:asciiTheme="minorHAnsi" w:hAnsiTheme="minorHAnsi" w:cstheme="minorHAnsi"/>
          <w:sz w:val="22"/>
          <w:szCs w:val="22"/>
          <w:lang w:val="pt-BR"/>
        </w:rPr>
        <w:t>El Comité de Riesgos es un grupo consultivo y es un subcomité del Grupo Ejecutivo. Presenta informes al Grupo Ejecutivo semestralmente o cuando es necesario. La relación con otras estructuras decisorias de la empresa puede describirse del siguiente modo:</w:t>
      </w:r>
    </w:p>
    <w:p w14:paraId="3DF770F4" w14:textId="20BD1238" w:rsidR="0035520B" w:rsidRPr="000F0D21" w:rsidRDefault="00B97555" w:rsidP="0035520B">
      <w:pPr>
        <w:pStyle w:val="Default"/>
        <w:spacing w:line="276" w:lineRule="auto"/>
        <w:ind w:left="360"/>
        <w:jc w:val="both"/>
        <w:rPr>
          <w:rFonts w:asciiTheme="minorHAnsi" w:hAnsiTheme="minorHAnsi" w:cstheme="minorHAnsi"/>
          <w:sz w:val="22"/>
          <w:szCs w:val="22"/>
        </w:rPr>
      </w:pPr>
      <w:r>
        <w:rPr>
          <w:rFonts w:ascii="Myriad Pro" w:hAnsi="Myriad Pro"/>
          <w:noProof/>
        </w:rPr>
        <w:lastRenderedPageBreak/>
        <mc:AlternateContent>
          <mc:Choice Requires="wps">
            <w:drawing>
              <wp:anchor distT="0" distB="0" distL="114300" distR="114300" simplePos="0" relativeHeight="251659264" behindDoc="0" locked="0" layoutInCell="1" allowOverlap="1" wp14:anchorId="69D8891B" wp14:editId="1F25AC37">
                <wp:simplePos x="0" y="0"/>
                <wp:positionH relativeFrom="column">
                  <wp:posOffset>457200</wp:posOffset>
                </wp:positionH>
                <wp:positionV relativeFrom="paragraph">
                  <wp:posOffset>2537460</wp:posOffset>
                </wp:positionV>
                <wp:extent cx="1790700" cy="533400"/>
                <wp:effectExtent l="0" t="0" r="0" b="0"/>
                <wp:wrapNone/>
                <wp:docPr id="311276209" name="Text Box 1"/>
                <wp:cNvGraphicFramePr/>
                <a:graphic xmlns:a="http://schemas.openxmlformats.org/drawingml/2006/main">
                  <a:graphicData uri="http://schemas.microsoft.com/office/word/2010/wordprocessingShape">
                    <wps:wsp>
                      <wps:cNvSpPr txBox="1"/>
                      <wps:spPr>
                        <a:xfrm>
                          <a:off x="0" y="0"/>
                          <a:ext cx="1790700" cy="533400"/>
                        </a:xfrm>
                        <a:prstGeom prst="rect">
                          <a:avLst/>
                        </a:prstGeom>
                        <a:noFill/>
                        <a:ln w="6350">
                          <a:noFill/>
                        </a:ln>
                      </wps:spPr>
                      <wps:txbx>
                        <w:txbxContent>
                          <w:p w14:paraId="4CF30064" w14:textId="77777777" w:rsidR="00B97555" w:rsidRDefault="00B97555" w:rsidP="001D21F4">
                            <w:pPr>
                              <w:jc w:val="center"/>
                            </w:pPr>
                            <w:r w:rsidRPr="0056693F">
                              <w:rPr>
                                <w:rFonts w:ascii="Calibri" w:eastAsiaTheme="minorEastAsia" w:hAnsi="Calibri" w:cs="Calibri"/>
                                <w:b/>
                                <w:bCs/>
                                <w:color w:val="000000"/>
                                <w:sz w:val="20"/>
                                <w:szCs w:val="20"/>
                              </w:rPr>
                              <w:t>CR: ANÁLISIS, EVALUACIÓN, RECOMENDACIONES Y SEGUIMIENTO DE RIESGOS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8891B" id="_x0000_t202" coordsize="21600,21600" o:spt="202" path="m,l,21600r21600,l21600,xe">
                <v:stroke joinstyle="miter"/>
                <v:path gradientshapeok="t" o:connecttype="rect"/>
              </v:shapetype>
              <v:shape id="Text Box 1" o:spid="_x0000_s1026" type="#_x0000_t202" style="position:absolute;left:0;text-align:left;margin-left:36pt;margin-top:199.8pt;width:141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uJFQ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" filled="f" stroked="f" strokeweight=".5pt">
                <v:textbox>
                  <w:txbxContent>
                    <w:p w14:paraId="4CF30064" w14:textId="77777777" w:rsidR="00B97555" w:rsidRDefault="00B97555" w:rsidP="001D21F4">
                      <w:pPr>
                        <w:jc w:val="center"/>
                      </w:pPr>
                      <w:r w:rsidRPr="0056693F">
                        <w:rPr>
                          <w:rFonts w:ascii="Calibri" w:eastAsiaTheme="minorEastAsia" w:hAnsi="Calibri" w:cs="Calibri"/>
                          <w:b/>
                          <w:bCs/>
                          <w:color w:val="000000"/>
                          <w:sz w:val="20"/>
                          <w:szCs w:val="20"/>
                        </w:rPr>
                        <w:t>CR: ANÁLISIS, EVALUACIÓN, RECOMENDACIONES Y SEGUIMIENTO DE RIESGOS</w:t>
                      </w:r>
                    </w:p>
                  </w:txbxContent>
                </v:textbox>
              </v:shape>
            </w:pict>
          </mc:Fallback>
        </mc:AlternateContent>
      </w:r>
      <w:r w:rsidR="0035520B" w:rsidRPr="000F0D21">
        <w:rPr>
          <w:rFonts w:asciiTheme="minorHAnsi" w:hAnsiTheme="minorHAnsi" w:cstheme="minorHAnsi"/>
          <w:noProof/>
          <w:sz w:val="22"/>
          <w:szCs w:val="22"/>
        </w:rPr>
        <w:drawing>
          <wp:inline distT="0" distB="0" distL="0" distR="0" wp14:anchorId="58B97163" wp14:editId="6205754E">
            <wp:extent cx="4273550" cy="3206750"/>
            <wp:effectExtent l="57150" t="57150" r="0" b="50800"/>
            <wp:docPr id="1938957116" name="Diagram 19389571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8B52006" w14:textId="40F20BD7" w:rsidR="0035520B" w:rsidRPr="000F0D21" w:rsidRDefault="0035520B" w:rsidP="0035520B">
      <w:pPr>
        <w:pStyle w:val="Default"/>
        <w:spacing w:line="276" w:lineRule="auto"/>
        <w:ind w:left="357"/>
        <w:jc w:val="both"/>
        <w:rPr>
          <w:rFonts w:asciiTheme="minorHAnsi" w:hAnsiTheme="minorHAnsi" w:cstheme="minorHAnsi"/>
          <w:color w:val="auto"/>
          <w:sz w:val="22"/>
          <w:szCs w:val="22"/>
        </w:rPr>
      </w:pPr>
    </w:p>
    <w:p w14:paraId="379A68C9" w14:textId="028FE93C" w:rsidR="0035520B" w:rsidRPr="003A5087" w:rsidRDefault="0035520B" w:rsidP="0035520B">
      <w:pPr>
        <w:pStyle w:val="Default"/>
        <w:spacing w:line="276" w:lineRule="auto"/>
        <w:ind w:left="357"/>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El Comité de Riesgos revisa, analiza y aconseja sobre los riesgos corporativos que se escalan a través de los diferentes mecanismos corporativos y fuentes de datos (por ejemplo, OPG,  Junta de Crisis, Registro de Riesgos, etc.), así como mediante el análisis de riesgos por parte de distintas Oficinas y/o expertos técnicos. Las decisiones sobre el tratamiento de los riesgos deben recomendarse al mecanismo existente para su aplicación. El Comité de Riesgos supervisará el estado de la aplicación de estos tratamientos durante las reuniones periódicas del Comité de Riesgos. </w:t>
      </w:r>
    </w:p>
    <w:p w14:paraId="39B2C25C" w14:textId="77777777" w:rsidR="0035520B" w:rsidRPr="003A5087" w:rsidRDefault="0035520B" w:rsidP="0035520B">
      <w:pPr>
        <w:pStyle w:val="Default"/>
        <w:spacing w:line="276" w:lineRule="auto"/>
        <w:ind w:left="360"/>
        <w:jc w:val="both"/>
        <w:rPr>
          <w:rFonts w:asciiTheme="minorHAnsi" w:hAnsiTheme="minorHAnsi" w:cstheme="minorHAnsi"/>
          <w:color w:val="920000"/>
          <w:sz w:val="22"/>
          <w:szCs w:val="22"/>
          <w:lang w:val="pt-BR"/>
        </w:rPr>
      </w:pPr>
    </w:p>
    <w:p w14:paraId="19D70703" w14:textId="77777777" w:rsidR="0035520B" w:rsidRPr="000F0D21" w:rsidRDefault="0035520B" w:rsidP="0035520B">
      <w:pPr>
        <w:pStyle w:val="Default"/>
        <w:numPr>
          <w:ilvl w:val="0"/>
          <w:numId w:val="4"/>
        </w:numPr>
        <w:spacing w:line="276" w:lineRule="auto"/>
        <w:jc w:val="both"/>
        <w:rPr>
          <w:rFonts w:asciiTheme="minorHAnsi" w:hAnsiTheme="minorHAnsi" w:cstheme="minorHAnsi"/>
          <w:b/>
          <w:bCs/>
          <w:i/>
          <w:iCs/>
          <w:color w:val="auto"/>
          <w:sz w:val="22"/>
          <w:szCs w:val="22"/>
        </w:rPr>
      </w:pPr>
      <w:proofErr w:type="spellStart"/>
      <w:r w:rsidRPr="000F0D21">
        <w:rPr>
          <w:rFonts w:asciiTheme="minorHAnsi" w:hAnsiTheme="minorHAnsi" w:cstheme="minorHAnsi"/>
          <w:b/>
          <w:bCs/>
          <w:i/>
          <w:iCs/>
          <w:color w:val="auto"/>
          <w:sz w:val="22"/>
          <w:szCs w:val="22"/>
        </w:rPr>
        <w:t>Reuniones</w:t>
      </w:r>
      <w:proofErr w:type="spellEnd"/>
      <w:r w:rsidRPr="000F0D21">
        <w:rPr>
          <w:rFonts w:asciiTheme="minorHAnsi" w:hAnsiTheme="minorHAnsi" w:cstheme="minorHAnsi"/>
          <w:b/>
          <w:bCs/>
          <w:i/>
          <w:iCs/>
          <w:color w:val="auto"/>
          <w:sz w:val="22"/>
          <w:szCs w:val="22"/>
        </w:rPr>
        <w:t xml:space="preserve"> del </w:t>
      </w:r>
      <w:proofErr w:type="spellStart"/>
      <w:r w:rsidRPr="000F0D21">
        <w:rPr>
          <w:rFonts w:asciiTheme="minorHAnsi" w:hAnsiTheme="minorHAnsi" w:cstheme="minorHAnsi"/>
          <w:b/>
          <w:bCs/>
          <w:i/>
          <w:iCs/>
          <w:color w:val="auto"/>
          <w:sz w:val="22"/>
          <w:szCs w:val="22"/>
        </w:rPr>
        <w:t>Comité</w:t>
      </w:r>
      <w:proofErr w:type="spellEnd"/>
      <w:r w:rsidRPr="000F0D21">
        <w:rPr>
          <w:rFonts w:asciiTheme="minorHAnsi" w:hAnsiTheme="minorHAnsi" w:cstheme="minorHAnsi"/>
          <w:b/>
          <w:bCs/>
          <w:i/>
          <w:iCs/>
          <w:color w:val="auto"/>
          <w:sz w:val="22"/>
          <w:szCs w:val="22"/>
        </w:rPr>
        <w:t xml:space="preserve"> de </w:t>
      </w:r>
      <w:proofErr w:type="spellStart"/>
      <w:r w:rsidRPr="000F0D21">
        <w:rPr>
          <w:rFonts w:asciiTheme="minorHAnsi" w:hAnsiTheme="minorHAnsi" w:cstheme="minorHAnsi"/>
          <w:b/>
          <w:bCs/>
          <w:i/>
          <w:iCs/>
          <w:color w:val="auto"/>
          <w:sz w:val="22"/>
          <w:szCs w:val="22"/>
        </w:rPr>
        <w:t>Riesgos</w:t>
      </w:r>
      <w:proofErr w:type="spellEnd"/>
      <w:r w:rsidRPr="000F0D21">
        <w:rPr>
          <w:rFonts w:asciiTheme="minorHAnsi" w:hAnsiTheme="minorHAnsi" w:cstheme="minorHAnsi"/>
          <w:b/>
          <w:bCs/>
          <w:i/>
          <w:iCs/>
          <w:color w:val="auto"/>
          <w:sz w:val="22"/>
          <w:szCs w:val="22"/>
        </w:rPr>
        <w:t xml:space="preserve"> </w:t>
      </w:r>
    </w:p>
    <w:p w14:paraId="6934AB6B" w14:textId="77777777" w:rsidR="0035520B" w:rsidRPr="003A5087" w:rsidRDefault="0035520B" w:rsidP="0035520B">
      <w:pPr>
        <w:pStyle w:val="Default"/>
        <w:spacing w:line="276" w:lineRule="auto"/>
        <w:ind w:left="360"/>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El Comité de Riesgos se reunirá cuatro veces al año. Con carácter ad hoc, el presidente del Comité de Riesgos también puede convocar una reunión del Comité para deliberar de inmediato sobre cualquier cuestión de riesgo urgente. El orden del día de la reunión del Comité de Riesgos puede incluir temas tales como los siguientes:</w:t>
      </w:r>
    </w:p>
    <w:p w14:paraId="24A123F4" w14:textId="77777777" w:rsidR="0035520B" w:rsidRPr="003A5087" w:rsidRDefault="0035520B" w:rsidP="0035520B">
      <w:pPr>
        <w:pStyle w:val="Default"/>
        <w:numPr>
          <w:ilvl w:val="1"/>
          <w:numId w:val="14"/>
        </w:numPr>
        <w:spacing w:line="276" w:lineRule="auto"/>
        <w:ind w:left="993"/>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Revisión de la eficacia de la aplicación de la ERM (incluidas las políticas, los procedimientos, el aprendizaje y otras herramientas);</w:t>
      </w:r>
    </w:p>
    <w:p w14:paraId="54ED19B0" w14:textId="77777777" w:rsidR="0035520B" w:rsidRPr="003A5087" w:rsidRDefault="0035520B" w:rsidP="0035520B">
      <w:pPr>
        <w:pStyle w:val="Default"/>
        <w:numPr>
          <w:ilvl w:val="1"/>
          <w:numId w:val="14"/>
        </w:numPr>
        <w:spacing w:line="276" w:lineRule="auto"/>
        <w:ind w:left="993"/>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Identificar, revisar y gestionar los riesgos corporativos, incluido el análisis de las tendencias emergentes y los riesgos que afectan a la organización (incluida la revisión del Registro de Riesgos corporativo agregado y los KRI); </w:t>
      </w:r>
    </w:p>
    <w:p w14:paraId="26FF4ACF" w14:textId="77777777" w:rsidR="0035520B" w:rsidRPr="003A5087" w:rsidRDefault="0035520B" w:rsidP="0035520B">
      <w:pPr>
        <w:pStyle w:val="Default"/>
        <w:numPr>
          <w:ilvl w:val="1"/>
          <w:numId w:val="14"/>
        </w:numPr>
        <w:spacing w:line="276" w:lineRule="auto"/>
        <w:ind w:left="993"/>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 xml:space="preserve">Revisar los riesgos de los países en crisis de nivel 3, bajo la dirección de las oficinas regionales. </w:t>
      </w:r>
    </w:p>
    <w:p w14:paraId="2AE5A0D2" w14:textId="77777777" w:rsidR="0035520B" w:rsidRPr="003A5087" w:rsidRDefault="0035520B" w:rsidP="0035520B">
      <w:pPr>
        <w:pStyle w:val="Default"/>
        <w:numPr>
          <w:ilvl w:val="1"/>
          <w:numId w:val="14"/>
        </w:numPr>
        <w:spacing w:line="276" w:lineRule="auto"/>
        <w:ind w:left="993"/>
        <w:jc w:val="both"/>
        <w:rPr>
          <w:rFonts w:asciiTheme="minorHAnsi" w:hAnsiTheme="minorHAnsi" w:cstheme="minorHAnsi"/>
          <w:color w:val="auto"/>
          <w:sz w:val="22"/>
          <w:szCs w:val="22"/>
          <w:lang w:val="pt-BR"/>
        </w:rPr>
      </w:pPr>
      <w:r w:rsidRPr="003A5087">
        <w:rPr>
          <w:rFonts w:asciiTheme="minorHAnsi" w:hAnsiTheme="minorHAnsi" w:cstheme="minorHAnsi"/>
          <w:color w:val="auto"/>
          <w:sz w:val="22"/>
          <w:szCs w:val="22"/>
          <w:lang w:val="pt-BR"/>
        </w:rPr>
        <w:t>Revisar riesgos escalados por otros mecanismos y Oficinas Regionales.</w:t>
      </w:r>
    </w:p>
    <w:p w14:paraId="465765EA" w14:textId="77777777" w:rsidR="0035520B" w:rsidRPr="000F0D21" w:rsidRDefault="0035520B" w:rsidP="0035520B">
      <w:pPr>
        <w:pStyle w:val="Default"/>
        <w:numPr>
          <w:ilvl w:val="1"/>
          <w:numId w:val="14"/>
        </w:numPr>
        <w:spacing w:line="276" w:lineRule="auto"/>
        <w:ind w:left="993"/>
        <w:jc w:val="both"/>
        <w:rPr>
          <w:rFonts w:asciiTheme="minorHAnsi" w:hAnsiTheme="minorHAnsi" w:cstheme="minorHAnsi"/>
          <w:color w:val="auto"/>
          <w:sz w:val="22"/>
          <w:szCs w:val="22"/>
          <w:lang w:val="es-AR"/>
        </w:rPr>
      </w:pPr>
      <w:r w:rsidRPr="000F0D21">
        <w:rPr>
          <w:rFonts w:asciiTheme="minorHAnsi" w:hAnsiTheme="minorHAnsi" w:cstheme="minorHAnsi"/>
          <w:color w:val="auto"/>
          <w:sz w:val="22"/>
          <w:szCs w:val="22"/>
          <w:lang w:val="es-AR"/>
        </w:rPr>
        <w:t>Cualquier otra actividad</w:t>
      </w:r>
    </w:p>
    <w:p w14:paraId="21EDA2BE" w14:textId="77777777" w:rsidR="0035520B" w:rsidRPr="000F0D21" w:rsidRDefault="0035520B" w:rsidP="0035520B">
      <w:pPr>
        <w:pStyle w:val="Default"/>
        <w:spacing w:line="276" w:lineRule="auto"/>
        <w:ind w:left="357"/>
        <w:jc w:val="both"/>
        <w:rPr>
          <w:rFonts w:asciiTheme="minorHAnsi" w:hAnsiTheme="minorHAnsi" w:cstheme="minorHAnsi"/>
          <w:color w:val="auto"/>
          <w:sz w:val="22"/>
          <w:szCs w:val="22"/>
        </w:rPr>
      </w:pPr>
    </w:p>
    <w:p w14:paraId="3489199B" w14:textId="77777777" w:rsidR="0035520B" w:rsidRPr="000F0D21" w:rsidRDefault="0035520B" w:rsidP="0035520B">
      <w:pPr>
        <w:pStyle w:val="Default"/>
        <w:keepNext/>
        <w:numPr>
          <w:ilvl w:val="0"/>
          <w:numId w:val="4"/>
        </w:numPr>
        <w:spacing w:line="276" w:lineRule="auto"/>
        <w:jc w:val="both"/>
        <w:rPr>
          <w:rFonts w:asciiTheme="minorHAnsi" w:hAnsiTheme="minorHAnsi" w:cstheme="minorHAnsi"/>
          <w:b/>
          <w:bCs/>
          <w:i/>
          <w:iCs/>
          <w:color w:val="auto"/>
          <w:sz w:val="22"/>
          <w:szCs w:val="22"/>
        </w:rPr>
      </w:pPr>
      <w:proofErr w:type="spellStart"/>
      <w:r w:rsidRPr="000F0D21">
        <w:rPr>
          <w:rFonts w:asciiTheme="minorHAnsi" w:hAnsiTheme="minorHAnsi" w:cstheme="minorHAnsi"/>
          <w:b/>
          <w:bCs/>
          <w:i/>
          <w:iCs/>
          <w:color w:val="auto"/>
          <w:sz w:val="22"/>
          <w:szCs w:val="22"/>
        </w:rPr>
        <w:t>Secretaria</w:t>
      </w:r>
      <w:proofErr w:type="spellEnd"/>
      <w:r w:rsidRPr="000F0D21">
        <w:rPr>
          <w:rFonts w:asciiTheme="minorHAnsi" w:hAnsiTheme="minorHAnsi" w:cstheme="minorHAnsi"/>
          <w:b/>
          <w:bCs/>
          <w:i/>
          <w:iCs/>
          <w:color w:val="auto"/>
          <w:sz w:val="22"/>
          <w:szCs w:val="22"/>
        </w:rPr>
        <w:t xml:space="preserve"> del </w:t>
      </w:r>
      <w:proofErr w:type="spellStart"/>
      <w:r w:rsidRPr="000F0D21">
        <w:rPr>
          <w:rFonts w:asciiTheme="minorHAnsi" w:hAnsiTheme="minorHAnsi" w:cstheme="minorHAnsi"/>
          <w:b/>
          <w:bCs/>
          <w:i/>
          <w:iCs/>
          <w:color w:val="auto"/>
          <w:sz w:val="22"/>
          <w:szCs w:val="22"/>
        </w:rPr>
        <w:t>Comité</w:t>
      </w:r>
      <w:proofErr w:type="spellEnd"/>
      <w:r w:rsidRPr="000F0D21">
        <w:rPr>
          <w:rFonts w:asciiTheme="minorHAnsi" w:hAnsiTheme="minorHAnsi" w:cstheme="minorHAnsi"/>
          <w:b/>
          <w:bCs/>
          <w:i/>
          <w:iCs/>
          <w:color w:val="auto"/>
          <w:sz w:val="22"/>
          <w:szCs w:val="22"/>
        </w:rPr>
        <w:t xml:space="preserve"> de </w:t>
      </w:r>
      <w:proofErr w:type="spellStart"/>
      <w:r w:rsidRPr="000F0D21">
        <w:rPr>
          <w:rFonts w:asciiTheme="minorHAnsi" w:hAnsiTheme="minorHAnsi" w:cstheme="minorHAnsi"/>
          <w:b/>
          <w:bCs/>
          <w:i/>
          <w:iCs/>
          <w:color w:val="auto"/>
          <w:sz w:val="22"/>
          <w:szCs w:val="22"/>
        </w:rPr>
        <w:t>Riesgos</w:t>
      </w:r>
      <w:proofErr w:type="spellEnd"/>
      <w:r w:rsidRPr="000F0D21">
        <w:rPr>
          <w:rFonts w:asciiTheme="minorHAnsi" w:hAnsiTheme="minorHAnsi" w:cstheme="minorHAnsi"/>
          <w:b/>
          <w:bCs/>
          <w:i/>
          <w:iCs/>
          <w:color w:val="auto"/>
          <w:sz w:val="22"/>
          <w:szCs w:val="22"/>
        </w:rPr>
        <w:t xml:space="preserve"> </w:t>
      </w:r>
    </w:p>
    <w:p w14:paraId="0AA82D33" w14:textId="77777777" w:rsidR="0035520B" w:rsidRPr="000F0D21" w:rsidRDefault="0035520B" w:rsidP="0035520B">
      <w:pPr>
        <w:pStyle w:val="Default"/>
        <w:keepNext/>
        <w:spacing w:line="276" w:lineRule="auto"/>
        <w:ind w:left="357"/>
        <w:jc w:val="both"/>
        <w:rPr>
          <w:rFonts w:asciiTheme="minorHAnsi" w:hAnsiTheme="minorHAnsi" w:cstheme="minorHAnsi"/>
          <w:color w:val="auto"/>
          <w:sz w:val="22"/>
          <w:szCs w:val="22"/>
        </w:rPr>
      </w:pPr>
      <w:r w:rsidRPr="003A5087">
        <w:rPr>
          <w:rFonts w:asciiTheme="minorHAnsi" w:hAnsiTheme="minorHAnsi" w:cstheme="minorHAnsi"/>
          <w:color w:val="auto"/>
          <w:sz w:val="22"/>
          <w:szCs w:val="22"/>
          <w:lang w:val="pt-BR"/>
        </w:rPr>
        <w:t xml:space="preserve">El Comité de Riesgos cuenta con el apoyo de una secretaría (EXO/CPU) para asistir al presidente y a los miembros del Comité en la gestión eficaz y eficiente de sus reuniones. </w:t>
      </w:r>
      <w:r w:rsidRPr="000F0D21">
        <w:rPr>
          <w:rFonts w:asciiTheme="minorHAnsi" w:hAnsiTheme="minorHAnsi" w:cstheme="minorHAnsi"/>
          <w:color w:val="auto"/>
          <w:sz w:val="22"/>
          <w:szCs w:val="22"/>
        </w:rPr>
        <w:t xml:space="preserve">Esto </w:t>
      </w:r>
      <w:proofErr w:type="spellStart"/>
      <w:r w:rsidRPr="000F0D21">
        <w:rPr>
          <w:rFonts w:asciiTheme="minorHAnsi" w:hAnsiTheme="minorHAnsi" w:cstheme="minorHAnsi"/>
          <w:color w:val="auto"/>
          <w:sz w:val="22"/>
          <w:szCs w:val="22"/>
        </w:rPr>
        <w:t>incluye</w:t>
      </w:r>
      <w:proofErr w:type="spellEnd"/>
      <w:r w:rsidRPr="000F0D21">
        <w:rPr>
          <w:rFonts w:asciiTheme="minorHAnsi" w:hAnsiTheme="minorHAnsi" w:cstheme="minorHAnsi"/>
          <w:color w:val="auto"/>
          <w:sz w:val="22"/>
          <w:szCs w:val="22"/>
        </w:rPr>
        <w:t>:</w:t>
      </w:r>
    </w:p>
    <w:p w14:paraId="70DAA17E"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Preparar el orden del día para las reuniones de los comités;</w:t>
      </w:r>
    </w:p>
    <w:p w14:paraId="0E723FCF"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lastRenderedPageBreak/>
        <w:t>Colaborar con las Oficinas Regionales en relación con el material de referencia pertinente;</w:t>
      </w:r>
    </w:p>
    <w:p w14:paraId="5006A45E"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Realizar el análisis de los registros de riesgos agregados como parte del análisis de riesgo corporativo;</w:t>
      </w:r>
    </w:p>
    <w:p w14:paraId="29DC7E85"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 xml:space="preserve">Registrar y presentar los riesgos escalados para las deliberaciones del comité; </w:t>
      </w:r>
    </w:p>
    <w:p w14:paraId="0AEE7C07"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Facilitar la presentación de pruebas relativas a riesgos críticos de importancia estratégica.</w:t>
      </w:r>
    </w:p>
    <w:p w14:paraId="7A18C57F"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 xml:space="preserve">Garantizar el registro de los riesgos en el Registro de Riesgos; y </w:t>
      </w:r>
    </w:p>
    <w:p w14:paraId="36891998" w14:textId="1651BD15" w:rsidR="00A31C56" w:rsidRPr="001D21F4" w:rsidRDefault="0035520B" w:rsidP="000F0D21">
      <w:pPr>
        <w:pStyle w:val="ListParagraph"/>
        <w:numPr>
          <w:ilvl w:val="0"/>
          <w:numId w:val="15"/>
        </w:numPr>
        <w:shd w:val="clear" w:color="auto" w:fill="FFFFFF"/>
      </w:pPr>
      <w:r w:rsidRPr="000F0D21">
        <w:rPr>
          <w:rFonts w:eastAsiaTheme="minorEastAsia" w:cstheme="minorHAnsi"/>
          <w:sz w:val="22"/>
          <w:szCs w:val="22"/>
        </w:rPr>
        <w:t>Cualquier otra tarea que le asigne el presidente del Comité.</w:t>
      </w:r>
    </w:p>
    <w:p w14:paraId="4F6B99AA" w14:textId="77777777" w:rsidR="001D21F4" w:rsidRDefault="001D21F4" w:rsidP="001D21F4">
      <w:pPr>
        <w:shd w:val="clear" w:color="auto" w:fill="FFFFFF"/>
      </w:pPr>
    </w:p>
    <w:p w14:paraId="2226335C" w14:textId="77777777" w:rsidR="001D21F4" w:rsidRDefault="001D21F4" w:rsidP="001D21F4">
      <w:pPr>
        <w:shd w:val="clear" w:color="auto" w:fill="FFFFFF"/>
      </w:pPr>
    </w:p>
    <w:p w14:paraId="74B00226" w14:textId="77777777" w:rsidR="001D21F4" w:rsidRDefault="001D21F4" w:rsidP="001D21F4">
      <w:pPr>
        <w:shd w:val="clear" w:color="auto" w:fill="FFFFFF"/>
      </w:pPr>
    </w:p>
    <w:p w14:paraId="40940CA7" w14:textId="77777777" w:rsidR="001D21F4" w:rsidRDefault="001D21F4" w:rsidP="001D21F4">
      <w:pPr>
        <w:shd w:val="clear" w:color="auto" w:fill="FFFFFF"/>
      </w:pPr>
    </w:p>
    <w:p w14:paraId="4D662F5D" w14:textId="77777777" w:rsidR="001D21F4" w:rsidRPr="001D21F4" w:rsidRDefault="001D21F4" w:rsidP="001D21F4">
      <w:pPr>
        <w:widowControl w:val="0"/>
        <w:autoSpaceDE w:val="0"/>
        <w:autoSpaceDN w:val="0"/>
        <w:spacing w:before="63" w:line="235" w:lineRule="auto"/>
        <w:rPr>
          <w:rFonts w:cstheme="minorHAnsi"/>
          <w:i/>
          <w:iCs/>
          <w:sz w:val="22"/>
          <w:szCs w:val="22"/>
        </w:rPr>
      </w:pPr>
      <w:proofErr w:type="spellStart"/>
      <w:r w:rsidRPr="001D21F4">
        <w:rPr>
          <w:rFonts w:cstheme="minorHAnsi"/>
          <w:b/>
          <w:bCs/>
          <w:i/>
          <w:iCs/>
          <w:sz w:val="22"/>
          <w:szCs w:val="22"/>
        </w:rPr>
        <w:t>Descargo</w:t>
      </w:r>
      <w:proofErr w:type="spellEnd"/>
      <w:r w:rsidRPr="001D21F4">
        <w:rPr>
          <w:rFonts w:cstheme="minorHAnsi"/>
          <w:b/>
          <w:bCs/>
          <w:i/>
          <w:iCs/>
          <w:sz w:val="22"/>
          <w:szCs w:val="22"/>
        </w:rPr>
        <w:t xml:space="preserve"> de </w:t>
      </w:r>
      <w:proofErr w:type="spellStart"/>
      <w:r w:rsidRPr="001D21F4">
        <w:rPr>
          <w:rFonts w:cstheme="minorHAnsi"/>
          <w:b/>
          <w:bCs/>
          <w:i/>
          <w:iCs/>
          <w:sz w:val="22"/>
          <w:szCs w:val="22"/>
        </w:rPr>
        <w:t>responsabilidad</w:t>
      </w:r>
      <w:proofErr w:type="spellEnd"/>
      <w:r w:rsidRPr="001D21F4">
        <w:rPr>
          <w:rFonts w:cstheme="minorHAnsi"/>
          <w:b/>
          <w:bCs/>
          <w:i/>
          <w:iCs/>
          <w:sz w:val="22"/>
          <w:szCs w:val="22"/>
        </w:rPr>
        <w:t>:</w:t>
      </w:r>
      <w:r w:rsidRPr="001D21F4">
        <w:rPr>
          <w:rFonts w:cstheme="minorHAnsi"/>
          <w:i/>
          <w:iCs/>
          <w:sz w:val="22"/>
          <w:szCs w:val="22"/>
        </w:rPr>
        <w:t xml:space="preserve"> </w:t>
      </w:r>
      <w:proofErr w:type="spellStart"/>
      <w:r w:rsidRPr="001D21F4">
        <w:rPr>
          <w:rFonts w:cstheme="minorHAnsi"/>
          <w:i/>
          <w:iCs/>
          <w:sz w:val="22"/>
          <w:szCs w:val="22"/>
        </w:rPr>
        <w:t>esta</w:t>
      </w:r>
      <w:proofErr w:type="spellEnd"/>
      <w:r w:rsidRPr="001D21F4">
        <w:rPr>
          <w:rFonts w:cstheme="minorHAnsi"/>
          <w:i/>
          <w:iCs/>
          <w:sz w:val="22"/>
          <w:szCs w:val="22"/>
        </w:rPr>
        <w:t xml:space="preserve"> es </w:t>
      </w:r>
      <w:proofErr w:type="spellStart"/>
      <w:r w:rsidRPr="001D21F4">
        <w:rPr>
          <w:rFonts w:cstheme="minorHAnsi"/>
          <w:i/>
          <w:iCs/>
          <w:sz w:val="22"/>
          <w:szCs w:val="22"/>
        </w:rPr>
        <w:t>una</w:t>
      </w:r>
      <w:proofErr w:type="spellEnd"/>
      <w:r w:rsidRPr="001D21F4">
        <w:rPr>
          <w:rFonts w:cstheme="minorHAnsi"/>
          <w:i/>
          <w:iCs/>
          <w:sz w:val="22"/>
          <w:szCs w:val="22"/>
        </w:rPr>
        <w:t xml:space="preserve"> </w:t>
      </w:r>
      <w:proofErr w:type="spellStart"/>
      <w:r w:rsidRPr="001D21F4">
        <w:rPr>
          <w:rFonts w:cstheme="minorHAnsi"/>
          <w:i/>
          <w:iCs/>
          <w:sz w:val="22"/>
          <w:szCs w:val="22"/>
        </w:rPr>
        <w:t>traducción</w:t>
      </w:r>
      <w:proofErr w:type="spellEnd"/>
      <w:r w:rsidRPr="001D21F4">
        <w:rPr>
          <w:rFonts w:cstheme="minorHAnsi"/>
          <w:i/>
          <w:iCs/>
          <w:sz w:val="22"/>
          <w:szCs w:val="22"/>
        </w:rPr>
        <w:t xml:space="preserve"> de un </w:t>
      </w:r>
      <w:proofErr w:type="spellStart"/>
      <w:r w:rsidRPr="001D21F4">
        <w:rPr>
          <w:rFonts w:cstheme="minorHAnsi"/>
          <w:i/>
          <w:iCs/>
          <w:sz w:val="22"/>
          <w:szCs w:val="22"/>
        </w:rPr>
        <w:t>documento</w:t>
      </w:r>
      <w:proofErr w:type="spellEnd"/>
      <w:r w:rsidRPr="001D21F4">
        <w:rPr>
          <w:rFonts w:cstheme="minorHAnsi"/>
          <w:i/>
          <w:iCs/>
          <w:sz w:val="22"/>
          <w:szCs w:val="22"/>
        </w:rPr>
        <w:t xml:space="preserve"> original </w:t>
      </w:r>
      <w:proofErr w:type="spellStart"/>
      <w:r w:rsidRPr="001D21F4">
        <w:rPr>
          <w:rFonts w:cstheme="minorHAnsi"/>
          <w:i/>
          <w:iCs/>
          <w:sz w:val="22"/>
          <w:szCs w:val="22"/>
        </w:rPr>
        <w:t>en</w:t>
      </w:r>
      <w:proofErr w:type="spellEnd"/>
      <w:r w:rsidRPr="001D21F4">
        <w:rPr>
          <w:rFonts w:cstheme="minorHAnsi"/>
          <w:i/>
          <w:iCs/>
          <w:sz w:val="22"/>
          <w:szCs w:val="22"/>
        </w:rPr>
        <w:t xml:space="preserve"> </w:t>
      </w:r>
      <w:proofErr w:type="spellStart"/>
      <w:r w:rsidRPr="001D21F4">
        <w:rPr>
          <w:rFonts w:cstheme="minorHAnsi"/>
          <w:i/>
          <w:iCs/>
          <w:sz w:val="22"/>
          <w:szCs w:val="22"/>
        </w:rPr>
        <w:t>inglés</w:t>
      </w:r>
      <w:proofErr w:type="spellEnd"/>
      <w:r w:rsidRPr="001D21F4">
        <w:rPr>
          <w:rFonts w:cstheme="minorHAnsi"/>
          <w:i/>
          <w:iCs/>
          <w:sz w:val="22"/>
          <w:szCs w:val="22"/>
        </w:rPr>
        <w:t xml:space="preserve">. En </w:t>
      </w:r>
      <w:proofErr w:type="spellStart"/>
      <w:r w:rsidRPr="001D21F4">
        <w:rPr>
          <w:rFonts w:cstheme="minorHAnsi"/>
          <w:i/>
          <w:iCs/>
          <w:sz w:val="22"/>
          <w:szCs w:val="22"/>
        </w:rPr>
        <w:t>caso</w:t>
      </w:r>
      <w:proofErr w:type="spellEnd"/>
      <w:r w:rsidRPr="001D21F4">
        <w:rPr>
          <w:rFonts w:cstheme="minorHAnsi"/>
          <w:i/>
          <w:iCs/>
          <w:sz w:val="22"/>
          <w:szCs w:val="22"/>
        </w:rPr>
        <w:t xml:space="preserve"> de </w:t>
      </w:r>
      <w:proofErr w:type="spellStart"/>
      <w:r w:rsidRPr="001D21F4">
        <w:rPr>
          <w:rFonts w:cstheme="minorHAnsi"/>
          <w:i/>
          <w:iCs/>
          <w:sz w:val="22"/>
          <w:szCs w:val="22"/>
        </w:rPr>
        <w:t>discrepancias</w:t>
      </w:r>
      <w:proofErr w:type="spellEnd"/>
      <w:r w:rsidRPr="001D21F4">
        <w:rPr>
          <w:rFonts w:cstheme="minorHAnsi"/>
          <w:i/>
          <w:iCs/>
          <w:sz w:val="22"/>
          <w:szCs w:val="22"/>
        </w:rPr>
        <w:t xml:space="preserve"> entre </w:t>
      </w:r>
      <w:proofErr w:type="spellStart"/>
      <w:r w:rsidRPr="001D21F4">
        <w:rPr>
          <w:rFonts w:cstheme="minorHAnsi"/>
          <w:i/>
          <w:iCs/>
          <w:sz w:val="22"/>
          <w:szCs w:val="22"/>
        </w:rPr>
        <w:t>esta</w:t>
      </w:r>
      <w:proofErr w:type="spellEnd"/>
      <w:r w:rsidRPr="001D21F4">
        <w:rPr>
          <w:rFonts w:cstheme="minorHAnsi"/>
          <w:i/>
          <w:iCs/>
          <w:sz w:val="22"/>
          <w:szCs w:val="22"/>
        </w:rPr>
        <w:t xml:space="preserve"> </w:t>
      </w:r>
      <w:proofErr w:type="spellStart"/>
      <w:r w:rsidRPr="001D21F4">
        <w:rPr>
          <w:rFonts w:cstheme="minorHAnsi"/>
          <w:i/>
          <w:iCs/>
          <w:sz w:val="22"/>
          <w:szCs w:val="22"/>
        </w:rPr>
        <w:t>traducción</w:t>
      </w:r>
      <w:proofErr w:type="spellEnd"/>
      <w:r w:rsidRPr="001D21F4">
        <w:rPr>
          <w:rFonts w:cstheme="minorHAnsi"/>
          <w:i/>
          <w:iCs/>
          <w:sz w:val="22"/>
          <w:szCs w:val="22"/>
        </w:rPr>
        <w:t xml:space="preserve"> y el </w:t>
      </w:r>
      <w:proofErr w:type="spellStart"/>
      <w:r w:rsidRPr="001D21F4">
        <w:rPr>
          <w:rFonts w:cstheme="minorHAnsi"/>
          <w:i/>
          <w:iCs/>
          <w:sz w:val="22"/>
          <w:szCs w:val="22"/>
        </w:rPr>
        <w:t>documento</w:t>
      </w:r>
      <w:proofErr w:type="spellEnd"/>
      <w:r w:rsidRPr="001D21F4">
        <w:rPr>
          <w:rFonts w:cstheme="minorHAnsi"/>
          <w:i/>
          <w:iCs/>
          <w:sz w:val="22"/>
          <w:szCs w:val="22"/>
        </w:rPr>
        <w:t xml:space="preserve"> original </w:t>
      </w:r>
      <w:proofErr w:type="spellStart"/>
      <w:r w:rsidRPr="001D21F4">
        <w:rPr>
          <w:rFonts w:cstheme="minorHAnsi"/>
          <w:i/>
          <w:iCs/>
          <w:sz w:val="22"/>
          <w:szCs w:val="22"/>
        </w:rPr>
        <w:t>en</w:t>
      </w:r>
      <w:proofErr w:type="spellEnd"/>
      <w:r w:rsidRPr="001D21F4">
        <w:rPr>
          <w:rFonts w:cstheme="minorHAnsi"/>
          <w:i/>
          <w:iCs/>
          <w:sz w:val="22"/>
          <w:szCs w:val="22"/>
        </w:rPr>
        <w:t xml:space="preserve"> </w:t>
      </w:r>
      <w:proofErr w:type="spellStart"/>
      <w:r w:rsidRPr="001D21F4">
        <w:rPr>
          <w:rFonts w:cstheme="minorHAnsi"/>
          <w:i/>
          <w:iCs/>
          <w:sz w:val="22"/>
          <w:szCs w:val="22"/>
        </w:rPr>
        <w:t>inglés</w:t>
      </w:r>
      <w:proofErr w:type="spellEnd"/>
      <w:r w:rsidRPr="001D21F4">
        <w:rPr>
          <w:rFonts w:cstheme="minorHAnsi"/>
          <w:i/>
          <w:iCs/>
          <w:sz w:val="22"/>
          <w:szCs w:val="22"/>
        </w:rPr>
        <w:t xml:space="preserve">, </w:t>
      </w:r>
      <w:proofErr w:type="spellStart"/>
      <w:r w:rsidRPr="001D21F4">
        <w:rPr>
          <w:rFonts w:cstheme="minorHAnsi"/>
          <w:i/>
          <w:iCs/>
          <w:sz w:val="22"/>
          <w:szCs w:val="22"/>
        </w:rPr>
        <w:t>prevalecerá</w:t>
      </w:r>
      <w:proofErr w:type="spellEnd"/>
      <w:r w:rsidRPr="001D21F4">
        <w:rPr>
          <w:rFonts w:cstheme="minorHAnsi"/>
          <w:i/>
          <w:iCs/>
          <w:sz w:val="22"/>
          <w:szCs w:val="22"/>
        </w:rPr>
        <w:t xml:space="preserve"> el </w:t>
      </w:r>
      <w:proofErr w:type="spellStart"/>
      <w:r w:rsidRPr="001D21F4">
        <w:rPr>
          <w:rFonts w:cstheme="minorHAnsi"/>
          <w:i/>
          <w:iCs/>
          <w:sz w:val="22"/>
          <w:szCs w:val="22"/>
        </w:rPr>
        <w:t>documento</w:t>
      </w:r>
      <w:proofErr w:type="spellEnd"/>
      <w:r w:rsidRPr="001D21F4">
        <w:rPr>
          <w:rFonts w:cstheme="minorHAnsi"/>
          <w:i/>
          <w:iCs/>
          <w:sz w:val="22"/>
          <w:szCs w:val="22"/>
        </w:rPr>
        <w:t xml:space="preserve"> original </w:t>
      </w:r>
      <w:proofErr w:type="spellStart"/>
      <w:r w:rsidRPr="001D21F4">
        <w:rPr>
          <w:rFonts w:cstheme="minorHAnsi"/>
          <w:i/>
          <w:iCs/>
          <w:sz w:val="22"/>
          <w:szCs w:val="22"/>
        </w:rPr>
        <w:t>en</w:t>
      </w:r>
      <w:proofErr w:type="spellEnd"/>
      <w:r w:rsidRPr="001D21F4">
        <w:rPr>
          <w:rFonts w:cstheme="minorHAnsi"/>
          <w:i/>
          <w:iCs/>
          <w:sz w:val="22"/>
          <w:szCs w:val="22"/>
        </w:rPr>
        <w:t xml:space="preserve"> </w:t>
      </w:r>
      <w:proofErr w:type="spellStart"/>
      <w:r w:rsidRPr="001D21F4">
        <w:rPr>
          <w:rFonts w:cstheme="minorHAnsi"/>
          <w:i/>
          <w:iCs/>
          <w:sz w:val="22"/>
          <w:szCs w:val="22"/>
        </w:rPr>
        <w:t>inglés</w:t>
      </w:r>
      <w:proofErr w:type="spellEnd"/>
      <w:r w:rsidRPr="001D21F4">
        <w:rPr>
          <w:rFonts w:cstheme="minorHAnsi"/>
          <w:i/>
          <w:iCs/>
          <w:sz w:val="22"/>
          <w:szCs w:val="22"/>
        </w:rPr>
        <w:t>.</w:t>
      </w:r>
    </w:p>
    <w:p w14:paraId="1C07EDFE" w14:textId="77777777" w:rsidR="001D21F4" w:rsidRPr="001D21F4" w:rsidRDefault="001D21F4" w:rsidP="001D21F4">
      <w:pPr>
        <w:widowControl w:val="0"/>
        <w:autoSpaceDE w:val="0"/>
        <w:autoSpaceDN w:val="0"/>
        <w:spacing w:before="63" w:line="235" w:lineRule="auto"/>
        <w:rPr>
          <w:rFonts w:cstheme="minorHAnsi"/>
          <w:i/>
          <w:iCs/>
          <w:sz w:val="22"/>
          <w:szCs w:val="22"/>
        </w:rPr>
      </w:pPr>
    </w:p>
    <w:p w14:paraId="6433DA86" w14:textId="77777777" w:rsidR="001D21F4" w:rsidRPr="001D21F4" w:rsidRDefault="001D21F4" w:rsidP="001D21F4">
      <w:pPr>
        <w:widowControl w:val="0"/>
        <w:autoSpaceDE w:val="0"/>
        <w:autoSpaceDN w:val="0"/>
        <w:spacing w:before="63" w:line="235" w:lineRule="auto"/>
        <w:rPr>
          <w:rFonts w:cstheme="minorHAnsi"/>
          <w:i/>
          <w:iCs/>
          <w:sz w:val="22"/>
          <w:szCs w:val="22"/>
          <w:lang w:val="en-GB"/>
        </w:rPr>
      </w:pPr>
      <w:r w:rsidRPr="001D21F4">
        <w:rPr>
          <w:rFonts w:cstheme="minorHAnsi"/>
          <w:b/>
          <w:bCs/>
          <w:i/>
          <w:iCs/>
          <w:sz w:val="22"/>
          <w:szCs w:val="22"/>
        </w:rPr>
        <w:t>Disclaimer</w:t>
      </w:r>
      <w:r w:rsidRPr="001D21F4">
        <w:rPr>
          <w:rFonts w:cstheme="minorHAnsi"/>
          <w:i/>
          <w:iCs/>
          <w:sz w:val="22"/>
          <w:szCs w:val="22"/>
        </w:rPr>
        <w:t xml:space="preserve">: </w:t>
      </w:r>
      <w:r w:rsidRPr="001D21F4">
        <w:rPr>
          <w:rFonts w:cstheme="minorHAnsi"/>
          <w:i/>
          <w:iCs/>
          <w:sz w:val="22"/>
          <w:szCs w:val="22"/>
          <w:lang w:val="en-GB"/>
        </w:rPr>
        <w:t>This document was translated from English into Spanish. In the event of any discrepancy between this translation and the original English document, the original English document shall prevail.</w:t>
      </w:r>
    </w:p>
    <w:p w14:paraId="0B5EC2DC" w14:textId="77777777" w:rsidR="001D21F4" w:rsidRPr="0035520B" w:rsidRDefault="001D21F4" w:rsidP="001D21F4">
      <w:pPr>
        <w:shd w:val="clear" w:color="auto" w:fill="FFFFFF"/>
      </w:pPr>
    </w:p>
    <w:sectPr w:rsidR="001D21F4" w:rsidRPr="0035520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406B" w14:textId="77777777" w:rsidR="009E6568" w:rsidRDefault="009E6568" w:rsidP="0027450A">
      <w:r>
        <w:separator/>
      </w:r>
    </w:p>
  </w:endnote>
  <w:endnote w:type="continuationSeparator" w:id="0">
    <w:p w14:paraId="42B5157C" w14:textId="77777777" w:rsidR="009E6568" w:rsidRDefault="009E6568" w:rsidP="0027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C29C" w14:textId="1B2DD3EC" w:rsidR="00696881" w:rsidRPr="00F44EB7" w:rsidRDefault="00696881" w:rsidP="000F0D21">
    <w:pPr>
      <w:pStyle w:val="Footer"/>
      <w:ind w:right="360"/>
      <w:rPr>
        <w:rFonts w:cstheme="minorHAnsi"/>
        <w:sz w:val="22"/>
        <w:szCs w:val="22"/>
        <w:lang w:val="pt-BR"/>
      </w:rPr>
    </w:pPr>
    <w:r w:rsidRPr="00F44EB7">
      <w:rPr>
        <w:rFonts w:cstheme="minorHAnsi"/>
        <w:sz w:val="22"/>
        <w:szCs w:val="22"/>
        <w:lang w:val="pt-BR"/>
      </w:rPr>
      <w:t xml:space="preserve">Página </w:t>
    </w:r>
    <w:r w:rsidRPr="00661132">
      <w:rPr>
        <w:rFonts w:cstheme="minorHAnsi"/>
        <w:b/>
        <w:bCs/>
        <w:sz w:val="22"/>
        <w:szCs w:val="22"/>
      </w:rPr>
      <w:fldChar w:fldCharType="begin"/>
    </w:r>
    <w:r w:rsidRPr="00F44EB7">
      <w:rPr>
        <w:rFonts w:cstheme="minorHAnsi"/>
        <w:b/>
        <w:bCs/>
        <w:sz w:val="22"/>
        <w:szCs w:val="22"/>
        <w:lang w:val="pt-BR"/>
      </w:rPr>
      <w:instrText xml:space="preserve"> PAGE  \* Arabic  \* MERGEFORMAT </w:instrText>
    </w:r>
    <w:r w:rsidRPr="00661132">
      <w:rPr>
        <w:rFonts w:cstheme="minorHAnsi"/>
        <w:b/>
        <w:bCs/>
        <w:sz w:val="22"/>
        <w:szCs w:val="22"/>
      </w:rPr>
      <w:fldChar w:fldCharType="separate"/>
    </w:r>
    <w:r w:rsidRPr="00F44EB7">
      <w:rPr>
        <w:rFonts w:cstheme="minorHAnsi"/>
        <w:b/>
        <w:bCs/>
        <w:sz w:val="22"/>
        <w:szCs w:val="22"/>
        <w:lang w:val="pt-BR"/>
      </w:rPr>
      <w:t>28</w:t>
    </w:r>
    <w:r w:rsidRPr="00661132">
      <w:rPr>
        <w:rFonts w:cstheme="minorHAnsi"/>
        <w:b/>
        <w:bCs/>
        <w:sz w:val="22"/>
        <w:szCs w:val="22"/>
      </w:rPr>
      <w:fldChar w:fldCharType="end"/>
    </w:r>
    <w:r w:rsidRPr="00F44EB7">
      <w:rPr>
        <w:rFonts w:cstheme="minorHAnsi"/>
        <w:sz w:val="22"/>
        <w:szCs w:val="22"/>
        <w:lang w:val="pt-BR"/>
      </w:rPr>
      <w:t xml:space="preserve"> de </w:t>
    </w:r>
    <w:r w:rsidRPr="00661132">
      <w:rPr>
        <w:rFonts w:cstheme="minorHAnsi"/>
        <w:b/>
        <w:bCs/>
        <w:sz w:val="22"/>
        <w:szCs w:val="22"/>
      </w:rPr>
      <w:fldChar w:fldCharType="begin"/>
    </w:r>
    <w:r w:rsidRPr="00F44EB7">
      <w:rPr>
        <w:rFonts w:cstheme="minorHAnsi"/>
        <w:b/>
        <w:bCs/>
        <w:sz w:val="22"/>
        <w:szCs w:val="22"/>
        <w:lang w:val="pt-BR"/>
      </w:rPr>
      <w:instrText xml:space="preserve"> NUMPAGES  \* Arabic  \* MERGEFORMAT </w:instrText>
    </w:r>
    <w:r w:rsidRPr="00661132">
      <w:rPr>
        <w:rFonts w:cstheme="minorHAnsi"/>
        <w:b/>
        <w:bCs/>
        <w:sz w:val="22"/>
        <w:szCs w:val="22"/>
      </w:rPr>
      <w:fldChar w:fldCharType="separate"/>
    </w:r>
    <w:r w:rsidRPr="00F44EB7">
      <w:rPr>
        <w:rFonts w:cstheme="minorHAnsi"/>
        <w:b/>
        <w:bCs/>
        <w:sz w:val="22"/>
        <w:szCs w:val="22"/>
        <w:lang w:val="pt-BR"/>
      </w:rPr>
      <w:t>39</w:t>
    </w:r>
    <w:r w:rsidRPr="00661132">
      <w:rPr>
        <w:rFonts w:cstheme="minorHAnsi"/>
        <w:b/>
        <w:bCs/>
        <w:sz w:val="22"/>
        <w:szCs w:val="22"/>
      </w:rPr>
      <w:fldChar w:fldCharType="end"/>
    </w:r>
    <w:r w:rsidRPr="00F44EB7">
      <w:rPr>
        <w:rFonts w:cstheme="minorHAnsi"/>
        <w:sz w:val="22"/>
        <w:szCs w:val="22"/>
        <w:lang w:val="pt-BR"/>
      </w:rPr>
      <w:t xml:space="preserve">                                 Fecha de entrada en vigor: 29/08/2025                 </w:t>
    </w:r>
    <w:r w:rsidRPr="00661132">
      <w:rPr>
        <w:rFonts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654B" w14:textId="77777777" w:rsidR="009E6568" w:rsidRDefault="009E6568" w:rsidP="0027450A">
      <w:r>
        <w:separator/>
      </w:r>
    </w:p>
  </w:footnote>
  <w:footnote w:type="continuationSeparator" w:id="0">
    <w:p w14:paraId="644623D0" w14:textId="77777777" w:rsidR="009E6568" w:rsidRDefault="009E6568" w:rsidP="0027450A">
      <w:r>
        <w:continuationSeparator/>
      </w:r>
    </w:p>
  </w:footnote>
  <w:footnote w:id="1">
    <w:p w14:paraId="71661A91" w14:textId="77777777" w:rsidR="0035520B" w:rsidRPr="003A5087" w:rsidRDefault="0035520B" w:rsidP="0035520B">
      <w:pPr>
        <w:pStyle w:val="FootnoteText"/>
        <w:rPr>
          <w:lang w:val="pt-BR"/>
        </w:rPr>
      </w:pPr>
      <w:r>
        <w:rPr>
          <w:rStyle w:val="FootnoteReference"/>
        </w:rPr>
        <w:footnoteRef/>
      </w:r>
      <w:r w:rsidRPr="003A5087">
        <w:rPr>
          <w:lang w:val="pt-BR"/>
        </w:rPr>
        <w:t xml:space="preserve"> El Oficial Superior Designado (SDO, por sus siglas en inglés) es responsable de garantizar la aplicación efectiva de la política ALD/CFT en el PNUD y de la toma de decisiones en asuntos que presenten riesgos elevados para la organización, incluidos los casos escalados. El papel del SDO está asignado al Administrador Asociado (AA). El AA también actúa como Jefe de Gestión de Riesgos del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F5C"/>
    <w:multiLevelType w:val="hybridMultilevel"/>
    <w:tmpl w:val="45A056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077815"/>
    <w:multiLevelType w:val="hybridMultilevel"/>
    <w:tmpl w:val="FC8E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84FD4"/>
    <w:multiLevelType w:val="hybridMultilevel"/>
    <w:tmpl w:val="DEA0626E"/>
    <w:lvl w:ilvl="0" w:tplc="20000001">
      <w:start w:val="1"/>
      <w:numFmt w:val="bullet"/>
      <w:lvlText w:val=""/>
      <w:lvlJc w:val="left"/>
      <w:pPr>
        <w:ind w:left="720" w:hanging="360"/>
      </w:pPr>
      <w:rPr>
        <w:rFonts w:ascii="Symbol" w:hAnsi="Symbol" w:hint="default"/>
      </w:rPr>
    </w:lvl>
    <w:lvl w:ilvl="1" w:tplc="760643B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37213919"/>
    <w:multiLevelType w:val="hybridMultilevel"/>
    <w:tmpl w:val="CBC616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22E75"/>
    <w:multiLevelType w:val="hybridMultilevel"/>
    <w:tmpl w:val="10A4D08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828A0"/>
    <w:multiLevelType w:val="hybridMultilevel"/>
    <w:tmpl w:val="C23E520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482801">
    <w:abstractNumId w:val="6"/>
  </w:num>
  <w:num w:numId="2" w16cid:durableId="647825077">
    <w:abstractNumId w:val="13"/>
  </w:num>
  <w:num w:numId="3" w16cid:durableId="1775980462">
    <w:abstractNumId w:val="15"/>
  </w:num>
  <w:num w:numId="4" w16cid:durableId="1256668777">
    <w:abstractNumId w:val="14"/>
  </w:num>
  <w:num w:numId="5" w16cid:durableId="1253928939">
    <w:abstractNumId w:val="8"/>
  </w:num>
  <w:num w:numId="6" w16cid:durableId="931664138">
    <w:abstractNumId w:val="10"/>
  </w:num>
  <w:num w:numId="7" w16cid:durableId="1125004050">
    <w:abstractNumId w:val="7"/>
  </w:num>
  <w:num w:numId="8" w16cid:durableId="398331044">
    <w:abstractNumId w:val="5"/>
  </w:num>
  <w:num w:numId="9" w16cid:durableId="829953478">
    <w:abstractNumId w:val="1"/>
  </w:num>
  <w:num w:numId="10" w16cid:durableId="179151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240122">
    <w:abstractNumId w:val="12"/>
  </w:num>
  <w:num w:numId="12" w16cid:durableId="1936740049">
    <w:abstractNumId w:val="3"/>
  </w:num>
  <w:num w:numId="13" w16cid:durableId="1437821315">
    <w:abstractNumId w:val="11"/>
  </w:num>
  <w:num w:numId="14" w16cid:durableId="286085247">
    <w:abstractNumId w:val="9"/>
  </w:num>
  <w:num w:numId="15" w16cid:durableId="2084717422">
    <w:abstractNumId w:val="0"/>
  </w:num>
  <w:num w:numId="16" w16cid:durableId="1344014691">
    <w:abstractNumId w:val="4"/>
  </w:num>
  <w:num w:numId="17" w16cid:durableId="21038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0A"/>
    <w:rsid w:val="00025661"/>
    <w:rsid w:val="000C0236"/>
    <w:rsid w:val="000D25BB"/>
    <w:rsid w:val="000D45D6"/>
    <w:rsid w:val="000F0D21"/>
    <w:rsid w:val="001D21F4"/>
    <w:rsid w:val="0027450A"/>
    <w:rsid w:val="002955DC"/>
    <w:rsid w:val="0035520B"/>
    <w:rsid w:val="003A5087"/>
    <w:rsid w:val="00487C63"/>
    <w:rsid w:val="004A7403"/>
    <w:rsid w:val="004D2FE3"/>
    <w:rsid w:val="00512DAF"/>
    <w:rsid w:val="00564CAE"/>
    <w:rsid w:val="005A09CC"/>
    <w:rsid w:val="005A6817"/>
    <w:rsid w:val="00625DAB"/>
    <w:rsid w:val="00661132"/>
    <w:rsid w:val="00696881"/>
    <w:rsid w:val="007438C2"/>
    <w:rsid w:val="0078495C"/>
    <w:rsid w:val="00812E0F"/>
    <w:rsid w:val="008B6C6A"/>
    <w:rsid w:val="009E6568"/>
    <w:rsid w:val="00A31C56"/>
    <w:rsid w:val="00A9366F"/>
    <w:rsid w:val="00AF22B3"/>
    <w:rsid w:val="00B97555"/>
    <w:rsid w:val="00BA0C25"/>
    <w:rsid w:val="00BC1F69"/>
    <w:rsid w:val="00BF06EC"/>
    <w:rsid w:val="00CC52A1"/>
    <w:rsid w:val="00DE102E"/>
    <w:rsid w:val="00E10345"/>
    <w:rsid w:val="00E77C91"/>
    <w:rsid w:val="00EF0756"/>
    <w:rsid w:val="00F1705E"/>
    <w:rsid w:val="00F40F4B"/>
    <w:rsid w:val="00F44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E695"/>
  <w15:chartTrackingRefBased/>
  <w15:docId w15:val="{09300D51-B098-4747-8AE6-640F8E9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0A"/>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7450A"/>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520B"/>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paragraph" w:styleId="Heading3">
    <w:name w:val="heading 3"/>
    <w:basedOn w:val="Normal"/>
    <w:next w:val="Normal"/>
    <w:link w:val="Heading3Char"/>
    <w:uiPriority w:val="9"/>
    <w:unhideWhenUsed/>
    <w:qFormat/>
    <w:rsid w:val="002745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50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27450A"/>
    <w:rPr>
      <w:rFonts w:asciiTheme="majorHAnsi" w:eastAsiaTheme="majorEastAsia" w:hAnsiTheme="majorHAnsi" w:cstheme="majorBidi"/>
      <w:color w:val="1F3763" w:themeColor="accent1" w:themeShade="7F"/>
      <w:kern w:val="0"/>
      <w:sz w:val="24"/>
      <w:szCs w:val="24"/>
      <w:lang w:val="en-US"/>
      <w14:ligatures w14:val="none"/>
    </w:rPr>
  </w:style>
  <w:style w:type="paragraph" w:customStyle="1" w:styleId="Default">
    <w:name w:val="Default"/>
    <w:rsid w:val="0027450A"/>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NormalWeb">
    <w:name w:val="Normal (Web)"/>
    <w:basedOn w:val="Normal"/>
    <w:uiPriority w:val="99"/>
    <w:unhideWhenUsed/>
    <w:rsid w:val="0027450A"/>
    <w:pPr>
      <w:spacing w:before="100" w:beforeAutospacing="1" w:after="100" w:afterAutospacing="1"/>
    </w:pPr>
    <w:rPr>
      <w:rFonts w:ascii="Times New Roman" w:hAnsi="Times New Roman" w:cs="Times New Roman"/>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27450A"/>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27450A"/>
    <w:rPr>
      <w:kern w:val="0"/>
      <w:sz w:val="20"/>
      <w:szCs w:val="20"/>
      <w:lang w:val="en-US"/>
      <w14:ligatures w14:val="none"/>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27450A"/>
    <w:rPr>
      <w:vertAlign w:val="superscript"/>
    </w:rPr>
  </w:style>
  <w:style w:type="character" w:styleId="SmartLink">
    <w:name w:val="Smart Link"/>
    <w:basedOn w:val="DefaultParagraphFont"/>
    <w:uiPriority w:val="99"/>
    <w:semiHidden/>
    <w:unhideWhenUsed/>
    <w:rsid w:val="0027450A"/>
    <w:rPr>
      <w:color w:val="0000FF"/>
      <w:u w:val="single"/>
      <w:shd w:val="clear" w:color="auto" w:fill="F3F2F1"/>
    </w:rPr>
  </w:style>
  <w:style w:type="character" w:customStyle="1" w:styleId="Heading2Char">
    <w:name w:val="Heading 2 Char"/>
    <w:basedOn w:val="DefaultParagraphFont"/>
    <w:link w:val="Heading2"/>
    <w:uiPriority w:val="9"/>
    <w:rsid w:val="0035520B"/>
    <w:rPr>
      <w:rFonts w:asciiTheme="majorHAnsi" w:eastAsiaTheme="majorEastAsia" w:hAnsiTheme="majorHAnsi" w:cstheme="majorBidi"/>
      <w:color w:val="2F5496" w:themeColor="accent1" w:themeShade="BF"/>
      <w:kern w:val="0"/>
      <w:sz w:val="26"/>
      <w:szCs w:val="26"/>
      <w:lang w:val="es-ES"/>
      <w14:ligatures w14:val="none"/>
    </w:rPr>
  </w:style>
  <w:style w:type="paragraph" w:styleId="ListParagraph">
    <w:name w:val="List Paragraph"/>
    <w:basedOn w:val="Normal"/>
    <w:uiPriority w:val="1"/>
    <w:qFormat/>
    <w:rsid w:val="0035520B"/>
    <w:pPr>
      <w:ind w:left="720"/>
      <w:contextualSpacing/>
    </w:pPr>
    <w:rPr>
      <w:lang w:val="es-ES"/>
    </w:rPr>
  </w:style>
  <w:style w:type="paragraph" w:styleId="Revision">
    <w:name w:val="Revision"/>
    <w:hidden/>
    <w:uiPriority w:val="99"/>
    <w:semiHidden/>
    <w:rsid w:val="00512DAF"/>
    <w:pPr>
      <w:spacing w:after="0" w:line="240" w:lineRule="auto"/>
    </w:pPr>
    <w:rPr>
      <w:kern w:val="0"/>
      <w:sz w:val="24"/>
      <w:szCs w:val="24"/>
      <w14:ligatures w14:val="none"/>
    </w:rPr>
  </w:style>
  <w:style w:type="paragraph" w:styleId="Header">
    <w:name w:val="header"/>
    <w:basedOn w:val="Normal"/>
    <w:link w:val="HeaderChar"/>
    <w:uiPriority w:val="99"/>
    <w:unhideWhenUsed/>
    <w:rsid w:val="00696881"/>
    <w:pPr>
      <w:tabs>
        <w:tab w:val="center" w:pos="4680"/>
        <w:tab w:val="right" w:pos="9360"/>
      </w:tabs>
    </w:pPr>
  </w:style>
  <w:style w:type="character" w:customStyle="1" w:styleId="HeaderChar">
    <w:name w:val="Header Char"/>
    <w:basedOn w:val="DefaultParagraphFont"/>
    <w:link w:val="Header"/>
    <w:uiPriority w:val="99"/>
    <w:rsid w:val="00696881"/>
    <w:rPr>
      <w:kern w:val="0"/>
      <w:sz w:val="24"/>
      <w:szCs w:val="24"/>
      <w14:ligatures w14:val="none"/>
    </w:rPr>
  </w:style>
  <w:style w:type="paragraph" w:styleId="Footer">
    <w:name w:val="footer"/>
    <w:basedOn w:val="Normal"/>
    <w:link w:val="FooterChar"/>
    <w:uiPriority w:val="99"/>
    <w:unhideWhenUsed/>
    <w:rsid w:val="00696881"/>
    <w:pPr>
      <w:tabs>
        <w:tab w:val="center" w:pos="4680"/>
        <w:tab w:val="right" w:pos="9360"/>
      </w:tabs>
    </w:pPr>
  </w:style>
  <w:style w:type="character" w:customStyle="1" w:styleId="FooterChar">
    <w:name w:val="Footer Char"/>
    <w:basedOn w:val="DefaultParagraphFont"/>
    <w:link w:val="Footer"/>
    <w:uiPriority w:val="99"/>
    <w:rsid w:val="00696881"/>
    <w:rPr>
      <w:kern w:val="0"/>
      <w:sz w:val="24"/>
      <w:szCs w:val="24"/>
      <w14:ligatures w14:val="none"/>
    </w:rPr>
  </w:style>
  <w:style w:type="character" w:styleId="Hyperlink">
    <w:name w:val="Hyperlink"/>
    <w:basedOn w:val="DefaultParagraphFont"/>
    <w:uiPriority w:val="99"/>
    <w:unhideWhenUsed/>
    <w:rsid w:val="008B6C6A"/>
    <w:rPr>
      <w:color w:val="0563C1" w:themeColor="hyperlink"/>
      <w:u w:val="single"/>
    </w:rPr>
  </w:style>
  <w:style w:type="character" w:styleId="FollowedHyperlink">
    <w:name w:val="FollowedHyperlink"/>
    <w:basedOn w:val="DefaultParagraphFont"/>
    <w:uiPriority w:val="99"/>
    <w:semiHidden/>
    <w:unhideWhenUsed/>
    <w:rsid w:val="008B6C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popp.undp.org/es/documento/guia-operativa-para-la-implementacion-de-la-politica-de-lucha-contra-el-lavado-de-activ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GRUPO EJECUTIVO (EG)</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COMITÉ DE RIESGOS</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GRUPO DE PERFORMANCE ORGANIZACIONAL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F49014BD-D9FC-495D-870F-9E22DB3F48E1}">
      <dgm:prSet phldrT="[Text]" custT="1"/>
      <dgm:spPr/>
      <dgm:t>
        <a:bodyPr/>
        <a:lstStyle/>
        <a:p>
          <a:pPr algn="ctr"/>
          <a:r>
            <a:rPr lang="en-US" sz="1000" b="1"/>
            <a:t>CONSEJO DE CRISIS</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IDENTIFICACIÓN Y TRATAMIENTO DE RIESGOS</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INFORMA SOBRE RIESGOS Y TOMA DECISIONES</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BUROS/OFICINAS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 </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4"/>
      <dgm:spPr/>
    </dgm:pt>
    <dgm:pt modelId="{1770D11A-33B1-4D35-845E-E44839284051}" type="pres">
      <dgm:prSet presAssocID="{B9A35410-BE1A-4856-B6A3-E5A85793D0EF}" presName="connTx" presStyleLbl="parChTrans1D3" presStyleIdx="0" presStyleCnt="4"/>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4"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0C1F1798-3416-49D7-BD3E-E84B58E13DAD}" type="pres">
      <dgm:prSet presAssocID="{B7F79038-E349-486F-91FB-33BA8725BC2A}" presName="Name25" presStyleLbl="parChTrans1D3" presStyleIdx="1" presStyleCnt="4"/>
      <dgm:spPr/>
    </dgm:pt>
    <dgm:pt modelId="{1417A215-951D-43B1-AE53-5DD2D9C43930}" type="pres">
      <dgm:prSet presAssocID="{B7F79038-E349-486F-91FB-33BA8725BC2A}" presName="connTx" presStyleLbl="parChTrans1D3" presStyleIdx="1" presStyleCnt="4"/>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1" presStyleCnt="4" custScaleX="193949"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2" presStyleCnt="4"/>
      <dgm:spPr/>
    </dgm:pt>
    <dgm:pt modelId="{66BD68E0-6244-452D-A3A5-838A2D04EFE1}" type="pres">
      <dgm:prSet presAssocID="{1A30AA29-8687-4387-8508-F36139D50DAF}" presName="connTx" presStyleLbl="parChTrans1D3" presStyleIdx="2" presStyleCnt="4"/>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2" presStyleCnt="4" custScaleX="189467"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3" presStyleCnt="4"/>
      <dgm:spPr/>
    </dgm:pt>
    <dgm:pt modelId="{94438A8B-13E3-4374-B7FB-916D63F6C043}" type="pres">
      <dgm:prSet presAssocID="{943EB31F-B2D7-49D6-8CDD-6414260B785D}" presName="connTx" presStyleLbl="parChTrans1D3" presStyleIdx="3" presStyleCnt="4"/>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3" presStyleCnt="4" custScaleX="187055"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2"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84EB1760-2743-4609-8C6A-7645A45032FF}" srcId="{E9D91247-F118-447D-A90C-DCEAD3240729}" destId="{776708B1-A768-41BB-9E2B-932B8A418C33}" srcOrd="3"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1"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BCE8A328-E9D8-D04E-AD47-71EF1204CAFD}" type="presParOf" srcId="{11E5E6ED-F7E0-416C-98A4-89AEF3D9E184}" destId="{0C1F1798-3416-49D7-BD3E-E84B58E13DAD}" srcOrd="2"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3"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4"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5"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6"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7"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7148" y="0"/>
          <a:ext cx="2055900"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IDENTIFICACIÓN Y TRATAMIENTO DE RIESGOS</a:t>
          </a:r>
        </a:p>
      </dsp:txBody>
      <dsp:txXfrm>
        <a:off x="2157148" y="0"/>
        <a:ext cx="2055900" cy="962025"/>
      </dsp:txXfrm>
    </dsp:sp>
    <dsp:sp modelId="{58CFBB39-9787-4E23-A4D3-E8A0819916F9}">
      <dsp:nvSpPr>
        <dsp:cNvPr id="0" name=""/>
        <dsp:cNvSpPr/>
      </dsp:nvSpPr>
      <dsp:spPr>
        <a:xfrm>
          <a:off x="0" y="0"/>
          <a:ext cx="2060405"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INFORMA SOBRE RIESGOS Y TOMA DECISIONES</a:t>
          </a:r>
        </a:p>
      </dsp:txBody>
      <dsp:txXfrm>
        <a:off x="0" y="0"/>
        <a:ext cx="2060405" cy="962025"/>
      </dsp:txXfrm>
    </dsp:sp>
    <dsp:sp modelId="{6CB256D6-FCCF-4A31-ADDF-DB035C701CA2}">
      <dsp:nvSpPr>
        <dsp:cNvPr id="0" name=""/>
        <dsp:cNvSpPr/>
      </dsp:nvSpPr>
      <dsp:spPr>
        <a:xfrm>
          <a:off x="33404" y="1026759"/>
          <a:ext cx="1102596" cy="655719"/>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EJECUTIVO (EG)</a:t>
          </a:r>
        </a:p>
      </dsp:txBody>
      <dsp:txXfrm>
        <a:off x="65413" y="1058768"/>
        <a:ext cx="1038578" cy="591701"/>
      </dsp:txXfrm>
    </dsp:sp>
    <dsp:sp modelId="{C0F6EC62-D98C-4AD4-A855-EC4D1137D1D1}">
      <dsp:nvSpPr>
        <dsp:cNvPr id="0" name=""/>
        <dsp:cNvSpPr/>
      </dsp:nvSpPr>
      <dsp:spPr>
        <a:xfrm rot="7715742">
          <a:off x="646837" y="1579107"/>
          <a:ext cx="602484" cy="21906"/>
        </a:xfrm>
        <a:custGeom>
          <a:avLst/>
          <a:gdLst/>
          <a:ahLst/>
          <a:cxnLst/>
          <a:rect l="0" t="0" r="0" b="0"/>
          <a:pathLst>
            <a:path>
              <a:moveTo>
                <a:pt x="0" y="10953"/>
              </a:moveTo>
              <a:lnTo>
                <a:pt x="602484" y="1095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33017" y="1574998"/>
        <a:ext cx="30124" cy="30124"/>
      </dsp:txXfrm>
    </dsp:sp>
    <dsp:sp modelId="{CCAFF023-0A9F-4BE2-B691-30F87D16E209}">
      <dsp:nvSpPr>
        <dsp:cNvPr id="0" name=""/>
        <dsp:cNvSpPr/>
      </dsp:nvSpPr>
      <dsp:spPr>
        <a:xfrm>
          <a:off x="760158" y="1549027"/>
          <a:ext cx="858081" cy="5529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DE RIESGOS</a:t>
          </a:r>
        </a:p>
      </dsp:txBody>
      <dsp:txXfrm>
        <a:off x="787150" y="1576019"/>
        <a:ext cx="804097" cy="498964"/>
      </dsp:txXfrm>
    </dsp:sp>
    <dsp:sp modelId="{52400D05-091B-41BE-AA52-E97E35C4276A}">
      <dsp:nvSpPr>
        <dsp:cNvPr id="0" name=""/>
        <dsp:cNvSpPr/>
      </dsp:nvSpPr>
      <dsp:spPr>
        <a:xfrm rot="19310901">
          <a:off x="1501812" y="1477868"/>
          <a:ext cx="1090029" cy="21906"/>
        </a:xfrm>
        <a:custGeom>
          <a:avLst/>
          <a:gdLst/>
          <a:ahLst/>
          <a:cxnLst/>
          <a:rect l="0" t="0" r="0" b="0"/>
          <a:pathLst>
            <a:path>
              <a:moveTo>
                <a:pt x="0" y="10953"/>
              </a:moveTo>
              <a:lnTo>
                <a:pt x="1090029"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019576" y="1461570"/>
        <a:ext cx="54501" cy="54501"/>
      </dsp:txXfrm>
    </dsp:sp>
    <dsp:sp modelId="{3F796117-F3C0-458B-9E4C-84FE5105D257}">
      <dsp:nvSpPr>
        <dsp:cNvPr id="0" name=""/>
        <dsp:cNvSpPr/>
      </dsp:nvSpPr>
      <dsp:spPr>
        <a:xfrm>
          <a:off x="2475415" y="900618"/>
          <a:ext cx="1523163" cy="50304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PERFORMANCE ORGANIZACIONAL (OPG)</a:t>
          </a:r>
        </a:p>
      </dsp:txBody>
      <dsp:txXfrm>
        <a:off x="2499971" y="925174"/>
        <a:ext cx="1474051" cy="453932"/>
      </dsp:txXfrm>
    </dsp:sp>
    <dsp:sp modelId="{0C1F1798-3416-49D7-BD3E-E84B58E13DAD}">
      <dsp:nvSpPr>
        <dsp:cNvPr id="0" name=""/>
        <dsp:cNvSpPr/>
      </dsp:nvSpPr>
      <dsp:spPr>
        <a:xfrm rot="21130662">
          <a:off x="1614239" y="1756041"/>
          <a:ext cx="859758" cy="21906"/>
        </a:xfrm>
        <a:custGeom>
          <a:avLst/>
          <a:gdLst/>
          <a:ahLst/>
          <a:cxnLst/>
          <a:rect l="0" t="0" r="0" b="0"/>
          <a:pathLst>
            <a:path>
              <a:moveTo>
                <a:pt x="0" y="10953"/>
              </a:moveTo>
              <a:lnTo>
                <a:pt x="859758"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022625" y="1745500"/>
        <a:ext cx="42987" cy="42987"/>
      </dsp:txXfrm>
    </dsp:sp>
    <dsp:sp modelId="{018274AD-B94B-49BF-A286-DF427BF0D4AD}">
      <dsp:nvSpPr>
        <dsp:cNvPr id="0" name=""/>
        <dsp:cNvSpPr/>
      </dsp:nvSpPr>
      <dsp:spPr>
        <a:xfrm>
          <a:off x="2469998" y="1513350"/>
          <a:ext cx="1513867" cy="39027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CONSEJO DE CRISIS</a:t>
          </a:r>
        </a:p>
      </dsp:txBody>
      <dsp:txXfrm>
        <a:off x="2489049" y="1532401"/>
        <a:ext cx="1475765" cy="352172"/>
      </dsp:txXfrm>
    </dsp:sp>
    <dsp:sp modelId="{4F6C30E1-57F7-405E-894F-66EE6840C50C}">
      <dsp:nvSpPr>
        <dsp:cNvPr id="0" name=""/>
        <dsp:cNvSpPr/>
      </dsp:nvSpPr>
      <dsp:spPr>
        <a:xfrm rot="1443233">
          <a:off x="1576398" y="2010941"/>
          <a:ext cx="963665" cy="21906"/>
        </a:xfrm>
        <a:custGeom>
          <a:avLst/>
          <a:gdLst/>
          <a:ahLst/>
          <a:cxnLst/>
          <a:rect l="0" t="0" r="0" b="0"/>
          <a:pathLst>
            <a:path>
              <a:moveTo>
                <a:pt x="0" y="10953"/>
              </a:moveTo>
              <a:lnTo>
                <a:pt x="963665"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34139" y="1997802"/>
        <a:ext cx="48183" cy="48183"/>
      </dsp:txXfrm>
    </dsp:sp>
    <dsp:sp modelId="{2FD4F96B-439C-4973-9D46-A7F1030FE43A}">
      <dsp:nvSpPr>
        <dsp:cNvPr id="0" name=""/>
        <dsp:cNvSpPr/>
      </dsp:nvSpPr>
      <dsp:spPr>
        <a:xfrm>
          <a:off x="2498223" y="2023150"/>
          <a:ext cx="1478883" cy="3902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 </a:t>
          </a:r>
        </a:p>
      </dsp:txBody>
      <dsp:txXfrm>
        <a:off x="2509654" y="2034581"/>
        <a:ext cx="1456021" cy="367412"/>
      </dsp:txXfrm>
    </dsp:sp>
    <dsp:sp modelId="{C1176CAC-ADB4-44D6-B4A6-94C8A29B7D81}">
      <dsp:nvSpPr>
        <dsp:cNvPr id="0" name=""/>
        <dsp:cNvSpPr/>
      </dsp:nvSpPr>
      <dsp:spPr>
        <a:xfrm rot="2729090">
          <a:off x="1432857" y="2256798"/>
          <a:ext cx="1240421" cy="21906"/>
        </a:xfrm>
        <a:custGeom>
          <a:avLst/>
          <a:gdLst/>
          <a:ahLst/>
          <a:cxnLst/>
          <a:rect l="0" t="0" r="0" b="0"/>
          <a:pathLst>
            <a:path>
              <a:moveTo>
                <a:pt x="0" y="10953"/>
              </a:moveTo>
              <a:lnTo>
                <a:pt x="1240421"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22057" y="2236741"/>
        <a:ext cx="62021" cy="62021"/>
      </dsp:txXfrm>
    </dsp:sp>
    <dsp:sp modelId="{D6DCC517-E673-45BB-8274-0D301D52BE9C}">
      <dsp:nvSpPr>
        <dsp:cNvPr id="0" name=""/>
        <dsp:cNvSpPr/>
      </dsp:nvSpPr>
      <dsp:spPr>
        <a:xfrm>
          <a:off x="2487896" y="2514865"/>
          <a:ext cx="1460056" cy="3902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BUROS/OFICINAS</a:t>
          </a:r>
        </a:p>
      </dsp:txBody>
      <dsp:txXfrm>
        <a:off x="2499327" y="2526296"/>
        <a:ext cx="1437194" cy="3674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1C239-6B9B-4434-9843-343C895B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ED65C-D6F1-4428-897B-A598A0E48A03}">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FEF1655C-9634-4F9E-8B10-9CE0120BF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6</cp:revision>
  <dcterms:created xsi:type="dcterms:W3CDTF">2026-07-01T14:07:00Z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342a3d7e-6eef-41c7-8a8e-b25ceb009456</vt:lpwstr>
  </property>
  <property fmtid="{D5CDD505-2E9C-101B-9397-08002B2CF9AE}" pid="4" name="POPPBusinessProcess">
    <vt:lpwstr/>
  </property>
  <property fmtid="{D5CDD505-2E9C-101B-9397-08002B2CF9AE}" pid="5" name="UNDP_POPP_BUSINESSUNIT">
    <vt:lpwstr>356;#Accountability|5b42d95a-f181-4192-a566-012e3d461a46</vt:lpwstr>
  </property>
  <property fmtid="{D5CDD505-2E9C-101B-9397-08002B2CF9AE}" pid="6" name="GrammarlyDocumentId">
    <vt:lpwstr>8791765f-a26d-469f-865f-c531eeaf5a35</vt:lpwstr>
  </property>
  <property fmtid="{D5CDD505-2E9C-101B-9397-08002B2CF9AE}" pid="7" name="MediaServiceImageTags">
    <vt:lpwstr/>
  </property>
</Properties>
</file>