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2AFE" w14:textId="77777777" w:rsidR="00FB22E5" w:rsidRDefault="00FB22E5" w:rsidP="00FB22E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Estándares sociales y ambientales</w:t>
      </w:r>
    </w:p>
    <w:p w14:paraId="124E1915" w14:textId="4E741B66" w:rsidR="00FB22E5" w:rsidRPr="00BD24EB" w:rsidRDefault="00FB22E5" w:rsidP="00FB22E5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Style w:val="ms-rtethemefontface-2"/>
          <w:rFonts w:ascii="Calibri" w:hAnsi="Calibri"/>
        </w:rPr>
      </w:pPr>
      <w:r>
        <w:rPr>
          <w:rStyle w:val="ms-rtethemefontface-2"/>
          <w:rFonts w:ascii="Calibri" w:hAnsi="Calibri"/>
        </w:rPr>
        <w:t xml:space="preserve">Los programas y los </w:t>
      </w:r>
      <w:r w:rsidR="00AC6838" w:rsidRPr="00AC6838">
        <w:rPr>
          <w:rStyle w:val="ms-rtethemefontface-2"/>
          <w:rFonts w:ascii="Calibri" w:hAnsi="Calibri"/>
        </w:rPr>
        <w:t>instrumentos de entrega relacionados</w:t>
      </w:r>
      <w:r>
        <w:rPr>
          <w:rStyle w:val="ms-rtethemefontface-2"/>
          <w:rFonts w:ascii="Calibri" w:hAnsi="Calibri"/>
        </w:rPr>
        <w:t xml:space="preserve"> del PNUD cumplen con los objetivos y los requisitos de los </w:t>
      </w:r>
      <w:hyperlink r:id="rId7" w:history="1">
        <w:r>
          <w:rPr>
            <w:rStyle w:val="Hyperlink"/>
            <w:rFonts w:ascii="Calibri" w:hAnsi="Calibri"/>
          </w:rPr>
          <w:t>estándares sociales y ambientales</w:t>
        </w:r>
      </w:hyperlink>
      <w:r>
        <w:rPr>
          <w:rStyle w:val="ms-rtethemefontface-2"/>
          <w:rFonts w:ascii="Calibri" w:hAnsi="Calibri"/>
        </w:rPr>
        <w:t xml:space="preserve"> (SES por sus siglas en inglés). Los objetivos de las SES son: (a) </w:t>
      </w:r>
      <w:r w:rsidRPr="00661C39">
        <w:rPr>
          <w:rStyle w:val="ms-rtethemefontface-2"/>
          <w:rFonts w:ascii="Calibri" w:hAnsi="Calibri"/>
        </w:rPr>
        <w:t>fortalecer la calidad de la programación asegurando un enfoque de principios</w:t>
      </w:r>
      <w:r>
        <w:rPr>
          <w:rStyle w:val="ms-rtethemefontface-2"/>
          <w:rFonts w:ascii="Calibri" w:hAnsi="Calibri"/>
        </w:rPr>
        <w:t xml:space="preserve">; (b) </w:t>
      </w:r>
      <w:r w:rsidRPr="00661C39">
        <w:rPr>
          <w:rStyle w:val="ms-rtethemefontface-2"/>
          <w:rFonts w:ascii="Calibri" w:hAnsi="Calibri"/>
        </w:rPr>
        <w:t>maximizar las oportunidades y beneficios sociales y ambientales</w:t>
      </w:r>
      <w:r>
        <w:rPr>
          <w:rStyle w:val="ms-rtethemefontface-2"/>
          <w:rFonts w:ascii="Calibri" w:hAnsi="Calibri"/>
        </w:rPr>
        <w:t>;</w:t>
      </w:r>
      <w:r w:rsidRPr="00661C39">
        <w:rPr>
          <w:rStyle w:val="ms-rtethemefontface-2"/>
          <w:rFonts w:ascii="Calibri" w:hAnsi="Calibri"/>
        </w:rPr>
        <w:t xml:space="preserve"> </w:t>
      </w:r>
      <w:r>
        <w:rPr>
          <w:rStyle w:val="ms-rtethemefontface-2"/>
          <w:rFonts w:ascii="Calibri" w:hAnsi="Calibri"/>
        </w:rPr>
        <w:t xml:space="preserve">(c) evitar impactos adversos sobre las personas y el medio ambiente; (d) minimizar, mitigar y gestionar los impactos adversos cuando no sea posible evitarlos; (e) fortalecer las capacidades del PNUD y de sus asociados para gestionar los riesgos sociales y ambientales; y (f) garantizar la participación completa y efectiva de las partes interesadas, incluso mediante un mecanismo para responder a quejas de personas afectadas por </w:t>
      </w:r>
      <w:r w:rsidR="00597CDC">
        <w:rPr>
          <w:rStyle w:val="ms-rtethemefontface-2"/>
          <w:rFonts w:ascii="Calibri" w:hAnsi="Calibri"/>
        </w:rPr>
        <w:t xml:space="preserve">la </w:t>
      </w:r>
      <w:r w:rsidR="00AA6B11">
        <w:rPr>
          <w:rStyle w:val="ms-rtethemefontface-2"/>
          <w:rFonts w:ascii="Calibri" w:hAnsi="Calibri"/>
        </w:rPr>
        <w:t>p</w:t>
      </w:r>
      <w:r w:rsidR="00597CDC" w:rsidRPr="00597CDC">
        <w:rPr>
          <w:rStyle w:val="ms-rtethemefontface-2"/>
          <w:rFonts w:ascii="Calibri" w:hAnsi="Calibri"/>
        </w:rPr>
        <w:t>rogramación del PNUD</w:t>
      </w:r>
      <w:r>
        <w:rPr>
          <w:rStyle w:val="ms-rtethemefontface-2"/>
          <w:rFonts w:ascii="Calibri" w:hAnsi="Calibri"/>
        </w:rPr>
        <w:t>.</w:t>
      </w:r>
    </w:p>
    <w:p w14:paraId="5925070E" w14:textId="77777777" w:rsidR="00FB22E5" w:rsidRDefault="00FB22E5" w:rsidP="00FB22E5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Style w:val="ms-rtethemefontface-2"/>
          <w:rFonts w:ascii="Calibri" w:hAnsi="Calibri"/>
        </w:rPr>
      </w:pPr>
      <w:r>
        <w:rPr>
          <w:rStyle w:val="ms-rtethemefontface-2"/>
          <w:rFonts w:ascii="Calibri" w:hAnsi="Calibri"/>
        </w:rPr>
        <w:t xml:space="preserve">El PNUD no respalda actividades que no cumplan con la legislación nacional y las obligaciones de la legislación internacional, cualquiera sea la norma más estricta (a partir de aquí, «Ley Aplicable»). El PNUD busca brindar apoyo a los Gobiernos para que cumplan con sus obligaciones de derechos humanos y empoderar a individuos y grupos, en particular los más marginados, para ejercer sus derechos y </w:t>
      </w:r>
      <w:r w:rsidRPr="004D62B3">
        <w:rPr>
          <w:rStyle w:val="ms-rtethemefontface-2"/>
          <w:rFonts w:ascii="Calibri" w:hAnsi="Calibri"/>
        </w:rPr>
        <w:t>garanticen su plena participación</w:t>
      </w:r>
      <w:r>
        <w:rPr>
          <w:rStyle w:val="ms-rtethemefontface-2"/>
          <w:rFonts w:ascii="Calibri" w:hAnsi="Calibri"/>
        </w:rPr>
        <w:t xml:space="preserve"> a lo largo del ciclo de programación del PNUD. </w:t>
      </w:r>
    </w:p>
    <w:p w14:paraId="7C8C8869" w14:textId="77777777" w:rsidR="00FB22E5" w:rsidRDefault="00FB22E5" w:rsidP="00FB22E5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Style w:val="ms-rtethemefontface-2"/>
          <w:rFonts w:ascii="Calibri" w:hAnsi="Calibri"/>
        </w:rPr>
      </w:pPr>
      <w:r>
        <w:rPr>
          <w:rStyle w:val="ms-rtethemefontface-2"/>
          <w:rFonts w:ascii="Calibri" w:hAnsi="Calibri"/>
        </w:rPr>
        <w:t xml:space="preserve">El PNUD se rige por los principios rectores del Grupo de las Naciones Unidas para el Desarrollo </w:t>
      </w:r>
      <w:r>
        <w:rPr>
          <w:rStyle w:val="ms-rtethemefontface-2"/>
          <w:lang w:val="es-ES_tradnl"/>
        </w:rPr>
        <w:t>Sostenible</w:t>
      </w:r>
      <w:r>
        <w:rPr>
          <w:rStyle w:val="ms-rtethemefontface-2"/>
          <w:rFonts w:ascii="Calibri" w:hAnsi="Calibri"/>
        </w:rPr>
        <w:t xml:space="preserve"> (GNUDS) para los </w:t>
      </w:r>
      <w:r w:rsidRPr="0034682E">
        <w:rPr>
          <w:lang w:val="es-ES_tradnl"/>
        </w:rPr>
        <w:t>Marco</w:t>
      </w:r>
      <w:r>
        <w:rPr>
          <w:lang w:val="es-ES_tradnl"/>
        </w:rPr>
        <w:t>s</w:t>
      </w:r>
      <w:r w:rsidRPr="0034682E">
        <w:rPr>
          <w:lang w:val="es-ES_tradnl"/>
        </w:rPr>
        <w:t xml:space="preserve"> de Cooperación de la </w:t>
      </w:r>
      <w:r>
        <w:rPr>
          <w:lang w:val="es-ES_tradnl"/>
        </w:rPr>
        <w:t>ONU</w:t>
      </w:r>
      <w:r w:rsidRPr="0034682E">
        <w:rPr>
          <w:lang w:val="es-ES_tradnl"/>
        </w:rPr>
        <w:t xml:space="preserve"> para el Desarrollo Sostenible</w:t>
      </w:r>
      <w:r>
        <w:rPr>
          <w:lang w:val="es-ES_tradnl"/>
        </w:rPr>
        <w:t xml:space="preserve"> </w:t>
      </w:r>
      <w:r>
        <w:rPr>
          <w:rStyle w:val="ms-rtethemefontface-2"/>
          <w:rFonts w:ascii="Calibri" w:hAnsi="Calibri"/>
        </w:rPr>
        <w:t>(‘</w:t>
      </w:r>
      <w:r>
        <w:rPr>
          <w:lang w:val="es-ES_tradnl"/>
        </w:rPr>
        <w:t xml:space="preserve">Marcos de </w:t>
      </w:r>
      <w:r w:rsidRPr="0034682E">
        <w:rPr>
          <w:lang w:val="es-ES_tradnl"/>
        </w:rPr>
        <w:t>Cooperación</w:t>
      </w:r>
      <w:r>
        <w:rPr>
          <w:lang w:val="es-ES_tradnl"/>
        </w:rPr>
        <w:t>’)</w:t>
      </w:r>
      <w:r>
        <w:rPr>
          <w:rStyle w:val="ms-rtethemefontface-2"/>
          <w:rFonts w:ascii="Calibri" w:hAnsi="Calibri"/>
        </w:rPr>
        <w:t>. Estos principios forman la base normativa para el</w:t>
      </w:r>
      <w:r w:rsidRPr="008150FE">
        <w:rPr>
          <w:lang w:val="es-ES_tradnl"/>
        </w:rPr>
        <w:t xml:space="preserve"> </w:t>
      </w:r>
      <w:r>
        <w:rPr>
          <w:lang w:val="es-ES_tradnl"/>
        </w:rPr>
        <w:t xml:space="preserve">Marco de </w:t>
      </w:r>
      <w:r w:rsidRPr="0034682E">
        <w:rPr>
          <w:lang w:val="es-ES_tradnl"/>
        </w:rPr>
        <w:t>Cooperación</w:t>
      </w:r>
      <w:r>
        <w:rPr>
          <w:rStyle w:val="ms-rtethemefontface-2"/>
          <w:rFonts w:ascii="Calibri" w:hAnsi="Calibri"/>
        </w:rPr>
        <w:t xml:space="preserve"> y la programación integrada en todos los contextos nacionales, cuyo principio dominante y unificador es “</w:t>
      </w:r>
      <w:r w:rsidRPr="005E62B4">
        <w:rPr>
          <w:rStyle w:val="ms-rtethemefontface-2"/>
          <w:rFonts w:ascii="Calibri" w:hAnsi="Calibri"/>
          <w:b/>
          <w:bCs/>
        </w:rPr>
        <w:t>no dejar a nadie atrás</w:t>
      </w:r>
      <w:r w:rsidRPr="005E62B4">
        <w:rPr>
          <w:rStyle w:val="ms-rtethemefontface-2"/>
          <w:rFonts w:ascii="Calibri" w:hAnsi="Calibri"/>
        </w:rPr>
        <w:t>”</w:t>
      </w:r>
      <w:r>
        <w:rPr>
          <w:rStyle w:val="ms-rtethemefontface-2"/>
          <w:rFonts w:ascii="Calibri" w:hAnsi="Calibri"/>
        </w:rPr>
        <w:t xml:space="preserve">. </w:t>
      </w:r>
      <w:r w:rsidRPr="00645441">
        <w:rPr>
          <w:rStyle w:val="ms-rtethemefontface-2"/>
          <w:rFonts w:ascii="Calibri" w:hAnsi="Calibri"/>
        </w:rPr>
        <w:t>No dejar a nadie atrás y llegar primero a los más alejados es el núcleo de los esfuerzos de programación y promoción en todos los programas de las Naciones Unidas. Este principio se desarrolla más a fondo a través de los principios rectores de los</w:t>
      </w:r>
      <w:r>
        <w:rPr>
          <w:rStyle w:val="ms-rtethemefontface-2"/>
          <w:rFonts w:ascii="Calibri" w:hAnsi="Calibri"/>
        </w:rPr>
        <w:t xml:space="preserve"> derechos humanos, la igualdad de género y el empoderamiento de las mujeres; la sostenibilidad y la resiliencia; y la rendición de cuentas. L</w:t>
      </w:r>
      <w:r w:rsidRPr="00570CB0">
        <w:rPr>
          <w:rStyle w:val="ms-rtethemefontface-2"/>
          <w:rFonts w:ascii="Calibri" w:hAnsi="Calibri"/>
        </w:rPr>
        <w:t>a</w:t>
      </w:r>
      <w:r>
        <w:rPr>
          <w:rStyle w:val="ms-rtethemefontface-2"/>
          <w:rFonts w:ascii="Calibri" w:hAnsi="Calibri"/>
        </w:rPr>
        <w:t>s</w:t>
      </w:r>
      <w:r w:rsidRPr="00570CB0">
        <w:rPr>
          <w:rStyle w:val="ms-rtethemefontface-2"/>
          <w:rFonts w:ascii="Calibri" w:hAnsi="Calibri"/>
        </w:rPr>
        <w:t xml:space="preserve"> </w:t>
      </w:r>
      <w:r>
        <w:rPr>
          <w:rStyle w:val="ms-rtethemefontface-2"/>
          <w:rFonts w:ascii="Calibri" w:hAnsi="Calibri"/>
        </w:rPr>
        <w:t>SES</w:t>
      </w:r>
      <w:r w:rsidRPr="00570CB0">
        <w:rPr>
          <w:rStyle w:val="ms-rtethemefontface-2"/>
          <w:rFonts w:ascii="Calibri" w:hAnsi="Calibri"/>
        </w:rPr>
        <w:t xml:space="preserve"> refuerza</w:t>
      </w:r>
      <w:r>
        <w:rPr>
          <w:rStyle w:val="ms-rtethemefontface-2"/>
          <w:rFonts w:ascii="Calibri" w:hAnsi="Calibri"/>
        </w:rPr>
        <w:t>n</w:t>
      </w:r>
      <w:r w:rsidRPr="00570CB0">
        <w:rPr>
          <w:rStyle w:val="ms-rtethemefontface-2"/>
          <w:rFonts w:ascii="Calibri" w:hAnsi="Calibri"/>
        </w:rPr>
        <w:t xml:space="preserve"> el enfoque "basado en principios" de toda la programación del PNUD. El PNUD examina y revisa sus actividades para maximizar las oportunidades y los beneficios sociales y ambientales, así como para asegurar que se eviten, minimicen, mitiguen y gestionen los riesgos y los impactos sociales y ambientales adversos. </w:t>
      </w:r>
    </w:p>
    <w:p w14:paraId="365A2CAA" w14:textId="17D13F16" w:rsidR="00FB22E5" w:rsidRPr="00BD24EB" w:rsidRDefault="00FB22E5" w:rsidP="00FB22E5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Calibri" w:hAnsi="Calibri"/>
        </w:rPr>
      </w:pPr>
      <w:r>
        <w:rPr>
          <w:rStyle w:val="ms-rtethemefontface-2"/>
          <w:rFonts w:ascii="Calibri" w:hAnsi="Calibri"/>
        </w:rPr>
        <w:t xml:space="preserve">El PNUD garantizará que existan mecanismos de examen del cumplimiento y respuesta (o presentación de reclamaciones) de las partes interesadas para que las personas y las comunidades posiblemente afectadas por </w:t>
      </w:r>
      <w:r w:rsidR="004141CC">
        <w:rPr>
          <w:rStyle w:val="ms-rtethemefontface-2"/>
          <w:rFonts w:ascii="Calibri" w:hAnsi="Calibri"/>
        </w:rPr>
        <w:t>a</w:t>
      </w:r>
      <w:r w:rsidR="004141CC" w:rsidRPr="004141CC">
        <w:rPr>
          <w:rStyle w:val="ms-rtethemefontface-2"/>
          <w:rFonts w:ascii="Calibri" w:hAnsi="Calibri"/>
        </w:rPr>
        <w:t>ctividades de programación</w:t>
      </w:r>
      <w:r w:rsidR="00CC469E">
        <w:rPr>
          <w:rStyle w:val="ms-rtethemefontface-2"/>
          <w:rFonts w:ascii="Calibri" w:hAnsi="Calibri"/>
        </w:rPr>
        <w:t xml:space="preserve"> </w:t>
      </w:r>
      <w:r>
        <w:rPr>
          <w:rStyle w:val="ms-rtethemefontface-2"/>
          <w:rFonts w:ascii="Calibri" w:hAnsi="Calibri"/>
        </w:rPr>
        <w:t>del PNUD tengan acceso a mecanismos y procedimientos efectivos para presentar preocupaciones sobre el desempeño social y ambiental de</w:t>
      </w:r>
      <w:r w:rsidR="000B4DF3">
        <w:rPr>
          <w:rStyle w:val="ms-rtethemefontface-2"/>
          <w:rFonts w:ascii="Calibri" w:hAnsi="Calibri"/>
        </w:rPr>
        <w:t xml:space="preserve"> </w:t>
      </w:r>
      <w:r>
        <w:rPr>
          <w:rStyle w:val="ms-rtethemefontface-2"/>
          <w:rFonts w:ascii="Calibri" w:hAnsi="Calibri"/>
        </w:rPr>
        <w:t>l</w:t>
      </w:r>
      <w:r w:rsidR="000B4DF3">
        <w:rPr>
          <w:rStyle w:val="ms-rtethemefontface-2"/>
          <w:rFonts w:ascii="Calibri" w:hAnsi="Calibri"/>
        </w:rPr>
        <w:t>as</w:t>
      </w:r>
      <w:r>
        <w:rPr>
          <w:rStyle w:val="ms-rtethemefontface-2"/>
          <w:rFonts w:ascii="Calibri" w:hAnsi="Calibri"/>
        </w:rPr>
        <w:t xml:space="preserve"> </w:t>
      </w:r>
      <w:r w:rsidR="00135412" w:rsidRPr="00135412">
        <w:rPr>
          <w:rStyle w:val="ms-rtethemefontface-2"/>
          <w:rFonts w:ascii="Calibri" w:hAnsi="Calibri"/>
        </w:rPr>
        <w:t>actividades de programación</w:t>
      </w:r>
      <w:r>
        <w:rPr>
          <w:rStyle w:val="ms-rtethemefontface-2"/>
          <w:rFonts w:ascii="Calibri" w:hAnsi="Calibri"/>
        </w:rPr>
        <w:t xml:space="preserve">. El PNUD garantizará que sus asociados en la ejecución y sus propios gerentes de </w:t>
      </w:r>
      <w:r w:rsidR="00E17A63" w:rsidRPr="00E17A63">
        <w:rPr>
          <w:rStyle w:val="ms-rtethemefontface-2"/>
          <w:rFonts w:ascii="Calibri" w:hAnsi="Calibri"/>
        </w:rPr>
        <w:t>programación</w:t>
      </w:r>
      <w:r w:rsidR="00E17A63">
        <w:rPr>
          <w:rStyle w:val="ms-rtethemefontface-2"/>
          <w:rFonts w:ascii="Calibri" w:hAnsi="Calibri"/>
        </w:rPr>
        <w:t xml:space="preserve"> </w:t>
      </w:r>
      <w:r>
        <w:rPr>
          <w:rStyle w:val="ms-rtethemefontface-2"/>
          <w:rFonts w:ascii="Calibri" w:hAnsi="Calibri"/>
        </w:rPr>
        <w:t>proporcionen respuestas claras y constructivas a posibles reclamaciones, corrijan el incumplimiento cuando haya sucedido y compartan los resultados de los procesos de presentación de reclamaciones.</w:t>
      </w:r>
    </w:p>
    <w:p w14:paraId="3C704DCD" w14:textId="516DE132" w:rsidR="00FB22E5" w:rsidRDefault="00FB22E5" w:rsidP="00FB22E5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Style w:val="ms-rtethemefontface-2"/>
          <w:rFonts w:ascii="Calibri" w:hAnsi="Calibri"/>
        </w:rPr>
      </w:pPr>
      <w:r>
        <w:rPr>
          <w:rStyle w:val="ms-rtethemefontface-2"/>
          <w:rFonts w:ascii="Calibri" w:hAnsi="Calibri"/>
        </w:rPr>
        <w:t xml:space="preserve">El PNUD garantizará que se consideren los objetivos y los requisitos de las SES durante todo el ciclo de </w:t>
      </w:r>
      <w:r w:rsidRPr="00BB5C7C">
        <w:rPr>
          <w:rStyle w:val="ms-rtethemefontface-2"/>
          <w:rFonts w:ascii="Calibri" w:hAnsi="Calibri"/>
        </w:rPr>
        <w:t xml:space="preserve">programación </w:t>
      </w:r>
      <w:r>
        <w:rPr>
          <w:rStyle w:val="ms-rtethemefontface-2"/>
          <w:rFonts w:ascii="Calibri" w:hAnsi="Calibri"/>
        </w:rPr>
        <w:t xml:space="preserve">y el proyecto. </w:t>
      </w:r>
      <w:r w:rsidRPr="00BB5C7C">
        <w:rPr>
          <w:rStyle w:val="ms-rtethemefontface-2"/>
          <w:rFonts w:ascii="Calibri" w:hAnsi="Calibri"/>
        </w:rPr>
        <w:t xml:space="preserve">Las oportunidades para fortalecer la sostenibilidad social y ambiental se identifican en la etapa más temprana del diseño de </w:t>
      </w:r>
      <w:proofErr w:type="gramStart"/>
      <w:r w:rsidR="00740BFD" w:rsidRPr="00740BFD">
        <w:rPr>
          <w:rStyle w:val="ms-rtethemefontface-2"/>
          <w:rFonts w:ascii="Calibri" w:hAnsi="Calibri"/>
        </w:rPr>
        <w:t xml:space="preserve">programación </w:t>
      </w:r>
      <w:r w:rsidRPr="00BB5C7C">
        <w:rPr>
          <w:rStyle w:val="ms-rtethemefontface-2"/>
          <w:rFonts w:ascii="Calibri" w:hAnsi="Calibri"/>
        </w:rPr>
        <w:t>,</w:t>
      </w:r>
      <w:proofErr w:type="gramEnd"/>
      <w:r w:rsidRPr="00BB5C7C">
        <w:rPr>
          <w:rStyle w:val="ms-rtethemefontface-2"/>
          <w:rFonts w:ascii="Calibri" w:hAnsi="Calibri"/>
        </w:rPr>
        <w:t xml:space="preserve"> se realizan mediante la ejecución y se rastrean mediante la supervisión y la evaluación. Las oportunidades y los riesgos sociales y ambientales se abordan de manera integrada, reconociendo la interrelación de las cuestiones sociales y ambientales.</w:t>
      </w:r>
    </w:p>
    <w:p w14:paraId="01F166C0" w14:textId="77777777" w:rsidR="00F562BB" w:rsidRDefault="00FB22E5" w:rsidP="00FB22E5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Style w:val="ms-rtethemefontface-2"/>
          <w:rFonts w:ascii="Calibri" w:hAnsi="Calibri"/>
        </w:rPr>
      </w:pPr>
      <w:r w:rsidRPr="0018340B">
        <w:rPr>
          <w:rStyle w:val="ms-rtethemefontface-2"/>
          <w:rFonts w:ascii="Calibri" w:hAnsi="Calibri"/>
        </w:rPr>
        <w:t xml:space="preserve">El PNUD garantiza el cumplimiento de las SES para las actividades de programación ejecutadas con fondos canalizados a través de cuentas del PNUD, independientemente de la modalidad de implementación. En los casos en que se </w:t>
      </w:r>
      <w:r w:rsidRPr="0018340B">
        <w:rPr>
          <w:rFonts w:ascii="Calibri" w:hAnsi="Calibri"/>
        </w:rPr>
        <w:t xml:space="preserve">considere que </w:t>
      </w:r>
      <w:r w:rsidRPr="0018340B">
        <w:rPr>
          <w:rStyle w:val="ms-rtethemefontface-2"/>
          <w:rFonts w:ascii="Calibri" w:hAnsi="Calibri"/>
        </w:rPr>
        <w:t xml:space="preserve">la aplicación de las SES no es adecuada, el PNUD implementará las medidas apropiadas para abordar las limitaciones. </w:t>
      </w:r>
    </w:p>
    <w:p w14:paraId="3B65755C" w14:textId="6228ECF3" w:rsidR="00FB22E5" w:rsidRPr="008431BC" w:rsidRDefault="00FB22E5" w:rsidP="00FB22E5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Calibri" w:hAnsi="Calibri"/>
        </w:rPr>
      </w:pPr>
      <w:r w:rsidRPr="008431BC">
        <w:rPr>
          <w:rStyle w:val="ms-rtethemefontface-2"/>
          <w:rFonts w:ascii="Calibri" w:hAnsi="Calibri"/>
        </w:rPr>
        <w:lastRenderedPageBreak/>
        <w:t xml:space="preserve">Los programas y los </w:t>
      </w:r>
      <w:r w:rsidR="00232778" w:rsidRPr="00232778">
        <w:rPr>
          <w:rStyle w:val="ms-rtethemefontface-2"/>
          <w:rFonts w:ascii="Calibri" w:hAnsi="Calibri"/>
        </w:rPr>
        <w:t>instrumentos de entrega relacionados</w:t>
      </w:r>
      <w:r w:rsidRPr="008431BC">
        <w:rPr>
          <w:rStyle w:val="ms-rtethemefontface-2"/>
          <w:rFonts w:ascii="Calibri" w:hAnsi="Calibri"/>
        </w:rPr>
        <w:t xml:space="preserve"> del PNUD </w:t>
      </w:r>
      <w:r>
        <w:rPr>
          <w:rStyle w:val="ms-rtethemefontface-2"/>
          <w:rFonts w:ascii="Calibri" w:hAnsi="Calibri"/>
        </w:rPr>
        <w:t xml:space="preserve">pueden </w:t>
      </w:r>
      <w:r w:rsidRPr="008431BC">
        <w:rPr>
          <w:rStyle w:val="ms-rtethemefontface-2"/>
          <w:rFonts w:ascii="Calibri" w:hAnsi="Calibri"/>
        </w:rPr>
        <w:t>involucra</w:t>
      </w:r>
      <w:r>
        <w:rPr>
          <w:rStyle w:val="ms-rtethemefontface-2"/>
          <w:rFonts w:ascii="Calibri" w:hAnsi="Calibri"/>
        </w:rPr>
        <w:t>r</w:t>
      </w:r>
      <w:r w:rsidRPr="008431BC">
        <w:rPr>
          <w:rStyle w:val="ms-rtethemefontface-2"/>
          <w:rFonts w:ascii="Calibri" w:hAnsi="Calibri"/>
        </w:rPr>
        <w:t xml:space="preserve"> a asociados que brindan contribuciones en especie o financiación paralela, y aplican sus propios procedimientos y políticas para lograr los objetivos comunes. Por lo tanto, si bien el PNUD no garantiza el cumplimiento de las SES más allá de aquellas actividades financiadas mediante cuentas del PNUD, </w:t>
      </w:r>
      <w:r>
        <w:rPr>
          <w:rStyle w:val="ms-rtethemefontface-2"/>
          <w:rFonts w:ascii="Calibri" w:hAnsi="Calibri"/>
        </w:rPr>
        <w:t>todo</w:t>
      </w:r>
      <w:r w:rsidRPr="008431BC">
        <w:rPr>
          <w:rStyle w:val="ms-rtethemefontface-2"/>
          <w:rFonts w:ascii="Calibri" w:hAnsi="Calibri"/>
        </w:rPr>
        <w:t xml:space="preserve"> el programa o </w:t>
      </w:r>
      <w:r w:rsidR="002D03FD">
        <w:rPr>
          <w:rStyle w:val="ms-rtethemefontface-2"/>
          <w:rFonts w:ascii="Calibri" w:hAnsi="Calibri"/>
        </w:rPr>
        <w:t xml:space="preserve">los </w:t>
      </w:r>
      <w:r w:rsidR="002D03FD" w:rsidRPr="002D03FD">
        <w:rPr>
          <w:rStyle w:val="ms-rtethemefontface-2"/>
          <w:rFonts w:ascii="Calibri" w:hAnsi="Calibri"/>
        </w:rPr>
        <w:t>instrumentos de entrega relacionados</w:t>
      </w:r>
      <w:r w:rsidR="002D03FD">
        <w:rPr>
          <w:rStyle w:val="ms-rtethemefontface-2"/>
          <w:rFonts w:ascii="Calibri" w:hAnsi="Calibri"/>
        </w:rPr>
        <w:t xml:space="preserve"> </w:t>
      </w:r>
      <w:r w:rsidRPr="00D72AD8">
        <w:rPr>
          <w:rStyle w:val="ms-rtethemefontface-2"/>
          <w:rFonts w:ascii="Calibri" w:hAnsi="Calibri"/>
        </w:rPr>
        <w:t>se examina</w:t>
      </w:r>
      <w:r>
        <w:rPr>
          <w:rStyle w:val="ms-rtethemefontface-2"/>
          <w:rFonts w:ascii="Calibri" w:hAnsi="Calibri"/>
        </w:rPr>
        <w:t xml:space="preserve"> </w:t>
      </w:r>
      <w:r w:rsidRPr="008431BC">
        <w:rPr>
          <w:rStyle w:val="ms-rtethemefontface-2"/>
          <w:rFonts w:ascii="Calibri" w:hAnsi="Calibri"/>
        </w:rPr>
        <w:t xml:space="preserve">para comprobar la coherencia con los requisitos de las SES. Todos los asociados están obligados a cumplir con sus respectivos compromisos establecidos en el acuerdo de asociación (p. ej., Plan de acción para el programa de país, Plan de trabajo anual, Documento del proyecto, </w:t>
      </w:r>
      <w:r w:rsidR="00F7331C" w:rsidRPr="00F7331C">
        <w:rPr>
          <w:rStyle w:val="ms-rtethemefontface-2"/>
          <w:rFonts w:ascii="Calibri" w:hAnsi="Calibri"/>
        </w:rPr>
        <w:t>Documento de cartera</w:t>
      </w:r>
      <w:r w:rsidR="00F7331C">
        <w:rPr>
          <w:rStyle w:val="ms-rtethemefontface-2"/>
          <w:rFonts w:ascii="Calibri" w:hAnsi="Calibri"/>
        </w:rPr>
        <w:t xml:space="preserve">, </w:t>
      </w:r>
      <w:r w:rsidRPr="008431BC">
        <w:rPr>
          <w:rStyle w:val="ms-rtethemefontface-2"/>
          <w:rFonts w:ascii="Calibri" w:hAnsi="Calibri"/>
        </w:rPr>
        <w:t xml:space="preserve">Documento del programa conjunto o Carta de acuerdo). </w:t>
      </w:r>
      <w:r w:rsidRPr="00E904E3">
        <w:rPr>
          <w:rStyle w:val="ms-rtethemefontface-2"/>
          <w:rFonts w:ascii="Calibri" w:hAnsi="Calibri"/>
        </w:rPr>
        <w:t>El PNUD se encarga de informar a todos los asociados en la ejecución, las partes responsables y los titulares de contratos pertinentes de su obligación de dirigirse a</w:t>
      </w:r>
      <w:r>
        <w:rPr>
          <w:rStyle w:val="ms-rtethemefontface-2"/>
          <w:rFonts w:ascii="Calibri" w:hAnsi="Calibri"/>
        </w:rPr>
        <w:t xml:space="preserve"> </w:t>
      </w:r>
      <w:r w:rsidRPr="00E904E3">
        <w:rPr>
          <w:rStyle w:val="ms-rtethemefontface-2"/>
          <w:rFonts w:ascii="Calibri" w:hAnsi="Calibri"/>
        </w:rPr>
        <w:t>l</w:t>
      </w:r>
      <w:r>
        <w:rPr>
          <w:rStyle w:val="ms-rtethemefontface-2"/>
          <w:rFonts w:ascii="Calibri" w:hAnsi="Calibri"/>
        </w:rPr>
        <w:t>as</w:t>
      </w:r>
      <w:r w:rsidRPr="00E904E3">
        <w:rPr>
          <w:rStyle w:val="ms-rtethemefontface-2"/>
          <w:rFonts w:ascii="Calibri" w:hAnsi="Calibri"/>
        </w:rPr>
        <w:t xml:space="preserve"> SE</w:t>
      </w:r>
      <w:r>
        <w:rPr>
          <w:rStyle w:val="ms-rtethemefontface-2"/>
          <w:rFonts w:ascii="Calibri" w:hAnsi="Calibri"/>
        </w:rPr>
        <w:t>S</w:t>
      </w:r>
      <w:r w:rsidRPr="00E904E3">
        <w:rPr>
          <w:rStyle w:val="ms-rtethemefontface-2"/>
          <w:rFonts w:ascii="Calibri" w:hAnsi="Calibri"/>
        </w:rPr>
        <w:t xml:space="preserve"> en sus respectivas actividades.</w:t>
      </w:r>
    </w:p>
    <w:p w14:paraId="3225AF2D" w14:textId="1F5B8BF8" w:rsidR="00715E8B" w:rsidRDefault="00FB22E5" w:rsidP="00715E8B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Style w:val="ms-rtethemefontface-2"/>
          <w:rFonts w:ascii="Calibri" w:hAnsi="Calibri"/>
        </w:rPr>
      </w:pPr>
      <w:r w:rsidRPr="00715E8B">
        <w:rPr>
          <w:rStyle w:val="ms-rtethemefontface-2"/>
          <w:rFonts w:ascii="Calibri" w:hAnsi="Calibri"/>
        </w:rPr>
        <w:t xml:space="preserve">Cuando el asociado en la ejecución es una institución gubernamental (Modalidad de Implementación Nacional o “NIM” por sus siglas en inglés), una entidad de la ONU, una organización intergubernamental o una organización no gubernamental (ONG), es responsable y debe rendir cuentas ante el PNUD por la administración del </w:t>
      </w:r>
      <w:r w:rsidR="00D166E3" w:rsidRPr="00D166E3">
        <w:rPr>
          <w:rStyle w:val="ms-rtethemefontface-2"/>
          <w:rFonts w:ascii="Calibri" w:hAnsi="Calibri"/>
        </w:rPr>
        <w:t>instrumento de entrega relevante</w:t>
      </w:r>
      <w:r w:rsidRPr="00715E8B">
        <w:rPr>
          <w:rStyle w:val="ms-rtethemefontface-2"/>
          <w:rFonts w:ascii="Calibri" w:hAnsi="Calibri"/>
        </w:rPr>
        <w:t>. El PNUD sigue rindiendo cuentas en última instancia a su Junta Ejecutiva y al/los donantes(s) correspondientes por el uso racional de recursos utilizados mediante cuentas del PNUD, y debe garantizar la calidad de su apoyo. La ejecución de las SES es</w:t>
      </w:r>
      <w:r w:rsidR="009127EF">
        <w:rPr>
          <w:rStyle w:val="ms-rtethemefontface-2"/>
          <w:rFonts w:ascii="Calibri" w:hAnsi="Calibri"/>
        </w:rPr>
        <w:t xml:space="preserve"> </w:t>
      </w:r>
      <w:r w:rsidRPr="00715E8B">
        <w:rPr>
          <w:rStyle w:val="ms-rtethemefontface-2"/>
          <w:rFonts w:ascii="Calibri" w:hAnsi="Calibri"/>
        </w:rPr>
        <w:t>una parte integral de las responsabilidades de garantía de calidad del PNUD.</w:t>
      </w:r>
      <w:r w:rsidR="00715E8B" w:rsidRPr="00715E8B">
        <w:rPr>
          <w:rStyle w:val="ms-rtethemefontface-2"/>
          <w:rFonts w:ascii="Calibri" w:hAnsi="Calibri"/>
        </w:rPr>
        <w:t xml:space="preserve"> </w:t>
      </w:r>
    </w:p>
    <w:p w14:paraId="2097A8C1" w14:textId="158A04CF" w:rsidR="00FB22E5" w:rsidRPr="00F12815" w:rsidRDefault="00FB22E5" w:rsidP="00FB22E5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Style w:val="ms-rtethemefontface-2"/>
          <w:rFonts w:ascii="Calibri" w:hAnsi="Calibri"/>
        </w:rPr>
      </w:pPr>
      <w:r w:rsidRPr="00F12815">
        <w:rPr>
          <w:rStyle w:val="ms-rtethemefontface-2"/>
          <w:rFonts w:ascii="Calibri" w:hAnsi="Calibri"/>
        </w:rPr>
        <w:t>El cumplimiento de</w:t>
      </w:r>
      <w:r>
        <w:rPr>
          <w:rStyle w:val="ms-rtethemefontface-2"/>
          <w:rFonts w:ascii="Calibri" w:hAnsi="Calibri"/>
        </w:rPr>
        <w:t xml:space="preserve"> las</w:t>
      </w:r>
      <w:r w:rsidRPr="00F12815">
        <w:rPr>
          <w:rStyle w:val="ms-rtethemefontface-2"/>
          <w:rFonts w:ascii="Calibri" w:hAnsi="Calibri"/>
        </w:rPr>
        <w:t xml:space="preserve"> SES es examinado por el PNUD a lo largo del ciclo de gestión de </w:t>
      </w:r>
      <w:r w:rsidR="00AC583C" w:rsidRPr="00AC583C">
        <w:rPr>
          <w:rStyle w:val="ms-rtethemefontface-2"/>
          <w:rFonts w:ascii="Calibri" w:hAnsi="Calibri"/>
        </w:rPr>
        <w:t>la programación</w:t>
      </w:r>
      <w:r w:rsidR="00AC583C" w:rsidRPr="00AC583C" w:rsidDel="00AC583C">
        <w:rPr>
          <w:rStyle w:val="ms-rtethemefontface-2"/>
          <w:rFonts w:ascii="Calibri" w:hAnsi="Calibri"/>
        </w:rPr>
        <w:t xml:space="preserve"> </w:t>
      </w:r>
      <w:r w:rsidRPr="00F12815">
        <w:rPr>
          <w:rStyle w:val="ms-rtethemefontface-2"/>
          <w:rFonts w:ascii="Calibri" w:hAnsi="Calibri"/>
        </w:rPr>
        <w:t xml:space="preserve">como parte del sistema de </w:t>
      </w:r>
      <w:r>
        <w:rPr>
          <w:rStyle w:val="ms-rtethemefontface-2"/>
          <w:rFonts w:ascii="Calibri" w:hAnsi="Calibri"/>
        </w:rPr>
        <w:t>g</w:t>
      </w:r>
      <w:r w:rsidRPr="00105366">
        <w:rPr>
          <w:rStyle w:val="ms-rtethemefontface-2"/>
          <w:rFonts w:ascii="Calibri" w:hAnsi="Calibri"/>
        </w:rPr>
        <w:t xml:space="preserve">arantía de </w:t>
      </w:r>
      <w:r>
        <w:rPr>
          <w:rStyle w:val="ms-rtethemefontface-2"/>
          <w:rFonts w:ascii="Calibri" w:hAnsi="Calibri"/>
        </w:rPr>
        <w:t>c</w:t>
      </w:r>
      <w:r w:rsidRPr="00105366">
        <w:rPr>
          <w:rStyle w:val="ms-rtethemefontface-2"/>
          <w:rFonts w:ascii="Calibri" w:hAnsi="Calibri"/>
        </w:rPr>
        <w:t>alidad</w:t>
      </w:r>
      <w:r w:rsidRPr="00F12815">
        <w:rPr>
          <w:rStyle w:val="ms-rtethemefontface-2"/>
          <w:rFonts w:ascii="Calibri" w:hAnsi="Calibri"/>
        </w:rPr>
        <w:t xml:space="preserve"> de la </w:t>
      </w:r>
      <w:r>
        <w:rPr>
          <w:rStyle w:val="ms-rtethemefontface-2"/>
          <w:rFonts w:ascii="Calibri" w:hAnsi="Calibri"/>
        </w:rPr>
        <w:t>p</w:t>
      </w:r>
      <w:r w:rsidRPr="00F12815">
        <w:rPr>
          <w:rStyle w:val="ms-rtethemefontface-2"/>
          <w:rFonts w:ascii="Calibri" w:hAnsi="Calibri"/>
        </w:rPr>
        <w:t xml:space="preserve">rogramación. El </w:t>
      </w:r>
      <w:r>
        <w:rPr>
          <w:rStyle w:val="ms-rtethemefontface-2"/>
          <w:rFonts w:ascii="Calibri" w:hAnsi="Calibri"/>
        </w:rPr>
        <w:t>P</w:t>
      </w:r>
      <w:r w:rsidRPr="00F12815">
        <w:rPr>
          <w:rStyle w:val="ms-rtethemefontface-2"/>
          <w:rFonts w:ascii="Calibri" w:hAnsi="Calibri"/>
        </w:rPr>
        <w:t xml:space="preserve">rocedimiento </w:t>
      </w:r>
      <w:r>
        <w:rPr>
          <w:rStyle w:val="ms-rtethemefontface-2"/>
          <w:rFonts w:ascii="Calibri" w:hAnsi="Calibri"/>
        </w:rPr>
        <w:t>para el diagnóstico</w:t>
      </w:r>
      <w:r w:rsidRPr="00F12815">
        <w:rPr>
          <w:rStyle w:val="ms-rtethemefontface-2"/>
          <w:rFonts w:ascii="Calibri" w:hAnsi="Calibri"/>
        </w:rPr>
        <w:t xml:space="preserve"> social y ambiental (SESP</w:t>
      </w:r>
      <w:r>
        <w:rPr>
          <w:rStyle w:val="ms-rtethemefontface-2"/>
          <w:rFonts w:ascii="Calibri" w:hAnsi="Calibri"/>
        </w:rPr>
        <w:t>, por sus siglas en inglés</w:t>
      </w:r>
      <w:r w:rsidRPr="00F12815">
        <w:rPr>
          <w:rStyle w:val="ms-rtethemefontface-2"/>
          <w:rFonts w:ascii="Calibri" w:hAnsi="Calibri"/>
        </w:rPr>
        <w:t xml:space="preserve">) se aplica para identificar los posibles riesgos sociales y ambientales y determinar el tipo y el nivel adecuado de evaluación y gestión social y ambiental necesarios. </w:t>
      </w:r>
      <w:r w:rsidR="008E3A2F">
        <w:rPr>
          <w:rStyle w:val="ms-rtethemefontface-2"/>
          <w:rFonts w:ascii="Calibri" w:hAnsi="Calibri"/>
        </w:rPr>
        <w:t>La p</w:t>
      </w:r>
      <w:r w:rsidR="00E81FEE" w:rsidRPr="00E81FEE">
        <w:rPr>
          <w:rStyle w:val="ms-rtethemefontface-2"/>
          <w:rFonts w:ascii="Calibri" w:hAnsi="Calibri"/>
        </w:rPr>
        <w:t>rogramación que consiste</w:t>
      </w:r>
      <w:r w:rsidRPr="00F12815">
        <w:rPr>
          <w:rStyle w:val="ms-rtethemefontface-2"/>
          <w:rFonts w:ascii="Calibri" w:hAnsi="Calibri"/>
        </w:rPr>
        <w:t xml:space="preserve"> </w:t>
      </w:r>
      <w:r w:rsidRPr="005E62B4">
        <w:rPr>
          <w:rStyle w:val="ms-rtethemefontface-2"/>
          <w:rFonts w:ascii="Calibri" w:hAnsi="Calibri"/>
          <w:b/>
          <w:bCs/>
          <w:u w:val="single"/>
        </w:rPr>
        <w:t>únicamente</w:t>
      </w:r>
      <w:r w:rsidRPr="00F12815">
        <w:rPr>
          <w:rStyle w:val="ms-rtethemefontface-2"/>
          <w:rFonts w:ascii="Calibri" w:hAnsi="Calibri"/>
        </w:rPr>
        <w:t xml:space="preserve"> en cualquiera de las siguientes funciones o actividades están exentos del requisito del SESP: </w:t>
      </w:r>
    </w:p>
    <w:p w14:paraId="7531BBE4" w14:textId="77777777" w:rsidR="00FB22E5" w:rsidRPr="0077395B" w:rsidRDefault="00FB22E5" w:rsidP="00FB22E5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60" w:after="0" w:line="240" w:lineRule="auto"/>
        <w:jc w:val="both"/>
        <w:rPr>
          <w:rFonts w:ascii="Calibri" w:hAnsi="Calibri" w:cs="Arial"/>
        </w:rPr>
      </w:pPr>
      <w:r w:rsidRPr="0077395B">
        <w:rPr>
          <w:rFonts w:ascii="Calibri" w:hAnsi="Calibri" w:cs="Arial"/>
        </w:rPr>
        <w:t xml:space="preserve">El PNUD actúa como </w:t>
      </w:r>
      <w:r>
        <w:rPr>
          <w:rFonts w:ascii="Calibri" w:hAnsi="Calibri" w:cs="Arial"/>
        </w:rPr>
        <w:t>A</w:t>
      </w:r>
      <w:r w:rsidRPr="0077395B">
        <w:rPr>
          <w:rFonts w:ascii="Calibri" w:hAnsi="Calibri" w:cs="Arial"/>
        </w:rPr>
        <w:t xml:space="preserve">gente </w:t>
      </w:r>
      <w:r>
        <w:rPr>
          <w:rFonts w:ascii="Calibri" w:hAnsi="Calibri" w:cs="Arial"/>
        </w:rPr>
        <w:t>A</w:t>
      </w:r>
      <w:r w:rsidRPr="0077395B">
        <w:rPr>
          <w:rFonts w:ascii="Calibri" w:hAnsi="Calibri" w:cs="Arial"/>
        </w:rPr>
        <w:t>dministrativo;</w:t>
      </w:r>
    </w:p>
    <w:p w14:paraId="10021A7C" w14:textId="77777777" w:rsidR="00FB22E5" w:rsidRPr="00BD24EB" w:rsidRDefault="00FB22E5" w:rsidP="00FB22E5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60" w:after="0" w:line="240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Preparación y difusión de informes, documentos y materiales de comunicación; </w:t>
      </w:r>
    </w:p>
    <w:p w14:paraId="3BBEB5E1" w14:textId="77777777" w:rsidR="00FB22E5" w:rsidRPr="00BD24EB" w:rsidRDefault="00FB22E5" w:rsidP="00FB22E5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60" w:after="0" w:line="240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Organización de un evento, un taller o una capacitación; </w:t>
      </w:r>
    </w:p>
    <w:p w14:paraId="1E54405F" w14:textId="77777777" w:rsidR="00FB22E5" w:rsidRPr="00BD24EB" w:rsidRDefault="00FB22E5" w:rsidP="00FB22E5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60" w:after="0" w:line="240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Fortalecimiento de las capacidades de los asociados para participar en negociaciones y conferencias internacionales; </w:t>
      </w:r>
    </w:p>
    <w:p w14:paraId="213648DE" w14:textId="77777777" w:rsidR="00FB22E5" w:rsidRPr="00BD24EB" w:rsidRDefault="00FB22E5" w:rsidP="00FB22E5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60" w:after="0" w:line="240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>Coordinación de asociación (incluida coordinación de la ONU) y gestión de redes; y/o</w:t>
      </w:r>
    </w:p>
    <w:p w14:paraId="3A9623A5" w14:textId="77777777" w:rsidR="00FB22E5" w:rsidRPr="009368BA" w:rsidRDefault="00FB22E5" w:rsidP="00FB22E5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60" w:after="0" w:line="240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Proyectos globales/regionales sin actividades a nivel de país </w:t>
      </w:r>
      <w:r w:rsidRPr="005E62B4">
        <w:rPr>
          <w:rFonts w:ascii="Calibri" w:hAnsi="Calibri"/>
        </w:rPr>
        <w:t>(p.</w:t>
      </w:r>
      <w:r>
        <w:rPr>
          <w:rFonts w:ascii="Calibri" w:hAnsi="Calibri"/>
        </w:rPr>
        <w:t xml:space="preserve"> ej., </w:t>
      </w:r>
      <w:r w:rsidRPr="00056C0F">
        <w:rPr>
          <w:rFonts w:ascii="Calibri" w:hAnsi="Calibri"/>
        </w:rPr>
        <w:t>actividades como</w:t>
      </w:r>
      <w:r>
        <w:rPr>
          <w:rFonts w:ascii="Calibri" w:hAnsi="Calibri"/>
        </w:rPr>
        <w:t xml:space="preserve"> la gestión de conocimiento, procesos intergubernamentales); </w:t>
      </w:r>
    </w:p>
    <w:p w14:paraId="2CE25738" w14:textId="77777777" w:rsidR="00FB22E5" w:rsidRPr="00BD24EB" w:rsidRDefault="00FB22E5" w:rsidP="00FB22E5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60" w:after="0" w:line="240" w:lineRule="auto"/>
        <w:jc w:val="both"/>
        <w:rPr>
          <w:rFonts w:ascii="Calibri" w:hAnsi="Calibri" w:cs="Arial"/>
        </w:rPr>
      </w:pPr>
      <w:r w:rsidRPr="009368BA">
        <w:rPr>
          <w:rFonts w:ascii="Calibri" w:hAnsi="Calibri" w:cs="Arial"/>
        </w:rPr>
        <w:t>Proyectos de eficacia en el desarrollo y proyectos de eficacia institucional.</w:t>
      </w:r>
    </w:p>
    <w:p w14:paraId="0238D6DD" w14:textId="77777777" w:rsidR="00FB22E5" w:rsidRPr="0059202E" w:rsidRDefault="00FB22E5" w:rsidP="00FB22E5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Calibri" w:hAnsi="Calibri"/>
        </w:rPr>
      </w:pPr>
      <w:r w:rsidRPr="0059202E">
        <w:rPr>
          <w:rFonts w:ascii="Calibri" w:hAnsi="Calibri"/>
        </w:rPr>
        <w:t>El sistema de gestión social y ambiental del PNUD garantiza que los SES se apliquen a lo largo del ciclo de programación e incluye los siguientes elementos:</w:t>
      </w:r>
    </w:p>
    <w:p w14:paraId="599795C1" w14:textId="77777777" w:rsidR="00FB22E5" w:rsidRPr="0059202E" w:rsidRDefault="00FB22E5" w:rsidP="00FB22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Calibri" w:hAnsi="Calibri"/>
        </w:rPr>
      </w:pPr>
      <w:r w:rsidRPr="0059202E">
        <w:rPr>
          <w:rFonts w:ascii="Calibri" w:hAnsi="Calibri"/>
        </w:rPr>
        <w:t>Garantía de calidad y gestión de riesgos;</w:t>
      </w:r>
    </w:p>
    <w:p w14:paraId="2758F32B" w14:textId="77777777" w:rsidR="00FB22E5" w:rsidRPr="0059202E" w:rsidRDefault="00FB22E5" w:rsidP="00FB22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Calibri" w:hAnsi="Calibri"/>
        </w:rPr>
      </w:pPr>
      <w:r w:rsidRPr="0059202E">
        <w:rPr>
          <w:rFonts w:ascii="Calibri" w:hAnsi="Calibri"/>
        </w:rPr>
        <w:t>Examen, evaluación y gestión de los riesgos e impactos sociales y ambientales;</w:t>
      </w:r>
    </w:p>
    <w:p w14:paraId="1A75923D" w14:textId="77777777" w:rsidR="00FB22E5" w:rsidRPr="0059202E" w:rsidRDefault="00FB22E5" w:rsidP="00FB22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Calibri" w:hAnsi="Calibri"/>
        </w:rPr>
      </w:pPr>
      <w:r w:rsidRPr="0059202E">
        <w:rPr>
          <w:rFonts w:ascii="Calibri" w:hAnsi="Calibri"/>
        </w:rPr>
        <w:t>Participación de los interesados y mecanismos de respuesta;</w:t>
      </w:r>
    </w:p>
    <w:p w14:paraId="2B77EAEE" w14:textId="77777777" w:rsidR="00FB22E5" w:rsidRPr="0059202E" w:rsidRDefault="00FB22E5" w:rsidP="00FB22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Calibri" w:hAnsi="Calibri"/>
        </w:rPr>
      </w:pPr>
      <w:r w:rsidRPr="0059202E">
        <w:rPr>
          <w:rFonts w:ascii="Calibri" w:hAnsi="Calibri"/>
        </w:rPr>
        <w:t xml:space="preserve">Acceso a la información; y </w:t>
      </w:r>
    </w:p>
    <w:p w14:paraId="327C6BDA" w14:textId="77777777" w:rsidR="00FB22E5" w:rsidRPr="0059202E" w:rsidRDefault="00FB22E5" w:rsidP="00FB22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Calibri" w:hAnsi="Calibri"/>
        </w:rPr>
      </w:pPr>
      <w:r w:rsidRPr="00D70928">
        <w:rPr>
          <w:rFonts w:ascii="Calibri" w:hAnsi="Calibri"/>
        </w:rPr>
        <w:t>El seguimiento</w:t>
      </w:r>
      <w:r w:rsidRPr="0059202E">
        <w:rPr>
          <w:rFonts w:ascii="Calibri" w:hAnsi="Calibri"/>
        </w:rPr>
        <w:t>, presentación de informes y cumplimiento.</w:t>
      </w:r>
    </w:p>
    <w:p w14:paraId="6A42574B" w14:textId="77777777" w:rsidR="00FB22E5" w:rsidRPr="00FB22E5" w:rsidRDefault="00FB22E5" w:rsidP="00FB22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212121"/>
          <w:sz w:val="22"/>
          <w:szCs w:val="22"/>
          <w:lang w:val="it-IT"/>
        </w:rPr>
      </w:pPr>
    </w:p>
    <w:p w14:paraId="0E1BD4EE" w14:textId="77777777" w:rsidR="00FB22E5" w:rsidRPr="00FB22E5" w:rsidRDefault="00FB22E5" w:rsidP="00FB22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212121"/>
          <w:sz w:val="22"/>
          <w:szCs w:val="22"/>
          <w:lang w:val="it-IT"/>
        </w:rPr>
      </w:pPr>
    </w:p>
    <w:p w14:paraId="5CC46B87" w14:textId="77777777" w:rsidR="00FB22E5" w:rsidRPr="00FB22E5" w:rsidRDefault="00FB22E5" w:rsidP="00FB22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212121"/>
          <w:sz w:val="22"/>
          <w:szCs w:val="22"/>
          <w:lang w:val="it-IT"/>
        </w:rPr>
      </w:pPr>
    </w:p>
    <w:p w14:paraId="765DF54D" w14:textId="77777777" w:rsidR="00FB22E5" w:rsidRPr="00FB22E5" w:rsidRDefault="00FB22E5" w:rsidP="00FB22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212121"/>
          <w:sz w:val="22"/>
          <w:szCs w:val="22"/>
          <w:lang w:val="it-IT"/>
        </w:rPr>
      </w:pPr>
    </w:p>
    <w:p w14:paraId="0D989452" w14:textId="77777777" w:rsidR="00FB22E5" w:rsidRPr="00FB22E5" w:rsidRDefault="00FB22E5" w:rsidP="00FB22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212121"/>
          <w:sz w:val="22"/>
          <w:szCs w:val="22"/>
          <w:lang w:val="it-IT"/>
        </w:rPr>
      </w:pPr>
    </w:p>
    <w:p w14:paraId="317EBF51" w14:textId="77777777" w:rsidR="00FB22E5" w:rsidRPr="00FB22E5" w:rsidRDefault="00FB22E5" w:rsidP="00FB22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212121"/>
          <w:sz w:val="22"/>
          <w:szCs w:val="22"/>
          <w:lang w:val="it-IT"/>
        </w:rPr>
      </w:pPr>
    </w:p>
    <w:p w14:paraId="667E62BC" w14:textId="77777777" w:rsidR="00FB22E5" w:rsidRPr="00FB22E5" w:rsidRDefault="00FB22E5" w:rsidP="00FB22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212121"/>
          <w:sz w:val="22"/>
          <w:szCs w:val="22"/>
          <w:lang w:val="it-IT"/>
        </w:rPr>
      </w:pPr>
    </w:p>
    <w:p w14:paraId="199EBE1C" w14:textId="77777777" w:rsidR="00FB22E5" w:rsidRDefault="00FB22E5" w:rsidP="00FB22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iCs/>
          <w:color w:val="212121"/>
          <w:sz w:val="22"/>
          <w:szCs w:val="22"/>
        </w:rPr>
      </w:pPr>
      <w:r w:rsidRPr="00937757">
        <w:rPr>
          <w:rFonts w:ascii="Calibri" w:hAnsi="Calibri"/>
          <w:b/>
          <w:bCs/>
          <w:i/>
          <w:iCs/>
          <w:color w:val="212121"/>
          <w:sz w:val="22"/>
          <w:szCs w:val="22"/>
        </w:rPr>
        <w:t>Disclaimer:</w:t>
      </w:r>
      <w:r w:rsidRPr="00937757">
        <w:rPr>
          <w:rFonts w:ascii="Calibri" w:hAnsi="Calibri"/>
          <w:i/>
          <w:iCs/>
          <w:color w:val="212121"/>
          <w:sz w:val="22"/>
          <w:szCs w:val="22"/>
        </w:rPr>
        <w:t xml:space="preserve"> This document was translated from English into Spanish. In the event of any discrepancy between this translation and the original English document, the original English document shall prevail.</w:t>
      </w:r>
    </w:p>
    <w:p w14:paraId="79EFFCA7" w14:textId="77777777" w:rsidR="00FB22E5" w:rsidRPr="00937757" w:rsidRDefault="00FB22E5" w:rsidP="00FB22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lang w:val="es-ES_tradnl"/>
        </w:rPr>
      </w:pPr>
      <w:r w:rsidRPr="00937757">
        <w:rPr>
          <w:rFonts w:ascii="Calibri" w:hAnsi="Calibri"/>
          <w:b/>
          <w:bCs/>
          <w:i/>
          <w:iCs/>
          <w:color w:val="212121"/>
          <w:sz w:val="22"/>
          <w:szCs w:val="22"/>
          <w:shd w:val="clear" w:color="auto" w:fill="FFFFFF"/>
          <w:lang w:val="es-ES_tradnl"/>
        </w:rPr>
        <w:t>Descargo de responsabilidad:</w:t>
      </w:r>
      <w:r w:rsidRPr="00937757">
        <w:rPr>
          <w:rFonts w:ascii="Calibri" w:hAnsi="Calibri"/>
          <w:i/>
          <w:iCs/>
          <w:color w:val="212121"/>
          <w:sz w:val="22"/>
          <w:szCs w:val="22"/>
          <w:shd w:val="clear" w:color="auto" w:fill="FFFFFF"/>
          <w:lang w:val="es-ES_tradnl"/>
        </w:rPr>
        <w:t xml:space="preserve"> esta es una traducción de un documento original en inglés. </w:t>
      </w:r>
      <w:r w:rsidRPr="00937757">
        <w:rPr>
          <w:rFonts w:ascii="Calibri" w:hAnsi="Calibri"/>
          <w:i/>
          <w:iCs/>
          <w:color w:val="212121"/>
          <w:sz w:val="22"/>
          <w:szCs w:val="22"/>
          <w:shd w:val="clear" w:color="auto" w:fill="FFFFFF"/>
          <w:lang w:val="es-UY"/>
        </w:rPr>
        <w:t>En caso de discrepancias entre esta traducción y el documento original en inglés, prevalecerá el documento original en inglés.</w:t>
      </w:r>
    </w:p>
    <w:p w14:paraId="06BC93A0" w14:textId="77777777" w:rsidR="00FB22E5" w:rsidRPr="00937757" w:rsidRDefault="00FB22E5" w:rsidP="00FB22E5">
      <w:pPr>
        <w:rPr>
          <w:lang w:val="es-ES_tradnl"/>
        </w:rPr>
      </w:pPr>
    </w:p>
    <w:p w14:paraId="0B780578" w14:textId="77777777" w:rsidR="00FB22E5" w:rsidRPr="005010A9" w:rsidRDefault="00FB22E5" w:rsidP="00FB22E5">
      <w:pPr>
        <w:rPr>
          <w:lang w:val="es-ES_tradnl"/>
        </w:rPr>
      </w:pPr>
    </w:p>
    <w:p w14:paraId="0EAB5F36" w14:textId="77777777" w:rsidR="00FB22E5" w:rsidRPr="00FB22E5" w:rsidRDefault="00FB22E5">
      <w:pPr>
        <w:rPr>
          <w:lang w:val="es-ES_tradnl"/>
        </w:rPr>
      </w:pPr>
    </w:p>
    <w:sectPr w:rsidR="00FB22E5" w:rsidRPr="00FB22E5" w:rsidSect="00FB22E5">
      <w:headerReference w:type="default" r:id="rId8"/>
      <w:footerReference w:type="default" r:id="rId9"/>
      <w:pgSz w:w="11906" w:h="16838"/>
      <w:pgMar w:top="1440" w:right="1440" w:bottom="1440" w:left="1440" w:header="54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6956" w14:textId="77777777" w:rsidR="006102CA" w:rsidRDefault="006102CA" w:rsidP="001F72EB">
      <w:pPr>
        <w:spacing w:after="0" w:line="240" w:lineRule="auto"/>
      </w:pPr>
      <w:r>
        <w:separator/>
      </w:r>
    </w:p>
  </w:endnote>
  <w:endnote w:type="continuationSeparator" w:id="0">
    <w:p w14:paraId="43AF9F70" w14:textId="77777777" w:rsidR="006102CA" w:rsidRDefault="006102CA" w:rsidP="001F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A9A5" w14:textId="77777777" w:rsidR="001F72EB" w:rsidRPr="001F72EB" w:rsidRDefault="001F72EB" w:rsidP="00BC5BDF">
    <w:pPr>
      <w:pStyle w:val="Footer"/>
      <w:ind w:right="360"/>
      <w:jc w:val="right"/>
      <w:rPr>
        <w:rFonts w:ascii="Calibri" w:hAnsi="Calibri" w:cs="Calibri"/>
      </w:rPr>
    </w:pPr>
    <w:r w:rsidRPr="001F72EB">
      <w:rPr>
        <w:rFonts w:ascii="Calibri" w:eastAsia="Aptos" w:hAnsi="Calibri" w:cs="Calibri"/>
      </w:rPr>
      <w:t>Página</w:t>
    </w:r>
    <w:r w:rsidRPr="001F72EB">
      <w:rPr>
        <w:rFonts w:ascii="Calibri" w:hAnsi="Calibri" w:cs="Calibri"/>
      </w:rPr>
      <w:t xml:space="preserve"> </w:t>
    </w:r>
    <w:r w:rsidRPr="001F72EB">
      <w:rPr>
        <w:rFonts w:ascii="Calibri" w:hAnsi="Calibri" w:cs="Calibri"/>
        <w:b/>
        <w:bCs/>
      </w:rPr>
      <w:fldChar w:fldCharType="begin"/>
    </w:r>
    <w:r w:rsidRPr="001F72EB">
      <w:rPr>
        <w:rFonts w:ascii="Calibri" w:hAnsi="Calibri" w:cs="Calibri"/>
        <w:b/>
        <w:bCs/>
      </w:rPr>
      <w:instrText xml:space="preserve"> PAGE  \* Arabic  \* MERGEFORMAT </w:instrText>
    </w:r>
    <w:r w:rsidRPr="001F72EB">
      <w:rPr>
        <w:rFonts w:ascii="Calibri" w:hAnsi="Calibri" w:cs="Calibri"/>
        <w:b/>
        <w:bCs/>
      </w:rPr>
      <w:fldChar w:fldCharType="separate"/>
    </w:r>
    <w:r w:rsidRPr="001F72EB">
      <w:rPr>
        <w:rFonts w:ascii="Calibri" w:hAnsi="Calibri" w:cs="Calibri"/>
        <w:b/>
        <w:bCs/>
      </w:rPr>
      <w:t>1</w:t>
    </w:r>
    <w:r w:rsidRPr="001F72EB">
      <w:rPr>
        <w:rFonts w:ascii="Calibri" w:hAnsi="Calibri" w:cs="Calibri"/>
        <w:b/>
        <w:bCs/>
      </w:rPr>
      <w:fldChar w:fldCharType="end"/>
    </w:r>
    <w:r w:rsidRPr="001F72EB">
      <w:rPr>
        <w:rFonts w:ascii="Calibri" w:hAnsi="Calibri" w:cs="Calibri"/>
      </w:rPr>
      <w:t xml:space="preserve"> de </w:t>
    </w:r>
    <w:r w:rsidRPr="001F72EB">
      <w:rPr>
        <w:rFonts w:ascii="Calibri" w:hAnsi="Calibri" w:cs="Calibri"/>
        <w:b/>
        <w:bCs/>
      </w:rPr>
      <w:fldChar w:fldCharType="begin"/>
    </w:r>
    <w:r w:rsidRPr="001F72EB">
      <w:rPr>
        <w:rFonts w:ascii="Calibri" w:hAnsi="Calibri" w:cs="Calibri"/>
        <w:b/>
        <w:bCs/>
      </w:rPr>
      <w:instrText xml:space="preserve"> NUMPAGES  \* Arabic  \* MERGEFORMAT </w:instrText>
    </w:r>
    <w:r w:rsidRPr="001F72EB">
      <w:rPr>
        <w:rFonts w:ascii="Calibri" w:hAnsi="Calibri" w:cs="Calibri"/>
        <w:b/>
        <w:bCs/>
      </w:rPr>
      <w:fldChar w:fldCharType="separate"/>
    </w:r>
    <w:r w:rsidRPr="001F72EB">
      <w:rPr>
        <w:rFonts w:ascii="Calibri" w:hAnsi="Calibri" w:cs="Calibri"/>
        <w:b/>
        <w:bCs/>
      </w:rPr>
      <w:t>2</w:t>
    </w:r>
    <w:r w:rsidRPr="001F72EB">
      <w:rPr>
        <w:rFonts w:ascii="Calibri" w:hAnsi="Calibri" w:cs="Calibri"/>
        <w:b/>
        <w:bCs/>
      </w:rPr>
      <w:fldChar w:fldCharType="end"/>
    </w:r>
    <w:r w:rsidRPr="001F72EB">
      <w:rPr>
        <w:rFonts w:ascii="Calibri" w:hAnsi="Calibri" w:cs="Calibri"/>
      </w:rPr>
      <w:ptab w:relativeTo="margin" w:alignment="center" w:leader="none"/>
    </w:r>
    <w:r w:rsidRPr="001F72EB">
      <w:rPr>
        <w:rFonts w:ascii="Calibri" w:hAnsi="Calibri" w:cs="Calibri"/>
      </w:rPr>
      <w:t xml:space="preserve"> Fecha de entrada en vigor: 01/01/2021</w:t>
    </w:r>
    <w:r w:rsidRPr="001F72EB">
      <w:rPr>
        <w:rFonts w:ascii="Calibri" w:hAnsi="Calibri" w:cs="Calibri"/>
      </w:rPr>
      <w:ptab w:relativeTo="margin" w:alignment="right" w:leader="none"/>
    </w:r>
    <w:r w:rsidRPr="001F72EB">
      <w:rPr>
        <w:rFonts w:ascii="Calibri" w:hAnsi="Calibri" w:cs="Calibri"/>
      </w:rPr>
      <w:t xml:space="preserve">            Versión #: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E972" w14:textId="77777777" w:rsidR="006102CA" w:rsidRDefault="006102CA" w:rsidP="001F72EB">
      <w:pPr>
        <w:spacing w:after="0" w:line="240" w:lineRule="auto"/>
      </w:pPr>
      <w:r>
        <w:separator/>
      </w:r>
    </w:p>
  </w:footnote>
  <w:footnote w:type="continuationSeparator" w:id="0">
    <w:p w14:paraId="7F6E7AC8" w14:textId="77777777" w:rsidR="006102CA" w:rsidRDefault="006102CA" w:rsidP="001F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83BE" w14:textId="50C02323" w:rsidR="001F72EB" w:rsidRDefault="001F72EB">
    <w:pPr>
      <w:pStyle w:val="Header"/>
    </w:pPr>
    <w:r>
      <w:tab/>
    </w:r>
    <w:r>
      <w:tab/>
    </w:r>
    <w:r w:rsidR="005614A0">
      <w:rPr>
        <w:noProof/>
      </w:rPr>
      <w:drawing>
        <wp:inline distT="0" distB="0" distL="0" distR="0" wp14:anchorId="0EFD2984" wp14:editId="212E5F28">
          <wp:extent cx="360566" cy="722630"/>
          <wp:effectExtent l="0" t="0" r="1905" b="1270"/>
          <wp:docPr id="1" name="Picture 1" descr="PNUD-Logo-Blue-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UD-Logo-Blue-Larg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8" t="16003" r="24351" b="16186"/>
                  <a:stretch/>
                </pic:blipFill>
                <pic:spPr bwMode="auto">
                  <a:xfrm>
                    <a:off x="0" y="0"/>
                    <a:ext cx="360566" cy="72263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39DF"/>
    <w:multiLevelType w:val="hybridMultilevel"/>
    <w:tmpl w:val="AE269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7D3468"/>
    <w:multiLevelType w:val="hybridMultilevel"/>
    <w:tmpl w:val="F7646C48"/>
    <w:lvl w:ilvl="0" w:tplc="510243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635" w:hanging="555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C5E4A"/>
    <w:multiLevelType w:val="multilevel"/>
    <w:tmpl w:val="FE92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890001">
    <w:abstractNumId w:val="1"/>
  </w:num>
  <w:num w:numId="2" w16cid:durableId="461001423">
    <w:abstractNumId w:val="2"/>
  </w:num>
  <w:num w:numId="3" w16cid:durableId="129258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5"/>
    <w:rsid w:val="00011AE7"/>
    <w:rsid w:val="000B4DF3"/>
    <w:rsid w:val="00135412"/>
    <w:rsid w:val="00147EE1"/>
    <w:rsid w:val="001F06D5"/>
    <w:rsid w:val="001F72EB"/>
    <w:rsid w:val="00232778"/>
    <w:rsid w:val="00236696"/>
    <w:rsid w:val="00270FDB"/>
    <w:rsid w:val="002D03FD"/>
    <w:rsid w:val="003A0F0B"/>
    <w:rsid w:val="004141CC"/>
    <w:rsid w:val="004C2CF4"/>
    <w:rsid w:val="005614A0"/>
    <w:rsid w:val="00597CDC"/>
    <w:rsid w:val="006102CA"/>
    <w:rsid w:val="00715E8B"/>
    <w:rsid w:val="00740BFD"/>
    <w:rsid w:val="00871410"/>
    <w:rsid w:val="008E3A2F"/>
    <w:rsid w:val="009127EF"/>
    <w:rsid w:val="00AA6B11"/>
    <w:rsid w:val="00AC583C"/>
    <w:rsid w:val="00AC6838"/>
    <w:rsid w:val="00BA234A"/>
    <w:rsid w:val="00C540C3"/>
    <w:rsid w:val="00C82916"/>
    <w:rsid w:val="00CC469E"/>
    <w:rsid w:val="00D166E3"/>
    <w:rsid w:val="00D4126C"/>
    <w:rsid w:val="00D70928"/>
    <w:rsid w:val="00E17A63"/>
    <w:rsid w:val="00E81FEE"/>
    <w:rsid w:val="00F562BB"/>
    <w:rsid w:val="00F636E5"/>
    <w:rsid w:val="00F7331C"/>
    <w:rsid w:val="00F96772"/>
    <w:rsid w:val="00FB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84B6"/>
  <w15:chartTrackingRefBased/>
  <w15:docId w15:val="{1FFC9593-6389-42FD-AC7F-B204869D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2E5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2E5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FB2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2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22E5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FB22E5"/>
  </w:style>
  <w:style w:type="character" w:customStyle="1" w:styleId="ms-rtethemefontface-2">
    <w:name w:val="ms-rtethemefontface-2"/>
    <w:basedOn w:val="DefaultParagraphFont"/>
    <w:rsid w:val="00FB22E5"/>
  </w:style>
  <w:style w:type="paragraph" w:styleId="NormalWeb">
    <w:name w:val="Normal (Web)"/>
    <w:basedOn w:val="Normal"/>
    <w:uiPriority w:val="99"/>
    <w:semiHidden/>
    <w:unhideWhenUsed/>
    <w:rsid w:val="00FB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2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2E5"/>
    <w:rPr>
      <w:kern w:val="0"/>
      <w:sz w:val="22"/>
      <w:szCs w:val="22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2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2E5"/>
    <w:rPr>
      <w:kern w:val="0"/>
      <w:sz w:val="22"/>
      <w:szCs w:val="22"/>
      <w:lang w:val="es-ES"/>
      <w14:ligatures w14:val="none"/>
    </w:rPr>
  </w:style>
  <w:style w:type="paragraph" w:styleId="Revision">
    <w:name w:val="Revision"/>
    <w:hidden/>
    <w:uiPriority w:val="99"/>
    <w:semiHidden/>
    <w:rsid w:val="00AC6838"/>
    <w:pPr>
      <w:spacing w:after="0" w:line="240" w:lineRule="auto"/>
    </w:pPr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dp.org/content/undp/en/home/librarypage/operations1/undp-social-and-environmental-standard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Zhivkova</dc:creator>
  <cp:keywords/>
  <dc:description/>
  <cp:lastModifiedBy>Emiliana Zhivkova</cp:lastModifiedBy>
  <cp:revision>32</cp:revision>
  <dcterms:created xsi:type="dcterms:W3CDTF">2025-02-13T21:39:00Z</dcterms:created>
  <dcterms:modified xsi:type="dcterms:W3CDTF">2025-02-20T20:11:00Z</dcterms:modified>
</cp:coreProperties>
</file>