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E00EE" w14:textId="77777777" w:rsidR="00804AF0" w:rsidRDefault="009A47D6">
      <w:pPr>
        <w:pStyle w:val="TOCHeading1"/>
        <w:jc w:val="center"/>
        <w:rPr>
          <w:rFonts w:cs="Calibri"/>
          <w:b/>
          <w:bCs/>
        </w:rPr>
      </w:pPr>
      <w:r>
        <w:rPr>
          <w:rFonts w:cs="Calibri"/>
          <w:b/>
          <w:bCs/>
        </w:rPr>
        <w:t>International Personnel Services Agreement (IPSA)</w:t>
      </w:r>
    </w:p>
    <w:p w14:paraId="31D69C94" w14:textId="77777777" w:rsidR="00804AF0" w:rsidRDefault="00804AF0"/>
    <w:p w14:paraId="0A1634E8" w14:textId="7FFFE14E" w:rsidR="00D46637" w:rsidRPr="00D46637" w:rsidRDefault="009A47D6">
      <w:pPr>
        <w:pStyle w:val="TOC1"/>
        <w:tabs>
          <w:tab w:val="left" w:pos="440"/>
          <w:tab w:val="right" w:leader="dot" w:pos="8630"/>
        </w:tabs>
        <w:rPr>
          <w:rFonts w:asciiTheme="minorHAnsi" w:eastAsiaTheme="minorEastAsia" w:hAnsiTheme="minorHAnsi" w:cstheme="minorHAnsi"/>
          <w:noProof/>
          <w:kern w:val="2"/>
          <w14:ligatures w14:val="standardContextual"/>
        </w:rPr>
      </w:pPr>
      <w:r w:rsidRPr="00D46637">
        <w:rPr>
          <w:rFonts w:asciiTheme="minorHAnsi" w:hAnsiTheme="minorHAnsi" w:cstheme="minorHAnsi"/>
        </w:rPr>
        <w:fldChar w:fldCharType="begin"/>
      </w:r>
      <w:r w:rsidRPr="00D46637">
        <w:rPr>
          <w:rFonts w:asciiTheme="minorHAnsi" w:hAnsiTheme="minorHAnsi" w:cstheme="minorHAnsi"/>
        </w:rPr>
        <w:instrText xml:space="preserve"> TOC \o "1-3" \h \z \u </w:instrText>
      </w:r>
      <w:r w:rsidRPr="00D46637">
        <w:rPr>
          <w:rFonts w:asciiTheme="minorHAnsi" w:hAnsiTheme="minorHAnsi" w:cstheme="minorHAnsi"/>
        </w:rPr>
        <w:fldChar w:fldCharType="separate"/>
      </w:r>
      <w:hyperlink w:anchor="_Toc161312409" w:history="1">
        <w:r w:rsidR="00D46637" w:rsidRPr="00D46637">
          <w:rPr>
            <w:rStyle w:val="Hyperlink"/>
            <w:rFonts w:asciiTheme="minorHAnsi" w:hAnsiTheme="minorHAnsi" w:cstheme="minorHAnsi"/>
            <w:noProof/>
            <w:lang w:eastAsia="en-GB"/>
          </w:rPr>
          <w:t>I.</w:t>
        </w:r>
        <w:r w:rsidR="00D46637" w:rsidRPr="00D46637">
          <w:rPr>
            <w:rFonts w:asciiTheme="minorHAnsi" w:eastAsiaTheme="minorEastAsia" w:hAnsiTheme="minorHAnsi" w:cstheme="minorHAnsi"/>
            <w:noProof/>
            <w:kern w:val="2"/>
            <w14:ligatures w14:val="standardContextual"/>
          </w:rPr>
          <w:tab/>
        </w:r>
        <w:r w:rsidR="00D46637" w:rsidRPr="00D46637">
          <w:rPr>
            <w:rStyle w:val="Hyperlink"/>
            <w:rFonts w:asciiTheme="minorHAnsi" w:hAnsiTheme="minorHAnsi" w:cstheme="minorHAnsi"/>
            <w:noProof/>
            <w:lang w:eastAsia="en-GB"/>
          </w:rPr>
          <w:t>Introduction and Background</w:t>
        </w:r>
        <w:r w:rsidR="00D46637" w:rsidRPr="00D46637">
          <w:rPr>
            <w:rFonts w:asciiTheme="minorHAnsi" w:hAnsiTheme="minorHAnsi" w:cstheme="minorHAnsi"/>
            <w:noProof/>
            <w:webHidden/>
          </w:rPr>
          <w:tab/>
        </w:r>
        <w:r w:rsidR="00D46637" w:rsidRPr="00D46637">
          <w:rPr>
            <w:rFonts w:asciiTheme="minorHAnsi" w:hAnsiTheme="minorHAnsi" w:cstheme="minorHAnsi"/>
            <w:noProof/>
            <w:webHidden/>
          </w:rPr>
          <w:fldChar w:fldCharType="begin"/>
        </w:r>
        <w:r w:rsidR="00D46637" w:rsidRPr="00D46637">
          <w:rPr>
            <w:rFonts w:asciiTheme="minorHAnsi" w:hAnsiTheme="minorHAnsi" w:cstheme="minorHAnsi"/>
            <w:noProof/>
            <w:webHidden/>
          </w:rPr>
          <w:instrText xml:space="preserve"> PAGEREF _Toc161312409 \h </w:instrText>
        </w:r>
        <w:r w:rsidR="00D46637" w:rsidRPr="00D46637">
          <w:rPr>
            <w:rFonts w:asciiTheme="minorHAnsi" w:hAnsiTheme="minorHAnsi" w:cstheme="minorHAnsi"/>
            <w:noProof/>
            <w:webHidden/>
          </w:rPr>
        </w:r>
        <w:r w:rsidR="00D46637" w:rsidRPr="00D46637">
          <w:rPr>
            <w:rFonts w:asciiTheme="minorHAnsi" w:hAnsiTheme="minorHAnsi" w:cstheme="minorHAnsi"/>
            <w:noProof/>
            <w:webHidden/>
          </w:rPr>
          <w:fldChar w:fldCharType="separate"/>
        </w:r>
        <w:r w:rsidR="003B281E">
          <w:rPr>
            <w:rFonts w:asciiTheme="minorHAnsi" w:hAnsiTheme="minorHAnsi" w:cstheme="minorHAnsi"/>
            <w:noProof/>
            <w:webHidden/>
          </w:rPr>
          <w:t>3</w:t>
        </w:r>
        <w:r w:rsidR="00D46637" w:rsidRPr="00D46637">
          <w:rPr>
            <w:rFonts w:asciiTheme="minorHAnsi" w:hAnsiTheme="minorHAnsi" w:cstheme="minorHAnsi"/>
            <w:noProof/>
            <w:webHidden/>
          </w:rPr>
          <w:fldChar w:fldCharType="end"/>
        </w:r>
      </w:hyperlink>
    </w:p>
    <w:p w14:paraId="10F85E15" w14:textId="4D16D088" w:rsidR="00D46637" w:rsidRPr="00D46637" w:rsidRDefault="00D46637" w:rsidP="00D46637">
      <w:pPr>
        <w:pStyle w:val="TOC1"/>
        <w:tabs>
          <w:tab w:val="left" w:pos="440"/>
          <w:tab w:val="right" w:leader="dot" w:pos="8630"/>
        </w:tabs>
        <w:rPr>
          <w:rFonts w:asciiTheme="minorHAnsi" w:eastAsiaTheme="minorEastAsia" w:hAnsiTheme="minorHAnsi" w:cstheme="minorHAnsi"/>
          <w:noProof/>
          <w:kern w:val="2"/>
          <w14:ligatures w14:val="standardContextual"/>
        </w:rPr>
      </w:pPr>
      <w:hyperlink w:anchor="_Toc161312410" w:history="1">
        <w:r w:rsidRPr="00D46637">
          <w:rPr>
            <w:rStyle w:val="Hyperlink"/>
            <w:rFonts w:asciiTheme="minorHAnsi" w:hAnsiTheme="minorHAnsi" w:cstheme="minorHAnsi"/>
            <w:noProof/>
            <w:lang w:eastAsia="en-GB"/>
          </w:rPr>
          <w:t>II.</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Use of IPSA</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_Toc161312410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4</w:t>
        </w:r>
        <w:r w:rsidRPr="00D46637">
          <w:rPr>
            <w:rFonts w:asciiTheme="minorHAnsi" w:hAnsiTheme="minorHAnsi" w:cstheme="minorHAnsi"/>
            <w:noProof/>
            <w:webHidden/>
          </w:rPr>
          <w:fldChar w:fldCharType="end"/>
        </w:r>
      </w:hyperlink>
    </w:p>
    <w:p w14:paraId="233E0F24" w14:textId="7939A951" w:rsidR="00D46637" w:rsidRPr="00D46637" w:rsidRDefault="00D46637" w:rsidP="00D46637">
      <w:pPr>
        <w:pStyle w:val="TOC1"/>
        <w:tabs>
          <w:tab w:val="left" w:pos="450"/>
          <w:tab w:val="right" w:leader="dot" w:pos="8630"/>
        </w:tabs>
        <w:rPr>
          <w:rFonts w:asciiTheme="minorHAnsi" w:eastAsiaTheme="minorEastAsia" w:hAnsiTheme="minorHAnsi" w:cstheme="minorHAnsi"/>
          <w:noProof/>
          <w:kern w:val="2"/>
          <w14:ligatures w14:val="standardContextual"/>
        </w:rPr>
      </w:pPr>
      <w:hyperlink w:anchor="_Toc161312411" w:history="1">
        <w:r w:rsidRPr="00D46637">
          <w:rPr>
            <w:rStyle w:val="Hyperlink"/>
            <w:rFonts w:asciiTheme="minorHAnsi" w:hAnsiTheme="minorHAnsi" w:cstheme="minorHAnsi"/>
            <w:noProof/>
            <w:lang w:eastAsia="en-GB"/>
          </w:rPr>
          <w:t>III.</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Legal Status of the IPSA holder</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_Toc161312411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5</w:t>
        </w:r>
        <w:r w:rsidRPr="00D46637">
          <w:rPr>
            <w:rFonts w:asciiTheme="minorHAnsi" w:hAnsiTheme="minorHAnsi" w:cstheme="minorHAnsi"/>
            <w:noProof/>
            <w:webHidden/>
          </w:rPr>
          <w:fldChar w:fldCharType="end"/>
        </w:r>
      </w:hyperlink>
    </w:p>
    <w:p w14:paraId="1ED7A4CF" w14:textId="60DEEB88" w:rsidR="00D46637" w:rsidRPr="00D46637" w:rsidRDefault="00D46637" w:rsidP="00D46637">
      <w:pPr>
        <w:pStyle w:val="TOC1"/>
        <w:tabs>
          <w:tab w:val="left" w:pos="450"/>
          <w:tab w:val="right" w:leader="dot" w:pos="8630"/>
        </w:tabs>
        <w:rPr>
          <w:rFonts w:asciiTheme="minorHAnsi" w:eastAsiaTheme="minorEastAsia" w:hAnsiTheme="minorHAnsi" w:cstheme="minorHAnsi"/>
          <w:noProof/>
          <w:kern w:val="2"/>
          <w14:ligatures w14:val="standardContextual"/>
        </w:rPr>
      </w:pPr>
      <w:hyperlink w:anchor="_Toc161312412" w:history="1">
        <w:r w:rsidRPr="00D46637">
          <w:rPr>
            <w:rStyle w:val="Hyperlink"/>
            <w:rFonts w:asciiTheme="minorHAnsi" w:hAnsiTheme="minorHAnsi" w:cstheme="minorHAnsi"/>
            <w:noProof/>
            <w:lang w:eastAsia="en-GB"/>
          </w:rPr>
          <w:t>IV.</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General Rights and Obligations of the IPSA holders</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_Toc161312412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5</w:t>
        </w:r>
        <w:r w:rsidRPr="00D46637">
          <w:rPr>
            <w:rFonts w:asciiTheme="minorHAnsi" w:hAnsiTheme="minorHAnsi" w:cstheme="minorHAnsi"/>
            <w:noProof/>
            <w:webHidden/>
          </w:rPr>
          <w:fldChar w:fldCharType="end"/>
        </w:r>
      </w:hyperlink>
    </w:p>
    <w:p w14:paraId="51DA4CAD" w14:textId="589EC7DD" w:rsidR="00D46637" w:rsidRPr="00D46637" w:rsidRDefault="00D46637">
      <w:pPr>
        <w:pStyle w:val="TOC1"/>
        <w:tabs>
          <w:tab w:val="left" w:pos="440"/>
          <w:tab w:val="right" w:leader="dot" w:pos="8630"/>
        </w:tabs>
        <w:rPr>
          <w:rFonts w:asciiTheme="minorHAnsi" w:eastAsiaTheme="minorEastAsia" w:hAnsiTheme="minorHAnsi" w:cstheme="minorHAnsi"/>
          <w:noProof/>
          <w:kern w:val="2"/>
          <w14:ligatures w14:val="standardContextual"/>
        </w:rPr>
      </w:pPr>
      <w:hyperlink w:anchor="_Toc161312413" w:history="1">
        <w:r w:rsidRPr="00D46637">
          <w:rPr>
            <w:rStyle w:val="Hyperlink"/>
            <w:rFonts w:asciiTheme="minorHAnsi" w:hAnsiTheme="minorHAnsi" w:cstheme="minorHAnsi"/>
            <w:noProof/>
            <w:lang w:eastAsia="en-GB"/>
          </w:rPr>
          <w:t>V.</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Standards of Conduct</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_Toc161312413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7</w:t>
        </w:r>
        <w:r w:rsidRPr="00D46637">
          <w:rPr>
            <w:rFonts w:asciiTheme="minorHAnsi" w:hAnsiTheme="minorHAnsi" w:cstheme="minorHAnsi"/>
            <w:noProof/>
            <w:webHidden/>
          </w:rPr>
          <w:fldChar w:fldCharType="end"/>
        </w:r>
      </w:hyperlink>
    </w:p>
    <w:p w14:paraId="3EBC5A85" w14:textId="6211031D" w:rsidR="00D46637" w:rsidRPr="00D46637" w:rsidRDefault="00D46637" w:rsidP="00D46637">
      <w:pPr>
        <w:pStyle w:val="TOC1"/>
        <w:tabs>
          <w:tab w:val="left" w:pos="450"/>
          <w:tab w:val="right" w:leader="dot" w:pos="8630"/>
        </w:tabs>
        <w:rPr>
          <w:rFonts w:asciiTheme="minorHAnsi" w:eastAsiaTheme="minorEastAsia" w:hAnsiTheme="minorHAnsi" w:cstheme="minorHAnsi"/>
          <w:noProof/>
          <w:kern w:val="2"/>
          <w14:ligatures w14:val="standardContextual"/>
        </w:rPr>
      </w:pPr>
      <w:hyperlink w:anchor="_Toc161312414" w:history="1">
        <w:r w:rsidRPr="00D46637">
          <w:rPr>
            <w:rStyle w:val="Hyperlink"/>
            <w:rFonts w:asciiTheme="minorHAnsi" w:hAnsiTheme="minorHAnsi" w:cstheme="minorHAnsi"/>
            <w:noProof/>
            <w:lang w:eastAsia="en-GB"/>
          </w:rPr>
          <w:t>VI.</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Title Rights</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_Toc161312414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8</w:t>
        </w:r>
        <w:r w:rsidRPr="00D46637">
          <w:rPr>
            <w:rFonts w:asciiTheme="minorHAnsi" w:hAnsiTheme="minorHAnsi" w:cstheme="minorHAnsi"/>
            <w:noProof/>
            <w:webHidden/>
          </w:rPr>
          <w:fldChar w:fldCharType="end"/>
        </w:r>
      </w:hyperlink>
    </w:p>
    <w:p w14:paraId="5AE979B4" w14:textId="1C978A1C" w:rsidR="00D46637" w:rsidRPr="00D46637" w:rsidRDefault="00D46637" w:rsidP="00D46637">
      <w:pPr>
        <w:pStyle w:val="TOC1"/>
        <w:tabs>
          <w:tab w:val="left" w:pos="450"/>
          <w:tab w:val="right" w:leader="dot" w:pos="8630"/>
        </w:tabs>
        <w:rPr>
          <w:rFonts w:asciiTheme="minorHAnsi" w:eastAsiaTheme="minorEastAsia" w:hAnsiTheme="minorHAnsi" w:cstheme="minorHAnsi"/>
          <w:noProof/>
          <w:kern w:val="2"/>
          <w14:ligatures w14:val="standardContextual"/>
        </w:rPr>
      </w:pPr>
      <w:hyperlink w:anchor="_Toc161312415" w:history="1">
        <w:r w:rsidRPr="00D46637">
          <w:rPr>
            <w:rStyle w:val="Hyperlink"/>
            <w:rFonts w:asciiTheme="minorHAnsi" w:hAnsiTheme="minorHAnsi" w:cstheme="minorHAnsi"/>
            <w:noProof/>
            <w:lang w:eastAsia="en-GB"/>
          </w:rPr>
          <w:t>VII.</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Nature of relationship between UNDP and the IPSA holder</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_Toc161312415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8</w:t>
        </w:r>
        <w:r w:rsidRPr="00D46637">
          <w:rPr>
            <w:rFonts w:asciiTheme="minorHAnsi" w:hAnsiTheme="minorHAnsi" w:cstheme="minorHAnsi"/>
            <w:noProof/>
            <w:webHidden/>
          </w:rPr>
          <w:fldChar w:fldCharType="end"/>
        </w:r>
      </w:hyperlink>
    </w:p>
    <w:p w14:paraId="49EEE2FB" w14:textId="40B2F207" w:rsidR="00D46637" w:rsidRPr="00D46637" w:rsidRDefault="00D46637" w:rsidP="00D46637">
      <w:pPr>
        <w:pStyle w:val="TOC1"/>
        <w:tabs>
          <w:tab w:val="left" w:pos="450"/>
          <w:tab w:val="right" w:leader="dot" w:pos="8630"/>
        </w:tabs>
        <w:rPr>
          <w:rFonts w:asciiTheme="minorHAnsi" w:eastAsiaTheme="minorEastAsia" w:hAnsiTheme="minorHAnsi" w:cstheme="minorHAnsi"/>
          <w:noProof/>
          <w:kern w:val="2"/>
          <w14:ligatures w14:val="standardContextual"/>
        </w:rPr>
      </w:pPr>
      <w:hyperlink w:anchor="_Toc161312416" w:history="1">
        <w:r w:rsidRPr="00D46637">
          <w:rPr>
            <w:rStyle w:val="Hyperlink"/>
            <w:rFonts w:asciiTheme="minorHAnsi" w:hAnsiTheme="minorHAnsi" w:cstheme="minorHAnsi"/>
            <w:noProof/>
            <w:lang w:eastAsia="en-GB"/>
          </w:rPr>
          <w:t>VIII.</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Duration of an IPSA</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_Toc161312416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9</w:t>
        </w:r>
        <w:r w:rsidRPr="00D46637">
          <w:rPr>
            <w:rFonts w:asciiTheme="minorHAnsi" w:hAnsiTheme="minorHAnsi" w:cstheme="minorHAnsi"/>
            <w:noProof/>
            <w:webHidden/>
          </w:rPr>
          <w:fldChar w:fldCharType="end"/>
        </w:r>
      </w:hyperlink>
    </w:p>
    <w:p w14:paraId="6C8682EF" w14:textId="7E87A19B" w:rsidR="00D46637" w:rsidRPr="00D46637" w:rsidRDefault="00D46637" w:rsidP="00D46637">
      <w:pPr>
        <w:pStyle w:val="TOC1"/>
        <w:tabs>
          <w:tab w:val="left" w:pos="450"/>
          <w:tab w:val="right" w:leader="dot" w:pos="8630"/>
        </w:tabs>
        <w:rPr>
          <w:rFonts w:asciiTheme="minorHAnsi" w:eastAsiaTheme="minorEastAsia" w:hAnsiTheme="minorHAnsi" w:cstheme="minorHAnsi"/>
          <w:noProof/>
          <w:kern w:val="2"/>
          <w14:ligatures w14:val="standardContextual"/>
        </w:rPr>
      </w:pPr>
      <w:hyperlink w:anchor="_Toc161312417" w:history="1">
        <w:r w:rsidRPr="00D46637">
          <w:rPr>
            <w:rStyle w:val="Hyperlink"/>
            <w:rFonts w:asciiTheme="minorHAnsi" w:hAnsiTheme="minorHAnsi" w:cstheme="minorHAnsi"/>
            <w:noProof/>
            <w:lang w:eastAsia="en-GB"/>
          </w:rPr>
          <w:t>IX.</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Functions: Specialist Functions</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_Toc161312417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9</w:t>
        </w:r>
        <w:r w:rsidRPr="00D46637">
          <w:rPr>
            <w:rFonts w:asciiTheme="minorHAnsi" w:hAnsiTheme="minorHAnsi" w:cstheme="minorHAnsi"/>
            <w:noProof/>
            <w:webHidden/>
          </w:rPr>
          <w:fldChar w:fldCharType="end"/>
        </w:r>
      </w:hyperlink>
    </w:p>
    <w:p w14:paraId="7F59FD29" w14:textId="7AA0F75B" w:rsidR="00D46637" w:rsidRPr="00D46637" w:rsidRDefault="00D46637">
      <w:pPr>
        <w:pStyle w:val="TOC1"/>
        <w:tabs>
          <w:tab w:val="left" w:pos="440"/>
          <w:tab w:val="right" w:leader="dot" w:pos="8630"/>
        </w:tabs>
        <w:rPr>
          <w:rFonts w:asciiTheme="minorHAnsi" w:eastAsiaTheme="minorEastAsia" w:hAnsiTheme="minorHAnsi" w:cstheme="minorHAnsi"/>
          <w:noProof/>
          <w:kern w:val="2"/>
          <w14:ligatures w14:val="standardContextual"/>
        </w:rPr>
      </w:pPr>
      <w:hyperlink w:anchor="_Toc161312418" w:history="1">
        <w:r w:rsidRPr="00D46637">
          <w:rPr>
            <w:rStyle w:val="Hyperlink"/>
            <w:rFonts w:asciiTheme="minorHAnsi" w:hAnsiTheme="minorHAnsi" w:cstheme="minorHAnsi"/>
            <w:noProof/>
            <w:lang w:eastAsia="en-GB"/>
          </w:rPr>
          <w:t>X.</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Types of IPSAs: Regular and Retainer Agreements; Office- and Home-based</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_Toc161312418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10</w:t>
        </w:r>
        <w:r w:rsidRPr="00D46637">
          <w:rPr>
            <w:rFonts w:asciiTheme="minorHAnsi" w:hAnsiTheme="minorHAnsi" w:cstheme="minorHAnsi"/>
            <w:noProof/>
            <w:webHidden/>
          </w:rPr>
          <w:fldChar w:fldCharType="end"/>
        </w:r>
      </w:hyperlink>
    </w:p>
    <w:p w14:paraId="3A52154A" w14:textId="2759AA5C" w:rsidR="00D46637" w:rsidRPr="00D46637" w:rsidRDefault="00D46637" w:rsidP="00D46637">
      <w:pPr>
        <w:pStyle w:val="TOC1"/>
        <w:tabs>
          <w:tab w:val="left" w:pos="450"/>
          <w:tab w:val="right" w:leader="dot" w:pos="8630"/>
        </w:tabs>
        <w:rPr>
          <w:rFonts w:asciiTheme="minorHAnsi" w:eastAsiaTheme="minorEastAsia" w:hAnsiTheme="minorHAnsi" w:cstheme="minorHAnsi"/>
          <w:noProof/>
          <w:kern w:val="2"/>
          <w14:ligatures w14:val="standardContextual"/>
        </w:rPr>
      </w:pPr>
      <w:hyperlink w:anchor="_Toc161312419" w:history="1">
        <w:r w:rsidRPr="00D46637">
          <w:rPr>
            <w:rStyle w:val="Hyperlink"/>
            <w:rFonts w:asciiTheme="minorHAnsi" w:hAnsiTheme="minorHAnsi" w:cstheme="minorHAnsi"/>
            <w:noProof/>
            <w:lang w:eastAsia="en-GB"/>
          </w:rPr>
          <w:t>XI.</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Engagement of Former and Retired UN Staff Members, and other Non-Staff Personnel</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_Toc161312419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11</w:t>
        </w:r>
        <w:r w:rsidRPr="00D46637">
          <w:rPr>
            <w:rFonts w:asciiTheme="minorHAnsi" w:hAnsiTheme="minorHAnsi" w:cstheme="minorHAnsi"/>
            <w:noProof/>
            <w:webHidden/>
          </w:rPr>
          <w:fldChar w:fldCharType="end"/>
        </w:r>
      </w:hyperlink>
    </w:p>
    <w:p w14:paraId="7A079A69" w14:textId="2077C354" w:rsidR="00D46637" w:rsidRPr="00D46637" w:rsidRDefault="00D46637" w:rsidP="00D46637">
      <w:pPr>
        <w:pStyle w:val="TOC1"/>
        <w:tabs>
          <w:tab w:val="left" w:pos="450"/>
          <w:tab w:val="right" w:leader="dot" w:pos="8630"/>
        </w:tabs>
        <w:rPr>
          <w:rFonts w:asciiTheme="minorHAnsi" w:eastAsiaTheme="minorEastAsia" w:hAnsiTheme="minorHAnsi" w:cstheme="minorHAnsi"/>
          <w:noProof/>
          <w:kern w:val="2"/>
          <w14:ligatures w14:val="standardContextual"/>
        </w:rPr>
      </w:pPr>
      <w:hyperlink w:anchor="_Toc161312420" w:history="1">
        <w:r w:rsidRPr="00D46637">
          <w:rPr>
            <w:rStyle w:val="Hyperlink"/>
            <w:rFonts w:asciiTheme="minorHAnsi" w:hAnsiTheme="minorHAnsi" w:cstheme="minorHAnsi"/>
            <w:noProof/>
            <w:lang w:eastAsia="en-GB"/>
          </w:rPr>
          <w:t>XII.</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Engaging Close Relatives of UNDP Personnel</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_Toc161312420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12</w:t>
        </w:r>
        <w:r w:rsidRPr="00D46637">
          <w:rPr>
            <w:rFonts w:asciiTheme="minorHAnsi" w:hAnsiTheme="minorHAnsi" w:cstheme="minorHAnsi"/>
            <w:noProof/>
            <w:webHidden/>
          </w:rPr>
          <w:fldChar w:fldCharType="end"/>
        </w:r>
      </w:hyperlink>
    </w:p>
    <w:p w14:paraId="10BBA8E1" w14:textId="15F94F0E" w:rsidR="00D46637" w:rsidRPr="00D46637" w:rsidRDefault="00D46637" w:rsidP="00D46637">
      <w:pPr>
        <w:pStyle w:val="TOC1"/>
        <w:tabs>
          <w:tab w:val="left" w:pos="450"/>
          <w:tab w:val="right" w:leader="dot" w:pos="8630"/>
        </w:tabs>
        <w:rPr>
          <w:rFonts w:asciiTheme="minorHAnsi" w:eastAsiaTheme="minorEastAsia" w:hAnsiTheme="minorHAnsi" w:cstheme="minorHAnsi"/>
          <w:noProof/>
          <w:kern w:val="2"/>
          <w14:ligatures w14:val="standardContextual"/>
        </w:rPr>
      </w:pPr>
      <w:hyperlink w:anchor="_Toc161312421" w:history="1">
        <w:r w:rsidRPr="00D46637">
          <w:rPr>
            <w:rStyle w:val="Hyperlink"/>
            <w:rFonts w:asciiTheme="minorHAnsi" w:hAnsiTheme="minorHAnsi" w:cstheme="minorHAnsi"/>
            <w:noProof/>
            <w:lang w:eastAsia="en-GB"/>
          </w:rPr>
          <w:t>XIII.</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Authority for the Issuance of IPSA</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_Toc161312421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12</w:t>
        </w:r>
        <w:r w:rsidRPr="00D46637">
          <w:rPr>
            <w:rFonts w:asciiTheme="minorHAnsi" w:hAnsiTheme="minorHAnsi" w:cstheme="minorHAnsi"/>
            <w:noProof/>
            <w:webHidden/>
          </w:rPr>
          <w:fldChar w:fldCharType="end"/>
        </w:r>
      </w:hyperlink>
    </w:p>
    <w:p w14:paraId="0A4A8799" w14:textId="733B0A68" w:rsidR="00D46637" w:rsidRPr="00D46637" w:rsidRDefault="00D46637" w:rsidP="00D46637">
      <w:pPr>
        <w:pStyle w:val="TOC1"/>
        <w:tabs>
          <w:tab w:val="left" w:pos="450"/>
          <w:tab w:val="right" w:leader="dot" w:pos="8630"/>
        </w:tabs>
        <w:rPr>
          <w:rFonts w:asciiTheme="minorHAnsi" w:eastAsiaTheme="minorEastAsia" w:hAnsiTheme="minorHAnsi" w:cstheme="minorHAnsi"/>
          <w:noProof/>
          <w:kern w:val="2"/>
          <w14:ligatures w14:val="standardContextual"/>
        </w:rPr>
      </w:pPr>
      <w:hyperlink w:anchor="_Toc161312422" w:history="1">
        <w:r w:rsidRPr="00D46637">
          <w:rPr>
            <w:rStyle w:val="Hyperlink"/>
            <w:rFonts w:asciiTheme="minorHAnsi" w:hAnsiTheme="minorHAnsi" w:cstheme="minorHAnsi"/>
            <w:noProof/>
            <w:lang w:eastAsia="en-GB"/>
          </w:rPr>
          <w:t>XIV.</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Responsibility and Accountability</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_Toc161312422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12</w:t>
        </w:r>
        <w:r w:rsidRPr="00D46637">
          <w:rPr>
            <w:rFonts w:asciiTheme="minorHAnsi" w:hAnsiTheme="minorHAnsi" w:cstheme="minorHAnsi"/>
            <w:noProof/>
            <w:webHidden/>
          </w:rPr>
          <w:fldChar w:fldCharType="end"/>
        </w:r>
      </w:hyperlink>
    </w:p>
    <w:p w14:paraId="6840B379" w14:textId="5A7881CC" w:rsidR="00D46637" w:rsidRPr="00D46637" w:rsidRDefault="00D46637" w:rsidP="00D46637">
      <w:pPr>
        <w:pStyle w:val="TOC1"/>
        <w:tabs>
          <w:tab w:val="left" w:pos="450"/>
          <w:tab w:val="right" w:leader="dot" w:pos="8630"/>
        </w:tabs>
        <w:rPr>
          <w:rFonts w:asciiTheme="minorHAnsi" w:eastAsiaTheme="minorEastAsia" w:hAnsiTheme="minorHAnsi" w:cstheme="minorHAnsi"/>
          <w:noProof/>
          <w:kern w:val="2"/>
          <w14:ligatures w14:val="standardContextual"/>
        </w:rPr>
      </w:pPr>
      <w:hyperlink w:anchor="_Toc161312423" w:history="1">
        <w:r w:rsidRPr="00D46637">
          <w:rPr>
            <w:rStyle w:val="Hyperlink"/>
            <w:rFonts w:asciiTheme="minorHAnsi" w:hAnsiTheme="minorHAnsi" w:cstheme="minorHAnsi"/>
            <w:noProof/>
            <w:lang w:eastAsia="en-GB"/>
          </w:rPr>
          <w:t>XV.</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Classification &amp; Established Scales</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_Toc161312423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13</w:t>
        </w:r>
        <w:r w:rsidRPr="00D46637">
          <w:rPr>
            <w:rFonts w:asciiTheme="minorHAnsi" w:hAnsiTheme="minorHAnsi" w:cstheme="minorHAnsi"/>
            <w:noProof/>
            <w:webHidden/>
          </w:rPr>
          <w:fldChar w:fldCharType="end"/>
        </w:r>
      </w:hyperlink>
    </w:p>
    <w:p w14:paraId="15322052" w14:textId="4936B1D7" w:rsidR="00D46637" w:rsidRPr="00D46637" w:rsidRDefault="00D46637" w:rsidP="00D46637">
      <w:pPr>
        <w:pStyle w:val="TOC1"/>
        <w:tabs>
          <w:tab w:val="left" w:pos="450"/>
          <w:tab w:val="right" w:leader="dot" w:pos="8630"/>
        </w:tabs>
        <w:rPr>
          <w:rFonts w:asciiTheme="minorHAnsi" w:eastAsiaTheme="minorEastAsia" w:hAnsiTheme="minorHAnsi" w:cstheme="minorHAnsi"/>
          <w:noProof/>
          <w:kern w:val="2"/>
          <w14:ligatures w14:val="standardContextual"/>
        </w:rPr>
      </w:pPr>
      <w:hyperlink w:anchor="_Toc161312424" w:history="1">
        <w:r w:rsidRPr="00D46637">
          <w:rPr>
            <w:rStyle w:val="Hyperlink"/>
            <w:rFonts w:asciiTheme="minorHAnsi" w:hAnsiTheme="minorHAnsi" w:cstheme="minorHAnsi"/>
            <w:noProof/>
            <w:lang w:eastAsia="en-GB"/>
          </w:rPr>
          <w:t>XVI.</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Selection of IPSAs</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_Toc161312424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13</w:t>
        </w:r>
        <w:r w:rsidRPr="00D46637">
          <w:rPr>
            <w:rFonts w:asciiTheme="minorHAnsi" w:hAnsiTheme="minorHAnsi" w:cstheme="minorHAnsi"/>
            <w:noProof/>
            <w:webHidden/>
          </w:rPr>
          <w:fldChar w:fldCharType="end"/>
        </w:r>
      </w:hyperlink>
    </w:p>
    <w:p w14:paraId="3F0EAAD4" w14:textId="7FB85480" w:rsidR="00D46637" w:rsidRPr="00D46637" w:rsidRDefault="00D46637" w:rsidP="00D46637">
      <w:pPr>
        <w:pStyle w:val="TOC1"/>
        <w:tabs>
          <w:tab w:val="left" w:pos="450"/>
          <w:tab w:val="right" w:leader="dot" w:pos="8630"/>
        </w:tabs>
        <w:rPr>
          <w:rFonts w:asciiTheme="minorHAnsi" w:eastAsiaTheme="minorEastAsia" w:hAnsiTheme="minorHAnsi" w:cstheme="minorHAnsi"/>
          <w:noProof/>
          <w:kern w:val="2"/>
          <w14:ligatures w14:val="standardContextual"/>
        </w:rPr>
      </w:pPr>
      <w:hyperlink w:anchor="_Toc161312425" w:history="1">
        <w:r w:rsidRPr="00D46637">
          <w:rPr>
            <w:rStyle w:val="Hyperlink"/>
            <w:rFonts w:asciiTheme="minorHAnsi" w:hAnsiTheme="minorHAnsi" w:cstheme="minorHAnsi"/>
            <w:noProof/>
            <w:lang w:eastAsia="en-GB"/>
          </w:rPr>
          <w:t>XVII.</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Medical Clearance</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_Toc161312425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14</w:t>
        </w:r>
        <w:r w:rsidRPr="00D46637">
          <w:rPr>
            <w:rFonts w:asciiTheme="minorHAnsi" w:hAnsiTheme="minorHAnsi" w:cstheme="minorHAnsi"/>
            <w:noProof/>
            <w:webHidden/>
          </w:rPr>
          <w:fldChar w:fldCharType="end"/>
        </w:r>
      </w:hyperlink>
    </w:p>
    <w:p w14:paraId="30BC53F8" w14:textId="2AE964BB" w:rsidR="00D46637" w:rsidRPr="00D46637" w:rsidRDefault="00D46637" w:rsidP="00D46637">
      <w:pPr>
        <w:pStyle w:val="TOC1"/>
        <w:tabs>
          <w:tab w:val="left" w:pos="360"/>
          <w:tab w:val="left" w:pos="540"/>
          <w:tab w:val="right" w:leader="dot" w:pos="8630"/>
        </w:tabs>
        <w:rPr>
          <w:rFonts w:asciiTheme="minorHAnsi" w:eastAsiaTheme="minorEastAsia" w:hAnsiTheme="minorHAnsi" w:cstheme="minorHAnsi"/>
          <w:noProof/>
          <w:kern w:val="2"/>
          <w14:ligatures w14:val="standardContextual"/>
        </w:rPr>
      </w:pPr>
      <w:hyperlink w:anchor="_Toc161312426" w:history="1">
        <w:r w:rsidRPr="00D46637">
          <w:rPr>
            <w:rStyle w:val="Hyperlink"/>
            <w:rFonts w:asciiTheme="minorHAnsi" w:hAnsiTheme="minorHAnsi" w:cstheme="minorHAnsi"/>
            <w:noProof/>
            <w:lang w:eastAsia="en-GB"/>
          </w:rPr>
          <w:t>XVIII.</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Part-time work</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_Toc161312426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14</w:t>
        </w:r>
        <w:r w:rsidRPr="00D46637">
          <w:rPr>
            <w:rFonts w:asciiTheme="minorHAnsi" w:hAnsiTheme="minorHAnsi" w:cstheme="minorHAnsi"/>
            <w:noProof/>
            <w:webHidden/>
          </w:rPr>
          <w:fldChar w:fldCharType="end"/>
        </w:r>
      </w:hyperlink>
    </w:p>
    <w:p w14:paraId="43EE1979" w14:textId="7BFDC6C7" w:rsidR="00D46637" w:rsidRPr="00D46637" w:rsidRDefault="00D46637" w:rsidP="00D46637">
      <w:pPr>
        <w:pStyle w:val="TOC1"/>
        <w:tabs>
          <w:tab w:val="left" w:pos="540"/>
          <w:tab w:val="right" w:leader="dot" w:pos="8630"/>
        </w:tabs>
        <w:rPr>
          <w:rFonts w:asciiTheme="minorHAnsi" w:eastAsiaTheme="minorEastAsia" w:hAnsiTheme="minorHAnsi" w:cstheme="minorHAnsi"/>
          <w:noProof/>
          <w:kern w:val="2"/>
          <w14:ligatures w14:val="standardContextual"/>
        </w:rPr>
      </w:pPr>
      <w:hyperlink w:anchor="_Toc161312427" w:history="1">
        <w:r w:rsidRPr="00D46637">
          <w:rPr>
            <w:rStyle w:val="Hyperlink"/>
            <w:rFonts w:asciiTheme="minorHAnsi" w:hAnsiTheme="minorHAnsi" w:cstheme="minorHAnsi"/>
            <w:noProof/>
            <w:lang w:eastAsia="en-GB"/>
          </w:rPr>
          <w:t>XIX.</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IPSA Extension, Expiration and Termination:</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_Toc161312427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14</w:t>
        </w:r>
        <w:r w:rsidRPr="00D46637">
          <w:rPr>
            <w:rFonts w:asciiTheme="minorHAnsi" w:hAnsiTheme="minorHAnsi" w:cstheme="minorHAnsi"/>
            <w:noProof/>
            <w:webHidden/>
          </w:rPr>
          <w:fldChar w:fldCharType="end"/>
        </w:r>
      </w:hyperlink>
    </w:p>
    <w:p w14:paraId="205422A2" w14:textId="6E95F296" w:rsidR="00D46637" w:rsidRPr="00D46637" w:rsidRDefault="00D46637" w:rsidP="00D46637">
      <w:pPr>
        <w:pStyle w:val="TOC1"/>
        <w:tabs>
          <w:tab w:val="left" w:pos="540"/>
          <w:tab w:val="right" w:leader="dot" w:pos="8630"/>
        </w:tabs>
        <w:rPr>
          <w:rFonts w:asciiTheme="minorHAnsi" w:eastAsiaTheme="minorEastAsia" w:hAnsiTheme="minorHAnsi" w:cstheme="minorHAnsi"/>
          <w:noProof/>
          <w:kern w:val="2"/>
          <w14:ligatures w14:val="standardContextual"/>
        </w:rPr>
      </w:pPr>
      <w:hyperlink w:anchor="_Toc161312428" w:history="1">
        <w:r w:rsidRPr="00D46637">
          <w:rPr>
            <w:rStyle w:val="Hyperlink"/>
            <w:rFonts w:asciiTheme="minorHAnsi" w:hAnsiTheme="minorHAnsi" w:cstheme="minorHAnsi"/>
            <w:noProof/>
            <w:lang w:eastAsia="en-GB"/>
          </w:rPr>
          <w:t>XX.</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Remuneration Scales, Bands, and Remuneration setting for IPSAs</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_Toc161312428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16</w:t>
        </w:r>
        <w:r w:rsidRPr="00D46637">
          <w:rPr>
            <w:rFonts w:asciiTheme="minorHAnsi" w:hAnsiTheme="minorHAnsi" w:cstheme="minorHAnsi"/>
            <w:noProof/>
            <w:webHidden/>
          </w:rPr>
          <w:fldChar w:fldCharType="end"/>
        </w:r>
      </w:hyperlink>
    </w:p>
    <w:p w14:paraId="56C15500" w14:textId="4F2927D6" w:rsidR="00D46637" w:rsidRPr="00D46637" w:rsidRDefault="00D46637" w:rsidP="00D46637">
      <w:pPr>
        <w:pStyle w:val="TOC1"/>
        <w:tabs>
          <w:tab w:val="left" w:pos="540"/>
          <w:tab w:val="right" w:leader="dot" w:pos="8630"/>
        </w:tabs>
        <w:rPr>
          <w:rFonts w:asciiTheme="minorHAnsi" w:eastAsiaTheme="minorEastAsia" w:hAnsiTheme="minorHAnsi" w:cstheme="minorHAnsi"/>
          <w:noProof/>
          <w:kern w:val="2"/>
          <w14:ligatures w14:val="standardContextual"/>
        </w:rPr>
      </w:pPr>
      <w:hyperlink w:anchor="_Toc161312429" w:history="1">
        <w:r w:rsidRPr="00D46637">
          <w:rPr>
            <w:rStyle w:val="Hyperlink"/>
            <w:rFonts w:asciiTheme="minorHAnsi" w:hAnsiTheme="minorHAnsi" w:cstheme="minorHAnsi"/>
            <w:noProof/>
            <w:lang w:eastAsia="en-GB"/>
          </w:rPr>
          <w:t>XXI.</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Recourse/Settlement of disputes</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_Toc161312429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18</w:t>
        </w:r>
        <w:r w:rsidRPr="00D46637">
          <w:rPr>
            <w:rFonts w:asciiTheme="minorHAnsi" w:hAnsiTheme="minorHAnsi" w:cstheme="minorHAnsi"/>
            <w:noProof/>
            <w:webHidden/>
          </w:rPr>
          <w:fldChar w:fldCharType="end"/>
        </w:r>
      </w:hyperlink>
    </w:p>
    <w:p w14:paraId="51E6CB06" w14:textId="2E0164F4" w:rsidR="00D46637" w:rsidRPr="00D46637" w:rsidRDefault="00D46637" w:rsidP="00D46637">
      <w:pPr>
        <w:pStyle w:val="TOC1"/>
        <w:tabs>
          <w:tab w:val="left" w:pos="540"/>
          <w:tab w:val="left" w:pos="880"/>
          <w:tab w:val="right" w:leader="dot" w:pos="8630"/>
        </w:tabs>
        <w:rPr>
          <w:rFonts w:asciiTheme="minorHAnsi" w:eastAsiaTheme="minorEastAsia" w:hAnsiTheme="minorHAnsi" w:cstheme="minorHAnsi"/>
          <w:noProof/>
          <w:kern w:val="2"/>
          <w14:ligatures w14:val="standardContextual"/>
        </w:rPr>
      </w:pPr>
      <w:hyperlink w:anchor="_Toc161312430" w:history="1">
        <w:r w:rsidRPr="00D46637">
          <w:rPr>
            <w:rStyle w:val="Hyperlink"/>
            <w:rFonts w:asciiTheme="minorHAnsi" w:hAnsiTheme="minorHAnsi" w:cstheme="minorHAnsi"/>
            <w:noProof/>
            <w:lang w:eastAsia="en-GB"/>
          </w:rPr>
          <w:t>XXII.</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Overtime</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_Toc161312430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19</w:t>
        </w:r>
        <w:r w:rsidRPr="00D46637">
          <w:rPr>
            <w:rFonts w:asciiTheme="minorHAnsi" w:hAnsiTheme="minorHAnsi" w:cstheme="minorHAnsi"/>
            <w:noProof/>
            <w:webHidden/>
          </w:rPr>
          <w:fldChar w:fldCharType="end"/>
        </w:r>
      </w:hyperlink>
    </w:p>
    <w:p w14:paraId="1E077FD8" w14:textId="7F849273" w:rsidR="00D46637" w:rsidRPr="00D46637" w:rsidRDefault="00D46637" w:rsidP="00D46637">
      <w:pPr>
        <w:pStyle w:val="TOC1"/>
        <w:tabs>
          <w:tab w:val="left" w:pos="540"/>
          <w:tab w:val="left" w:pos="880"/>
          <w:tab w:val="right" w:leader="dot" w:pos="8630"/>
        </w:tabs>
        <w:rPr>
          <w:rFonts w:asciiTheme="minorHAnsi" w:eastAsiaTheme="minorEastAsia" w:hAnsiTheme="minorHAnsi" w:cstheme="minorHAnsi"/>
          <w:noProof/>
          <w:kern w:val="2"/>
          <w14:ligatures w14:val="standardContextual"/>
        </w:rPr>
      </w:pPr>
      <w:hyperlink w:anchor="_Toc161312431" w:history="1">
        <w:r w:rsidRPr="00D46637">
          <w:rPr>
            <w:rStyle w:val="Hyperlink"/>
            <w:rFonts w:asciiTheme="minorHAnsi" w:hAnsiTheme="minorHAnsi" w:cstheme="minorHAnsi"/>
            <w:noProof/>
            <w:lang w:eastAsia="en-GB"/>
          </w:rPr>
          <w:t>XXIII.</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Hardship and Danger Allowance</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_Toc161312431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19</w:t>
        </w:r>
        <w:r w:rsidRPr="00D46637">
          <w:rPr>
            <w:rFonts w:asciiTheme="minorHAnsi" w:hAnsiTheme="minorHAnsi" w:cstheme="minorHAnsi"/>
            <w:noProof/>
            <w:webHidden/>
          </w:rPr>
          <w:fldChar w:fldCharType="end"/>
        </w:r>
      </w:hyperlink>
    </w:p>
    <w:p w14:paraId="20C05311" w14:textId="34217F57" w:rsidR="00D46637" w:rsidRPr="00D46637" w:rsidRDefault="00D46637" w:rsidP="00D46637">
      <w:pPr>
        <w:pStyle w:val="TOC1"/>
        <w:tabs>
          <w:tab w:val="left" w:pos="540"/>
          <w:tab w:val="left" w:pos="880"/>
          <w:tab w:val="right" w:leader="dot" w:pos="8630"/>
        </w:tabs>
        <w:rPr>
          <w:rFonts w:asciiTheme="minorHAnsi" w:eastAsiaTheme="minorEastAsia" w:hAnsiTheme="minorHAnsi" w:cstheme="minorHAnsi"/>
          <w:noProof/>
          <w:kern w:val="2"/>
          <w14:ligatures w14:val="standardContextual"/>
        </w:rPr>
      </w:pPr>
      <w:hyperlink w:anchor="_Toc161312432" w:history="1">
        <w:r w:rsidRPr="00D46637">
          <w:rPr>
            <w:rStyle w:val="Hyperlink"/>
            <w:rFonts w:asciiTheme="minorHAnsi" w:hAnsiTheme="minorHAnsi" w:cstheme="minorHAnsi"/>
            <w:noProof/>
            <w:lang w:eastAsia="en-GB"/>
          </w:rPr>
          <w:t>XXIV.</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IPSA Remuneration Advances</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_Toc161312432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19</w:t>
        </w:r>
        <w:r w:rsidRPr="00D46637">
          <w:rPr>
            <w:rFonts w:asciiTheme="minorHAnsi" w:hAnsiTheme="minorHAnsi" w:cstheme="minorHAnsi"/>
            <w:noProof/>
            <w:webHidden/>
          </w:rPr>
          <w:fldChar w:fldCharType="end"/>
        </w:r>
      </w:hyperlink>
    </w:p>
    <w:p w14:paraId="0D3F859A" w14:textId="2FC90A4F" w:rsidR="00D46637" w:rsidRPr="00D46637" w:rsidRDefault="00D46637" w:rsidP="00D46637">
      <w:pPr>
        <w:pStyle w:val="TOC1"/>
        <w:tabs>
          <w:tab w:val="left" w:pos="540"/>
          <w:tab w:val="left" w:pos="880"/>
          <w:tab w:val="right" w:leader="dot" w:pos="8630"/>
        </w:tabs>
        <w:rPr>
          <w:rFonts w:asciiTheme="minorHAnsi" w:eastAsiaTheme="minorEastAsia" w:hAnsiTheme="minorHAnsi" w:cstheme="minorHAnsi"/>
          <w:noProof/>
          <w:kern w:val="2"/>
          <w14:ligatures w14:val="standardContextual"/>
        </w:rPr>
      </w:pPr>
      <w:hyperlink w:anchor="_Toc161312433" w:history="1">
        <w:r w:rsidRPr="00D46637">
          <w:rPr>
            <w:rStyle w:val="Hyperlink"/>
            <w:rFonts w:asciiTheme="minorHAnsi" w:hAnsiTheme="minorHAnsi" w:cstheme="minorHAnsi"/>
            <w:noProof/>
            <w:lang w:eastAsia="en-GB"/>
          </w:rPr>
          <w:t>XXV.</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Mandatory subsidized coverage not commutable to cash</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_Toc161312433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20</w:t>
        </w:r>
        <w:r w:rsidRPr="00D46637">
          <w:rPr>
            <w:rFonts w:asciiTheme="minorHAnsi" w:hAnsiTheme="minorHAnsi" w:cstheme="minorHAnsi"/>
            <w:noProof/>
            <w:webHidden/>
          </w:rPr>
          <w:fldChar w:fldCharType="end"/>
        </w:r>
      </w:hyperlink>
    </w:p>
    <w:p w14:paraId="58F510ED" w14:textId="7646430A" w:rsidR="00D46637" w:rsidRPr="00D46637" w:rsidRDefault="00D46637" w:rsidP="00D46637">
      <w:pPr>
        <w:pStyle w:val="TOC1"/>
        <w:tabs>
          <w:tab w:val="left" w:pos="630"/>
          <w:tab w:val="right" w:leader="dot" w:pos="8630"/>
        </w:tabs>
        <w:rPr>
          <w:rFonts w:asciiTheme="minorHAnsi" w:eastAsiaTheme="minorEastAsia" w:hAnsiTheme="minorHAnsi" w:cstheme="minorHAnsi"/>
          <w:noProof/>
          <w:kern w:val="2"/>
          <w14:ligatures w14:val="standardContextual"/>
        </w:rPr>
      </w:pPr>
      <w:hyperlink w:anchor="_Toc161312434" w:history="1">
        <w:r w:rsidRPr="00D46637">
          <w:rPr>
            <w:rStyle w:val="Hyperlink"/>
            <w:rFonts w:asciiTheme="minorHAnsi" w:hAnsiTheme="minorHAnsi" w:cstheme="minorHAnsi"/>
            <w:noProof/>
            <w:lang w:eastAsia="en-GB"/>
          </w:rPr>
          <w:t>XXVI.</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Mandatory partially subsidized (lump sum) coverage not commutable to cash</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_Toc161312434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21</w:t>
        </w:r>
        <w:r w:rsidRPr="00D46637">
          <w:rPr>
            <w:rFonts w:asciiTheme="minorHAnsi" w:hAnsiTheme="minorHAnsi" w:cstheme="minorHAnsi"/>
            <w:noProof/>
            <w:webHidden/>
          </w:rPr>
          <w:fldChar w:fldCharType="end"/>
        </w:r>
      </w:hyperlink>
    </w:p>
    <w:p w14:paraId="4C9745D7" w14:textId="041EEA47" w:rsidR="00D46637" w:rsidRPr="00D46637" w:rsidRDefault="00D46637" w:rsidP="00D46637">
      <w:pPr>
        <w:pStyle w:val="TOC1"/>
        <w:tabs>
          <w:tab w:val="left" w:pos="630"/>
          <w:tab w:val="right" w:leader="dot" w:pos="8630"/>
        </w:tabs>
        <w:rPr>
          <w:rFonts w:asciiTheme="minorHAnsi" w:eastAsiaTheme="minorEastAsia" w:hAnsiTheme="minorHAnsi" w:cstheme="minorHAnsi"/>
          <w:noProof/>
          <w:kern w:val="2"/>
          <w14:ligatures w14:val="standardContextual"/>
        </w:rPr>
      </w:pPr>
      <w:hyperlink w:anchor="_Toc161312435" w:history="1">
        <w:r w:rsidRPr="00D46637">
          <w:rPr>
            <w:rStyle w:val="Hyperlink"/>
            <w:rFonts w:asciiTheme="minorHAnsi" w:hAnsiTheme="minorHAnsi" w:cstheme="minorHAnsi"/>
            <w:noProof/>
            <w:lang w:eastAsia="en-GB"/>
          </w:rPr>
          <w:t>XXVII.</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Non subsidized coverages</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_Toc161312435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21</w:t>
        </w:r>
        <w:r w:rsidRPr="00D46637">
          <w:rPr>
            <w:rFonts w:asciiTheme="minorHAnsi" w:hAnsiTheme="minorHAnsi" w:cstheme="minorHAnsi"/>
            <w:noProof/>
            <w:webHidden/>
          </w:rPr>
          <w:fldChar w:fldCharType="end"/>
        </w:r>
      </w:hyperlink>
    </w:p>
    <w:p w14:paraId="625F189A" w14:textId="30684C00" w:rsidR="00D46637" w:rsidRPr="00D46637" w:rsidRDefault="00D46637" w:rsidP="00D46637">
      <w:pPr>
        <w:pStyle w:val="TOC1"/>
        <w:tabs>
          <w:tab w:val="left" w:pos="630"/>
          <w:tab w:val="left" w:pos="1100"/>
          <w:tab w:val="right" w:leader="dot" w:pos="8630"/>
        </w:tabs>
        <w:rPr>
          <w:rFonts w:asciiTheme="minorHAnsi" w:eastAsiaTheme="minorEastAsia" w:hAnsiTheme="minorHAnsi" w:cstheme="minorHAnsi"/>
          <w:noProof/>
          <w:kern w:val="2"/>
          <w14:ligatures w14:val="standardContextual"/>
        </w:rPr>
      </w:pPr>
      <w:hyperlink w:anchor="_Toc161312436" w:history="1">
        <w:r w:rsidRPr="00D46637">
          <w:rPr>
            <w:rStyle w:val="Hyperlink"/>
            <w:rFonts w:asciiTheme="minorHAnsi" w:hAnsiTheme="minorHAnsi" w:cstheme="minorHAnsi"/>
            <w:noProof/>
            <w:lang w:eastAsia="en-GB"/>
          </w:rPr>
          <w:t>XXVIII.</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Working Hours</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_Toc161312436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22</w:t>
        </w:r>
        <w:r w:rsidRPr="00D46637">
          <w:rPr>
            <w:rFonts w:asciiTheme="minorHAnsi" w:hAnsiTheme="minorHAnsi" w:cstheme="minorHAnsi"/>
            <w:noProof/>
            <w:webHidden/>
          </w:rPr>
          <w:fldChar w:fldCharType="end"/>
        </w:r>
      </w:hyperlink>
    </w:p>
    <w:p w14:paraId="753FC16E" w14:textId="038C80CE" w:rsidR="00D46637" w:rsidRPr="00D46637" w:rsidRDefault="00D46637" w:rsidP="00D46637">
      <w:pPr>
        <w:pStyle w:val="TOC1"/>
        <w:tabs>
          <w:tab w:val="left" w:pos="630"/>
          <w:tab w:val="right" w:leader="dot" w:pos="8630"/>
        </w:tabs>
        <w:rPr>
          <w:rFonts w:asciiTheme="minorHAnsi" w:eastAsiaTheme="minorEastAsia" w:hAnsiTheme="minorHAnsi" w:cstheme="minorHAnsi"/>
          <w:noProof/>
          <w:kern w:val="2"/>
          <w14:ligatures w14:val="standardContextual"/>
        </w:rPr>
      </w:pPr>
      <w:hyperlink w:anchor="_Toc161312437" w:history="1">
        <w:r w:rsidRPr="00D46637">
          <w:rPr>
            <w:rStyle w:val="Hyperlink"/>
            <w:rFonts w:asciiTheme="minorHAnsi" w:hAnsiTheme="minorHAnsi" w:cstheme="minorHAnsi"/>
            <w:noProof/>
            <w:lang w:eastAsia="en-GB"/>
          </w:rPr>
          <w:t>XXIX.</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Leave</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_Toc161312437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22</w:t>
        </w:r>
        <w:r w:rsidRPr="00D46637">
          <w:rPr>
            <w:rFonts w:asciiTheme="minorHAnsi" w:hAnsiTheme="minorHAnsi" w:cstheme="minorHAnsi"/>
            <w:noProof/>
            <w:webHidden/>
          </w:rPr>
          <w:fldChar w:fldCharType="end"/>
        </w:r>
      </w:hyperlink>
    </w:p>
    <w:p w14:paraId="29EC91F9" w14:textId="416F311E" w:rsidR="00D46637" w:rsidRPr="00D46637" w:rsidRDefault="00D46637" w:rsidP="00D46637">
      <w:pPr>
        <w:pStyle w:val="TOC1"/>
        <w:tabs>
          <w:tab w:val="left" w:pos="720"/>
          <w:tab w:val="right" w:leader="dot" w:pos="8630"/>
        </w:tabs>
        <w:rPr>
          <w:rFonts w:asciiTheme="minorHAnsi" w:eastAsiaTheme="minorEastAsia" w:hAnsiTheme="minorHAnsi" w:cstheme="minorHAnsi"/>
          <w:noProof/>
          <w:kern w:val="2"/>
          <w14:ligatures w14:val="standardContextual"/>
        </w:rPr>
      </w:pPr>
      <w:hyperlink w:anchor="_Toc161312438" w:history="1">
        <w:r w:rsidRPr="00D46637">
          <w:rPr>
            <w:rStyle w:val="Hyperlink"/>
            <w:rFonts w:asciiTheme="minorHAnsi" w:hAnsiTheme="minorHAnsi" w:cstheme="minorHAnsi"/>
            <w:noProof/>
            <w:lang w:eastAsia="en-GB"/>
          </w:rPr>
          <w:t>XXX.</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Travel for Work</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_Toc161312438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28</w:t>
        </w:r>
        <w:r w:rsidRPr="00D46637">
          <w:rPr>
            <w:rFonts w:asciiTheme="minorHAnsi" w:hAnsiTheme="minorHAnsi" w:cstheme="minorHAnsi"/>
            <w:noProof/>
            <w:webHidden/>
          </w:rPr>
          <w:fldChar w:fldCharType="end"/>
        </w:r>
      </w:hyperlink>
    </w:p>
    <w:p w14:paraId="73A8BE6B" w14:textId="2D2437CC" w:rsidR="00D46637" w:rsidRPr="00D46637" w:rsidRDefault="00D46637" w:rsidP="00D46637">
      <w:pPr>
        <w:pStyle w:val="TOC1"/>
        <w:tabs>
          <w:tab w:val="left" w:pos="720"/>
          <w:tab w:val="right" w:leader="dot" w:pos="8630"/>
        </w:tabs>
        <w:rPr>
          <w:rFonts w:asciiTheme="minorHAnsi" w:eastAsiaTheme="minorEastAsia" w:hAnsiTheme="minorHAnsi" w:cstheme="minorHAnsi"/>
          <w:noProof/>
          <w:kern w:val="2"/>
          <w14:ligatures w14:val="standardContextual"/>
        </w:rPr>
      </w:pPr>
      <w:hyperlink w:anchor="_Toc161312439" w:history="1">
        <w:r w:rsidRPr="00D46637">
          <w:rPr>
            <w:rStyle w:val="Hyperlink"/>
            <w:rFonts w:asciiTheme="minorHAnsi" w:hAnsiTheme="minorHAnsi" w:cstheme="minorHAnsi"/>
            <w:noProof/>
            <w:lang w:eastAsia="en-GB"/>
          </w:rPr>
          <w:t>XXXI.</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Performance Evaluation</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_Toc161312439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28</w:t>
        </w:r>
        <w:r w:rsidRPr="00D46637">
          <w:rPr>
            <w:rFonts w:asciiTheme="minorHAnsi" w:hAnsiTheme="minorHAnsi" w:cstheme="minorHAnsi"/>
            <w:noProof/>
            <w:webHidden/>
          </w:rPr>
          <w:fldChar w:fldCharType="end"/>
        </w:r>
      </w:hyperlink>
    </w:p>
    <w:p w14:paraId="2B9DFB38" w14:textId="310E45B7" w:rsidR="00D46637" w:rsidRPr="00D46637" w:rsidRDefault="00D46637" w:rsidP="00D46637">
      <w:pPr>
        <w:pStyle w:val="TOC1"/>
        <w:tabs>
          <w:tab w:val="left" w:pos="720"/>
          <w:tab w:val="right" w:leader="dot" w:pos="8630"/>
        </w:tabs>
        <w:rPr>
          <w:rFonts w:asciiTheme="minorHAnsi" w:eastAsiaTheme="minorEastAsia" w:hAnsiTheme="minorHAnsi" w:cstheme="minorHAnsi"/>
          <w:noProof/>
          <w:kern w:val="2"/>
          <w14:ligatures w14:val="standardContextual"/>
        </w:rPr>
      </w:pPr>
      <w:hyperlink w:anchor="_Toc161312440" w:history="1">
        <w:r w:rsidRPr="00D46637">
          <w:rPr>
            <w:rStyle w:val="Hyperlink"/>
            <w:rFonts w:asciiTheme="minorHAnsi" w:hAnsiTheme="minorHAnsi" w:cstheme="minorHAnsi"/>
            <w:noProof/>
            <w:lang w:eastAsia="en-GB"/>
          </w:rPr>
          <w:t>XXXII.</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Learning Opportunities</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_Toc161312440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28</w:t>
        </w:r>
        <w:r w:rsidRPr="00D46637">
          <w:rPr>
            <w:rFonts w:asciiTheme="minorHAnsi" w:hAnsiTheme="minorHAnsi" w:cstheme="minorHAnsi"/>
            <w:noProof/>
            <w:webHidden/>
          </w:rPr>
          <w:fldChar w:fldCharType="end"/>
        </w:r>
      </w:hyperlink>
    </w:p>
    <w:p w14:paraId="66BB5FFE" w14:textId="38450996" w:rsidR="00D46637" w:rsidRPr="00D46637" w:rsidRDefault="00D46637" w:rsidP="00D46637">
      <w:pPr>
        <w:pStyle w:val="TOC1"/>
        <w:tabs>
          <w:tab w:val="left" w:pos="720"/>
          <w:tab w:val="right" w:leader="dot" w:pos="8630"/>
        </w:tabs>
        <w:rPr>
          <w:rFonts w:asciiTheme="minorHAnsi" w:eastAsiaTheme="minorEastAsia" w:hAnsiTheme="minorHAnsi" w:cstheme="minorHAnsi"/>
          <w:noProof/>
          <w:kern w:val="2"/>
          <w14:ligatures w14:val="standardContextual"/>
        </w:rPr>
      </w:pPr>
      <w:hyperlink w:anchor="_Toc161312441" w:history="1">
        <w:r w:rsidRPr="00D46637">
          <w:rPr>
            <w:rStyle w:val="Hyperlink"/>
            <w:rFonts w:asciiTheme="minorHAnsi" w:hAnsiTheme="minorHAnsi" w:cstheme="minorHAnsi"/>
            <w:noProof/>
            <w:lang w:eastAsia="en-GB"/>
          </w:rPr>
          <w:t>XXXIII.</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Career Paths</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_Toc161312441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29</w:t>
        </w:r>
        <w:r w:rsidRPr="00D46637">
          <w:rPr>
            <w:rFonts w:asciiTheme="minorHAnsi" w:hAnsiTheme="minorHAnsi" w:cstheme="minorHAnsi"/>
            <w:noProof/>
            <w:webHidden/>
          </w:rPr>
          <w:fldChar w:fldCharType="end"/>
        </w:r>
      </w:hyperlink>
    </w:p>
    <w:p w14:paraId="3D5E8C82" w14:textId="0B953F7F" w:rsidR="00D46637" w:rsidRPr="00D46637" w:rsidRDefault="00D46637" w:rsidP="00D46637">
      <w:pPr>
        <w:pStyle w:val="TOC1"/>
        <w:tabs>
          <w:tab w:val="left" w:pos="720"/>
          <w:tab w:val="left" w:pos="1100"/>
          <w:tab w:val="right" w:leader="dot" w:pos="8630"/>
        </w:tabs>
        <w:rPr>
          <w:rFonts w:asciiTheme="minorHAnsi" w:eastAsiaTheme="minorEastAsia" w:hAnsiTheme="minorHAnsi" w:cstheme="minorHAnsi"/>
          <w:noProof/>
          <w:kern w:val="2"/>
          <w14:ligatures w14:val="standardContextual"/>
        </w:rPr>
      </w:pPr>
      <w:hyperlink w:anchor="_Toc161312442" w:history="1">
        <w:r w:rsidRPr="00D46637">
          <w:rPr>
            <w:rStyle w:val="Hyperlink"/>
            <w:rFonts w:asciiTheme="minorHAnsi" w:hAnsiTheme="minorHAnsi" w:cstheme="minorHAnsi"/>
            <w:noProof/>
            <w:lang w:eastAsia="en-GB"/>
          </w:rPr>
          <w:t>XXXIV.</w:t>
        </w:r>
        <w:r w:rsidRPr="00D46637">
          <w:rPr>
            <w:rFonts w:asciiTheme="minorHAnsi" w:eastAsiaTheme="minorEastAsia" w:hAnsiTheme="minorHAnsi" w:cstheme="minorHAnsi"/>
            <w:noProof/>
            <w:kern w:val="2"/>
            <w14:ligatures w14:val="standardContextual"/>
          </w:rPr>
          <w:tab/>
        </w:r>
        <w:r w:rsidRPr="00D46637">
          <w:rPr>
            <w:rStyle w:val="Hyperlink"/>
            <w:rFonts w:asciiTheme="minorHAnsi" w:hAnsiTheme="minorHAnsi" w:cstheme="minorHAnsi"/>
            <w:noProof/>
            <w:lang w:eastAsia="en-GB"/>
          </w:rPr>
          <w:t>Roles and Responsibilities.</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_Toc161312442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29</w:t>
        </w:r>
        <w:r w:rsidRPr="00D46637">
          <w:rPr>
            <w:rFonts w:asciiTheme="minorHAnsi" w:hAnsiTheme="minorHAnsi" w:cstheme="minorHAnsi"/>
            <w:noProof/>
            <w:webHidden/>
          </w:rPr>
          <w:fldChar w:fldCharType="end"/>
        </w:r>
      </w:hyperlink>
    </w:p>
    <w:p w14:paraId="6F412D04" w14:textId="24595C1B" w:rsidR="00D46637" w:rsidRPr="00D46637" w:rsidRDefault="00D46637" w:rsidP="00D46637">
      <w:pPr>
        <w:pStyle w:val="TOC1"/>
        <w:tabs>
          <w:tab w:val="left" w:pos="720"/>
          <w:tab w:val="right" w:leader="dot" w:pos="8630"/>
        </w:tabs>
        <w:rPr>
          <w:rFonts w:asciiTheme="minorHAnsi" w:eastAsiaTheme="minorEastAsia" w:hAnsiTheme="minorHAnsi" w:cstheme="minorHAnsi"/>
          <w:noProof/>
          <w:kern w:val="2"/>
          <w14:ligatures w14:val="standardContextual"/>
        </w:rPr>
      </w:pPr>
      <w:hyperlink w:anchor="_Toc161312443" w:history="1">
        <w:r w:rsidRPr="00D46637">
          <w:rPr>
            <w:rStyle w:val="Hyperlink"/>
            <w:rFonts w:asciiTheme="minorHAnsi" w:hAnsiTheme="minorHAnsi" w:cstheme="minorHAnsi"/>
            <w:noProof/>
            <w:lang w:eastAsia="en-GB"/>
          </w:rPr>
          <w:t>Annex 1: Recruitment standards and procedures for IPSAs.</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_Toc161312443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32</w:t>
        </w:r>
        <w:r w:rsidRPr="00D46637">
          <w:rPr>
            <w:rFonts w:asciiTheme="minorHAnsi" w:hAnsiTheme="minorHAnsi" w:cstheme="minorHAnsi"/>
            <w:noProof/>
            <w:webHidden/>
          </w:rPr>
          <w:fldChar w:fldCharType="end"/>
        </w:r>
      </w:hyperlink>
    </w:p>
    <w:p w14:paraId="3268F1D5" w14:textId="14549194" w:rsidR="00D46637" w:rsidRPr="00D46637" w:rsidRDefault="00D46637" w:rsidP="00D46637">
      <w:pPr>
        <w:pStyle w:val="TOC1"/>
        <w:tabs>
          <w:tab w:val="left" w:pos="720"/>
          <w:tab w:val="right" w:leader="dot" w:pos="8630"/>
        </w:tabs>
        <w:rPr>
          <w:rFonts w:asciiTheme="minorHAnsi" w:eastAsiaTheme="minorEastAsia" w:hAnsiTheme="minorHAnsi" w:cstheme="minorHAnsi"/>
          <w:noProof/>
          <w:kern w:val="2"/>
          <w14:ligatures w14:val="standardContextual"/>
        </w:rPr>
      </w:pPr>
      <w:hyperlink w:anchor="_Toc161312444" w:history="1">
        <w:r w:rsidRPr="00D46637">
          <w:rPr>
            <w:rStyle w:val="Hyperlink"/>
            <w:rFonts w:asciiTheme="minorHAnsi" w:hAnsiTheme="minorHAnsi" w:cstheme="minorHAnsi"/>
            <w:noProof/>
            <w:lang w:eastAsia="en-GB"/>
          </w:rPr>
          <w:t>Annex 2: Overview of IPSA benefits</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_Toc161312444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37</w:t>
        </w:r>
        <w:r w:rsidRPr="00D46637">
          <w:rPr>
            <w:rFonts w:asciiTheme="minorHAnsi" w:hAnsiTheme="minorHAnsi" w:cstheme="minorHAnsi"/>
            <w:noProof/>
            <w:webHidden/>
          </w:rPr>
          <w:fldChar w:fldCharType="end"/>
        </w:r>
      </w:hyperlink>
    </w:p>
    <w:p w14:paraId="7F124A1F" w14:textId="62AAF204" w:rsidR="00D46637" w:rsidRPr="00D46637" w:rsidRDefault="00D46637" w:rsidP="00D46637">
      <w:pPr>
        <w:pStyle w:val="TOC1"/>
        <w:tabs>
          <w:tab w:val="left" w:pos="720"/>
          <w:tab w:val="right" w:leader="dot" w:pos="8630"/>
        </w:tabs>
        <w:rPr>
          <w:rFonts w:asciiTheme="minorHAnsi" w:eastAsiaTheme="minorEastAsia" w:hAnsiTheme="minorHAnsi" w:cstheme="minorHAnsi"/>
          <w:noProof/>
          <w:kern w:val="2"/>
          <w14:ligatures w14:val="standardContextual"/>
        </w:rPr>
      </w:pPr>
      <w:hyperlink w:anchor="_Toc161312445" w:history="1">
        <w:r w:rsidRPr="00D46637">
          <w:rPr>
            <w:rStyle w:val="Hyperlink"/>
            <w:rFonts w:asciiTheme="minorHAnsi" w:hAnsiTheme="minorHAnsi" w:cstheme="minorHAnsi"/>
            <w:noProof/>
            <w:lang w:eastAsia="en-GB"/>
          </w:rPr>
          <w:t>Annex 3: Definition of functions of inherent and continuous nature</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_Toc161312445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38</w:t>
        </w:r>
        <w:r w:rsidRPr="00D46637">
          <w:rPr>
            <w:rFonts w:asciiTheme="minorHAnsi" w:hAnsiTheme="minorHAnsi" w:cstheme="minorHAnsi"/>
            <w:noProof/>
            <w:webHidden/>
          </w:rPr>
          <w:fldChar w:fldCharType="end"/>
        </w:r>
      </w:hyperlink>
    </w:p>
    <w:p w14:paraId="7BB28DFB" w14:textId="71B9F3ED" w:rsidR="00D46637" w:rsidRPr="00D46637" w:rsidRDefault="00D46637" w:rsidP="00D46637">
      <w:pPr>
        <w:pStyle w:val="TOC1"/>
        <w:tabs>
          <w:tab w:val="left" w:pos="720"/>
          <w:tab w:val="right" w:leader="dot" w:pos="8630"/>
        </w:tabs>
        <w:rPr>
          <w:rFonts w:asciiTheme="minorHAnsi" w:eastAsiaTheme="minorEastAsia" w:hAnsiTheme="minorHAnsi" w:cstheme="minorHAnsi"/>
          <w:noProof/>
          <w:kern w:val="2"/>
          <w14:ligatures w14:val="standardContextual"/>
        </w:rPr>
      </w:pPr>
      <w:hyperlink w:anchor="_Toc161312446" w:history="1">
        <w:r w:rsidRPr="00D46637">
          <w:rPr>
            <w:rStyle w:val="Hyperlink"/>
            <w:rFonts w:asciiTheme="minorHAnsi" w:hAnsiTheme="minorHAnsi" w:cstheme="minorHAnsi"/>
            <w:noProof/>
            <w:lang w:eastAsia="en-GB"/>
          </w:rPr>
          <w:t>Annex 4: IPSA Pay Ranges and Identifying the right level</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_Toc161312446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40</w:t>
        </w:r>
        <w:r w:rsidRPr="00D46637">
          <w:rPr>
            <w:rFonts w:asciiTheme="minorHAnsi" w:hAnsiTheme="minorHAnsi" w:cstheme="minorHAnsi"/>
            <w:noProof/>
            <w:webHidden/>
          </w:rPr>
          <w:fldChar w:fldCharType="end"/>
        </w:r>
      </w:hyperlink>
    </w:p>
    <w:p w14:paraId="0BFDC6CE" w14:textId="529AC5EB" w:rsidR="00D46637" w:rsidRPr="00D46637" w:rsidRDefault="00D46637" w:rsidP="00D46637">
      <w:pPr>
        <w:pStyle w:val="TOC1"/>
        <w:tabs>
          <w:tab w:val="left" w:pos="720"/>
          <w:tab w:val="right" w:leader="dot" w:pos="8630"/>
        </w:tabs>
        <w:rPr>
          <w:rFonts w:asciiTheme="minorHAnsi" w:eastAsiaTheme="minorEastAsia" w:hAnsiTheme="minorHAnsi" w:cstheme="minorHAnsi"/>
          <w:noProof/>
          <w:kern w:val="2"/>
          <w14:ligatures w14:val="standardContextual"/>
        </w:rPr>
      </w:pPr>
      <w:hyperlink w:anchor="_Toc161312447" w:history="1">
        <w:r w:rsidRPr="00D46637">
          <w:rPr>
            <w:rStyle w:val="Hyperlink"/>
            <w:rFonts w:asciiTheme="minorHAnsi" w:hAnsiTheme="minorHAnsi" w:cstheme="minorHAnsi"/>
            <w:noProof/>
            <w:lang w:eastAsia="en-GB"/>
          </w:rPr>
          <w:t>Annex 5: Performance Evaluation</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_Toc161312447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42</w:t>
        </w:r>
        <w:r w:rsidRPr="00D46637">
          <w:rPr>
            <w:rFonts w:asciiTheme="minorHAnsi" w:hAnsiTheme="minorHAnsi" w:cstheme="minorHAnsi"/>
            <w:noProof/>
            <w:webHidden/>
          </w:rPr>
          <w:fldChar w:fldCharType="end"/>
        </w:r>
      </w:hyperlink>
    </w:p>
    <w:p w14:paraId="21C0809D" w14:textId="42F3EA2D" w:rsidR="00D46637" w:rsidRPr="00D46637" w:rsidRDefault="00D46637" w:rsidP="00D46637">
      <w:pPr>
        <w:pStyle w:val="TOC1"/>
        <w:tabs>
          <w:tab w:val="left" w:pos="720"/>
          <w:tab w:val="right" w:leader="dot" w:pos="8630"/>
        </w:tabs>
        <w:rPr>
          <w:rFonts w:asciiTheme="minorHAnsi" w:eastAsiaTheme="minorEastAsia" w:hAnsiTheme="minorHAnsi" w:cstheme="minorHAnsi"/>
          <w:noProof/>
          <w:kern w:val="2"/>
          <w14:ligatures w14:val="standardContextual"/>
        </w:rPr>
      </w:pPr>
      <w:hyperlink w:anchor="_Toc161312448" w:history="1">
        <w:r w:rsidRPr="00D46637">
          <w:rPr>
            <w:rStyle w:val="Hyperlink"/>
            <w:rFonts w:asciiTheme="minorHAnsi" w:hAnsiTheme="minorHAnsi" w:cstheme="minorHAnsi"/>
            <w:noProof/>
            <w:lang w:eastAsia="en-GB"/>
          </w:rPr>
          <w:t>Annex 6: To be included in IPSA file, where applicable – Checklist</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_Toc161312448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43</w:t>
        </w:r>
        <w:r w:rsidRPr="00D46637">
          <w:rPr>
            <w:rFonts w:asciiTheme="minorHAnsi" w:hAnsiTheme="minorHAnsi" w:cstheme="minorHAnsi"/>
            <w:noProof/>
            <w:webHidden/>
          </w:rPr>
          <w:fldChar w:fldCharType="end"/>
        </w:r>
      </w:hyperlink>
    </w:p>
    <w:p w14:paraId="7112CE37" w14:textId="5523153A" w:rsidR="00D46637" w:rsidRPr="00D46637" w:rsidRDefault="00D46637" w:rsidP="00D46637">
      <w:pPr>
        <w:pStyle w:val="TOC1"/>
        <w:tabs>
          <w:tab w:val="left" w:pos="720"/>
          <w:tab w:val="right" w:leader="dot" w:pos="8630"/>
        </w:tabs>
        <w:rPr>
          <w:rFonts w:asciiTheme="minorHAnsi" w:eastAsiaTheme="minorEastAsia" w:hAnsiTheme="minorHAnsi" w:cstheme="minorHAnsi"/>
          <w:noProof/>
          <w:kern w:val="2"/>
          <w14:ligatures w14:val="standardContextual"/>
        </w:rPr>
      </w:pPr>
      <w:hyperlink w:anchor="_Toc161312449" w:history="1">
        <w:r w:rsidRPr="00D46637">
          <w:rPr>
            <w:rStyle w:val="Hyperlink"/>
            <w:rFonts w:asciiTheme="minorHAnsi" w:hAnsiTheme="minorHAnsi" w:cstheme="minorHAnsi"/>
            <w:noProof/>
            <w:lang w:eastAsia="en-GB"/>
          </w:rPr>
          <w:t>Annex 7 : Equipment &amp; Supplies</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_Toc161312449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44</w:t>
        </w:r>
        <w:r w:rsidRPr="00D46637">
          <w:rPr>
            <w:rFonts w:asciiTheme="minorHAnsi" w:hAnsiTheme="minorHAnsi" w:cstheme="minorHAnsi"/>
            <w:noProof/>
            <w:webHidden/>
          </w:rPr>
          <w:fldChar w:fldCharType="end"/>
        </w:r>
      </w:hyperlink>
    </w:p>
    <w:p w14:paraId="797E033F" w14:textId="59AA3E02" w:rsidR="00D46637" w:rsidRPr="00D46637" w:rsidRDefault="00D46637" w:rsidP="00D46637">
      <w:pPr>
        <w:pStyle w:val="TOC1"/>
        <w:tabs>
          <w:tab w:val="left" w:pos="720"/>
          <w:tab w:val="right" w:leader="dot" w:pos="8630"/>
        </w:tabs>
        <w:rPr>
          <w:rFonts w:asciiTheme="minorHAnsi" w:eastAsiaTheme="minorEastAsia" w:hAnsiTheme="minorHAnsi" w:cstheme="minorHAnsi"/>
          <w:noProof/>
          <w:kern w:val="2"/>
          <w14:ligatures w14:val="standardContextual"/>
        </w:rPr>
      </w:pPr>
      <w:hyperlink w:anchor="_Toc161312450" w:history="1">
        <w:r w:rsidRPr="00D46637">
          <w:rPr>
            <w:rStyle w:val="Hyperlink"/>
            <w:rFonts w:asciiTheme="minorHAnsi" w:hAnsiTheme="minorHAnsi" w:cstheme="minorHAnsi"/>
            <w:noProof/>
            <w:lang w:eastAsia="en-GB"/>
          </w:rPr>
          <w:t>Annex 8 : Transitional measures</w:t>
        </w:r>
        <w:r w:rsidRPr="00D46637">
          <w:rPr>
            <w:rFonts w:asciiTheme="minorHAnsi" w:hAnsiTheme="minorHAnsi" w:cstheme="minorHAnsi"/>
            <w:noProof/>
            <w:webHidden/>
          </w:rPr>
          <w:tab/>
        </w:r>
        <w:r w:rsidRPr="00D46637">
          <w:rPr>
            <w:rFonts w:asciiTheme="minorHAnsi" w:hAnsiTheme="minorHAnsi" w:cstheme="minorHAnsi"/>
            <w:noProof/>
            <w:webHidden/>
          </w:rPr>
          <w:fldChar w:fldCharType="begin"/>
        </w:r>
        <w:r w:rsidRPr="00D46637">
          <w:rPr>
            <w:rFonts w:asciiTheme="minorHAnsi" w:hAnsiTheme="minorHAnsi" w:cstheme="minorHAnsi"/>
            <w:noProof/>
            <w:webHidden/>
          </w:rPr>
          <w:instrText xml:space="preserve"> PAGEREF _Toc161312450 \h </w:instrText>
        </w:r>
        <w:r w:rsidRPr="00D46637">
          <w:rPr>
            <w:rFonts w:asciiTheme="minorHAnsi" w:hAnsiTheme="minorHAnsi" w:cstheme="minorHAnsi"/>
            <w:noProof/>
            <w:webHidden/>
          </w:rPr>
        </w:r>
        <w:r w:rsidRPr="00D46637">
          <w:rPr>
            <w:rFonts w:asciiTheme="minorHAnsi" w:hAnsiTheme="minorHAnsi" w:cstheme="minorHAnsi"/>
            <w:noProof/>
            <w:webHidden/>
          </w:rPr>
          <w:fldChar w:fldCharType="separate"/>
        </w:r>
        <w:r w:rsidR="003B281E">
          <w:rPr>
            <w:rFonts w:asciiTheme="minorHAnsi" w:hAnsiTheme="minorHAnsi" w:cstheme="minorHAnsi"/>
            <w:noProof/>
            <w:webHidden/>
          </w:rPr>
          <w:t>45</w:t>
        </w:r>
        <w:r w:rsidRPr="00D46637">
          <w:rPr>
            <w:rFonts w:asciiTheme="minorHAnsi" w:hAnsiTheme="minorHAnsi" w:cstheme="minorHAnsi"/>
            <w:noProof/>
            <w:webHidden/>
          </w:rPr>
          <w:fldChar w:fldCharType="end"/>
        </w:r>
      </w:hyperlink>
    </w:p>
    <w:p w14:paraId="3BD31ABD" w14:textId="724F7E0C" w:rsidR="00804AF0" w:rsidRPr="00D46637" w:rsidRDefault="009A47D6">
      <w:pPr>
        <w:rPr>
          <w:rFonts w:asciiTheme="minorHAnsi" w:hAnsiTheme="minorHAnsi" w:cstheme="minorHAnsi"/>
        </w:rPr>
      </w:pPr>
      <w:r w:rsidRPr="00D46637">
        <w:rPr>
          <w:rFonts w:asciiTheme="minorHAnsi" w:hAnsiTheme="minorHAnsi" w:cstheme="minorHAnsi"/>
        </w:rPr>
        <w:fldChar w:fldCharType="end"/>
      </w:r>
    </w:p>
    <w:p w14:paraId="2CB5A1DF" w14:textId="77777777" w:rsidR="00804AF0" w:rsidRPr="00D46637" w:rsidRDefault="00804AF0">
      <w:pPr>
        <w:ind w:left="345"/>
        <w:jc w:val="both"/>
        <w:textAlignment w:val="baseline"/>
        <w:rPr>
          <w:rFonts w:asciiTheme="minorHAnsi" w:hAnsiTheme="minorHAnsi" w:cstheme="minorHAnsi"/>
          <w:i/>
          <w:iCs/>
          <w:lang w:eastAsia="en-GB"/>
        </w:rPr>
      </w:pPr>
    </w:p>
    <w:p w14:paraId="4F0FC05A" w14:textId="77777777" w:rsidR="00804AF0" w:rsidRPr="00D46637" w:rsidRDefault="00804AF0">
      <w:pPr>
        <w:ind w:left="345"/>
        <w:jc w:val="both"/>
        <w:textAlignment w:val="baseline"/>
        <w:rPr>
          <w:rFonts w:asciiTheme="minorHAnsi" w:hAnsiTheme="minorHAnsi" w:cstheme="minorHAnsi"/>
          <w:i/>
          <w:iCs/>
          <w:lang w:eastAsia="en-GB"/>
        </w:rPr>
      </w:pPr>
    </w:p>
    <w:p w14:paraId="2A531C75" w14:textId="77777777" w:rsidR="00804AF0" w:rsidRPr="00D46637" w:rsidRDefault="00804AF0">
      <w:pPr>
        <w:ind w:left="345"/>
        <w:jc w:val="both"/>
        <w:textAlignment w:val="baseline"/>
        <w:rPr>
          <w:rFonts w:asciiTheme="minorHAnsi" w:hAnsiTheme="minorHAnsi" w:cstheme="minorHAnsi"/>
          <w:i/>
          <w:iCs/>
          <w:lang w:eastAsia="en-GB"/>
        </w:rPr>
      </w:pPr>
    </w:p>
    <w:p w14:paraId="51776D39" w14:textId="77777777" w:rsidR="00804AF0" w:rsidRPr="00D46637" w:rsidRDefault="00804AF0">
      <w:pPr>
        <w:ind w:left="345"/>
        <w:jc w:val="both"/>
        <w:textAlignment w:val="baseline"/>
        <w:rPr>
          <w:rFonts w:asciiTheme="minorHAnsi" w:hAnsiTheme="minorHAnsi" w:cstheme="minorHAnsi"/>
          <w:i/>
          <w:iCs/>
          <w:lang w:eastAsia="en-GB"/>
        </w:rPr>
      </w:pPr>
    </w:p>
    <w:p w14:paraId="6DA610CD" w14:textId="77777777" w:rsidR="00804AF0" w:rsidRPr="00D46637" w:rsidRDefault="00804AF0">
      <w:pPr>
        <w:ind w:left="345"/>
        <w:jc w:val="both"/>
        <w:textAlignment w:val="baseline"/>
        <w:rPr>
          <w:rFonts w:asciiTheme="minorHAnsi" w:hAnsiTheme="minorHAnsi" w:cstheme="minorHAnsi"/>
          <w:i/>
          <w:iCs/>
          <w:lang w:eastAsia="en-GB"/>
        </w:rPr>
      </w:pPr>
    </w:p>
    <w:p w14:paraId="16DF744C" w14:textId="77777777" w:rsidR="00804AF0" w:rsidRPr="00D46637" w:rsidRDefault="00804AF0">
      <w:pPr>
        <w:ind w:left="345"/>
        <w:jc w:val="both"/>
        <w:textAlignment w:val="baseline"/>
        <w:rPr>
          <w:rFonts w:asciiTheme="minorHAnsi" w:hAnsiTheme="minorHAnsi" w:cstheme="minorHAnsi"/>
          <w:i/>
          <w:iCs/>
          <w:lang w:eastAsia="en-GB"/>
        </w:rPr>
      </w:pPr>
    </w:p>
    <w:p w14:paraId="157D49C6" w14:textId="77777777" w:rsidR="00804AF0" w:rsidRPr="00D46637" w:rsidRDefault="00804AF0">
      <w:pPr>
        <w:ind w:left="345"/>
        <w:jc w:val="both"/>
        <w:textAlignment w:val="baseline"/>
        <w:rPr>
          <w:rFonts w:asciiTheme="minorHAnsi" w:hAnsiTheme="minorHAnsi" w:cstheme="minorHAnsi"/>
          <w:i/>
          <w:iCs/>
          <w:lang w:eastAsia="en-GB"/>
        </w:rPr>
      </w:pPr>
    </w:p>
    <w:p w14:paraId="0283F352" w14:textId="77777777" w:rsidR="00804AF0" w:rsidRPr="00D46637" w:rsidRDefault="00804AF0">
      <w:pPr>
        <w:ind w:left="345"/>
        <w:jc w:val="both"/>
        <w:textAlignment w:val="baseline"/>
        <w:rPr>
          <w:rFonts w:asciiTheme="minorHAnsi" w:hAnsiTheme="minorHAnsi" w:cstheme="minorHAnsi"/>
          <w:i/>
          <w:iCs/>
          <w:lang w:eastAsia="en-GB"/>
        </w:rPr>
      </w:pPr>
    </w:p>
    <w:p w14:paraId="1B1A41B8" w14:textId="77777777" w:rsidR="00804AF0" w:rsidRPr="00D46637" w:rsidRDefault="00804AF0">
      <w:pPr>
        <w:ind w:left="345"/>
        <w:jc w:val="both"/>
        <w:textAlignment w:val="baseline"/>
        <w:rPr>
          <w:rFonts w:asciiTheme="minorHAnsi" w:hAnsiTheme="minorHAnsi" w:cstheme="minorHAnsi"/>
          <w:i/>
          <w:iCs/>
          <w:lang w:eastAsia="en-GB"/>
        </w:rPr>
      </w:pPr>
    </w:p>
    <w:p w14:paraId="5957FAC6" w14:textId="77777777" w:rsidR="00804AF0" w:rsidRPr="00D46637" w:rsidRDefault="00804AF0">
      <w:pPr>
        <w:ind w:left="345"/>
        <w:jc w:val="both"/>
        <w:textAlignment w:val="baseline"/>
        <w:rPr>
          <w:rFonts w:asciiTheme="minorHAnsi" w:hAnsiTheme="minorHAnsi" w:cstheme="minorHAnsi"/>
          <w:i/>
          <w:iCs/>
          <w:lang w:eastAsia="en-GB"/>
        </w:rPr>
      </w:pPr>
    </w:p>
    <w:p w14:paraId="1F3C60FD" w14:textId="77777777" w:rsidR="00804AF0" w:rsidRPr="00D46637" w:rsidRDefault="00804AF0">
      <w:pPr>
        <w:ind w:left="345"/>
        <w:jc w:val="both"/>
        <w:textAlignment w:val="baseline"/>
        <w:rPr>
          <w:rFonts w:asciiTheme="minorHAnsi" w:hAnsiTheme="minorHAnsi" w:cstheme="minorHAnsi"/>
          <w:i/>
          <w:iCs/>
          <w:lang w:eastAsia="en-GB"/>
        </w:rPr>
      </w:pPr>
    </w:p>
    <w:p w14:paraId="6A618254" w14:textId="77777777" w:rsidR="00804AF0" w:rsidRPr="00D46637" w:rsidRDefault="00804AF0">
      <w:pPr>
        <w:ind w:left="345"/>
        <w:jc w:val="both"/>
        <w:textAlignment w:val="baseline"/>
        <w:rPr>
          <w:rFonts w:asciiTheme="minorHAnsi" w:hAnsiTheme="minorHAnsi" w:cstheme="minorHAnsi"/>
          <w:i/>
          <w:iCs/>
          <w:lang w:eastAsia="en-GB"/>
        </w:rPr>
      </w:pPr>
    </w:p>
    <w:p w14:paraId="39D1C81A" w14:textId="77777777" w:rsidR="00804AF0" w:rsidRPr="00D46637" w:rsidRDefault="00804AF0">
      <w:pPr>
        <w:ind w:left="345"/>
        <w:jc w:val="both"/>
        <w:textAlignment w:val="baseline"/>
        <w:rPr>
          <w:rFonts w:asciiTheme="minorHAnsi" w:hAnsiTheme="minorHAnsi" w:cstheme="minorHAnsi"/>
          <w:i/>
          <w:iCs/>
          <w:lang w:eastAsia="en-GB"/>
        </w:rPr>
      </w:pPr>
    </w:p>
    <w:p w14:paraId="3FF66363" w14:textId="77777777" w:rsidR="00804AF0" w:rsidRPr="00D46637" w:rsidRDefault="00804AF0">
      <w:pPr>
        <w:ind w:left="345"/>
        <w:jc w:val="both"/>
        <w:textAlignment w:val="baseline"/>
        <w:rPr>
          <w:rFonts w:asciiTheme="minorHAnsi" w:hAnsiTheme="minorHAnsi" w:cstheme="minorHAnsi"/>
          <w:i/>
          <w:iCs/>
          <w:lang w:eastAsia="en-GB"/>
        </w:rPr>
      </w:pPr>
    </w:p>
    <w:p w14:paraId="6A4FB3EA" w14:textId="77777777" w:rsidR="00804AF0" w:rsidRPr="00D46637" w:rsidRDefault="00804AF0">
      <w:pPr>
        <w:ind w:left="345"/>
        <w:jc w:val="both"/>
        <w:textAlignment w:val="baseline"/>
        <w:rPr>
          <w:rFonts w:asciiTheme="minorHAnsi" w:hAnsiTheme="minorHAnsi" w:cstheme="minorHAnsi"/>
          <w:i/>
          <w:iCs/>
          <w:lang w:eastAsia="en-GB"/>
        </w:rPr>
      </w:pPr>
    </w:p>
    <w:p w14:paraId="0EB607E1" w14:textId="77777777" w:rsidR="00804AF0" w:rsidRDefault="00804AF0">
      <w:pPr>
        <w:ind w:left="345"/>
        <w:jc w:val="both"/>
        <w:textAlignment w:val="baseline"/>
        <w:rPr>
          <w:rFonts w:ascii="Calibri" w:hAnsi="Calibri" w:cs="Calibri"/>
          <w:i/>
          <w:iCs/>
          <w:sz w:val="22"/>
          <w:szCs w:val="22"/>
          <w:lang w:eastAsia="en-GB"/>
        </w:rPr>
      </w:pPr>
    </w:p>
    <w:p w14:paraId="7858FD7B" w14:textId="77777777" w:rsidR="00804AF0" w:rsidRDefault="00804AF0">
      <w:pPr>
        <w:ind w:left="345"/>
        <w:jc w:val="both"/>
        <w:textAlignment w:val="baseline"/>
        <w:rPr>
          <w:rFonts w:ascii="Calibri" w:hAnsi="Calibri" w:cs="Calibri"/>
          <w:i/>
          <w:iCs/>
          <w:sz w:val="22"/>
          <w:szCs w:val="22"/>
          <w:lang w:eastAsia="en-GB"/>
        </w:rPr>
      </w:pPr>
    </w:p>
    <w:p w14:paraId="0901411D" w14:textId="77777777" w:rsidR="00804AF0" w:rsidRDefault="00804AF0">
      <w:pPr>
        <w:ind w:left="345"/>
        <w:jc w:val="both"/>
        <w:textAlignment w:val="baseline"/>
        <w:rPr>
          <w:rFonts w:ascii="Calibri" w:hAnsi="Calibri" w:cs="Calibri"/>
          <w:i/>
          <w:iCs/>
          <w:sz w:val="22"/>
          <w:szCs w:val="22"/>
          <w:lang w:eastAsia="en-GB"/>
        </w:rPr>
      </w:pPr>
    </w:p>
    <w:p w14:paraId="102B9888" w14:textId="77777777" w:rsidR="00804AF0" w:rsidRDefault="00804AF0">
      <w:pPr>
        <w:ind w:left="345"/>
        <w:jc w:val="both"/>
        <w:textAlignment w:val="baseline"/>
        <w:rPr>
          <w:rFonts w:ascii="Calibri" w:hAnsi="Calibri" w:cs="Calibri"/>
          <w:i/>
          <w:iCs/>
          <w:sz w:val="22"/>
          <w:szCs w:val="22"/>
          <w:lang w:eastAsia="en-GB"/>
        </w:rPr>
      </w:pPr>
    </w:p>
    <w:p w14:paraId="73874636" w14:textId="77777777" w:rsidR="00804AF0" w:rsidRDefault="00804AF0">
      <w:pPr>
        <w:ind w:left="345"/>
        <w:jc w:val="both"/>
        <w:textAlignment w:val="baseline"/>
        <w:rPr>
          <w:rFonts w:ascii="Calibri" w:hAnsi="Calibri" w:cs="Calibri"/>
          <w:i/>
          <w:iCs/>
          <w:sz w:val="22"/>
          <w:szCs w:val="22"/>
          <w:lang w:eastAsia="en-GB"/>
        </w:rPr>
      </w:pPr>
    </w:p>
    <w:p w14:paraId="279D7749" w14:textId="77777777" w:rsidR="00804AF0" w:rsidRDefault="00804AF0">
      <w:pPr>
        <w:ind w:left="345"/>
        <w:jc w:val="both"/>
        <w:textAlignment w:val="baseline"/>
        <w:rPr>
          <w:rFonts w:ascii="Calibri" w:hAnsi="Calibri" w:cs="Calibri"/>
          <w:i/>
          <w:iCs/>
          <w:sz w:val="22"/>
          <w:szCs w:val="22"/>
          <w:lang w:eastAsia="en-GB"/>
        </w:rPr>
      </w:pPr>
    </w:p>
    <w:p w14:paraId="5EF5F420" w14:textId="77777777" w:rsidR="00804AF0" w:rsidRDefault="00804AF0">
      <w:pPr>
        <w:ind w:left="345"/>
        <w:jc w:val="both"/>
        <w:textAlignment w:val="baseline"/>
        <w:rPr>
          <w:rFonts w:ascii="Calibri" w:hAnsi="Calibri" w:cs="Calibri"/>
          <w:i/>
          <w:iCs/>
          <w:sz w:val="22"/>
          <w:szCs w:val="22"/>
          <w:lang w:eastAsia="en-GB"/>
        </w:rPr>
      </w:pPr>
    </w:p>
    <w:p w14:paraId="1CA349D7" w14:textId="77777777" w:rsidR="00804AF0" w:rsidRDefault="00804AF0">
      <w:pPr>
        <w:ind w:left="345"/>
        <w:jc w:val="both"/>
        <w:textAlignment w:val="baseline"/>
        <w:rPr>
          <w:rFonts w:ascii="Calibri" w:hAnsi="Calibri" w:cs="Calibri"/>
          <w:i/>
          <w:iCs/>
          <w:sz w:val="22"/>
          <w:szCs w:val="22"/>
          <w:lang w:eastAsia="en-GB"/>
        </w:rPr>
      </w:pPr>
    </w:p>
    <w:p w14:paraId="3F548B42" w14:textId="77777777" w:rsidR="00804AF0" w:rsidRDefault="00804AF0">
      <w:pPr>
        <w:ind w:left="345"/>
        <w:jc w:val="both"/>
        <w:textAlignment w:val="baseline"/>
        <w:rPr>
          <w:rFonts w:ascii="Calibri" w:hAnsi="Calibri" w:cs="Calibri"/>
          <w:i/>
          <w:iCs/>
          <w:sz w:val="22"/>
          <w:szCs w:val="22"/>
          <w:lang w:eastAsia="en-GB"/>
        </w:rPr>
      </w:pPr>
    </w:p>
    <w:p w14:paraId="296F27C3" w14:textId="77777777" w:rsidR="00804AF0" w:rsidRDefault="00804AF0">
      <w:pPr>
        <w:ind w:left="345"/>
        <w:jc w:val="both"/>
        <w:textAlignment w:val="baseline"/>
        <w:rPr>
          <w:rFonts w:ascii="Calibri" w:hAnsi="Calibri" w:cs="Calibri"/>
          <w:i/>
          <w:iCs/>
          <w:sz w:val="22"/>
          <w:szCs w:val="22"/>
          <w:lang w:eastAsia="en-GB"/>
        </w:rPr>
      </w:pPr>
    </w:p>
    <w:p w14:paraId="285533F1" w14:textId="77777777" w:rsidR="00804AF0" w:rsidRDefault="00804AF0">
      <w:pPr>
        <w:ind w:left="345"/>
        <w:jc w:val="both"/>
        <w:textAlignment w:val="baseline"/>
        <w:rPr>
          <w:rFonts w:ascii="Calibri" w:hAnsi="Calibri" w:cs="Calibri"/>
          <w:i/>
          <w:iCs/>
          <w:sz w:val="22"/>
          <w:szCs w:val="22"/>
          <w:lang w:eastAsia="en-GB"/>
        </w:rPr>
      </w:pPr>
    </w:p>
    <w:p w14:paraId="67B65EB1" w14:textId="77777777" w:rsidR="00804AF0" w:rsidRDefault="00804AF0">
      <w:pPr>
        <w:ind w:left="345"/>
        <w:jc w:val="both"/>
        <w:textAlignment w:val="baseline"/>
        <w:rPr>
          <w:rFonts w:ascii="Calibri" w:hAnsi="Calibri" w:cs="Calibri"/>
          <w:i/>
          <w:iCs/>
          <w:sz w:val="22"/>
          <w:szCs w:val="22"/>
          <w:lang w:eastAsia="en-GB"/>
        </w:rPr>
      </w:pPr>
    </w:p>
    <w:p w14:paraId="58CF4DC8" w14:textId="77777777" w:rsidR="00804AF0" w:rsidRDefault="009A47D6">
      <w:pPr>
        <w:pStyle w:val="Heading1"/>
        <w:numPr>
          <w:ilvl w:val="0"/>
          <w:numId w:val="2"/>
        </w:numPr>
        <w:jc w:val="left"/>
        <w:rPr>
          <w:rFonts w:ascii="Calibri" w:hAnsi="Calibri"/>
          <w:b/>
          <w:sz w:val="22"/>
          <w:lang w:eastAsia="en-GB"/>
        </w:rPr>
      </w:pPr>
      <w:bookmarkStart w:id="0" w:name="_Toc161312409"/>
      <w:bookmarkStart w:id="1" w:name="OLE_LINK10"/>
      <w:r>
        <w:rPr>
          <w:rFonts w:ascii="Calibri" w:hAnsi="Calibri"/>
          <w:b/>
          <w:sz w:val="22"/>
          <w:lang w:eastAsia="en-GB"/>
        </w:rPr>
        <w:t>Introduction and Background</w:t>
      </w:r>
      <w:bookmarkEnd w:id="0"/>
    </w:p>
    <w:bookmarkEnd w:id="1"/>
    <w:p w14:paraId="23E7DD41" w14:textId="77777777" w:rsidR="00804AF0" w:rsidRDefault="00804AF0">
      <w:pPr>
        <w:textAlignment w:val="baseline"/>
        <w:rPr>
          <w:rFonts w:ascii="Calibri" w:hAnsi="Calibri" w:cs="Calibri"/>
          <w:sz w:val="22"/>
          <w:szCs w:val="22"/>
          <w:lang w:eastAsia="en-GB"/>
        </w:rPr>
      </w:pPr>
    </w:p>
    <w:p w14:paraId="111FDA29" w14:textId="77777777" w:rsidR="00804AF0" w:rsidRDefault="009A47D6">
      <w:pPr>
        <w:pStyle w:val="ListParagraph"/>
        <w:numPr>
          <w:ilvl w:val="0"/>
          <w:numId w:val="3"/>
        </w:numPr>
        <w:ind w:left="363" w:hanging="363"/>
        <w:jc w:val="both"/>
        <w:textAlignment w:val="baseline"/>
        <w:rPr>
          <w:rFonts w:ascii="Calibri" w:hAnsi="Calibri" w:cs="Calibri"/>
          <w:b/>
          <w:bCs/>
          <w:sz w:val="22"/>
          <w:szCs w:val="22"/>
          <w:lang w:eastAsia="en-GB"/>
        </w:rPr>
      </w:pPr>
      <w:r>
        <w:rPr>
          <w:rFonts w:ascii="Calibri" w:hAnsi="Calibri" w:cs="Calibri"/>
          <w:b/>
          <w:bCs/>
          <w:sz w:val="22"/>
          <w:szCs w:val="22"/>
          <w:lang w:eastAsia="en-GB"/>
        </w:rPr>
        <w:t>Overview </w:t>
      </w:r>
    </w:p>
    <w:p w14:paraId="0E011EAE" w14:textId="77777777" w:rsidR="00804AF0" w:rsidRDefault="00804AF0">
      <w:pPr>
        <w:jc w:val="both"/>
        <w:textAlignment w:val="baseline"/>
        <w:rPr>
          <w:rFonts w:ascii="Calibri" w:hAnsi="Calibri" w:cs="Calibri"/>
          <w:sz w:val="22"/>
          <w:szCs w:val="22"/>
          <w:lang w:eastAsia="en-GB"/>
        </w:rPr>
      </w:pPr>
    </w:p>
    <w:p w14:paraId="5C02AD23"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International Personnel Services Agreement (“IPSA”) is a legal instrument established by the United Nations Development Programme (UNDP) in order to engage the services of individuals to provide a time-limited service to UNDP under a services-based contract modality. </w:t>
      </w:r>
    </w:p>
    <w:p w14:paraId="6DB8ECD5" w14:textId="77777777" w:rsidR="00804AF0" w:rsidRDefault="00804AF0">
      <w:pPr>
        <w:jc w:val="both"/>
        <w:textAlignment w:val="baseline"/>
        <w:rPr>
          <w:rFonts w:ascii="Calibri" w:hAnsi="Calibri" w:cs="Calibri"/>
          <w:sz w:val="22"/>
          <w:szCs w:val="22"/>
          <w:lang w:eastAsia="en-GB"/>
        </w:rPr>
      </w:pPr>
    </w:p>
    <w:p w14:paraId="6A628E67"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This modality has two key objectives: On the one hand, the IPSA aims to provide UNDP with a comprehensive, flexible and cost-effective contractual framework which responds to project- and programme-based, as well as operational and administrative, requirements. On the other, the IPSA will at the same time provide for attractive, stable and fair conditions of employment which ensure that UNDP is able to attract, select and retain the services of high-quality individuals.</w:t>
      </w:r>
    </w:p>
    <w:p w14:paraId="61FDFC54" w14:textId="77777777" w:rsidR="00804AF0" w:rsidRDefault="00804AF0">
      <w:pPr>
        <w:jc w:val="both"/>
        <w:textAlignment w:val="baseline"/>
        <w:rPr>
          <w:rFonts w:ascii="Calibri" w:hAnsi="Calibri" w:cs="Calibri"/>
          <w:sz w:val="22"/>
          <w:szCs w:val="22"/>
          <w:lang w:eastAsia="en-GB"/>
        </w:rPr>
      </w:pPr>
    </w:p>
    <w:p w14:paraId="67C60678"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Individuals engaged under the IPSA framework have the status of International Personnel Service Agreement holders, and are specifically engaged in recognition of their skills and expertise, to provide identified deliverables. These individuals are not UNDP staff members, but are considered affiliate personnel and, as such are not governed by or subject to the United Nations’ Staff Regulations and Rules. Nor is this contract modality governed by national legislation in countries where UNDP operates. Given that the services covered by the IPSA may only be provided by natural and not legal persons (e.g., duly formed/registered companies), and by non-incorporated partnerships, the IPSA falls within the overall scope of UNDP Human Resource management framework.</w:t>
      </w:r>
    </w:p>
    <w:p w14:paraId="32F30F46" w14:textId="77777777" w:rsidR="00804AF0" w:rsidRDefault="00804AF0">
      <w:pPr>
        <w:jc w:val="both"/>
        <w:textAlignment w:val="baseline"/>
        <w:rPr>
          <w:rFonts w:ascii="Calibri" w:hAnsi="Calibri" w:cs="Calibri"/>
          <w:sz w:val="22"/>
          <w:szCs w:val="22"/>
          <w:lang w:eastAsia="en-GB"/>
        </w:rPr>
      </w:pPr>
    </w:p>
    <w:p w14:paraId="319DB690" w14:textId="2D939E19"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IPSA may also be used by UNDP to contract individuals on behalf of entities to which it may provide such services (“partners”), whereby the personnel so contracted are </w:t>
      </w:r>
      <w:r w:rsidR="00F2055F">
        <w:rPr>
          <w:rFonts w:ascii="Calibri" w:hAnsi="Calibri" w:cs="Calibri"/>
          <w:sz w:val="22"/>
          <w:szCs w:val="22"/>
          <w:lang w:eastAsia="en-GB"/>
        </w:rPr>
        <w:t>supervised by</w:t>
      </w:r>
      <w:r>
        <w:rPr>
          <w:rFonts w:ascii="Calibri" w:hAnsi="Calibri" w:cs="Calibri"/>
          <w:sz w:val="22"/>
          <w:szCs w:val="22"/>
          <w:lang w:eastAsia="en-GB"/>
        </w:rPr>
        <w:t> such partners. Such contracts are administered by UNDP. This facility is provided for in the related policy on Partner Personnel Service Agreement (“PPSA”).</w:t>
      </w:r>
    </w:p>
    <w:p w14:paraId="0A718CC1" w14:textId="77777777" w:rsidR="00804AF0" w:rsidRDefault="00804AF0">
      <w:pPr>
        <w:jc w:val="both"/>
        <w:textAlignment w:val="baseline"/>
        <w:rPr>
          <w:rFonts w:ascii="Calibri" w:hAnsi="Calibri" w:cs="Calibri"/>
          <w:sz w:val="22"/>
          <w:szCs w:val="22"/>
          <w:lang w:eastAsia="en-GB"/>
        </w:rPr>
      </w:pPr>
    </w:p>
    <w:p w14:paraId="413184CE" w14:textId="11CFAF50"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The IPSA is governed solely by its expressed terms and conditions, including the </w:t>
      </w:r>
      <w:hyperlink r:id="rId7" w:history="1">
        <w:r>
          <w:rPr>
            <w:rFonts w:ascii="Calibri" w:hAnsi="Calibri" w:cs="Calibri"/>
            <w:sz w:val="22"/>
            <w:szCs w:val="22"/>
            <w:lang w:eastAsia="en-GB"/>
          </w:rPr>
          <w:t>Terms of Reference (“TOR”)</w:t>
        </w:r>
      </w:hyperlink>
      <w:r>
        <w:rPr>
          <w:rFonts w:ascii="Calibri" w:hAnsi="Calibri" w:cs="Calibri"/>
          <w:sz w:val="22"/>
          <w:szCs w:val="22"/>
          <w:lang w:eastAsia="en-GB"/>
        </w:rPr>
        <w:t>.</w:t>
      </w:r>
    </w:p>
    <w:p w14:paraId="23C0B19F" w14:textId="77777777" w:rsidR="00804AF0" w:rsidRDefault="00804AF0">
      <w:pPr>
        <w:jc w:val="both"/>
        <w:textAlignment w:val="baseline"/>
        <w:rPr>
          <w:rFonts w:ascii="Calibri" w:hAnsi="Calibri" w:cs="Calibri"/>
          <w:sz w:val="22"/>
          <w:szCs w:val="22"/>
          <w:lang w:eastAsia="en-GB"/>
        </w:rPr>
      </w:pPr>
    </w:p>
    <w:p w14:paraId="326AF1FC" w14:textId="77777777" w:rsidR="00804AF0" w:rsidRDefault="009A47D6">
      <w:pPr>
        <w:pStyle w:val="ListParagraph"/>
        <w:numPr>
          <w:ilvl w:val="0"/>
          <w:numId w:val="3"/>
        </w:numPr>
        <w:ind w:left="363" w:hanging="363"/>
        <w:jc w:val="both"/>
        <w:textAlignment w:val="baseline"/>
        <w:rPr>
          <w:rFonts w:ascii="Calibri" w:hAnsi="Calibri" w:cs="Calibri"/>
          <w:b/>
          <w:bCs/>
          <w:sz w:val="22"/>
          <w:szCs w:val="22"/>
          <w:lang w:eastAsia="en-GB"/>
        </w:rPr>
      </w:pPr>
      <w:bookmarkStart w:id="2" w:name="OLE_LINK5"/>
      <w:r>
        <w:rPr>
          <w:rFonts w:ascii="Calibri" w:hAnsi="Calibri" w:cs="Calibri"/>
          <w:b/>
          <w:bCs/>
          <w:sz w:val="22"/>
          <w:szCs w:val="22"/>
          <w:lang w:eastAsia="en-GB"/>
        </w:rPr>
        <w:t>Applicability</w:t>
      </w:r>
    </w:p>
    <w:bookmarkEnd w:id="2"/>
    <w:p w14:paraId="4BD2267D" w14:textId="77777777" w:rsidR="00804AF0" w:rsidRDefault="00804AF0">
      <w:pPr>
        <w:pStyle w:val="ListParagraph"/>
        <w:ind w:left="360"/>
        <w:jc w:val="both"/>
        <w:textAlignment w:val="baseline"/>
        <w:rPr>
          <w:rFonts w:ascii="Calibri" w:eastAsia="Times New Roman" w:hAnsi="Calibri" w:cs="Calibri"/>
          <w:sz w:val="22"/>
          <w:szCs w:val="22"/>
          <w:lang w:eastAsia="en-GB"/>
        </w:rPr>
      </w:pPr>
    </w:p>
    <w:p w14:paraId="581B705C" w14:textId="77777777" w:rsidR="00804AF0" w:rsidRDefault="009A47D6">
      <w:pPr>
        <w:numPr>
          <w:ilvl w:val="0"/>
          <w:numId w:val="4"/>
        </w:numPr>
        <w:jc w:val="both"/>
        <w:textAlignment w:val="baseline"/>
        <w:rPr>
          <w:rFonts w:ascii="Calibri" w:hAnsi="Calibri" w:cs="Calibri"/>
          <w:sz w:val="22"/>
          <w:szCs w:val="22"/>
          <w:lang w:eastAsia="en-GB"/>
        </w:rPr>
      </w:pPr>
      <w:bookmarkStart w:id="3" w:name="_Hlk57880060"/>
      <w:r>
        <w:rPr>
          <w:rFonts w:ascii="Calibri" w:hAnsi="Calibri" w:cs="Calibri"/>
          <w:sz w:val="22"/>
          <w:szCs w:val="22"/>
          <w:lang w:eastAsia="en-GB"/>
        </w:rPr>
        <w:t>The following policy shall apply to International Personnel Services Agreements concluded by UNDP to perform services for UNDP.</w:t>
      </w:r>
    </w:p>
    <w:p w14:paraId="2FB2694B" w14:textId="77777777" w:rsidR="00804AF0" w:rsidRDefault="00804AF0">
      <w:pPr>
        <w:ind w:left="425"/>
        <w:jc w:val="both"/>
        <w:textAlignment w:val="baseline"/>
        <w:rPr>
          <w:rFonts w:ascii="Calibri" w:hAnsi="Calibri" w:cs="Calibri"/>
          <w:sz w:val="22"/>
          <w:szCs w:val="22"/>
          <w:lang w:eastAsia="en-GB"/>
        </w:rPr>
      </w:pPr>
    </w:p>
    <w:p w14:paraId="6A7E1CFD"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color w:val="000000"/>
          <w:sz w:val="22"/>
          <w:szCs w:val="22"/>
        </w:rPr>
        <w:t>UNV and UNCDF can hire IPSAs in accordance with this Policy under the same conditions applicable to UNDP.</w:t>
      </w:r>
    </w:p>
    <w:bookmarkEnd w:id="3"/>
    <w:p w14:paraId="032AFF57"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23924F86" w14:textId="77777777" w:rsidR="00804AF0" w:rsidRDefault="009A47D6">
      <w:pPr>
        <w:numPr>
          <w:ilvl w:val="0"/>
          <w:numId w:val="4"/>
        </w:numPr>
        <w:jc w:val="both"/>
        <w:textAlignment w:val="baseline"/>
        <w:rPr>
          <w:rFonts w:ascii="Calibri" w:hAnsi="Calibri" w:cs="Calibri"/>
          <w:sz w:val="22"/>
          <w:szCs w:val="22"/>
          <w:lang w:eastAsia="en-GB"/>
        </w:rPr>
      </w:pPr>
      <w:bookmarkStart w:id="4" w:name="OLE_LINK11"/>
      <w:r>
        <w:rPr>
          <w:rFonts w:ascii="Calibri" w:hAnsi="Calibri" w:cs="Calibri"/>
          <w:sz w:val="22"/>
          <w:szCs w:val="22"/>
          <w:lang w:eastAsia="en-GB"/>
        </w:rPr>
        <w:t xml:space="preserve">An IPSA holder is normally a person engaged to perform specialist functions in a country other than their home country or place of permanent residence. In programme countries, the National Personal Services Agreement (NPSA) should be used. </w:t>
      </w:r>
      <w:bookmarkEnd w:id="4"/>
      <w:r>
        <w:rPr>
          <w:rFonts w:ascii="Calibri" w:hAnsi="Calibri" w:cs="Calibri"/>
          <w:sz w:val="22"/>
          <w:szCs w:val="22"/>
          <w:lang w:eastAsia="en-GB"/>
        </w:rPr>
        <w:t xml:space="preserve">However, IPSA holders may undertake an assignment in their home country provided they have multi-country responsibilities as per the terms of reference and is expected to travel on official business </w:t>
      </w:r>
      <w:r>
        <w:rPr>
          <w:rFonts w:ascii="Calibri" w:hAnsi="Calibri" w:cs="Calibri"/>
          <w:sz w:val="22"/>
          <w:szCs w:val="22"/>
          <w:lang w:eastAsia="en-GB"/>
        </w:rPr>
        <w:lastRenderedPageBreak/>
        <w:t>outside the home country for more than one-third of the service period, such cases should be cleared by BMS/OHR.</w:t>
      </w:r>
    </w:p>
    <w:p w14:paraId="3F0193E2" w14:textId="77777777" w:rsidR="00804AF0" w:rsidRDefault="00804AF0">
      <w:pPr>
        <w:jc w:val="both"/>
        <w:textAlignment w:val="baseline"/>
        <w:rPr>
          <w:rFonts w:ascii="Calibri" w:hAnsi="Calibri" w:cs="Calibri"/>
          <w:sz w:val="22"/>
          <w:szCs w:val="22"/>
          <w:lang w:eastAsia="en-GB"/>
        </w:rPr>
      </w:pPr>
    </w:p>
    <w:p w14:paraId="3A932B87" w14:textId="77777777" w:rsidR="00804AF0" w:rsidRDefault="009A47D6">
      <w:pPr>
        <w:pStyle w:val="Heading1"/>
        <w:numPr>
          <w:ilvl w:val="0"/>
          <w:numId w:val="2"/>
        </w:numPr>
        <w:jc w:val="left"/>
        <w:rPr>
          <w:rFonts w:ascii="Calibri" w:hAnsi="Calibri"/>
          <w:b/>
          <w:sz w:val="22"/>
          <w:lang w:eastAsia="en-GB"/>
        </w:rPr>
      </w:pPr>
      <w:bookmarkStart w:id="5" w:name="_Toc161312410"/>
      <w:r>
        <w:rPr>
          <w:rFonts w:ascii="Calibri" w:hAnsi="Calibri"/>
          <w:b/>
          <w:sz w:val="22"/>
          <w:lang w:eastAsia="en-GB"/>
        </w:rPr>
        <w:t>Use of IPSA</w:t>
      </w:r>
      <w:bookmarkEnd w:id="5"/>
    </w:p>
    <w:p w14:paraId="3AF9BF7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A3442BB"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There are functions that have an international element to them, where specific technical expertise is not available at that required level locally, where local challenges and conflicts may require a neutral approach, or where the independent role of UNDP is required. In such instances, an International PSA position should be established as opposed to a national PSA position.</w:t>
      </w:r>
    </w:p>
    <w:p w14:paraId="61F0C05F" w14:textId="77777777" w:rsidR="00804AF0" w:rsidRDefault="009A47D6">
      <w:pPr>
        <w:jc w:val="both"/>
        <w:textAlignment w:val="baseline"/>
        <w:rPr>
          <w:rFonts w:ascii="Calibri" w:hAnsi="Calibri" w:cs="Calibri"/>
          <w:b/>
          <w:bCs/>
          <w:sz w:val="22"/>
          <w:szCs w:val="22"/>
          <w:lang w:eastAsia="en-GB"/>
        </w:rPr>
      </w:pPr>
      <w:r>
        <w:rPr>
          <w:rFonts w:ascii="Calibri" w:hAnsi="Calibri" w:cs="Calibri"/>
          <w:sz w:val="22"/>
          <w:szCs w:val="22"/>
          <w:lang w:eastAsia="en-GB"/>
        </w:rPr>
        <w:t> </w:t>
      </w:r>
    </w:p>
    <w:p w14:paraId="6C10DE71"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When should the IPSA be used:</w:t>
      </w:r>
    </w:p>
    <w:p w14:paraId="5E327E66" w14:textId="77777777" w:rsidR="00804AF0" w:rsidRDefault="00804AF0">
      <w:pPr>
        <w:ind w:firstLine="720"/>
        <w:jc w:val="both"/>
        <w:textAlignment w:val="baseline"/>
        <w:rPr>
          <w:rFonts w:ascii="Calibri" w:hAnsi="Calibri" w:cs="Calibri"/>
          <w:sz w:val="22"/>
          <w:szCs w:val="22"/>
          <w:lang w:eastAsia="en-GB"/>
        </w:rPr>
      </w:pPr>
    </w:p>
    <w:p w14:paraId="5227F7E1" w14:textId="77777777" w:rsidR="00804AF0" w:rsidRDefault="009A47D6">
      <w:pPr>
        <w:ind w:firstLine="720"/>
        <w:jc w:val="both"/>
        <w:textAlignment w:val="baseline"/>
        <w:rPr>
          <w:rFonts w:ascii="Calibri" w:hAnsi="Calibri" w:cs="Calibri"/>
          <w:sz w:val="22"/>
          <w:szCs w:val="22"/>
          <w:lang w:eastAsia="en-GB"/>
        </w:rPr>
      </w:pPr>
      <w:r>
        <w:rPr>
          <w:rFonts w:ascii="Calibri" w:hAnsi="Calibri" w:cs="Calibri"/>
          <w:sz w:val="22"/>
          <w:szCs w:val="22"/>
          <w:lang w:eastAsia="en-GB"/>
        </w:rPr>
        <w:t>The IPSA is to be used when engaging individuals in any of the following circumstances:</w:t>
      </w:r>
    </w:p>
    <w:p w14:paraId="625D50FF" w14:textId="77777777" w:rsidR="00804AF0" w:rsidRDefault="00804AF0">
      <w:pPr>
        <w:ind w:firstLine="720"/>
        <w:jc w:val="both"/>
        <w:textAlignment w:val="baseline"/>
        <w:rPr>
          <w:rFonts w:ascii="Calibri" w:hAnsi="Calibri" w:cs="Calibri"/>
          <w:sz w:val="22"/>
          <w:szCs w:val="22"/>
          <w:lang w:eastAsia="en-GB"/>
        </w:rPr>
      </w:pPr>
    </w:p>
    <w:p w14:paraId="30F933CF" w14:textId="77777777" w:rsidR="00804AF0" w:rsidRDefault="009A47D6">
      <w:pPr>
        <w:pStyle w:val="ListParagraph"/>
        <w:numPr>
          <w:ilvl w:val="0"/>
          <w:numId w:val="5"/>
        </w:numPr>
        <w:tabs>
          <w:tab w:val="left" w:pos="0"/>
        </w:tabs>
        <w:jc w:val="both"/>
        <w:textAlignment w:val="baseline"/>
        <w:rPr>
          <w:rFonts w:ascii="Calibri" w:hAnsi="Calibri" w:cs="Calibri"/>
          <w:sz w:val="22"/>
          <w:szCs w:val="22"/>
          <w:lang w:eastAsia="en-GB"/>
        </w:rPr>
      </w:pPr>
      <w:r>
        <w:rPr>
          <w:rFonts w:ascii="Calibri" w:hAnsi="Calibri" w:cs="Calibri"/>
          <w:sz w:val="22"/>
          <w:szCs w:val="22"/>
          <w:lang w:eastAsia="en-GB"/>
        </w:rPr>
        <w:t xml:space="preserve">When undertaking the performance of specific task(s) or delivery of work for the implementation of project(s) or other activities of a business unit which is funded by a project (or projects) or a non-continuous source of funding, and required for a defined </w:t>
      </w:r>
      <w:proofErr w:type="gramStart"/>
      <w:r>
        <w:rPr>
          <w:rFonts w:ascii="Calibri" w:hAnsi="Calibri" w:cs="Calibri"/>
          <w:sz w:val="22"/>
          <w:szCs w:val="22"/>
          <w:lang w:eastAsia="en-GB"/>
        </w:rPr>
        <w:t>period of time</w:t>
      </w:r>
      <w:proofErr w:type="gramEnd"/>
      <w:r>
        <w:rPr>
          <w:rFonts w:ascii="Calibri" w:hAnsi="Calibri" w:cs="Calibri"/>
          <w:sz w:val="22"/>
          <w:szCs w:val="22"/>
          <w:lang w:eastAsia="en-GB"/>
        </w:rPr>
        <w:t xml:space="preserve"> (for example, for the duration of the active project(s) carried out by UNDP or its funding);</w:t>
      </w:r>
    </w:p>
    <w:p w14:paraId="634558A0" w14:textId="77777777" w:rsidR="00804AF0" w:rsidRDefault="00804AF0">
      <w:pPr>
        <w:pStyle w:val="ListParagraph"/>
        <w:ind w:left="1440"/>
        <w:jc w:val="both"/>
        <w:textAlignment w:val="baseline"/>
        <w:rPr>
          <w:rFonts w:ascii="Calibri" w:hAnsi="Calibri" w:cs="Calibri"/>
          <w:sz w:val="22"/>
          <w:szCs w:val="22"/>
          <w:lang w:eastAsia="en-GB"/>
        </w:rPr>
      </w:pPr>
    </w:p>
    <w:p w14:paraId="7665D673" w14:textId="77777777" w:rsidR="00804AF0" w:rsidRDefault="009A47D6">
      <w:pPr>
        <w:pStyle w:val="ListParagraph"/>
        <w:numPr>
          <w:ilvl w:val="0"/>
          <w:numId w:val="5"/>
        </w:numPr>
        <w:tabs>
          <w:tab w:val="left" w:pos="0"/>
        </w:tabs>
        <w:jc w:val="both"/>
        <w:textAlignment w:val="baseline"/>
        <w:rPr>
          <w:rFonts w:ascii="Calibri" w:hAnsi="Calibri" w:cs="Calibri"/>
          <w:sz w:val="22"/>
          <w:szCs w:val="22"/>
          <w:lang w:eastAsia="en-GB"/>
        </w:rPr>
      </w:pPr>
      <w:r>
        <w:rPr>
          <w:rFonts w:ascii="Calibri" w:hAnsi="Calibri" w:cs="Calibri"/>
          <w:sz w:val="22"/>
          <w:szCs w:val="22"/>
          <w:lang w:eastAsia="en-GB"/>
        </w:rPr>
        <w:t>When undertaking the performance of specific task(s) that is/are needed because of the variable business volume due to the nature of UNDP’s business model;</w:t>
      </w:r>
    </w:p>
    <w:p w14:paraId="3BE1024C" w14:textId="77777777" w:rsidR="00804AF0" w:rsidRDefault="00804AF0">
      <w:pPr>
        <w:pStyle w:val="ListParagraph"/>
        <w:rPr>
          <w:rFonts w:ascii="Calibri" w:hAnsi="Calibri" w:cs="Calibri"/>
          <w:sz w:val="22"/>
          <w:szCs w:val="22"/>
          <w:lang w:eastAsia="en-GB"/>
        </w:rPr>
      </w:pPr>
    </w:p>
    <w:p w14:paraId="4221F5A6" w14:textId="77777777" w:rsidR="00804AF0" w:rsidRDefault="009A47D6">
      <w:pPr>
        <w:pStyle w:val="ListParagraph"/>
        <w:numPr>
          <w:ilvl w:val="0"/>
          <w:numId w:val="5"/>
        </w:numPr>
        <w:tabs>
          <w:tab w:val="left" w:pos="0"/>
        </w:tabs>
        <w:jc w:val="both"/>
        <w:textAlignment w:val="baseline"/>
        <w:rPr>
          <w:rFonts w:ascii="Calibri" w:hAnsi="Calibri" w:cs="Calibri"/>
          <w:sz w:val="22"/>
          <w:szCs w:val="22"/>
          <w:lang w:eastAsia="en-GB"/>
        </w:rPr>
      </w:pPr>
      <w:r>
        <w:rPr>
          <w:rFonts w:ascii="Calibri" w:hAnsi="Calibri" w:cs="Calibri"/>
          <w:sz w:val="22"/>
          <w:szCs w:val="22"/>
          <w:lang w:eastAsia="en-GB"/>
        </w:rPr>
        <w:t>When the services require specialized technical, peculiar or unique skills, that are not part of UNDP’s staff capability or may not be needed long-term by UNDP;</w:t>
      </w:r>
    </w:p>
    <w:p w14:paraId="2BD9CB8E" w14:textId="77777777" w:rsidR="00804AF0" w:rsidRDefault="00804AF0">
      <w:pPr>
        <w:jc w:val="both"/>
        <w:textAlignment w:val="baseline"/>
        <w:rPr>
          <w:rFonts w:ascii="Calibri" w:hAnsi="Calibri" w:cs="Calibri"/>
          <w:sz w:val="22"/>
          <w:szCs w:val="22"/>
          <w:lang w:eastAsia="en-GB"/>
        </w:rPr>
      </w:pPr>
    </w:p>
    <w:p w14:paraId="5D62CFCA"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IPSA may not be used in the following cases:</w:t>
      </w:r>
    </w:p>
    <w:p w14:paraId="32CA63FB" w14:textId="77777777" w:rsidR="00804AF0" w:rsidRDefault="00804AF0">
      <w:pPr>
        <w:ind w:firstLine="720"/>
        <w:jc w:val="both"/>
        <w:textAlignment w:val="baseline"/>
        <w:rPr>
          <w:rFonts w:ascii="Calibri" w:hAnsi="Calibri" w:cs="Calibri"/>
          <w:sz w:val="22"/>
          <w:szCs w:val="22"/>
          <w:lang w:eastAsia="en-GB"/>
        </w:rPr>
      </w:pPr>
    </w:p>
    <w:p w14:paraId="196A67BB" w14:textId="35AB3BC4" w:rsidR="00804AF0" w:rsidRDefault="009A47D6">
      <w:pPr>
        <w:pStyle w:val="ListParagraph"/>
        <w:numPr>
          <w:ilvl w:val="0"/>
          <w:numId w:val="6"/>
        </w:numPr>
        <w:jc w:val="both"/>
        <w:textAlignment w:val="baseline"/>
        <w:rPr>
          <w:rFonts w:ascii="Calibri" w:hAnsi="Calibri" w:cs="Calibri"/>
          <w:sz w:val="22"/>
          <w:szCs w:val="22"/>
          <w:lang w:eastAsia="en-GB"/>
        </w:rPr>
      </w:pPr>
      <w:r>
        <w:rPr>
          <w:rFonts w:ascii="Calibri" w:hAnsi="Calibri" w:cs="Calibri"/>
          <w:sz w:val="22"/>
          <w:szCs w:val="22"/>
          <w:lang w:eastAsia="en-GB"/>
        </w:rPr>
        <w:t xml:space="preserve">When the functions are of both, inherent </w:t>
      </w:r>
      <w:r>
        <w:rPr>
          <w:rFonts w:ascii="Calibri" w:hAnsi="Calibri" w:cs="Calibri"/>
          <w:sz w:val="22"/>
          <w:szCs w:val="22"/>
          <w:u w:val="single"/>
          <w:lang w:eastAsia="en-GB"/>
        </w:rPr>
        <w:t>and</w:t>
      </w:r>
      <w:r>
        <w:rPr>
          <w:rFonts w:ascii="Calibri" w:hAnsi="Calibri" w:cs="Calibri"/>
          <w:sz w:val="22"/>
          <w:szCs w:val="22"/>
          <w:lang w:eastAsia="en-GB"/>
        </w:rPr>
        <w:t xml:space="preserve"> continuous in nature (as defined in </w:t>
      </w:r>
      <w:bookmarkStart w:id="6" w:name="OLE_LINK6"/>
      <w:r>
        <w:rPr>
          <w:rFonts w:ascii="Calibri" w:hAnsi="Calibri" w:cs="Calibri"/>
          <w:sz w:val="22"/>
          <w:szCs w:val="22"/>
          <w:lang w:eastAsia="en-GB"/>
        </w:rPr>
        <w:fldChar w:fldCharType="begin"/>
      </w:r>
      <w:r w:rsidR="00F2055F">
        <w:rPr>
          <w:rFonts w:ascii="Calibri" w:hAnsi="Calibri" w:cs="Calibri"/>
          <w:sz w:val="22"/>
          <w:szCs w:val="22"/>
          <w:lang w:eastAsia="en-GB"/>
        </w:rPr>
        <w:instrText>HYPERLINK  \l "_Annex 3:_Definition of functions of inherent and continuous nature"</w:instrText>
      </w:r>
      <w:r>
        <w:rPr>
          <w:rFonts w:ascii="Calibri" w:hAnsi="Calibri" w:cs="Calibri"/>
          <w:sz w:val="22"/>
          <w:szCs w:val="22"/>
          <w:lang w:eastAsia="en-GB"/>
        </w:rPr>
      </w:r>
      <w:r>
        <w:rPr>
          <w:rFonts w:ascii="Calibri" w:hAnsi="Calibri" w:cs="Calibri"/>
          <w:sz w:val="22"/>
          <w:szCs w:val="22"/>
          <w:lang w:eastAsia="en-GB"/>
        </w:rPr>
        <w:fldChar w:fldCharType="separate"/>
      </w:r>
      <w:bookmarkEnd w:id="6"/>
      <w:r w:rsidR="00F2055F">
        <w:rPr>
          <w:rStyle w:val="Hyperlink"/>
          <w:rFonts w:ascii="Calibri" w:hAnsi="Calibri" w:cs="Calibri"/>
          <w:sz w:val="22"/>
          <w:szCs w:val="22"/>
          <w:lang w:eastAsia="en-GB"/>
        </w:rPr>
        <w:t>Annex 3</w:t>
      </w:r>
      <w:r>
        <w:rPr>
          <w:rFonts w:ascii="Calibri" w:hAnsi="Calibri" w:cs="Calibri"/>
          <w:sz w:val="22"/>
          <w:szCs w:val="22"/>
          <w:lang w:eastAsia="en-GB"/>
        </w:rPr>
        <w:fldChar w:fldCharType="end"/>
      </w:r>
      <w:r>
        <w:rPr>
          <w:rFonts w:ascii="Calibri" w:hAnsi="Calibri" w:cs="Calibri"/>
          <w:sz w:val="22"/>
          <w:szCs w:val="22"/>
          <w:lang w:eastAsia="en-GB"/>
        </w:rPr>
        <w:t>).</w:t>
      </w:r>
    </w:p>
    <w:p w14:paraId="221A38B8" w14:textId="77777777" w:rsidR="00804AF0" w:rsidRDefault="00804AF0">
      <w:pPr>
        <w:ind w:left="720"/>
        <w:jc w:val="both"/>
        <w:textAlignment w:val="baseline"/>
        <w:rPr>
          <w:rFonts w:ascii="Calibri" w:hAnsi="Calibri" w:cs="Calibri"/>
          <w:sz w:val="22"/>
          <w:szCs w:val="22"/>
          <w:lang w:eastAsia="en-GB"/>
        </w:rPr>
      </w:pPr>
    </w:p>
    <w:p w14:paraId="62FE9EC4" w14:textId="77777777" w:rsidR="00804AF0" w:rsidRDefault="009A47D6">
      <w:pPr>
        <w:pStyle w:val="ListParagraph"/>
        <w:numPr>
          <w:ilvl w:val="0"/>
          <w:numId w:val="6"/>
        </w:numPr>
        <w:jc w:val="both"/>
        <w:textAlignment w:val="baseline"/>
        <w:rPr>
          <w:rFonts w:ascii="Calibri" w:hAnsi="Calibri" w:cs="Calibri"/>
          <w:sz w:val="22"/>
          <w:szCs w:val="22"/>
          <w:lang w:eastAsia="en-GB"/>
        </w:rPr>
      </w:pPr>
      <w:r>
        <w:rPr>
          <w:rFonts w:ascii="Calibri" w:hAnsi="Calibri" w:cs="Calibri"/>
          <w:sz w:val="22"/>
          <w:szCs w:val="22"/>
          <w:lang w:eastAsia="en-GB"/>
        </w:rPr>
        <w:t>To re-instate a staff member whose previous post/function of identical nature has been abolished.</w:t>
      </w:r>
    </w:p>
    <w:p w14:paraId="5D1DC0AF" w14:textId="77777777" w:rsidR="00804AF0" w:rsidRDefault="00804AF0">
      <w:pPr>
        <w:ind w:left="720"/>
        <w:jc w:val="both"/>
        <w:textAlignment w:val="baseline"/>
        <w:rPr>
          <w:rFonts w:ascii="Calibri" w:hAnsi="Calibri" w:cs="Calibri"/>
          <w:sz w:val="22"/>
          <w:szCs w:val="22"/>
          <w:lang w:eastAsia="en-GB"/>
        </w:rPr>
      </w:pPr>
    </w:p>
    <w:p w14:paraId="5975E099" w14:textId="77777777" w:rsidR="00804AF0" w:rsidRDefault="009A47D6">
      <w:pPr>
        <w:pStyle w:val="ListParagraph"/>
        <w:numPr>
          <w:ilvl w:val="0"/>
          <w:numId w:val="6"/>
        </w:numPr>
        <w:jc w:val="both"/>
        <w:textAlignment w:val="baseline"/>
        <w:rPr>
          <w:rFonts w:ascii="Calibri" w:hAnsi="Calibri" w:cs="Calibri"/>
          <w:sz w:val="22"/>
          <w:szCs w:val="22"/>
          <w:lang w:eastAsia="en-GB"/>
        </w:rPr>
      </w:pPr>
      <w:r>
        <w:rPr>
          <w:rFonts w:ascii="Calibri" w:hAnsi="Calibri" w:cs="Calibri"/>
          <w:sz w:val="22"/>
          <w:szCs w:val="22"/>
          <w:lang w:eastAsia="en-GB"/>
        </w:rPr>
        <w:t>As a means of applying a probationary period to candidates prior to offering them a staff appointment.</w:t>
      </w:r>
    </w:p>
    <w:p w14:paraId="1A36446C" w14:textId="77777777" w:rsidR="00804AF0" w:rsidRDefault="00804AF0">
      <w:pPr>
        <w:pStyle w:val="ListParagraph"/>
        <w:ind w:left="720"/>
        <w:jc w:val="both"/>
        <w:textAlignment w:val="baseline"/>
        <w:rPr>
          <w:rFonts w:ascii="Calibri" w:hAnsi="Calibri" w:cs="Calibri"/>
          <w:sz w:val="22"/>
          <w:szCs w:val="22"/>
          <w:lang w:eastAsia="en-GB"/>
        </w:rPr>
      </w:pPr>
    </w:p>
    <w:p w14:paraId="2EEB99DC" w14:textId="77777777" w:rsidR="00804AF0" w:rsidRDefault="009A47D6">
      <w:pPr>
        <w:pStyle w:val="ListParagraph"/>
        <w:numPr>
          <w:ilvl w:val="0"/>
          <w:numId w:val="6"/>
        </w:numPr>
        <w:jc w:val="both"/>
        <w:textAlignment w:val="baseline"/>
        <w:rPr>
          <w:rFonts w:ascii="Calibri" w:hAnsi="Calibri" w:cs="Calibri"/>
          <w:sz w:val="22"/>
          <w:szCs w:val="22"/>
          <w:lang w:eastAsia="en-GB"/>
        </w:rPr>
      </w:pPr>
      <w:r>
        <w:rPr>
          <w:rFonts w:ascii="Calibri" w:hAnsi="Calibri" w:cs="Calibri"/>
          <w:sz w:val="22"/>
          <w:szCs w:val="22"/>
          <w:lang w:eastAsia="en-GB"/>
        </w:rPr>
        <w:t xml:space="preserve">Where the services required based on specific deliverables and payments are </w:t>
      </w:r>
      <w:proofErr w:type="gramStart"/>
      <w:r>
        <w:rPr>
          <w:rFonts w:ascii="Calibri" w:hAnsi="Calibri" w:cs="Calibri"/>
          <w:sz w:val="22"/>
          <w:szCs w:val="22"/>
          <w:lang w:eastAsia="en-GB"/>
        </w:rPr>
        <w:t>lump-sum</w:t>
      </w:r>
      <w:proofErr w:type="gramEnd"/>
      <w:r>
        <w:rPr>
          <w:rFonts w:ascii="Calibri" w:hAnsi="Calibri" w:cs="Calibri"/>
          <w:sz w:val="22"/>
          <w:szCs w:val="22"/>
          <w:lang w:eastAsia="en-GB"/>
        </w:rPr>
        <w:t xml:space="preserve"> based. In such cases, the Individual Contract (IC) modality of UNDP should be used, governed by its own set of procurement guidelines. Automatic conversions from IC to IPSA are not possible given that the two modalities follow two very different purposes and assessments, except during the transition period indicated above.</w:t>
      </w:r>
    </w:p>
    <w:p w14:paraId="443440CC" w14:textId="77777777" w:rsidR="007B6FA2" w:rsidRPr="0020638C" w:rsidRDefault="007B6FA2" w:rsidP="0020638C">
      <w:pPr>
        <w:pStyle w:val="ListParagraph"/>
        <w:rPr>
          <w:rFonts w:ascii="Calibri" w:hAnsi="Calibri" w:cs="Calibri"/>
          <w:sz w:val="22"/>
          <w:szCs w:val="22"/>
          <w:lang w:eastAsia="en-GB"/>
        </w:rPr>
      </w:pPr>
    </w:p>
    <w:p w14:paraId="011CAD62" w14:textId="77777777" w:rsidR="007B6FA2" w:rsidRDefault="007B6FA2" w:rsidP="007B6FA2">
      <w:pPr>
        <w:pStyle w:val="ListParagraph"/>
        <w:ind w:left="1080"/>
        <w:jc w:val="both"/>
        <w:textAlignment w:val="baseline"/>
        <w:rPr>
          <w:rFonts w:ascii="Calibri" w:hAnsi="Calibri" w:cs="Calibri"/>
          <w:sz w:val="22"/>
          <w:szCs w:val="22"/>
          <w:lang w:eastAsia="en-GB"/>
        </w:rPr>
      </w:pPr>
    </w:p>
    <w:p w14:paraId="1F7A505C" w14:textId="77777777" w:rsidR="00804AF0" w:rsidRDefault="00804AF0">
      <w:pPr>
        <w:jc w:val="both"/>
        <w:textAlignment w:val="baseline"/>
        <w:rPr>
          <w:rFonts w:ascii="Calibri" w:hAnsi="Calibri" w:cs="Calibri"/>
          <w:sz w:val="22"/>
          <w:szCs w:val="22"/>
          <w:lang w:eastAsia="en-GB"/>
        </w:rPr>
      </w:pPr>
    </w:p>
    <w:p w14:paraId="32699F2E" w14:textId="77777777" w:rsidR="00804AF0" w:rsidRDefault="009A47D6">
      <w:pPr>
        <w:pStyle w:val="Heading1"/>
        <w:numPr>
          <w:ilvl w:val="0"/>
          <w:numId w:val="2"/>
        </w:numPr>
        <w:jc w:val="left"/>
        <w:rPr>
          <w:rFonts w:ascii="Calibri" w:hAnsi="Calibri"/>
          <w:b/>
          <w:sz w:val="22"/>
          <w:lang w:eastAsia="en-GB"/>
        </w:rPr>
      </w:pPr>
      <w:bookmarkStart w:id="7" w:name="_Toc161312411"/>
      <w:r>
        <w:rPr>
          <w:rFonts w:ascii="Calibri" w:hAnsi="Calibri"/>
          <w:b/>
          <w:sz w:val="22"/>
          <w:lang w:eastAsia="en-GB"/>
        </w:rPr>
        <w:lastRenderedPageBreak/>
        <w:t>Legal Status of the IPSA holder</w:t>
      </w:r>
      <w:bookmarkEnd w:id="7"/>
    </w:p>
    <w:p w14:paraId="190C85AC" w14:textId="77777777" w:rsidR="00804AF0" w:rsidRDefault="00804AF0">
      <w:pPr>
        <w:jc w:val="both"/>
        <w:textAlignment w:val="baseline"/>
        <w:rPr>
          <w:rFonts w:ascii="Calibri" w:hAnsi="Calibri" w:cs="Calibri"/>
          <w:sz w:val="22"/>
          <w:szCs w:val="22"/>
          <w:lang w:eastAsia="en-GB"/>
        </w:rPr>
      </w:pPr>
    </w:p>
    <w:p w14:paraId="1070E8C9"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A holder of an IPSA is known as an IPSA holder and is engaged pursuant to the express terms and conditions of the IPSA.</w:t>
      </w:r>
      <w:bookmarkStart w:id="8" w:name="_Hlk59871576"/>
      <w:r>
        <w:rPr>
          <w:rFonts w:ascii="Calibri" w:hAnsi="Calibri" w:cs="Calibri"/>
          <w:sz w:val="22"/>
          <w:szCs w:val="22"/>
          <w:lang w:eastAsia="en-GB"/>
        </w:rPr>
        <w:t xml:space="preserve"> IPSA holders are not recruited under United Nations Staff Regulations and Rules and </w:t>
      </w:r>
      <w:bookmarkEnd w:id="8"/>
      <w:r>
        <w:rPr>
          <w:rFonts w:ascii="Calibri" w:hAnsi="Calibri" w:cs="Calibri"/>
          <w:sz w:val="22"/>
          <w:szCs w:val="22"/>
          <w:lang w:eastAsia="en-GB"/>
        </w:rPr>
        <w:t>UNDP business units must ensure that the treatment of IPSAs is consistent with the IPSA Policy, their IPSA and their status.</w:t>
      </w:r>
    </w:p>
    <w:p w14:paraId="569F1D91" w14:textId="77777777" w:rsidR="00804AF0" w:rsidRDefault="00804AF0">
      <w:pPr>
        <w:jc w:val="both"/>
        <w:textAlignment w:val="baseline"/>
        <w:rPr>
          <w:rFonts w:ascii="Calibri" w:hAnsi="Calibri" w:cs="Calibri"/>
          <w:sz w:val="22"/>
          <w:szCs w:val="22"/>
          <w:lang w:eastAsia="en-GB"/>
        </w:rPr>
      </w:pPr>
    </w:p>
    <w:p w14:paraId="313E2682"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have the legal status of a contractor vis-à-vis UNDP, and are not staff members of UNDP or any other entity of the United Nations (“UN”) under the Staff Regulations and Rules of the UN, or “officials” of UNDP or any other entity of the UN for the purposes of the Convention on the Privileges and Immunities of the United Nations, adopted by the General Assembly of the UN on 13 February 1946 (“General Convention”).</w:t>
      </w:r>
    </w:p>
    <w:p w14:paraId="3858131B" w14:textId="77777777" w:rsidR="00804AF0" w:rsidRDefault="00804AF0">
      <w:pPr>
        <w:pStyle w:val="ListParagraph"/>
        <w:ind w:left="425"/>
        <w:jc w:val="both"/>
        <w:textAlignment w:val="baseline"/>
        <w:rPr>
          <w:rFonts w:ascii="Calibri" w:hAnsi="Calibri" w:cs="Calibri"/>
          <w:sz w:val="22"/>
          <w:szCs w:val="22"/>
          <w:lang w:eastAsia="en-GB"/>
        </w:rPr>
      </w:pPr>
    </w:p>
    <w:p w14:paraId="25E1D065" w14:textId="77777777" w:rsidR="00804AF0" w:rsidRDefault="009A47D6">
      <w:pPr>
        <w:numPr>
          <w:ilvl w:val="0"/>
          <w:numId w:val="4"/>
        </w:numPr>
        <w:jc w:val="both"/>
        <w:textAlignment w:val="baseline"/>
        <w:rPr>
          <w:rFonts w:ascii="Calibri" w:hAnsi="Calibri" w:cs="Calibri"/>
          <w:sz w:val="22"/>
          <w:szCs w:val="22"/>
          <w:lang w:val="en-GB" w:eastAsia="en-GB"/>
        </w:rPr>
      </w:pPr>
      <w:bookmarkStart w:id="9" w:name="OLE_LINK12"/>
      <w:r>
        <w:rPr>
          <w:rFonts w:ascii="Calibri" w:hAnsi="Calibri" w:cs="Calibri"/>
          <w:sz w:val="22"/>
          <w:szCs w:val="22"/>
          <w:lang w:val="en-GB" w:eastAsia="en-GB"/>
        </w:rPr>
        <w:t>IPSA holders may have the status of “expert on mission for the United Nations” under Section 22, Article VI, of the General Convention, and may perform official duties for the United Nations. Whether or not an IPSA holder can be recognized as an expert within the framework of the General Convention is an issue that, if the need arises, will be conclusively determined by the Secretary-General of the United Nations or his/her delegate, the UN Legal Counsel, through the Legal Office of UNDP.</w:t>
      </w:r>
    </w:p>
    <w:bookmarkEnd w:id="9"/>
    <w:p w14:paraId="63048782" w14:textId="77777777" w:rsidR="00804AF0" w:rsidRDefault="00804AF0">
      <w:pPr>
        <w:jc w:val="both"/>
        <w:textAlignment w:val="baseline"/>
        <w:rPr>
          <w:rFonts w:ascii="Calibri" w:hAnsi="Calibri" w:cs="Calibri"/>
          <w:sz w:val="22"/>
          <w:szCs w:val="22"/>
          <w:lang w:eastAsia="en-GB"/>
        </w:rPr>
      </w:pPr>
    </w:p>
    <w:p w14:paraId="3FCF77BE" w14:textId="77777777" w:rsidR="00804AF0" w:rsidRDefault="009A47D6">
      <w:pPr>
        <w:numPr>
          <w:ilvl w:val="0"/>
          <w:numId w:val="4"/>
        </w:numPr>
        <w:jc w:val="both"/>
        <w:textAlignment w:val="baseline"/>
        <w:rPr>
          <w:rFonts w:ascii="Calibri" w:hAnsi="Calibri" w:cs="Calibri"/>
          <w:sz w:val="22"/>
          <w:szCs w:val="22"/>
          <w:lang w:eastAsia="en-GB"/>
        </w:rPr>
      </w:pPr>
      <w:bookmarkStart w:id="10" w:name="_Hlk59871700"/>
      <w:r>
        <w:rPr>
          <w:rFonts w:ascii="Calibri" w:hAnsi="Calibri" w:cs="Calibri"/>
          <w:sz w:val="22"/>
          <w:szCs w:val="22"/>
          <w:lang w:eastAsia="en-GB"/>
        </w:rPr>
        <w:t>IPSA holders have no authority or any other right to incur any legal or financial obligations on behalf of UNDP. The IPSA holder may not expressly or implicitly represent to any person authority that the IPSA holder does not have.</w:t>
      </w:r>
      <w:bookmarkEnd w:id="10"/>
    </w:p>
    <w:p w14:paraId="153194FC" w14:textId="77777777" w:rsidR="00804AF0" w:rsidRDefault="00804AF0">
      <w:pPr>
        <w:jc w:val="both"/>
        <w:textAlignment w:val="baseline"/>
        <w:rPr>
          <w:rFonts w:ascii="Calibri" w:hAnsi="Calibri" w:cs="Calibri"/>
          <w:sz w:val="22"/>
          <w:szCs w:val="22"/>
          <w:lang w:eastAsia="en-GB"/>
        </w:rPr>
      </w:pPr>
    </w:p>
    <w:p w14:paraId="2A2D3CAC" w14:textId="77777777" w:rsidR="00804AF0" w:rsidRDefault="009A47D6">
      <w:pPr>
        <w:pStyle w:val="Heading1"/>
        <w:numPr>
          <w:ilvl w:val="0"/>
          <w:numId w:val="2"/>
        </w:numPr>
        <w:jc w:val="left"/>
        <w:rPr>
          <w:rFonts w:ascii="Calibri" w:hAnsi="Calibri"/>
          <w:b/>
          <w:sz w:val="22"/>
          <w:lang w:eastAsia="en-GB"/>
        </w:rPr>
      </w:pPr>
      <w:bookmarkStart w:id="11" w:name="_Toc161312412"/>
      <w:r>
        <w:rPr>
          <w:rFonts w:ascii="Calibri" w:hAnsi="Calibri"/>
          <w:b/>
          <w:sz w:val="22"/>
          <w:lang w:eastAsia="en-GB"/>
        </w:rPr>
        <w:t>General Rights and Obligations of the IPSA holders</w:t>
      </w:r>
      <w:bookmarkEnd w:id="11"/>
    </w:p>
    <w:p w14:paraId="247D6402" w14:textId="77777777" w:rsidR="00804AF0" w:rsidRDefault="00804AF0">
      <w:pPr>
        <w:jc w:val="both"/>
        <w:textAlignment w:val="baseline"/>
        <w:rPr>
          <w:rFonts w:ascii="Calibri" w:hAnsi="Calibri" w:cs="Calibri"/>
          <w:sz w:val="22"/>
          <w:szCs w:val="22"/>
          <w:lang w:eastAsia="en-GB"/>
        </w:rPr>
      </w:pPr>
    </w:p>
    <w:p w14:paraId="79726C2D"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Rights and obligations under the IPSA are strictly limited to its express terms and conditions.</w:t>
      </w:r>
    </w:p>
    <w:p w14:paraId="35ACF72E" w14:textId="77777777" w:rsidR="00804AF0" w:rsidRDefault="00804AF0">
      <w:pPr>
        <w:jc w:val="both"/>
        <w:textAlignment w:val="baseline"/>
        <w:rPr>
          <w:rFonts w:ascii="Calibri" w:hAnsi="Calibri" w:cs="Calibri"/>
          <w:sz w:val="22"/>
          <w:szCs w:val="22"/>
          <w:lang w:eastAsia="en-GB"/>
        </w:rPr>
      </w:pPr>
    </w:p>
    <w:p w14:paraId="47936ADD" w14:textId="77777777" w:rsidR="00804AF0" w:rsidRDefault="009A47D6">
      <w:pPr>
        <w:pStyle w:val="ListParagraph"/>
        <w:jc w:val="both"/>
        <w:textAlignment w:val="baseline"/>
        <w:rPr>
          <w:rFonts w:ascii="Calibri" w:hAnsi="Calibri" w:cs="Calibri"/>
          <w:b/>
          <w:bCs/>
          <w:sz w:val="22"/>
          <w:szCs w:val="22"/>
          <w:lang w:eastAsia="en-GB"/>
        </w:rPr>
      </w:pPr>
      <w:r>
        <w:rPr>
          <w:rFonts w:ascii="Calibri" w:hAnsi="Calibri" w:cs="Calibri"/>
          <w:b/>
          <w:bCs/>
          <w:sz w:val="22"/>
          <w:szCs w:val="22"/>
          <w:lang w:eastAsia="en-GB"/>
        </w:rPr>
        <w:t>A. General rights and obligations</w:t>
      </w:r>
    </w:p>
    <w:p w14:paraId="7D77813D" w14:textId="77777777" w:rsidR="00804AF0" w:rsidRDefault="00804AF0">
      <w:pPr>
        <w:ind w:firstLine="720"/>
        <w:jc w:val="both"/>
        <w:textAlignment w:val="baseline"/>
        <w:rPr>
          <w:rFonts w:ascii="Calibri" w:hAnsi="Calibri" w:cs="Calibri"/>
          <w:sz w:val="22"/>
          <w:szCs w:val="22"/>
          <w:lang w:eastAsia="en-GB"/>
        </w:rPr>
      </w:pPr>
    </w:p>
    <w:p w14:paraId="6CA60302"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terms and conditions of the IPSA differ from the terms and conditions applicable to UNDP staff members appointed under the UN Staff Regulations and Rules. IPSA holders are excluded from participation in the United Nations Joint Staff Pension Fund and After-Service Health Insurance. Further, IPSA holders shall not be entitled to any additional benefit, payment, subsidy, compensation or entitlement, except those expressly stated in the IPSA.</w:t>
      </w:r>
    </w:p>
    <w:p w14:paraId="37CE5BB0" w14:textId="77777777" w:rsidR="00804AF0" w:rsidRDefault="00804AF0">
      <w:pPr>
        <w:ind w:left="720"/>
        <w:jc w:val="both"/>
        <w:textAlignment w:val="baseline"/>
        <w:rPr>
          <w:rFonts w:ascii="Calibri" w:hAnsi="Calibri" w:cs="Calibri"/>
          <w:sz w:val="22"/>
          <w:szCs w:val="22"/>
          <w:lang w:eastAsia="en-GB"/>
        </w:rPr>
      </w:pPr>
    </w:p>
    <w:p w14:paraId="02A04170"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may neither seek nor accept any instructions in connection with UNDP from any authority external to UNDP. Should any authority external to UNDP seek to impose any instructions on IPSA holders in connection with UNDP, they must promptly notify UNDP and provide all reasonable assistance required by UNDP to address this matter. An IPSA holder must not take any action that may adversely affect the interests of UNDP and must perform their obligations under the IPSA with the fullest regard to the interests of UNDP. During the period of service with UNDP, an IPSA holder must refrain from any conduct that would reflect adversely on UNDP or the rest of the UN system (or both), and must not engage in any activity that is incompatible with their performance of services for UNDP under the IPSA.</w:t>
      </w:r>
    </w:p>
    <w:p w14:paraId="58FB18A3" w14:textId="77777777" w:rsidR="00804AF0" w:rsidRDefault="00804AF0">
      <w:pPr>
        <w:pStyle w:val="ListParagraph"/>
        <w:ind w:left="425"/>
        <w:jc w:val="both"/>
        <w:textAlignment w:val="baseline"/>
        <w:rPr>
          <w:rFonts w:ascii="Calibri" w:hAnsi="Calibri" w:cs="Calibri"/>
          <w:sz w:val="22"/>
          <w:szCs w:val="22"/>
          <w:lang w:eastAsia="en-GB"/>
        </w:rPr>
      </w:pPr>
    </w:p>
    <w:p w14:paraId="33ED12D7" w14:textId="77777777" w:rsidR="00804AF0" w:rsidRDefault="009A47D6">
      <w:pPr>
        <w:numPr>
          <w:ilvl w:val="0"/>
          <w:numId w:val="4"/>
        </w:numPr>
        <w:jc w:val="both"/>
        <w:textAlignment w:val="baseline"/>
        <w:rPr>
          <w:rFonts w:ascii="Calibri" w:hAnsi="Calibri" w:cs="Calibri"/>
          <w:sz w:val="22"/>
          <w:szCs w:val="22"/>
          <w:lang w:eastAsia="en-GB"/>
        </w:rPr>
      </w:pPr>
      <w:bookmarkStart w:id="12" w:name="OLE_LINK13"/>
      <w:r>
        <w:rPr>
          <w:rFonts w:ascii="Calibri" w:hAnsi="Calibri" w:cs="Calibri"/>
          <w:sz w:val="22"/>
          <w:szCs w:val="22"/>
          <w:lang w:eastAsia="en-GB"/>
        </w:rPr>
        <w:lastRenderedPageBreak/>
        <w:t>UNDP may arrange for the issuance of a ticket or payment of a lump sum to allow the IPSA holder to reach their duty station of assignment.  The class of travel will be economy class, and no daily subsistence allowance (DSA) is paid for the assignment travel.</w:t>
      </w:r>
      <w:bookmarkEnd w:id="12"/>
    </w:p>
    <w:p w14:paraId="28F8829F" w14:textId="77777777" w:rsidR="00804AF0" w:rsidRDefault="00804AF0">
      <w:pPr>
        <w:ind w:left="720"/>
        <w:jc w:val="both"/>
        <w:textAlignment w:val="baseline"/>
        <w:rPr>
          <w:rFonts w:ascii="Calibri" w:hAnsi="Calibri" w:cs="Calibri"/>
          <w:sz w:val="22"/>
          <w:szCs w:val="22"/>
          <w:lang w:eastAsia="en-GB"/>
        </w:rPr>
      </w:pPr>
    </w:p>
    <w:p w14:paraId="60B7D04C"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During the term of the IPSA and even after the expiration or termination of an IPSA, IPSA holders must assist UNDP in any disputes with third </w:t>
      </w:r>
      <w:proofErr w:type="gramStart"/>
      <w:r>
        <w:rPr>
          <w:rFonts w:ascii="Calibri" w:hAnsi="Calibri" w:cs="Calibri"/>
          <w:sz w:val="22"/>
          <w:szCs w:val="22"/>
          <w:lang w:eastAsia="en-GB"/>
        </w:rPr>
        <w:t>parties, and</w:t>
      </w:r>
      <w:proofErr w:type="gramEnd"/>
      <w:r>
        <w:rPr>
          <w:rFonts w:ascii="Calibri" w:hAnsi="Calibri" w:cs="Calibri"/>
          <w:sz w:val="22"/>
          <w:szCs w:val="22"/>
          <w:lang w:eastAsia="en-GB"/>
        </w:rPr>
        <w:t xml:space="preserve"> cooperate with audits conducted by the Office of Audit and Investigations or the Board of Auditors and/or investigations relating to matters on which the IPSA holders worked or have knowledge. Such assistance may include providing UNDP or its lawyers (or both) with information regarding an IPSA holder’s service under the IPSA, and serving as a witness in arbitration, conciliation, mediation and/or similar proceedings. Whether or not UNDP exercises such an option, an IPSA holder may not voluntarily or at the request of a third party, without being compelled to do so by relevant authorities, provide any assistance (other than serving, subject to the provisions of the IPSA regarding confidentiality, as an unremunerated fact witness) to the other party or parties to the dispute without the prior written consent of, or in the case of a request of relevant authorities, without notifying, UNDP.</w:t>
      </w:r>
    </w:p>
    <w:p w14:paraId="06BED8D7" w14:textId="77777777" w:rsidR="00804AF0" w:rsidRDefault="00804AF0">
      <w:pPr>
        <w:jc w:val="both"/>
        <w:textAlignment w:val="baseline"/>
        <w:rPr>
          <w:rFonts w:ascii="Calibri" w:hAnsi="Calibri" w:cs="Calibri"/>
          <w:sz w:val="22"/>
          <w:szCs w:val="22"/>
          <w:lang w:eastAsia="en-GB"/>
        </w:rPr>
      </w:pPr>
    </w:p>
    <w:p w14:paraId="629172CA" w14:textId="77777777" w:rsidR="00804AF0" w:rsidRDefault="009A47D6">
      <w:pPr>
        <w:pStyle w:val="ListParagraph"/>
        <w:jc w:val="both"/>
        <w:textAlignment w:val="baseline"/>
        <w:rPr>
          <w:rFonts w:ascii="Calibri" w:hAnsi="Calibri" w:cs="Calibri"/>
          <w:b/>
          <w:bCs/>
          <w:sz w:val="22"/>
          <w:szCs w:val="22"/>
          <w:lang w:eastAsia="en-GB"/>
        </w:rPr>
      </w:pPr>
      <w:r>
        <w:rPr>
          <w:rFonts w:ascii="Calibri" w:hAnsi="Calibri" w:cs="Calibri"/>
          <w:b/>
          <w:bCs/>
          <w:sz w:val="22"/>
          <w:szCs w:val="22"/>
          <w:lang w:eastAsia="en-GB"/>
        </w:rPr>
        <w:t>B. Professional Liability</w:t>
      </w:r>
    </w:p>
    <w:p w14:paraId="00EDA28D" w14:textId="77777777" w:rsidR="00804AF0" w:rsidRDefault="00804AF0">
      <w:pPr>
        <w:jc w:val="both"/>
        <w:textAlignment w:val="baseline"/>
        <w:rPr>
          <w:rFonts w:ascii="Calibri" w:hAnsi="Calibri" w:cs="Calibri"/>
          <w:sz w:val="22"/>
          <w:szCs w:val="22"/>
          <w:lang w:eastAsia="en-GB"/>
        </w:rPr>
      </w:pPr>
    </w:p>
    <w:p w14:paraId="3781B5AB"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are solely liable for claims by third parties arising from their own negligence and/or intentional acts or omissions committed during the course of the IPSA and must ensure that under no circumstances will UNDP be held liable for such claims.</w:t>
      </w:r>
    </w:p>
    <w:p w14:paraId="06232EAD" w14:textId="77777777" w:rsidR="00804AF0" w:rsidRDefault="00804AF0">
      <w:pPr>
        <w:ind w:left="720"/>
        <w:jc w:val="both"/>
        <w:textAlignment w:val="baseline"/>
        <w:rPr>
          <w:rFonts w:ascii="Calibri" w:hAnsi="Calibri" w:cs="Calibri"/>
          <w:sz w:val="22"/>
          <w:szCs w:val="22"/>
          <w:lang w:eastAsia="en-GB"/>
        </w:rPr>
      </w:pPr>
    </w:p>
    <w:p w14:paraId="0EC261B7"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All IPSA holders must obtain professional liability insurance when requested by UNDP. In such cases, proof of purchase and maintenance of the professional liability insurance must be provided to UNDP upon request.</w:t>
      </w:r>
    </w:p>
    <w:p w14:paraId="522B6C2A" w14:textId="77777777" w:rsidR="00804AF0" w:rsidRDefault="00804AF0">
      <w:pPr>
        <w:jc w:val="both"/>
        <w:textAlignment w:val="baseline"/>
        <w:rPr>
          <w:rFonts w:ascii="Calibri" w:hAnsi="Calibri" w:cs="Calibri"/>
          <w:sz w:val="22"/>
          <w:szCs w:val="22"/>
          <w:lang w:eastAsia="en-GB"/>
        </w:rPr>
      </w:pPr>
    </w:p>
    <w:p w14:paraId="66E17A6C"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must indemnify UNDP and its officials, agents, employees and contractors from and against all suits, proceedings, claims, demands, losses and liabilities of any kind or nature, including, but not limited to, all litigation costs and expenses, attorney fees, settlement payments and damages, based on, arising from, or relating to:</w:t>
      </w:r>
    </w:p>
    <w:p w14:paraId="7322620A" w14:textId="77777777" w:rsidR="00804AF0" w:rsidRDefault="00804AF0">
      <w:pPr>
        <w:ind w:left="720"/>
        <w:jc w:val="both"/>
        <w:textAlignment w:val="baseline"/>
        <w:rPr>
          <w:rFonts w:ascii="Calibri" w:hAnsi="Calibri" w:cs="Calibri"/>
          <w:sz w:val="22"/>
          <w:szCs w:val="22"/>
          <w:lang w:eastAsia="en-GB"/>
        </w:rPr>
      </w:pPr>
    </w:p>
    <w:p w14:paraId="09180D8D" w14:textId="77777777" w:rsidR="00804AF0" w:rsidRDefault="009A47D6">
      <w:pPr>
        <w:numPr>
          <w:ilvl w:val="0"/>
          <w:numId w:val="7"/>
        </w:numPr>
        <w:jc w:val="both"/>
        <w:textAlignment w:val="baseline"/>
        <w:rPr>
          <w:rFonts w:ascii="Calibri" w:hAnsi="Calibri" w:cs="Calibri"/>
          <w:sz w:val="22"/>
          <w:szCs w:val="22"/>
          <w:lang w:eastAsia="en-GB"/>
        </w:rPr>
      </w:pPr>
      <w:r>
        <w:rPr>
          <w:rFonts w:ascii="Calibri" w:hAnsi="Calibri" w:cs="Calibri"/>
          <w:sz w:val="22"/>
          <w:szCs w:val="22"/>
          <w:lang w:eastAsia="en-GB"/>
        </w:rPr>
        <w:t>Allegations or claims that the use by UNDP of any device, any material or any other goods or services provided by the IPSA holder, in whole or in part, separately or in combination, constitutes an infringement of any patent, copyright, trademark or other intellectual property right of any third party; and</w:t>
      </w:r>
    </w:p>
    <w:p w14:paraId="7ACC8DB2" w14:textId="77777777" w:rsidR="00804AF0" w:rsidRDefault="00804AF0">
      <w:pPr>
        <w:ind w:left="1440" w:firstLine="200"/>
        <w:jc w:val="both"/>
        <w:textAlignment w:val="baseline"/>
        <w:rPr>
          <w:rFonts w:ascii="Calibri" w:hAnsi="Calibri" w:cs="Calibri"/>
          <w:sz w:val="22"/>
          <w:szCs w:val="22"/>
          <w:lang w:eastAsia="en-GB"/>
        </w:rPr>
      </w:pPr>
    </w:p>
    <w:p w14:paraId="1464DDB4" w14:textId="77777777" w:rsidR="00804AF0" w:rsidRDefault="009A47D6">
      <w:pPr>
        <w:numPr>
          <w:ilvl w:val="0"/>
          <w:numId w:val="7"/>
        </w:numPr>
        <w:jc w:val="both"/>
        <w:textAlignment w:val="baseline"/>
        <w:rPr>
          <w:rFonts w:ascii="Calibri" w:hAnsi="Calibri" w:cs="Calibri"/>
          <w:sz w:val="22"/>
          <w:szCs w:val="22"/>
          <w:lang w:eastAsia="en-GB"/>
        </w:rPr>
      </w:pPr>
      <w:r>
        <w:rPr>
          <w:rFonts w:ascii="Calibri" w:hAnsi="Calibri" w:cs="Calibri"/>
          <w:sz w:val="22"/>
          <w:szCs w:val="22"/>
          <w:lang w:eastAsia="en-GB"/>
        </w:rPr>
        <w:t>Allegations or claims that the IPSA holder during the term of the IPSA caused injury, loss or damage, whether physical, psychological and/or financial, to anyone who is not a party to the IPSA, including, without limitation, allegations and claims in the nature of a claim for workers’ compensation.</w:t>
      </w:r>
    </w:p>
    <w:p w14:paraId="7C99F590" w14:textId="77777777" w:rsidR="00804AF0" w:rsidRDefault="00804AF0">
      <w:pPr>
        <w:ind w:left="1080"/>
        <w:jc w:val="both"/>
        <w:textAlignment w:val="baseline"/>
        <w:rPr>
          <w:rFonts w:ascii="Calibri" w:hAnsi="Calibri" w:cs="Calibri"/>
          <w:sz w:val="22"/>
          <w:szCs w:val="22"/>
          <w:lang w:eastAsia="en-GB"/>
        </w:rPr>
      </w:pPr>
    </w:p>
    <w:p w14:paraId="396E97D7" w14:textId="77777777" w:rsidR="00804AF0" w:rsidRDefault="009A47D6">
      <w:pPr>
        <w:pStyle w:val="ListParagraph"/>
        <w:jc w:val="both"/>
        <w:textAlignment w:val="baseline"/>
        <w:rPr>
          <w:rFonts w:ascii="Calibri" w:hAnsi="Calibri" w:cs="Calibri"/>
          <w:b/>
          <w:bCs/>
          <w:sz w:val="22"/>
          <w:szCs w:val="22"/>
          <w:lang w:eastAsia="en-GB"/>
        </w:rPr>
      </w:pPr>
      <w:r>
        <w:rPr>
          <w:rFonts w:ascii="Calibri" w:hAnsi="Calibri" w:cs="Calibri"/>
          <w:b/>
          <w:bCs/>
          <w:sz w:val="22"/>
          <w:szCs w:val="22"/>
          <w:lang w:eastAsia="en-GB"/>
        </w:rPr>
        <w:t>C. Compliance and working arrangements</w:t>
      </w:r>
    </w:p>
    <w:p w14:paraId="62C3D6C4" w14:textId="77777777" w:rsidR="00804AF0" w:rsidRDefault="00804AF0">
      <w:pPr>
        <w:ind w:firstLine="720"/>
        <w:jc w:val="both"/>
        <w:textAlignment w:val="baseline"/>
        <w:rPr>
          <w:rFonts w:ascii="Calibri" w:hAnsi="Calibri" w:cs="Calibri"/>
          <w:sz w:val="22"/>
          <w:szCs w:val="22"/>
          <w:lang w:eastAsia="en-GB"/>
        </w:rPr>
      </w:pPr>
    </w:p>
    <w:p w14:paraId="0E12F7DF"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IPSA holders must comply with all legislation, ordinances, rules, regulations, instruments, and other applicable laws in all relevant jurisdictions (e.g., country of origin, country of residence, country(ies) where services are performed), including but not limited to those relating to taxation, licenses, work permits and visas. Under no circumstances will UNDP be responsible </w:t>
      </w:r>
      <w:r>
        <w:rPr>
          <w:rFonts w:ascii="Calibri" w:hAnsi="Calibri" w:cs="Calibri"/>
          <w:sz w:val="22"/>
          <w:szCs w:val="22"/>
          <w:lang w:eastAsia="en-GB"/>
        </w:rPr>
        <w:lastRenderedPageBreak/>
        <w:t>for paying or reimbursing such taxes. IPSA holders must provide periodic proof of payment of taxes when requested to provide such proof by UNDP.</w:t>
      </w:r>
    </w:p>
    <w:p w14:paraId="08BBD140" w14:textId="77777777" w:rsidR="00804AF0" w:rsidRDefault="00804AF0">
      <w:pPr>
        <w:jc w:val="both"/>
        <w:textAlignment w:val="baseline"/>
        <w:rPr>
          <w:rFonts w:ascii="Calibri" w:hAnsi="Calibri" w:cs="Calibri"/>
          <w:sz w:val="22"/>
          <w:szCs w:val="22"/>
          <w:lang w:eastAsia="en-GB"/>
        </w:rPr>
      </w:pPr>
    </w:p>
    <w:p w14:paraId="2857304F" w14:textId="77777777" w:rsidR="00804AF0" w:rsidRDefault="009A47D6">
      <w:pPr>
        <w:numPr>
          <w:ilvl w:val="0"/>
          <w:numId w:val="4"/>
        </w:numPr>
        <w:jc w:val="both"/>
        <w:textAlignment w:val="baseline"/>
        <w:rPr>
          <w:rFonts w:ascii="Calibri" w:hAnsi="Calibri" w:cs="Calibri"/>
          <w:sz w:val="22"/>
          <w:szCs w:val="22"/>
          <w:lang w:eastAsia="en-GB"/>
        </w:rPr>
      </w:pPr>
      <w:bookmarkStart w:id="13" w:name="OLE_LINK14"/>
      <w:r>
        <w:rPr>
          <w:rFonts w:ascii="Calibri" w:hAnsi="Calibri" w:cs="Calibri"/>
          <w:sz w:val="22"/>
          <w:szCs w:val="22"/>
          <w:lang w:eastAsia="en-GB"/>
        </w:rPr>
        <w:t>IPSA holders are responsible for and must arrange for any necessary visa(s) and/or work permit(s) prior to starting the IPSA, and UNDP will provide support for the applicant’s visa request.</w:t>
      </w:r>
      <w:bookmarkEnd w:id="13"/>
      <w:r>
        <w:rPr>
          <w:rFonts w:ascii="Calibri" w:hAnsi="Calibri" w:cs="Calibri"/>
          <w:sz w:val="22"/>
          <w:szCs w:val="22"/>
          <w:lang w:eastAsia="en-GB"/>
        </w:rPr>
        <w:t xml:space="preserve"> All costs related to visas and work permits, if any, are to be fully borne by the IPSA holder. UNDP will not reimburse IPSA holders for visa and/or work permit fees unless the IPSA holder is (subsequent to arrival in the duty station to commence assignment) requested to undertake travel to other locations for UNDP, in which case any visa and/or work permit fees necessary for other locations may be claimed through submission of a travel/expense claim and supporting documents.</w:t>
      </w:r>
    </w:p>
    <w:p w14:paraId="33E5190C" w14:textId="77777777" w:rsidR="00804AF0" w:rsidRDefault="00804AF0">
      <w:pPr>
        <w:jc w:val="both"/>
        <w:textAlignment w:val="baseline"/>
        <w:rPr>
          <w:rFonts w:ascii="Calibri" w:hAnsi="Calibri" w:cs="Calibri"/>
          <w:sz w:val="22"/>
          <w:szCs w:val="22"/>
          <w:lang w:eastAsia="en-GB"/>
        </w:rPr>
      </w:pPr>
    </w:p>
    <w:p w14:paraId="76FEACBC" w14:textId="77777777" w:rsidR="00804AF0" w:rsidRDefault="009A47D6">
      <w:pPr>
        <w:numPr>
          <w:ilvl w:val="0"/>
          <w:numId w:val="4"/>
        </w:numPr>
        <w:jc w:val="both"/>
        <w:textAlignment w:val="baseline"/>
        <w:rPr>
          <w:rFonts w:ascii="Calibri" w:hAnsi="Calibri" w:cs="Calibri"/>
          <w:sz w:val="22"/>
          <w:szCs w:val="22"/>
          <w:lang w:eastAsia="en-GB"/>
        </w:rPr>
      </w:pPr>
      <w:bookmarkStart w:id="14" w:name="_Hlk57933315"/>
      <w:r>
        <w:rPr>
          <w:rFonts w:ascii="Calibri" w:hAnsi="Calibri" w:cs="Calibri"/>
          <w:sz w:val="22"/>
          <w:szCs w:val="22"/>
          <w:lang w:eastAsia="en-GB"/>
        </w:rPr>
        <w:t xml:space="preserve">IPSA </w:t>
      </w:r>
      <w:bookmarkStart w:id="15" w:name="_Hlk56981012"/>
      <w:r>
        <w:rPr>
          <w:rFonts w:ascii="Calibri" w:hAnsi="Calibri" w:cs="Calibri"/>
          <w:sz w:val="22"/>
          <w:szCs w:val="22"/>
          <w:lang w:eastAsia="en-GB"/>
        </w:rPr>
        <w:t>holders may serve on corporate committees (such as interview panels, contracts and property committee, vendor review committee, etc.), however, IPSA holders may not serve as chair,</w:t>
      </w:r>
      <w:bookmarkEnd w:id="15"/>
      <w:r>
        <w:rPr>
          <w:rFonts w:ascii="Calibri" w:hAnsi="Calibri" w:cs="Calibri"/>
          <w:sz w:val="22"/>
          <w:szCs w:val="22"/>
          <w:lang w:eastAsia="en-GB"/>
        </w:rPr>
        <w:t xml:space="preserve"> alternate chair or be the majority voting members on corporate committees.</w:t>
      </w:r>
    </w:p>
    <w:bookmarkEnd w:id="14"/>
    <w:p w14:paraId="23359E29" w14:textId="77777777" w:rsidR="00804AF0" w:rsidRDefault="00804AF0">
      <w:pPr>
        <w:pStyle w:val="ListParagraph"/>
        <w:ind w:left="360"/>
        <w:jc w:val="both"/>
        <w:textAlignment w:val="baseline"/>
        <w:rPr>
          <w:rFonts w:ascii="Calibri" w:hAnsi="Calibri" w:cs="Calibri"/>
          <w:sz w:val="22"/>
          <w:szCs w:val="22"/>
          <w:lang w:eastAsia="en-GB"/>
        </w:rPr>
      </w:pPr>
    </w:p>
    <w:p w14:paraId="5B015A18" w14:textId="77777777" w:rsidR="00804AF0" w:rsidRDefault="009A47D6">
      <w:pPr>
        <w:pStyle w:val="Heading1"/>
        <w:numPr>
          <w:ilvl w:val="0"/>
          <w:numId w:val="2"/>
        </w:numPr>
        <w:jc w:val="left"/>
        <w:rPr>
          <w:rFonts w:ascii="Calibri" w:hAnsi="Calibri"/>
          <w:b/>
          <w:sz w:val="22"/>
          <w:lang w:eastAsia="en-GB"/>
        </w:rPr>
      </w:pPr>
      <w:bookmarkStart w:id="16" w:name="_Toc161312413"/>
      <w:r>
        <w:rPr>
          <w:rFonts w:ascii="Calibri" w:hAnsi="Calibri"/>
          <w:b/>
          <w:sz w:val="22"/>
          <w:lang w:eastAsia="en-GB"/>
        </w:rPr>
        <w:t>Standards of Conduct</w:t>
      </w:r>
      <w:bookmarkEnd w:id="16"/>
    </w:p>
    <w:p w14:paraId="5DEA2455" w14:textId="77777777" w:rsidR="00804AF0" w:rsidRDefault="00804AF0">
      <w:pPr>
        <w:jc w:val="both"/>
        <w:textAlignment w:val="baseline"/>
        <w:rPr>
          <w:rFonts w:ascii="Calibri" w:hAnsi="Calibri" w:cs="Calibri"/>
          <w:sz w:val="22"/>
          <w:szCs w:val="22"/>
          <w:lang w:eastAsia="en-GB"/>
        </w:rPr>
      </w:pPr>
    </w:p>
    <w:p w14:paraId="7A80B401"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must comply with the standards of conduct set forth in the UN Secretary General’s Bulletin of 9 October 2003 entitled “Special Measures for Protection from Sexual Exploitation and Sexual Abuse” (ST/SGB/2003/13) and the UN Secretary-General’s Bulletin of 18 June 2002 entitled “Regulations Governing the Status, Basic Rights and Duties of Officials other than Secretariat Officials, and Experts on Mission” (ST/SGB/2002/9) as they may be amended from time to time. Furthermore, IPSA holders must comply with all applicable UNDP administrative issuances.</w:t>
      </w:r>
    </w:p>
    <w:p w14:paraId="3686967B" w14:textId="77777777" w:rsidR="00804AF0" w:rsidRDefault="00804AF0">
      <w:pPr>
        <w:jc w:val="both"/>
        <w:textAlignment w:val="baseline"/>
        <w:rPr>
          <w:rFonts w:ascii="Calibri" w:hAnsi="Calibri" w:cs="Calibri"/>
          <w:sz w:val="22"/>
          <w:szCs w:val="22"/>
          <w:lang w:eastAsia="en-GB"/>
        </w:rPr>
      </w:pPr>
    </w:p>
    <w:p w14:paraId="6447B9EF"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In the performance of services under the IPSA, IPSA holders must comply with the standards of conduct set in the Secretary General’s Bulletin ST/SGB/2002/9 of 18 June 2002, entitled “Regulations Governing the Status, Basic Rights and Duties of Officials other than Secretariat Officials, and Expert on Mission”. IPSA holders must comply with all security directives issued by UNDP. </w:t>
      </w:r>
    </w:p>
    <w:p w14:paraId="2EB4EA14" w14:textId="77777777" w:rsidR="00804AF0" w:rsidRDefault="00804AF0">
      <w:pPr>
        <w:jc w:val="both"/>
        <w:textAlignment w:val="baseline"/>
        <w:rPr>
          <w:rFonts w:ascii="Calibri" w:hAnsi="Calibri" w:cs="Calibri"/>
          <w:sz w:val="22"/>
          <w:szCs w:val="22"/>
          <w:lang w:eastAsia="en-GB"/>
        </w:rPr>
      </w:pPr>
    </w:p>
    <w:p w14:paraId="6D84DC73"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Although IPSA holders do not have the status of a United Nations official/staff member, while working on UNDP-related activities, they must comply with the standards of conduct required of a UN civil servant except to the extent such standards are, in the opinion of UNDP, inherently inconsistent with their status as an IPSA holder.</w:t>
      </w:r>
    </w:p>
    <w:p w14:paraId="1D0A2A28" w14:textId="77777777" w:rsidR="00804AF0" w:rsidRDefault="00804AF0">
      <w:pPr>
        <w:jc w:val="both"/>
        <w:textAlignment w:val="baseline"/>
        <w:rPr>
          <w:rFonts w:ascii="Calibri" w:hAnsi="Calibri" w:cs="Calibri"/>
          <w:sz w:val="22"/>
          <w:szCs w:val="22"/>
          <w:lang w:eastAsia="en-GB"/>
        </w:rPr>
      </w:pPr>
    </w:p>
    <w:p w14:paraId="29FFF61B"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Any breach of the IPSA will be grounds for immediate termination for cause, at the sole discretion of UNDP. If the IPSA holder is found by UNDP to have engaged in fraudulent or similar conduct, UNDP may refer the matter to the relevant national authorities.</w:t>
      </w:r>
    </w:p>
    <w:p w14:paraId="5B913EC7" w14:textId="77777777" w:rsidR="00804AF0" w:rsidRDefault="00804AF0">
      <w:pPr>
        <w:jc w:val="both"/>
        <w:textAlignment w:val="baseline"/>
        <w:rPr>
          <w:rFonts w:ascii="Calibri" w:hAnsi="Calibri" w:cs="Calibri"/>
          <w:sz w:val="22"/>
          <w:szCs w:val="22"/>
          <w:lang w:eastAsia="en-GB"/>
        </w:rPr>
      </w:pPr>
    </w:p>
    <w:p w14:paraId="6E223161"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must cooperate fully and in good faith with any investigation conducted in accordance with UNDP’s Legal Framework for Addressing Non-compliance with United Nations Standards of Conduct” as well as any audit conducted by, or on behalf of, the Office of Audit and Investigations of UNDP or the UN Board of Auditors.</w:t>
      </w:r>
    </w:p>
    <w:p w14:paraId="30CD5551" w14:textId="77777777" w:rsidR="00804AF0" w:rsidRDefault="00804AF0">
      <w:pPr>
        <w:jc w:val="both"/>
        <w:textAlignment w:val="baseline"/>
        <w:rPr>
          <w:rFonts w:ascii="Calibri" w:hAnsi="Calibri" w:cs="Calibri"/>
          <w:sz w:val="22"/>
          <w:szCs w:val="22"/>
          <w:lang w:eastAsia="en-GB"/>
        </w:rPr>
      </w:pPr>
    </w:p>
    <w:p w14:paraId="504EE0A9"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IPSA holders are bound by the terms of their IPSA to respect the impartiality and independence of the United Nations and UNDP and to exercise the utmost discretion in all </w:t>
      </w:r>
      <w:r>
        <w:rPr>
          <w:rFonts w:ascii="Calibri" w:hAnsi="Calibri" w:cs="Calibri"/>
          <w:sz w:val="22"/>
          <w:szCs w:val="22"/>
          <w:lang w:eastAsia="en-GB"/>
        </w:rPr>
        <w:lastRenderedPageBreak/>
        <w:t>matters relating to the performance of their assignment. During the period of service with UNDP, IPSA holders may not engage in any activity that is incompatible with the discharge of their duties with the organization. They should exercise utmost discretion in all matters of official activities of the organization.</w:t>
      </w:r>
    </w:p>
    <w:p w14:paraId="7D0DA43C" w14:textId="77777777" w:rsidR="00804AF0" w:rsidRDefault="00804AF0">
      <w:pPr>
        <w:jc w:val="both"/>
        <w:textAlignment w:val="baseline"/>
        <w:rPr>
          <w:rFonts w:ascii="Calibri" w:hAnsi="Calibri" w:cs="Calibri"/>
          <w:sz w:val="22"/>
          <w:szCs w:val="22"/>
          <w:lang w:eastAsia="en-GB"/>
        </w:rPr>
      </w:pPr>
    </w:p>
    <w:p w14:paraId="0F6280C5"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Unless specifically set out in their IPSA and/or authorized in writing by the UNDP Administrator or his/her designate, IPSA holders should not communicate at any time to the media, or to any institution, person, government, or other external entity/authority any information that has not been made public and which has become known to them by reason of their association with UNDP, nor should they use such information for private advantage. These obligations will survive the expiration or termination of the IPSA.</w:t>
      </w:r>
    </w:p>
    <w:p w14:paraId="50F2B97E" w14:textId="77777777" w:rsidR="00804AF0" w:rsidRDefault="00804AF0">
      <w:pPr>
        <w:jc w:val="both"/>
        <w:textAlignment w:val="baseline"/>
        <w:rPr>
          <w:rFonts w:ascii="Calibri" w:hAnsi="Calibri" w:cs="Calibri"/>
          <w:sz w:val="22"/>
          <w:szCs w:val="22"/>
          <w:lang w:eastAsia="en-GB"/>
        </w:rPr>
      </w:pPr>
    </w:p>
    <w:p w14:paraId="0AC2EBE5" w14:textId="77777777" w:rsidR="00804AF0" w:rsidRDefault="009A47D6">
      <w:pPr>
        <w:numPr>
          <w:ilvl w:val="0"/>
          <w:numId w:val="4"/>
        </w:numPr>
        <w:jc w:val="both"/>
        <w:textAlignment w:val="baseline"/>
        <w:rPr>
          <w:rFonts w:ascii="Calibri" w:hAnsi="Calibri" w:cs="Calibri"/>
          <w:sz w:val="22"/>
          <w:szCs w:val="22"/>
          <w:lang w:eastAsia="en-GB"/>
        </w:rPr>
      </w:pPr>
      <w:bookmarkStart w:id="17" w:name="OLE_LINK15"/>
      <w:r>
        <w:rPr>
          <w:rFonts w:ascii="Calibri" w:hAnsi="Calibri" w:cs="Calibri"/>
          <w:sz w:val="22"/>
          <w:szCs w:val="22"/>
          <w:lang w:eastAsia="en-GB"/>
        </w:rPr>
        <w:t>An individual on IPSA may not engage in an outside professional activity (i.e. not for UNDP) whether remunerated or not, unless and only if the individual has received prior approval of UNDP to do so from the Head of the Business Unit.  </w:t>
      </w:r>
    </w:p>
    <w:bookmarkEnd w:id="17"/>
    <w:p w14:paraId="72E070DA" w14:textId="77777777" w:rsidR="00804AF0" w:rsidRDefault="00804AF0">
      <w:pPr>
        <w:jc w:val="both"/>
        <w:textAlignment w:val="baseline"/>
        <w:rPr>
          <w:rFonts w:ascii="Calibri" w:hAnsi="Calibri" w:cs="Calibri"/>
          <w:sz w:val="22"/>
          <w:szCs w:val="22"/>
          <w:lang w:eastAsia="en-GB"/>
        </w:rPr>
      </w:pPr>
    </w:p>
    <w:p w14:paraId="27565209" w14:textId="77777777" w:rsidR="00804AF0" w:rsidRDefault="009A47D6">
      <w:pPr>
        <w:pStyle w:val="Heading1"/>
        <w:numPr>
          <w:ilvl w:val="0"/>
          <w:numId w:val="2"/>
        </w:numPr>
        <w:jc w:val="left"/>
        <w:rPr>
          <w:rFonts w:ascii="Calibri" w:hAnsi="Calibri"/>
          <w:b/>
          <w:sz w:val="22"/>
          <w:lang w:eastAsia="en-GB"/>
        </w:rPr>
      </w:pPr>
      <w:bookmarkStart w:id="18" w:name="_Toc161312414"/>
      <w:r>
        <w:rPr>
          <w:rFonts w:ascii="Calibri" w:hAnsi="Calibri"/>
          <w:b/>
          <w:sz w:val="22"/>
          <w:lang w:eastAsia="en-GB"/>
        </w:rPr>
        <w:t>Title Rights</w:t>
      </w:r>
      <w:bookmarkEnd w:id="18"/>
      <w:r>
        <w:rPr>
          <w:rFonts w:ascii="Calibri" w:hAnsi="Calibri"/>
          <w:b/>
          <w:sz w:val="22"/>
          <w:lang w:eastAsia="en-GB"/>
        </w:rPr>
        <w:t> </w:t>
      </w:r>
    </w:p>
    <w:p w14:paraId="3595DA0B" w14:textId="77777777" w:rsidR="00804AF0" w:rsidRDefault="00804AF0">
      <w:pPr>
        <w:jc w:val="both"/>
        <w:textAlignment w:val="baseline"/>
        <w:rPr>
          <w:rFonts w:ascii="Calibri" w:hAnsi="Calibri" w:cs="Calibri"/>
          <w:sz w:val="22"/>
          <w:szCs w:val="22"/>
          <w:lang w:eastAsia="en-GB"/>
        </w:rPr>
      </w:pPr>
    </w:p>
    <w:p w14:paraId="50DAA95E"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UNDP will be entitled to all intellectual property and other proprietary rights, including, but not limited to, patents, copyrights and trademarks, with regard to products, processes, inventions, ideas, know-how or documents and other materials which the IPSA holder has developed for UNDP under the IPSA and which bear a direct relation to or are produced or prepared or collected in consequence of, or during the course of, the performance of the IPSA. The IPSA holder must acknowledge and agree that such products, documents and other materials constitute works made for hire for UNDP in the IPSA. However, to the extent that any such intellectual property or other proprietary rights consist of any intellectual property or other proprietary rights of the IPSA holder: (a) that pre-existed the performance by the IPSA holder of his/her obligations under the IPSA, or (b) that the IPSA holder may develop or acquire, or may have developed or acquired, independently of the performance of their obligations under the IPSA, UNDP does not and will not claim any ownership interest thereto, and the IPSA holder must grant to UNDP a perpetual license to use such intellectual property or other proprietary right solely for the purposes of and in accordance with the requirements of the IPSA. At the request of UNDP, the IPSA holder must take all necessary steps, execute all necessary documents and generally assist in securing such proprietary rights and transferring or licensing them to UNDP in compliance with the requirements of the applicable law and of the IPSA. Subject to the foregoing provisions, all maps, drawings, photographs, plans, reports, estimates, recommendations, documents and all data compiled by or received by the IPSA holder under the IPSA will be the property of UNDP, must be made available for use or inspection by UNDP, must be treated as confidential and must be delivered only to UNDP authorized officials on completion of work under the IPSA.</w:t>
      </w:r>
    </w:p>
    <w:p w14:paraId="6FA05F06" w14:textId="77777777" w:rsidR="00804AF0" w:rsidRDefault="00804AF0">
      <w:pPr>
        <w:jc w:val="both"/>
        <w:textAlignment w:val="baseline"/>
        <w:rPr>
          <w:rFonts w:ascii="Calibri" w:hAnsi="Calibri" w:cs="Calibri"/>
          <w:sz w:val="22"/>
          <w:szCs w:val="22"/>
          <w:lang w:eastAsia="en-GB"/>
        </w:rPr>
      </w:pPr>
    </w:p>
    <w:p w14:paraId="766A6E40" w14:textId="77777777" w:rsidR="00804AF0" w:rsidRDefault="009A47D6">
      <w:pPr>
        <w:pStyle w:val="Heading1"/>
        <w:numPr>
          <w:ilvl w:val="0"/>
          <w:numId w:val="2"/>
        </w:numPr>
        <w:jc w:val="left"/>
        <w:rPr>
          <w:rFonts w:ascii="Calibri" w:hAnsi="Calibri"/>
          <w:b/>
          <w:sz w:val="22"/>
          <w:lang w:eastAsia="en-GB"/>
        </w:rPr>
      </w:pPr>
      <w:bookmarkStart w:id="19" w:name="_Toc161312415"/>
      <w:bookmarkStart w:id="20" w:name="_Hlk59872810"/>
      <w:r>
        <w:rPr>
          <w:rFonts w:ascii="Calibri" w:hAnsi="Calibri"/>
          <w:b/>
          <w:sz w:val="22"/>
          <w:lang w:eastAsia="en-GB"/>
        </w:rPr>
        <w:t>Nature of relationship between UNDP and the IPSA holder</w:t>
      </w:r>
      <w:bookmarkEnd w:id="19"/>
    </w:p>
    <w:p w14:paraId="6C147DDD" w14:textId="77777777" w:rsidR="00804AF0" w:rsidRDefault="00804AF0">
      <w:pPr>
        <w:jc w:val="both"/>
        <w:textAlignment w:val="baseline"/>
        <w:rPr>
          <w:rFonts w:ascii="Calibri" w:hAnsi="Calibri" w:cs="Calibri"/>
          <w:sz w:val="22"/>
          <w:szCs w:val="22"/>
          <w:lang w:eastAsia="en-GB"/>
        </w:rPr>
      </w:pPr>
    </w:p>
    <w:p w14:paraId="692D87C9"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An IPSA holder is not and may not represent himself or herself as being an agent of UNDP. The IPSA holder shall be solely responsible for all claims arising out of or relating to its actions or omissions.</w:t>
      </w:r>
    </w:p>
    <w:p w14:paraId="12BF17A5" w14:textId="77777777" w:rsidR="00804AF0" w:rsidRDefault="00804AF0">
      <w:pPr>
        <w:jc w:val="both"/>
        <w:textAlignment w:val="baseline"/>
        <w:rPr>
          <w:rFonts w:ascii="Calibri" w:hAnsi="Calibri" w:cs="Calibri"/>
          <w:sz w:val="22"/>
          <w:szCs w:val="22"/>
          <w:lang w:eastAsia="en-GB"/>
        </w:rPr>
      </w:pPr>
    </w:p>
    <w:p w14:paraId="47FABE74"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lastRenderedPageBreak/>
        <w:t>Any disputes between the IPSA holder and UNDP will be subject to the dispute resolution mechanism in the IPSA.</w:t>
      </w:r>
    </w:p>
    <w:bookmarkEnd w:id="20"/>
    <w:p w14:paraId="796933BD" w14:textId="77777777" w:rsidR="00804AF0" w:rsidRDefault="00804AF0">
      <w:pPr>
        <w:jc w:val="both"/>
        <w:textAlignment w:val="baseline"/>
        <w:rPr>
          <w:rFonts w:ascii="Calibri" w:hAnsi="Calibri" w:cs="Calibri"/>
          <w:sz w:val="22"/>
          <w:szCs w:val="22"/>
          <w:lang w:eastAsia="en-GB"/>
        </w:rPr>
      </w:pPr>
    </w:p>
    <w:p w14:paraId="53F2E46D" w14:textId="77777777" w:rsidR="00804AF0" w:rsidRDefault="009A47D6">
      <w:pPr>
        <w:pStyle w:val="Heading1"/>
        <w:numPr>
          <w:ilvl w:val="0"/>
          <w:numId w:val="2"/>
        </w:numPr>
        <w:jc w:val="left"/>
        <w:rPr>
          <w:rFonts w:ascii="Calibri" w:hAnsi="Calibri"/>
          <w:b/>
          <w:sz w:val="22"/>
          <w:lang w:eastAsia="en-GB"/>
        </w:rPr>
      </w:pPr>
      <w:bookmarkStart w:id="21" w:name="_Toc161312416"/>
      <w:r>
        <w:rPr>
          <w:rFonts w:ascii="Calibri" w:hAnsi="Calibri"/>
          <w:b/>
          <w:sz w:val="22"/>
          <w:lang w:eastAsia="en-GB"/>
        </w:rPr>
        <w:t>Duration of an IPSA</w:t>
      </w:r>
      <w:bookmarkEnd w:id="21"/>
    </w:p>
    <w:p w14:paraId="283212B9" w14:textId="77777777" w:rsidR="00804AF0" w:rsidRDefault="00804AF0">
      <w:pPr>
        <w:jc w:val="both"/>
        <w:textAlignment w:val="baseline"/>
        <w:rPr>
          <w:rFonts w:ascii="Calibri" w:hAnsi="Calibri" w:cs="Calibri"/>
          <w:sz w:val="22"/>
          <w:szCs w:val="22"/>
          <w:lang w:eastAsia="en-GB"/>
        </w:rPr>
      </w:pPr>
    </w:p>
    <w:p w14:paraId="240516FB" w14:textId="77777777" w:rsidR="00804AF0" w:rsidRDefault="009A47D6">
      <w:pPr>
        <w:numPr>
          <w:ilvl w:val="0"/>
          <w:numId w:val="4"/>
        </w:numPr>
        <w:jc w:val="both"/>
        <w:textAlignment w:val="baseline"/>
        <w:rPr>
          <w:rFonts w:ascii="Calibri" w:hAnsi="Calibri" w:cs="Calibri"/>
          <w:sz w:val="22"/>
          <w:szCs w:val="22"/>
          <w:lang w:eastAsia="en-GB"/>
        </w:rPr>
      </w:pPr>
      <w:bookmarkStart w:id="22" w:name="_Hlk56978417"/>
      <w:r>
        <w:rPr>
          <w:rFonts w:ascii="Calibri" w:hAnsi="Calibri" w:cs="Calibri"/>
          <w:sz w:val="22"/>
          <w:szCs w:val="22"/>
          <w:lang w:eastAsia="en-GB"/>
        </w:rPr>
        <w:t xml:space="preserve">An IPSA may be issued for up to 12 months at a time, and may be renewed for up to 4 years, however, not to exceed the maximum duration of the project. </w:t>
      </w:r>
      <w:bookmarkEnd w:id="22"/>
      <w:r>
        <w:rPr>
          <w:rFonts w:ascii="Calibri" w:hAnsi="Calibri" w:cs="Calibri"/>
          <w:sz w:val="22"/>
          <w:szCs w:val="22"/>
          <w:lang w:eastAsia="en-GB"/>
        </w:rPr>
        <w:t>The maximum period for the use of an IPSA is normally for the duration of the project and/or its expected funding period. Should an IPSA be required beyond the four years under similar terms of reference and within the same project, a review of the function must be conducted and documented to reconfirm that the conditions of use of IPSA have not changed which would then reset the period for another four years. This cycle may be repeated as many times as may be needed, provided the functions performed continue to be under the conditions of when a PSA may be used.</w:t>
      </w:r>
    </w:p>
    <w:p w14:paraId="724F5181" w14:textId="77777777" w:rsidR="00804AF0" w:rsidRDefault="00804AF0">
      <w:pPr>
        <w:ind w:left="1080"/>
        <w:jc w:val="both"/>
        <w:textAlignment w:val="baseline"/>
        <w:rPr>
          <w:rFonts w:ascii="Calibri" w:hAnsi="Calibri" w:cs="Calibri"/>
          <w:sz w:val="22"/>
          <w:szCs w:val="22"/>
          <w:lang w:eastAsia="en-GB"/>
        </w:rPr>
      </w:pPr>
    </w:p>
    <w:p w14:paraId="67F6B626"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Due to its nature and purpose, the duration of the agreement has implications on the benefits and entitlements package of each agreement category. While regular IPSAs are expected to be of at least 6 months in duration and provide for the set of benefits and entitlements, other agreement categories under the IPSA such as the retainer agreement will not have these benefits.</w:t>
      </w:r>
    </w:p>
    <w:p w14:paraId="7EB6CC68" w14:textId="77777777" w:rsidR="00804AF0" w:rsidRDefault="00804AF0">
      <w:pPr>
        <w:jc w:val="both"/>
        <w:textAlignment w:val="baseline"/>
        <w:rPr>
          <w:rFonts w:ascii="Calibri" w:hAnsi="Calibri" w:cs="Calibri"/>
          <w:sz w:val="22"/>
          <w:szCs w:val="22"/>
          <w:lang w:eastAsia="en-GB"/>
        </w:rPr>
      </w:pPr>
    </w:p>
    <w:p w14:paraId="45CCB49B"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Subject to the provisions of this policy, an IPSA may be extended on an annual basis if the IPSA holder has performed satisfactorily and continues working with the identical TOR.</w:t>
      </w:r>
    </w:p>
    <w:p w14:paraId="59397DD7" w14:textId="77777777" w:rsidR="00804AF0" w:rsidRDefault="00804AF0">
      <w:pPr>
        <w:jc w:val="both"/>
        <w:textAlignment w:val="baseline"/>
        <w:rPr>
          <w:rFonts w:ascii="Calibri" w:hAnsi="Calibri" w:cs="Calibri"/>
          <w:sz w:val="22"/>
          <w:szCs w:val="22"/>
          <w:lang w:eastAsia="en-GB"/>
        </w:rPr>
      </w:pPr>
    </w:p>
    <w:p w14:paraId="0D9D91A7"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IPSA carries no expectation of any future or other engagement with UNDP.</w:t>
      </w:r>
    </w:p>
    <w:p w14:paraId="70E96066" w14:textId="77777777" w:rsidR="00804AF0" w:rsidRDefault="00804AF0">
      <w:pPr>
        <w:pStyle w:val="ListParagraph"/>
        <w:rPr>
          <w:rFonts w:ascii="Calibri" w:hAnsi="Calibri" w:cs="Calibri"/>
          <w:sz w:val="22"/>
          <w:szCs w:val="22"/>
          <w:lang w:eastAsia="en-GB"/>
        </w:rPr>
      </w:pPr>
    </w:p>
    <w:p w14:paraId="442413C1"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w:t>
      </w:r>
      <w:r>
        <w:rPr>
          <w:rFonts w:ascii="Calibri" w:hAnsi="Calibri" w:cs="Calibri"/>
          <w:sz w:val="22"/>
          <w:szCs w:val="22"/>
        </w:rPr>
        <w:t>here may be specific instances where the need and intention are to issue a regular IPSA, but the current approved-budget periods are shorter than the minimum permissible duration of six months. In order to allow individuals to benefit from the Regular IPSA package and to facilitate the operational needs of the office, the policy provides the following options to the hiring units, provided the budget is expected to be extended beyond that:</w:t>
      </w:r>
    </w:p>
    <w:p w14:paraId="37169FC4" w14:textId="77777777" w:rsidR="00804AF0" w:rsidRDefault="00804AF0">
      <w:pPr>
        <w:ind w:left="360"/>
        <w:jc w:val="both"/>
        <w:rPr>
          <w:rFonts w:ascii="Calibri" w:hAnsi="Calibri" w:cs="Calibri"/>
          <w:sz w:val="22"/>
          <w:szCs w:val="22"/>
        </w:rPr>
      </w:pPr>
    </w:p>
    <w:p w14:paraId="79FBF512" w14:textId="77777777" w:rsidR="00804AF0" w:rsidRDefault="009A47D6">
      <w:pPr>
        <w:pStyle w:val="ListParagraph"/>
        <w:numPr>
          <w:ilvl w:val="0"/>
          <w:numId w:val="8"/>
        </w:numPr>
        <w:jc w:val="both"/>
        <w:rPr>
          <w:rFonts w:ascii="Calibri" w:hAnsi="Calibri" w:cs="Calibri"/>
          <w:sz w:val="22"/>
          <w:szCs w:val="22"/>
        </w:rPr>
      </w:pPr>
      <w:r>
        <w:rPr>
          <w:rFonts w:ascii="Calibri" w:hAnsi="Calibri" w:cs="Calibri"/>
          <w:sz w:val="22"/>
          <w:szCs w:val="22"/>
        </w:rPr>
        <w:t>Issue a Regular IPSA for a duration of less than six months noting the intention and the budget expectations, or</w:t>
      </w:r>
    </w:p>
    <w:p w14:paraId="51F5AFB2" w14:textId="77777777" w:rsidR="00804AF0" w:rsidRDefault="00804AF0">
      <w:pPr>
        <w:pStyle w:val="ListParagraph"/>
        <w:jc w:val="both"/>
        <w:rPr>
          <w:rFonts w:ascii="Calibri" w:eastAsia="Cambria" w:hAnsi="Calibri" w:cs="Calibri"/>
          <w:sz w:val="22"/>
          <w:szCs w:val="22"/>
        </w:rPr>
      </w:pPr>
    </w:p>
    <w:p w14:paraId="596218C1" w14:textId="77777777" w:rsidR="00804AF0" w:rsidRDefault="009A47D6">
      <w:pPr>
        <w:pStyle w:val="ListParagraph"/>
        <w:numPr>
          <w:ilvl w:val="0"/>
          <w:numId w:val="8"/>
        </w:numPr>
        <w:jc w:val="both"/>
        <w:rPr>
          <w:rFonts w:ascii="Calibri" w:eastAsia="Times New Roman" w:hAnsi="Calibri" w:cs="Calibri"/>
          <w:sz w:val="22"/>
          <w:szCs w:val="22"/>
        </w:rPr>
      </w:pPr>
      <w:r>
        <w:rPr>
          <w:rFonts w:ascii="Calibri" w:hAnsi="Calibri" w:cs="Calibri"/>
          <w:sz w:val="22"/>
          <w:szCs w:val="22"/>
        </w:rPr>
        <w:t>Issue a Regular IPSA for a duration of six months or more, with the expectation to foreshorten the IPSA should the budget not be sufficiently approved at the later stage (expectations are for both UNDP and the IPSA holder, including the potential bearing of the termination indemnity by the hiring unit).</w:t>
      </w:r>
    </w:p>
    <w:p w14:paraId="235C7CD5" w14:textId="77777777" w:rsidR="00804AF0" w:rsidRDefault="009A47D6">
      <w:pPr>
        <w:jc w:val="both"/>
        <w:textAlignment w:val="baseline"/>
        <w:rPr>
          <w:rFonts w:ascii="Calibri" w:hAnsi="Calibri" w:cs="Calibri"/>
          <w:sz w:val="28"/>
          <w:szCs w:val="28"/>
          <w:lang w:eastAsia="en-GB"/>
        </w:rPr>
      </w:pPr>
      <w:r>
        <w:rPr>
          <w:rFonts w:ascii="Calibri" w:hAnsi="Calibri" w:cs="Calibri"/>
          <w:b/>
          <w:bCs/>
          <w:sz w:val="28"/>
          <w:szCs w:val="28"/>
          <w:lang w:eastAsia="en-GB"/>
        </w:rPr>
        <w:t> </w:t>
      </w:r>
      <w:r>
        <w:rPr>
          <w:rFonts w:ascii="Calibri" w:hAnsi="Calibri" w:cs="Calibri"/>
          <w:sz w:val="28"/>
          <w:szCs w:val="28"/>
          <w:lang w:eastAsia="en-GB"/>
        </w:rPr>
        <w:t> </w:t>
      </w:r>
    </w:p>
    <w:p w14:paraId="2E2DAD41" w14:textId="77777777" w:rsidR="00804AF0" w:rsidRDefault="009A47D6">
      <w:pPr>
        <w:pStyle w:val="Heading1"/>
        <w:numPr>
          <w:ilvl w:val="0"/>
          <w:numId w:val="2"/>
        </w:numPr>
        <w:jc w:val="left"/>
        <w:rPr>
          <w:rFonts w:ascii="Calibri" w:hAnsi="Calibri" w:cs="Calibri"/>
          <w:b/>
          <w:bCs/>
          <w:sz w:val="22"/>
          <w:szCs w:val="22"/>
          <w:lang w:eastAsia="en-GB"/>
        </w:rPr>
      </w:pPr>
      <w:bookmarkStart w:id="23" w:name="_Toc161312417"/>
      <w:r>
        <w:rPr>
          <w:rFonts w:ascii="Calibri" w:hAnsi="Calibri" w:cs="Calibri"/>
          <w:b/>
          <w:bCs/>
          <w:sz w:val="22"/>
          <w:szCs w:val="22"/>
          <w:lang w:eastAsia="en-GB"/>
        </w:rPr>
        <w:t>Functions: Specialist Functions</w:t>
      </w:r>
      <w:bookmarkEnd w:id="23"/>
      <w:r>
        <w:rPr>
          <w:rFonts w:ascii="Calibri" w:hAnsi="Calibri" w:cs="Calibri"/>
          <w:b/>
          <w:bCs/>
          <w:sz w:val="22"/>
          <w:szCs w:val="22"/>
          <w:lang w:eastAsia="en-GB"/>
        </w:rPr>
        <w:t> </w:t>
      </w:r>
    </w:p>
    <w:p w14:paraId="295C6118"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 </w:t>
      </w:r>
      <w:r>
        <w:rPr>
          <w:rFonts w:ascii="Calibri" w:hAnsi="Calibri" w:cs="Calibri"/>
          <w:sz w:val="22"/>
          <w:szCs w:val="22"/>
          <w:lang w:eastAsia="en-GB"/>
        </w:rPr>
        <w:t> </w:t>
      </w:r>
    </w:p>
    <w:p w14:paraId="58059E53"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An IPSA holder is an individual engaged by UNDP for a defined period of time, in the framework of the awarded IPSA, to provide Specialist services such as expert advisory services, technical skills and/or knowledge services. Specialist services are typically performed by a recognized specialist or authority in a specific field and the services performed are mainly of an intellectual and varied character. Performance of specialist services involves the regular and consistent exercise of discretion and judgment and the </w:t>
      </w:r>
      <w:r>
        <w:rPr>
          <w:rFonts w:ascii="Calibri" w:hAnsi="Calibri" w:cs="Calibri"/>
          <w:sz w:val="22"/>
          <w:szCs w:val="22"/>
          <w:lang w:eastAsia="en-GB"/>
        </w:rPr>
        <w:lastRenderedPageBreak/>
        <w:t xml:space="preserve">output produced or the result accomplished cannot be standardized in relation to a given </w:t>
      </w:r>
      <w:proofErr w:type="gramStart"/>
      <w:r>
        <w:rPr>
          <w:rFonts w:ascii="Calibri" w:hAnsi="Calibri" w:cs="Calibri"/>
          <w:sz w:val="22"/>
          <w:szCs w:val="22"/>
          <w:lang w:eastAsia="en-GB"/>
        </w:rPr>
        <w:t>period of time</w:t>
      </w:r>
      <w:proofErr w:type="gramEnd"/>
      <w:r>
        <w:rPr>
          <w:rFonts w:ascii="Calibri" w:hAnsi="Calibri" w:cs="Calibri"/>
          <w:sz w:val="22"/>
          <w:szCs w:val="22"/>
          <w:lang w:eastAsia="en-GB"/>
        </w:rPr>
        <w:t xml:space="preserve">. </w:t>
      </w:r>
    </w:p>
    <w:p w14:paraId="6A97B05D" w14:textId="77777777" w:rsidR="00804AF0" w:rsidRDefault="00804AF0">
      <w:pPr>
        <w:jc w:val="both"/>
        <w:textAlignment w:val="baseline"/>
        <w:rPr>
          <w:rFonts w:ascii="Calibri" w:hAnsi="Calibri" w:cs="Calibri"/>
          <w:sz w:val="22"/>
          <w:szCs w:val="22"/>
          <w:lang w:eastAsia="en-GB"/>
        </w:rPr>
      </w:pPr>
    </w:p>
    <w:p w14:paraId="5855D44C"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An IPSA holder may supervise the technical functions of, and/or provide inputs to the performance evaluation of a staff member if the staff member’s terms of reference are of technical nature, as may be determined by the Head of the Business Unit, or his/her delegate.</w:t>
      </w:r>
    </w:p>
    <w:p w14:paraId="6FBE52C1" w14:textId="77777777" w:rsidR="00804AF0" w:rsidRDefault="00804AF0">
      <w:pPr>
        <w:jc w:val="both"/>
        <w:textAlignment w:val="baseline"/>
        <w:rPr>
          <w:rFonts w:ascii="Calibri" w:hAnsi="Calibri" w:cs="Calibri"/>
          <w:sz w:val="22"/>
          <w:szCs w:val="22"/>
          <w:lang w:eastAsia="en-GB"/>
        </w:rPr>
      </w:pPr>
    </w:p>
    <w:p w14:paraId="7379AC92" w14:textId="77777777" w:rsidR="00804AF0" w:rsidRDefault="009A47D6">
      <w:pPr>
        <w:pStyle w:val="Heading1"/>
        <w:numPr>
          <w:ilvl w:val="0"/>
          <w:numId w:val="2"/>
        </w:numPr>
        <w:jc w:val="left"/>
        <w:rPr>
          <w:rFonts w:ascii="Calibri" w:hAnsi="Calibri" w:cs="Calibri"/>
          <w:b/>
          <w:bCs/>
          <w:sz w:val="22"/>
          <w:szCs w:val="22"/>
          <w:lang w:eastAsia="en-GB"/>
        </w:rPr>
      </w:pPr>
      <w:bookmarkStart w:id="24" w:name="_Toc161312418"/>
      <w:r>
        <w:rPr>
          <w:rFonts w:ascii="Calibri" w:hAnsi="Calibri" w:cs="Calibri"/>
          <w:b/>
          <w:bCs/>
          <w:sz w:val="22"/>
          <w:szCs w:val="22"/>
          <w:lang w:eastAsia="en-GB"/>
        </w:rPr>
        <w:t>Types of IPSAs: Regular and Retainer Agreements; Office- and Home-based</w:t>
      </w:r>
      <w:bookmarkEnd w:id="24"/>
      <w:r>
        <w:rPr>
          <w:rFonts w:ascii="Calibri" w:hAnsi="Calibri" w:cs="Calibri"/>
          <w:b/>
          <w:bCs/>
          <w:sz w:val="22"/>
          <w:szCs w:val="22"/>
          <w:lang w:eastAsia="en-GB"/>
        </w:rPr>
        <w:t xml:space="preserve"> </w:t>
      </w:r>
    </w:p>
    <w:p w14:paraId="1DDE63FD"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77AE99A1"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IPSA agreement may not take the form of a lump sum agreement. In this case, an Individual Contract should be awarded within the framework of the applicable procurement process.</w:t>
      </w:r>
    </w:p>
    <w:p w14:paraId="0048A297" w14:textId="77777777" w:rsidR="00804AF0" w:rsidRDefault="00804AF0">
      <w:pPr>
        <w:jc w:val="both"/>
        <w:textAlignment w:val="baseline"/>
        <w:rPr>
          <w:rFonts w:ascii="Calibri" w:hAnsi="Calibri" w:cs="Calibri"/>
          <w:sz w:val="22"/>
          <w:szCs w:val="22"/>
          <w:lang w:eastAsia="en-GB"/>
        </w:rPr>
      </w:pPr>
    </w:p>
    <w:p w14:paraId="7D9219F3"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below is a summary of the types of IPSA engagements depending on the needs of the business unit:</w:t>
      </w:r>
    </w:p>
    <w:p w14:paraId="68FA67BA" w14:textId="77777777" w:rsidR="00804AF0" w:rsidRDefault="00804AF0">
      <w:pPr>
        <w:jc w:val="both"/>
        <w:textAlignment w:val="baseline"/>
        <w:rPr>
          <w:rFonts w:ascii="Calibri" w:hAnsi="Calibri" w:cs="Calibri"/>
          <w:sz w:val="22"/>
          <w:szCs w:val="22"/>
          <w:lang w:eastAsia="en-GB"/>
        </w:rPr>
      </w:pPr>
    </w:p>
    <w:p w14:paraId="696A3ABC" w14:textId="77777777" w:rsidR="00804AF0" w:rsidRDefault="00804AF0">
      <w:pPr>
        <w:jc w:val="both"/>
        <w:textAlignment w:val="baseline"/>
        <w:rPr>
          <w:rFonts w:ascii="Calibri" w:hAnsi="Calibri" w:cs="Calibri"/>
          <w:sz w:val="22"/>
          <w:szCs w:val="22"/>
          <w:lang w:eastAsia="en-GB"/>
        </w:rPr>
      </w:pP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2"/>
        <w:gridCol w:w="2250"/>
        <w:gridCol w:w="3188"/>
        <w:gridCol w:w="2025"/>
      </w:tblGrid>
      <w:tr w:rsidR="00804AF0" w14:paraId="16C4A855" w14:textId="77777777">
        <w:tc>
          <w:tcPr>
            <w:tcW w:w="1522" w:type="dxa"/>
            <w:tcBorders>
              <w:top w:val="single" w:sz="6" w:space="0" w:color="auto"/>
              <w:left w:val="single" w:sz="6" w:space="0" w:color="auto"/>
              <w:bottom w:val="single" w:sz="6" w:space="0" w:color="auto"/>
              <w:right w:val="single" w:sz="6" w:space="0" w:color="auto"/>
            </w:tcBorders>
          </w:tcPr>
          <w:p w14:paraId="2B5C3B47"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Type</w:t>
            </w:r>
            <w:r>
              <w:rPr>
                <w:rFonts w:ascii="Calibri" w:hAnsi="Calibri" w:cs="Calibri"/>
                <w:sz w:val="22"/>
                <w:szCs w:val="22"/>
                <w:lang w:eastAsia="en-GB"/>
              </w:rPr>
              <w:t> </w:t>
            </w:r>
          </w:p>
        </w:tc>
        <w:tc>
          <w:tcPr>
            <w:tcW w:w="2250" w:type="dxa"/>
            <w:tcBorders>
              <w:top w:val="single" w:sz="6" w:space="0" w:color="auto"/>
              <w:left w:val="nil"/>
              <w:bottom w:val="single" w:sz="6" w:space="0" w:color="auto"/>
              <w:right w:val="single" w:sz="6" w:space="0" w:color="auto"/>
            </w:tcBorders>
          </w:tcPr>
          <w:p w14:paraId="0C5AEBBD"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Use</w:t>
            </w:r>
            <w:r>
              <w:rPr>
                <w:rFonts w:ascii="Calibri" w:hAnsi="Calibri" w:cs="Calibri"/>
                <w:sz w:val="22"/>
                <w:szCs w:val="22"/>
                <w:lang w:eastAsia="en-GB"/>
              </w:rPr>
              <w:t> </w:t>
            </w:r>
          </w:p>
        </w:tc>
        <w:tc>
          <w:tcPr>
            <w:tcW w:w="3188" w:type="dxa"/>
            <w:tcBorders>
              <w:top w:val="single" w:sz="6" w:space="0" w:color="auto"/>
              <w:left w:val="nil"/>
              <w:bottom w:val="single" w:sz="6" w:space="0" w:color="auto"/>
              <w:right w:val="single" w:sz="6" w:space="0" w:color="auto"/>
            </w:tcBorders>
            <w:vAlign w:val="center"/>
          </w:tcPr>
          <w:p w14:paraId="17125614"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Period</w:t>
            </w:r>
            <w:r>
              <w:rPr>
                <w:rFonts w:ascii="Calibri" w:hAnsi="Calibri" w:cs="Calibri"/>
                <w:sz w:val="22"/>
                <w:szCs w:val="22"/>
                <w:lang w:eastAsia="en-GB"/>
              </w:rPr>
              <w:t> </w:t>
            </w:r>
          </w:p>
        </w:tc>
        <w:tc>
          <w:tcPr>
            <w:tcW w:w="2025" w:type="dxa"/>
            <w:tcBorders>
              <w:top w:val="single" w:sz="6" w:space="0" w:color="auto"/>
              <w:left w:val="nil"/>
              <w:bottom w:val="single" w:sz="6" w:space="0" w:color="auto"/>
              <w:right w:val="single" w:sz="6" w:space="0" w:color="auto"/>
            </w:tcBorders>
            <w:vAlign w:val="center"/>
          </w:tcPr>
          <w:p w14:paraId="357CFB62" w14:textId="77777777" w:rsidR="00804AF0" w:rsidRDefault="009A47D6">
            <w:pPr>
              <w:jc w:val="center"/>
              <w:textAlignment w:val="baseline"/>
              <w:rPr>
                <w:rFonts w:ascii="Calibri" w:hAnsi="Calibri" w:cs="Calibri"/>
                <w:sz w:val="22"/>
                <w:szCs w:val="22"/>
                <w:lang w:eastAsia="en-GB"/>
              </w:rPr>
            </w:pPr>
            <w:r>
              <w:rPr>
                <w:rFonts w:ascii="Calibri" w:hAnsi="Calibri" w:cs="Calibri"/>
                <w:b/>
                <w:bCs/>
                <w:sz w:val="22"/>
                <w:szCs w:val="22"/>
                <w:lang w:eastAsia="en-GB"/>
              </w:rPr>
              <w:t>Location</w:t>
            </w:r>
            <w:r>
              <w:rPr>
                <w:rFonts w:ascii="Calibri" w:hAnsi="Calibri" w:cs="Calibri"/>
                <w:sz w:val="22"/>
                <w:szCs w:val="22"/>
                <w:lang w:eastAsia="en-GB"/>
              </w:rPr>
              <w:t> </w:t>
            </w:r>
          </w:p>
        </w:tc>
      </w:tr>
      <w:tr w:rsidR="00804AF0" w14:paraId="28D980BC" w14:textId="77777777">
        <w:tc>
          <w:tcPr>
            <w:tcW w:w="1522" w:type="dxa"/>
            <w:tcBorders>
              <w:top w:val="nil"/>
              <w:left w:val="single" w:sz="6" w:space="0" w:color="auto"/>
              <w:bottom w:val="single" w:sz="6" w:space="0" w:color="auto"/>
              <w:right w:val="single" w:sz="6" w:space="0" w:color="auto"/>
            </w:tcBorders>
          </w:tcPr>
          <w:p w14:paraId="117A9488"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Regular</w:t>
            </w:r>
          </w:p>
        </w:tc>
        <w:tc>
          <w:tcPr>
            <w:tcW w:w="2250" w:type="dxa"/>
            <w:tcBorders>
              <w:top w:val="nil"/>
              <w:left w:val="nil"/>
              <w:bottom w:val="single" w:sz="6" w:space="0" w:color="auto"/>
              <w:right w:val="single" w:sz="6" w:space="0" w:color="auto"/>
            </w:tcBorders>
          </w:tcPr>
          <w:p w14:paraId="26A0DC1B"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Regular functions and  duration</w:t>
            </w:r>
          </w:p>
        </w:tc>
        <w:tc>
          <w:tcPr>
            <w:tcW w:w="3188" w:type="dxa"/>
            <w:tcBorders>
              <w:top w:val="nil"/>
              <w:left w:val="nil"/>
              <w:bottom w:val="single" w:sz="6" w:space="0" w:color="auto"/>
              <w:right w:val="single" w:sz="6" w:space="0" w:color="auto"/>
            </w:tcBorders>
            <w:vAlign w:val="center"/>
          </w:tcPr>
          <w:p w14:paraId="0428C237"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rPr>
              <w:t>Longer-term for continuous use of a minimum period of 6 months</w:t>
            </w:r>
          </w:p>
        </w:tc>
        <w:tc>
          <w:tcPr>
            <w:tcW w:w="2025" w:type="dxa"/>
            <w:vMerge w:val="restart"/>
            <w:tcBorders>
              <w:top w:val="nil"/>
              <w:left w:val="nil"/>
              <w:bottom w:val="single" w:sz="6" w:space="0" w:color="auto"/>
              <w:right w:val="single" w:sz="6" w:space="0" w:color="auto"/>
            </w:tcBorders>
            <w:vAlign w:val="center"/>
          </w:tcPr>
          <w:p w14:paraId="2AAF799F"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Office- or Home-based </w:t>
            </w:r>
          </w:p>
        </w:tc>
      </w:tr>
      <w:tr w:rsidR="00804AF0" w14:paraId="4C5E73DD" w14:textId="77777777">
        <w:tc>
          <w:tcPr>
            <w:tcW w:w="1522" w:type="dxa"/>
            <w:tcBorders>
              <w:top w:val="nil"/>
              <w:left w:val="single" w:sz="6" w:space="0" w:color="auto"/>
              <w:bottom w:val="single" w:sz="6" w:space="0" w:color="auto"/>
              <w:right w:val="single" w:sz="6" w:space="0" w:color="auto"/>
            </w:tcBorders>
          </w:tcPr>
          <w:p w14:paraId="3B2C7A13"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Retainer or Short-term</w:t>
            </w:r>
          </w:p>
        </w:tc>
        <w:tc>
          <w:tcPr>
            <w:tcW w:w="2250" w:type="dxa"/>
            <w:tcBorders>
              <w:top w:val="nil"/>
              <w:left w:val="nil"/>
              <w:bottom w:val="single" w:sz="6" w:space="0" w:color="auto"/>
              <w:right w:val="single" w:sz="6" w:space="0" w:color="auto"/>
            </w:tcBorders>
          </w:tcPr>
          <w:p w14:paraId="3453F336"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Used as needed, based on daily rate </w:t>
            </w:r>
          </w:p>
        </w:tc>
        <w:tc>
          <w:tcPr>
            <w:tcW w:w="3188" w:type="dxa"/>
            <w:tcBorders>
              <w:top w:val="nil"/>
              <w:left w:val="nil"/>
              <w:bottom w:val="single" w:sz="6" w:space="0" w:color="auto"/>
              <w:right w:val="single" w:sz="6" w:space="0" w:color="auto"/>
            </w:tcBorders>
            <w:vAlign w:val="center"/>
          </w:tcPr>
          <w:p w14:paraId="13A61CF6" w14:textId="77777777" w:rsidR="00804AF0" w:rsidRDefault="009A47D6">
            <w:pPr>
              <w:jc w:val="both"/>
              <w:textAlignment w:val="baseline"/>
              <w:rPr>
                <w:rFonts w:ascii="Calibri" w:hAnsi="Calibri" w:cs="Calibri"/>
                <w:sz w:val="22"/>
                <w:szCs w:val="22"/>
                <w:lang w:eastAsia="en-GB"/>
              </w:rPr>
            </w:pPr>
            <w:r>
              <w:rPr>
                <w:rFonts w:ascii="Calibri" w:hAnsi="Calibri"/>
                <w:sz w:val="22"/>
                <w:szCs w:val="22"/>
              </w:rPr>
              <w:t>Short-term for use up to a total of 6 months (130 working days) per calendar year</w:t>
            </w:r>
          </w:p>
        </w:tc>
        <w:tc>
          <w:tcPr>
            <w:tcW w:w="0" w:type="auto"/>
            <w:vMerge/>
            <w:tcBorders>
              <w:top w:val="nil"/>
              <w:left w:val="nil"/>
              <w:bottom w:val="single" w:sz="6" w:space="0" w:color="auto"/>
              <w:right w:val="single" w:sz="6" w:space="0" w:color="auto"/>
            </w:tcBorders>
            <w:vAlign w:val="center"/>
          </w:tcPr>
          <w:p w14:paraId="66B1C1A3" w14:textId="77777777" w:rsidR="00804AF0" w:rsidRDefault="00804AF0">
            <w:pPr>
              <w:rPr>
                <w:rFonts w:ascii="Calibri" w:hAnsi="Calibri" w:cs="Calibri"/>
                <w:sz w:val="22"/>
                <w:szCs w:val="22"/>
                <w:lang w:eastAsia="en-GB"/>
              </w:rPr>
            </w:pPr>
          </w:p>
        </w:tc>
      </w:tr>
    </w:tbl>
    <w:p w14:paraId="5E8FC378" w14:textId="77777777" w:rsidR="00804AF0" w:rsidRDefault="009A47D6">
      <w:pPr>
        <w:textAlignment w:val="baseline"/>
        <w:rPr>
          <w:rFonts w:ascii="Calibri" w:hAnsi="Calibri" w:cs="Calibri"/>
          <w:sz w:val="22"/>
          <w:szCs w:val="22"/>
          <w:lang w:eastAsia="en-GB"/>
        </w:rPr>
      </w:pPr>
      <w:r>
        <w:rPr>
          <w:rFonts w:ascii="Calibri" w:hAnsi="Calibri" w:cs="Calibri"/>
          <w:sz w:val="22"/>
          <w:szCs w:val="22"/>
          <w:lang w:eastAsia="en-GB"/>
        </w:rPr>
        <w:t> </w:t>
      </w:r>
    </w:p>
    <w:p w14:paraId="4C4AB8CC" w14:textId="77777777" w:rsidR="00804AF0" w:rsidRDefault="009A47D6">
      <w:pPr>
        <w:pStyle w:val="ListParagraph"/>
        <w:numPr>
          <w:ilvl w:val="1"/>
          <w:numId w:val="9"/>
        </w:numPr>
        <w:jc w:val="both"/>
        <w:textAlignment w:val="baseline"/>
        <w:rPr>
          <w:rFonts w:ascii="Calibri" w:hAnsi="Calibri" w:cs="Calibri"/>
          <w:sz w:val="22"/>
          <w:szCs w:val="22"/>
          <w:lang w:eastAsia="en-GB"/>
        </w:rPr>
      </w:pPr>
      <w:r>
        <w:rPr>
          <w:rFonts w:ascii="Calibri" w:hAnsi="Calibri" w:cs="Calibri"/>
          <w:sz w:val="22"/>
          <w:szCs w:val="22"/>
          <w:lang w:eastAsia="en-GB"/>
        </w:rPr>
        <w:t>IPSA agreements other than retainer or short-term agreements are referred to as “Regular” agreements. Regular IPSAs are to be used when services are required on a more continuous basis throughout the project periods. Payments are made at the end of each calendar month.</w:t>
      </w:r>
    </w:p>
    <w:p w14:paraId="69A03AA8" w14:textId="77777777" w:rsidR="00804AF0" w:rsidRDefault="00804AF0">
      <w:pPr>
        <w:jc w:val="both"/>
        <w:textAlignment w:val="baseline"/>
        <w:rPr>
          <w:rFonts w:ascii="Calibri" w:hAnsi="Calibri" w:cs="Calibri"/>
          <w:sz w:val="22"/>
          <w:szCs w:val="22"/>
          <w:lang w:eastAsia="en-GB"/>
        </w:rPr>
      </w:pPr>
    </w:p>
    <w:p w14:paraId="42F722FC" w14:textId="77777777" w:rsidR="00804AF0" w:rsidRDefault="009A47D6">
      <w:pPr>
        <w:pStyle w:val="ListParagraph"/>
        <w:numPr>
          <w:ilvl w:val="1"/>
          <w:numId w:val="9"/>
        </w:numPr>
        <w:jc w:val="both"/>
        <w:textAlignment w:val="baseline"/>
        <w:rPr>
          <w:rFonts w:ascii="Calibri" w:hAnsi="Calibri" w:cs="Calibri"/>
          <w:sz w:val="22"/>
          <w:szCs w:val="22"/>
          <w:lang w:eastAsia="en-GB"/>
        </w:rPr>
      </w:pPr>
      <w:r>
        <w:rPr>
          <w:rFonts w:ascii="Calibri" w:hAnsi="Calibri" w:cs="Calibri"/>
          <w:sz w:val="22"/>
          <w:szCs w:val="22"/>
          <w:lang w:eastAsia="en-GB"/>
        </w:rPr>
        <w:t>IPSA agreements may be issued as a retainer which is considered a short-term agreement. A retainer agreement is issued for a period of time during which the services of the IPSA holder are required intermittently. The IPSA agreement on a retainer basis will specify a “unit price” (e.g. amount per hour, amount per translated page, etc.). For budgetary purposes, a monetary cap will be determined when the agreement is issued. Retainers may also be used for immediate assignments, for example, in response to project proposals within very specific timeframes, and is issued based on an extended time span rather than intermittently.</w:t>
      </w:r>
    </w:p>
    <w:p w14:paraId="1E06033A" w14:textId="77777777" w:rsidR="00804AF0" w:rsidRDefault="00804AF0">
      <w:pPr>
        <w:jc w:val="both"/>
        <w:textAlignment w:val="baseline"/>
        <w:rPr>
          <w:rFonts w:ascii="Calibri" w:hAnsi="Calibri" w:cs="Calibri"/>
          <w:sz w:val="22"/>
          <w:szCs w:val="22"/>
          <w:lang w:eastAsia="en-GB"/>
        </w:rPr>
      </w:pPr>
    </w:p>
    <w:p w14:paraId="67B68E33"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Additionally, any of the IPSA modalities may be used to engage someone on a home-based IPSA when they are not expected to work in any UNDP office or work location, or work is expected to be done on an intermittent basis only (i.e. the IPSA holder will mainly work away from a UNDP work location). The home-based status may also be applied to regular IPSAs with a daily or monthly remuneration and to IPSAs issued as retainer agreements, depending on the exigencies of the hiring business unit.</w:t>
      </w:r>
    </w:p>
    <w:p w14:paraId="617A3B54" w14:textId="77777777" w:rsidR="00804AF0" w:rsidRDefault="00804AF0">
      <w:pPr>
        <w:jc w:val="both"/>
        <w:textAlignment w:val="baseline"/>
        <w:rPr>
          <w:rFonts w:ascii="Calibri" w:hAnsi="Calibri" w:cs="Calibri"/>
          <w:sz w:val="22"/>
          <w:szCs w:val="22"/>
          <w:lang w:eastAsia="en-GB"/>
        </w:rPr>
      </w:pPr>
    </w:p>
    <w:p w14:paraId="2942E893" w14:textId="77777777" w:rsidR="00804AF0" w:rsidRDefault="009A47D6">
      <w:pPr>
        <w:pStyle w:val="Heading1"/>
        <w:numPr>
          <w:ilvl w:val="0"/>
          <w:numId w:val="2"/>
        </w:numPr>
        <w:rPr>
          <w:rFonts w:ascii="Calibri" w:hAnsi="Calibri" w:cs="Calibri"/>
          <w:b/>
          <w:bCs/>
          <w:sz w:val="22"/>
          <w:szCs w:val="22"/>
          <w:lang w:eastAsia="en-GB"/>
        </w:rPr>
      </w:pPr>
      <w:bookmarkStart w:id="25" w:name="_Toc161312419"/>
      <w:r>
        <w:rPr>
          <w:rFonts w:ascii="Calibri" w:hAnsi="Calibri" w:cs="Calibri"/>
          <w:b/>
          <w:bCs/>
          <w:sz w:val="22"/>
          <w:szCs w:val="22"/>
          <w:lang w:eastAsia="en-GB"/>
        </w:rPr>
        <w:lastRenderedPageBreak/>
        <w:t>Engagement of Former and Retired UN Staff Members, and other Non-Staff Personnel</w:t>
      </w:r>
      <w:bookmarkEnd w:id="25"/>
    </w:p>
    <w:p w14:paraId="06E107D4"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01F5FAE1"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In the selection and engagement of IPSA holders, it is important to note that the engagement of candidates that currently work or have previously worked as UN staff members, or are retired UN staff members, is subject to special rules.</w:t>
      </w:r>
    </w:p>
    <w:p w14:paraId="54A63951" w14:textId="77777777" w:rsidR="00804AF0" w:rsidRDefault="00804AF0">
      <w:pPr>
        <w:jc w:val="both"/>
        <w:textAlignment w:val="baseline"/>
        <w:rPr>
          <w:rFonts w:ascii="Calibri" w:hAnsi="Calibri" w:cs="Calibri"/>
          <w:sz w:val="22"/>
          <w:szCs w:val="22"/>
          <w:lang w:eastAsia="en-GB"/>
        </w:rPr>
      </w:pPr>
    </w:p>
    <w:p w14:paraId="07F1BF62" w14:textId="77777777" w:rsidR="00804AF0" w:rsidRDefault="009A47D6">
      <w:pPr>
        <w:numPr>
          <w:ilvl w:val="0"/>
          <w:numId w:val="4"/>
        </w:numPr>
        <w:jc w:val="both"/>
        <w:textAlignment w:val="baseline"/>
        <w:rPr>
          <w:rFonts w:ascii="Calibri" w:hAnsi="Calibri" w:cs="Calibri"/>
          <w:sz w:val="22"/>
          <w:szCs w:val="22"/>
          <w:lang w:eastAsia="en-GB"/>
        </w:rPr>
      </w:pPr>
      <w:bookmarkStart w:id="26" w:name="_Hlk56981153"/>
      <w:r>
        <w:rPr>
          <w:rFonts w:ascii="Calibri" w:hAnsi="Calibri" w:cs="Calibri"/>
          <w:sz w:val="22"/>
          <w:szCs w:val="22"/>
          <w:lang w:eastAsia="en-GB"/>
        </w:rPr>
        <w:t xml:space="preserve">Staff members may not be separated for the sole purpose of immediately re-engaging them on an IPSA. Should the staff member wish to convert to an IPSA, and submits a motivated request in writing, UNDP may consider any such requests provided that it is compatible with the relevant terms of reference as well as the position structure and requirements. The Head of the Business Unit may make </w:t>
      </w:r>
      <w:proofErr w:type="gramStart"/>
      <w:r>
        <w:rPr>
          <w:rFonts w:ascii="Calibri" w:hAnsi="Calibri" w:cs="Calibri"/>
          <w:sz w:val="22"/>
          <w:szCs w:val="22"/>
          <w:lang w:eastAsia="en-GB"/>
        </w:rPr>
        <w:t>the</w:t>
      </w:r>
      <w:proofErr w:type="gramEnd"/>
      <w:r>
        <w:rPr>
          <w:rFonts w:ascii="Calibri" w:hAnsi="Calibri" w:cs="Calibri"/>
          <w:sz w:val="22"/>
          <w:szCs w:val="22"/>
          <w:lang w:eastAsia="en-GB"/>
        </w:rPr>
        <w:t xml:space="preserve"> determination on the </w:t>
      </w:r>
      <w:proofErr w:type="gramStart"/>
      <w:r>
        <w:rPr>
          <w:rFonts w:ascii="Calibri" w:hAnsi="Calibri" w:cs="Calibri"/>
          <w:sz w:val="22"/>
          <w:szCs w:val="22"/>
          <w:lang w:eastAsia="en-GB"/>
        </w:rPr>
        <w:t>functions,</w:t>
      </w:r>
      <w:proofErr w:type="gramEnd"/>
      <w:r>
        <w:rPr>
          <w:rFonts w:ascii="Calibri" w:hAnsi="Calibri" w:cs="Calibri"/>
          <w:sz w:val="22"/>
          <w:szCs w:val="22"/>
          <w:lang w:eastAsia="en-GB"/>
        </w:rPr>
        <w:t xml:space="preserve"> however, any such conversion must only be made in full consultation with the Legal Office. In such cases, a one-month break in service must occur between separation from the existing staff contract (Permanent Contract /Fixed-Term Appointment/) and the commencement of the IPSA.</w:t>
      </w:r>
    </w:p>
    <w:bookmarkEnd w:id="26"/>
    <w:p w14:paraId="6047CCBF" w14:textId="77777777" w:rsidR="00804AF0" w:rsidRDefault="00804AF0">
      <w:pPr>
        <w:jc w:val="both"/>
        <w:textAlignment w:val="baseline"/>
        <w:rPr>
          <w:rFonts w:ascii="Calibri" w:hAnsi="Calibri" w:cs="Calibri"/>
          <w:sz w:val="22"/>
          <w:szCs w:val="22"/>
          <w:lang w:eastAsia="en-GB"/>
        </w:rPr>
      </w:pPr>
    </w:p>
    <w:p w14:paraId="3D86936E" w14:textId="77777777" w:rsidR="00804AF0" w:rsidRDefault="009A47D6">
      <w:pPr>
        <w:numPr>
          <w:ilvl w:val="0"/>
          <w:numId w:val="4"/>
        </w:numPr>
        <w:jc w:val="both"/>
        <w:textAlignment w:val="baseline"/>
        <w:rPr>
          <w:rFonts w:ascii="Calibri" w:hAnsi="Calibri" w:cs="Calibri"/>
          <w:sz w:val="22"/>
          <w:szCs w:val="22"/>
          <w:lang w:eastAsia="en-GB"/>
        </w:rPr>
      </w:pPr>
      <w:bookmarkStart w:id="27" w:name="_Hlk56981310"/>
      <w:r>
        <w:rPr>
          <w:rFonts w:ascii="Calibri" w:hAnsi="Calibri" w:cs="Calibri"/>
          <w:sz w:val="22"/>
          <w:szCs w:val="22"/>
          <w:lang w:eastAsia="en-GB"/>
        </w:rPr>
        <w:t>A United Nations staff member who has separated may only enter into an IPSA with an effective starting date at least one (1) month after the effective separation date.</w:t>
      </w:r>
    </w:p>
    <w:bookmarkEnd w:id="27"/>
    <w:p w14:paraId="6ED2A6D8"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22579C0A"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Former staff and non-staff personnel may be recruited only after the expiration of such other contract. In no case may such other contract be foreshortened in order to allow such person to be engaged under an IPSA.</w:t>
      </w:r>
    </w:p>
    <w:p w14:paraId="1609F0F2" w14:textId="77777777" w:rsidR="00804AF0" w:rsidRDefault="00804AF0">
      <w:pPr>
        <w:jc w:val="both"/>
        <w:textAlignment w:val="baseline"/>
        <w:rPr>
          <w:rFonts w:ascii="Calibri" w:hAnsi="Calibri" w:cs="Calibri"/>
          <w:sz w:val="22"/>
          <w:szCs w:val="22"/>
          <w:lang w:eastAsia="en-GB"/>
        </w:rPr>
      </w:pPr>
    </w:p>
    <w:p w14:paraId="166D2811" w14:textId="77777777" w:rsidR="00804AF0" w:rsidRDefault="009A47D6">
      <w:pPr>
        <w:ind w:firstLineChars="200" w:firstLine="440"/>
        <w:jc w:val="both"/>
        <w:textAlignment w:val="baseline"/>
        <w:rPr>
          <w:rFonts w:ascii="Calibri" w:hAnsi="Calibri" w:cs="Calibri"/>
          <w:sz w:val="22"/>
          <w:szCs w:val="22"/>
          <w:u w:val="single"/>
          <w:lang w:eastAsia="en-GB"/>
        </w:rPr>
      </w:pPr>
      <w:r>
        <w:rPr>
          <w:rFonts w:ascii="Calibri" w:hAnsi="Calibri" w:cs="Calibri"/>
          <w:sz w:val="22"/>
          <w:szCs w:val="22"/>
          <w:u w:val="single"/>
          <w:lang w:eastAsia="en-GB"/>
        </w:rPr>
        <w:t>Determining remuneration of Former or Retired Staff Members: </w:t>
      </w:r>
    </w:p>
    <w:p w14:paraId="74A6D7D5" w14:textId="77777777" w:rsidR="00804AF0" w:rsidRDefault="00804AF0">
      <w:pPr>
        <w:jc w:val="both"/>
        <w:textAlignment w:val="baseline"/>
        <w:rPr>
          <w:rFonts w:ascii="Calibri" w:hAnsi="Calibri" w:cs="Calibri"/>
          <w:sz w:val="22"/>
          <w:szCs w:val="22"/>
          <w:lang w:eastAsia="en-GB"/>
        </w:rPr>
      </w:pPr>
    </w:p>
    <w:p w14:paraId="3FB30768"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When a former staff member is engaged on an IPSA, the remuneration must not be based on the level of remuneration before separation but rather on the nature and complexity of the assignment to be performed under the IPSA.</w:t>
      </w:r>
    </w:p>
    <w:p w14:paraId="522FF287"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4780567" w14:textId="77777777" w:rsidR="00804AF0" w:rsidRDefault="009A47D6">
      <w:pPr>
        <w:ind w:firstLineChars="200" w:firstLine="440"/>
        <w:jc w:val="both"/>
        <w:textAlignment w:val="baseline"/>
        <w:rPr>
          <w:rFonts w:ascii="Calibri" w:eastAsia="SimSun" w:hAnsi="Calibri" w:cs="Calibri"/>
          <w:sz w:val="22"/>
          <w:szCs w:val="22"/>
          <w:u w:val="single"/>
          <w:lang w:eastAsia="zh-CN"/>
        </w:rPr>
      </w:pPr>
      <w:r>
        <w:rPr>
          <w:rFonts w:ascii="Calibri" w:hAnsi="Calibri" w:cs="Calibri"/>
          <w:sz w:val="22"/>
          <w:szCs w:val="22"/>
          <w:u w:val="single"/>
          <w:lang w:eastAsia="en-GB"/>
        </w:rPr>
        <w:t>Engagement of former Staff Members in receipt of a UN Pension</w:t>
      </w:r>
      <w:r>
        <w:rPr>
          <w:rFonts w:ascii="Calibri" w:eastAsia="SimSun" w:hAnsi="Calibri" w:cs="Calibri" w:hint="eastAsia"/>
          <w:sz w:val="22"/>
          <w:szCs w:val="22"/>
          <w:u w:val="single"/>
          <w:lang w:eastAsia="zh-CN"/>
        </w:rPr>
        <w:t>:</w:t>
      </w:r>
    </w:p>
    <w:p w14:paraId="5B740A85"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0DC482CF" w14:textId="77777777" w:rsidR="00804AF0" w:rsidRDefault="009A47D6">
      <w:pPr>
        <w:numPr>
          <w:ilvl w:val="0"/>
          <w:numId w:val="4"/>
        </w:numPr>
        <w:jc w:val="both"/>
        <w:textAlignment w:val="baseline"/>
        <w:rPr>
          <w:rFonts w:ascii="Calibri" w:hAnsi="Calibri" w:cs="Calibri"/>
          <w:sz w:val="22"/>
          <w:szCs w:val="22"/>
          <w:lang w:eastAsia="en-GB"/>
        </w:rPr>
      </w:pPr>
      <w:bookmarkStart w:id="28" w:name="OLE_LINK19"/>
      <w:r>
        <w:rPr>
          <w:rFonts w:ascii="Calibri" w:hAnsi="Calibri" w:cs="Calibri"/>
          <w:sz w:val="22"/>
          <w:szCs w:val="22"/>
          <w:lang w:eastAsia="en-GB"/>
        </w:rPr>
        <w:t>Former staff members in receipt of a UN pension benefit, may be engaged under IPSA only if:</w:t>
      </w:r>
    </w:p>
    <w:bookmarkEnd w:id="28"/>
    <w:p w14:paraId="46DB07A8" w14:textId="77777777" w:rsidR="00804AF0" w:rsidRDefault="00804AF0">
      <w:pPr>
        <w:ind w:left="360" w:firstLine="60"/>
        <w:jc w:val="both"/>
        <w:textAlignment w:val="baseline"/>
        <w:rPr>
          <w:rFonts w:ascii="Calibri" w:hAnsi="Calibri" w:cs="Calibri"/>
          <w:sz w:val="22"/>
          <w:szCs w:val="22"/>
          <w:lang w:eastAsia="en-GB"/>
        </w:rPr>
      </w:pPr>
    </w:p>
    <w:p w14:paraId="5BC1844F" w14:textId="77777777" w:rsidR="00804AF0" w:rsidRDefault="009A47D6">
      <w:pPr>
        <w:numPr>
          <w:ilvl w:val="0"/>
          <w:numId w:val="10"/>
        </w:numPr>
        <w:jc w:val="both"/>
        <w:textAlignment w:val="baseline"/>
        <w:rPr>
          <w:rFonts w:ascii="Calibri" w:hAnsi="Calibri" w:cs="Calibri"/>
          <w:sz w:val="22"/>
          <w:szCs w:val="22"/>
          <w:lang w:eastAsia="en-GB"/>
        </w:rPr>
      </w:pPr>
      <w:r>
        <w:rPr>
          <w:rFonts w:ascii="Calibri" w:hAnsi="Calibri" w:cs="Calibri"/>
          <w:sz w:val="22"/>
          <w:szCs w:val="22"/>
          <w:lang w:eastAsia="en-GB"/>
        </w:rPr>
        <w:t xml:space="preserve"> The engagement represents both a cost-effective and a compliant solution to meet the service needs of the hiring business unit;</w:t>
      </w:r>
    </w:p>
    <w:p w14:paraId="29FDA118" w14:textId="77777777" w:rsidR="00804AF0" w:rsidRDefault="009A47D6">
      <w:pPr>
        <w:numPr>
          <w:ilvl w:val="0"/>
          <w:numId w:val="10"/>
        </w:numPr>
        <w:jc w:val="both"/>
        <w:textAlignment w:val="baseline"/>
        <w:rPr>
          <w:rFonts w:ascii="Calibri" w:hAnsi="Calibri" w:cs="Calibri"/>
          <w:sz w:val="22"/>
          <w:szCs w:val="22"/>
          <w:lang w:eastAsia="en-GB"/>
        </w:rPr>
      </w:pPr>
      <w:r>
        <w:rPr>
          <w:rFonts w:ascii="Calibri" w:hAnsi="Calibri" w:cs="Calibri"/>
          <w:sz w:val="22"/>
          <w:szCs w:val="22"/>
          <w:lang w:eastAsia="en-GB"/>
        </w:rPr>
        <w:t>A competitive process was carried out and is properly documented;</w:t>
      </w:r>
    </w:p>
    <w:p w14:paraId="0219D9C2" w14:textId="77777777" w:rsidR="00804AF0" w:rsidRDefault="009A47D6">
      <w:pPr>
        <w:numPr>
          <w:ilvl w:val="0"/>
          <w:numId w:val="10"/>
        </w:numPr>
        <w:jc w:val="both"/>
        <w:textAlignment w:val="baseline"/>
        <w:rPr>
          <w:rFonts w:ascii="Calibri" w:hAnsi="Calibri" w:cs="Calibri"/>
          <w:sz w:val="22"/>
          <w:szCs w:val="22"/>
          <w:lang w:eastAsia="en-GB"/>
        </w:rPr>
      </w:pPr>
      <w:r>
        <w:rPr>
          <w:rFonts w:ascii="Calibri" w:hAnsi="Calibri" w:cs="Calibri"/>
          <w:sz w:val="22"/>
          <w:szCs w:val="22"/>
          <w:lang w:eastAsia="en-GB"/>
        </w:rPr>
        <w:t xml:space="preserve"> </w:t>
      </w:r>
      <w:bookmarkStart w:id="29" w:name="OLE_LINK20"/>
      <w:r>
        <w:rPr>
          <w:rFonts w:ascii="Calibri" w:hAnsi="Calibri" w:cs="Calibri"/>
          <w:sz w:val="22"/>
          <w:szCs w:val="22"/>
          <w:lang w:eastAsia="en-GB"/>
        </w:rPr>
        <w:t>The 30-day break in service requirement is met (not applicable to temporary appointments);</w:t>
      </w:r>
      <w:bookmarkEnd w:id="29"/>
    </w:p>
    <w:p w14:paraId="34C39842" w14:textId="77777777" w:rsidR="00804AF0" w:rsidRDefault="009A47D6">
      <w:pPr>
        <w:numPr>
          <w:ilvl w:val="0"/>
          <w:numId w:val="10"/>
        </w:numPr>
        <w:jc w:val="both"/>
        <w:textAlignment w:val="baseline"/>
        <w:rPr>
          <w:rFonts w:ascii="Calibri" w:hAnsi="Calibri" w:cs="Calibri"/>
          <w:sz w:val="22"/>
          <w:szCs w:val="22"/>
          <w:lang w:eastAsia="en-GB"/>
        </w:rPr>
      </w:pPr>
      <w:r>
        <w:rPr>
          <w:rFonts w:ascii="Calibri" w:hAnsi="Calibri" w:cs="Calibri"/>
          <w:sz w:val="22"/>
          <w:szCs w:val="22"/>
          <w:lang w:eastAsia="en-GB"/>
        </w:rPr>
        <w:t>The former staff member in receipt of a UN pension benefit was not separated on grounds of disciplinary action or unsatisfactory performance; and</w:t>
      </w:r>
    </w:p>
    <w:p w14:paraId="4EB4D8F8" w14:textId="77777777" w:rsidR="00804AF0" w:rsidRDefault="009A47D6">
      <w:pPr>
        <w:numPr>
          <w:ilvl w:val="0"/>
          <w:numId w:val="10"/>
        </w:numPr>
        <w:jc w:val="both"/>
        <w:textAlignment w:val="baseline"/>
        <w:rPr>
          <w:rFonts w:ascii="Calibri" w:hAnsi="Calibri" w:cs="Calibri"/>
          <w:sz w:val="22"/>
          <w:szCs w:val="22"/>
          <w:lang w:eastAsia="en-GB"/>
        </w:rPr>
      </w:pPr>
      <w:r>
        <w:rPr>
          <w:rFonts w:ascii="Calibri" w:hAnsi="Calibri" w:cs="Calibri"/>
          <w:sz w:val="22"/>
          <w:szCs w:val="22"/>
          <w:lang w:eastAsia="en-GB"/>
        </w:rPr>
        <w:t>The individual is medically certified as fit.</w:t>
      </w:r>
    </w:p>
    <w:p w14:paraId="0AF48D65" w14:textId="77777777" w:rsidR="00804AF0" w:rsidRDefault="00804AF0">
      <w:pPr>
        <w:ind w:left="720" w:firstLine="60"/>
        <w:textAlignment w:val="baseline"/>
        <w:rPr>
          <w:rFonts w:ascii="Calibri" w:hAnsi="Calibri" w:cs="Calibri"/>
          <w:sz w:val="22"/>
          <w:szCs w:val="22"/>
          <w:lang w:eastAsia="en-GB"/>
        </w:rPr>
      </w:pPr>
    </w:p>
    <w:p w14:paraId="62E1135C"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Head of the Business Unit (as the term is defined below) must ensure that the remuneration of a UNDP (or UN and its funds and programmes) retiree does not exceed the limits set for those receiving a UNJSPF pension benefit.</w:t>
      </w:r>
    </w:p>
    <w:p w14:paraId="6FB0AF0C" w14:textId="77777777" w:rsidR="00804AF0" w:rsidRDefault="00804AF0">
      <w:pPr>
        <w:jc w:val="both"/>
        <w:textAlignment w:val="baseline"/>
        <w:rPr>
          <w:rFonts w:ascii="Calibri" w:hAnsi="Calibri" w:cs="Calibri"/>
          <w:sz w:val="22"/>
          <w:szCs w:val="22"/>
          <w:lang w:eastAsia="en-GB"/>
        </w:rPr>
      </w:pPr>
    </w:p>
    <w:p w14:paraId="68385E83" w14:textId="77777777" w:rsidR="00804AF0" w:rsidRDefault="009A47D6">
      <w:pPr>
        <w:numPr>
          <w:ilvl w:val="0"/>
          <w:numId w:val="4"/>
        </w:numPr>
        <w:jc w:val="both"/>
        <w:textAlignment w:val="baseline"/>
        <w:rPr>
          <w:rFonts w:ascii="Calibri" w:hAnsi="Calibri" w:cs="Calibri"/>
          <w:sz w:val="22"/>
          <w:szCs w:val="22"/>
          <w:lang w:eastAsia="en-GB"/>
        </w:rPr>
      </w:pPr>
      <w:bookmarkStart w:id="30" w:name="OLE_LINK21"/>
      <w:r>
        <w:rPr>
          <w:rFonts w:ascii="Calibri" w:hAnsi="Calibri" w:cs="Calibri"/>
          <w:sz w:val="22"/>
          <w:szCs w:val="22"/>
          <w:lang w:eastAsia="en-GB"/>
        </w:rPr>
        <w:lastRenderedPageBreak/>
        <w:t xml:space="preserve">Engagements of former staff in receipt of a UNJSPF pension benefit must not exceed the total duration of 6 months, </w:t>
      </w:r>
      <w:r>
        <w:rPr>
          <w:rFonts w:ascii="Calibri" w:hAnsi="Calibri" w:cs="Calibri"/>
          <w:sz w:val="22"/>
          <w:szCs w:val="22"/>
        </w:rPr>
        <w:t>or total UN derived remuneration of USD 50,000 within one calendar year, whichever comes first, and are non-renewable</w:t>
      </w:r>
      <w:r>
        <w:rPr>
          <w:rFonts w:ascii="Calibri" w:hAnsi="Calibri" w:cs="Calibri"/>
          <w:sz w:val="22"/>
          <w:szCs w:val="22"/>
          <w:lang w:eastAsia="en-GB"/>
        </w:rPr>
        <w:t xml:space="preserve"> within one calendar year. </w:t>
      </w:r>
    </w:p>
    <w:bookmarkEnd w:id="30"/>
    <w:p w14:paraId="558EAADE" w14:textId="77777777" w:rsidR="00804AF0" w:rsidRDefault="00804AF0">
      <w:pPr>
        <w:ind w:left="720"/>
        <w:textAlignment w:val="baseline"/>
        <w:rPr>
          <w:rFonts w:ascii="Calibri" w:hAnsi="Calibri" w:cs="Calibri"/>
          <w:sz w:val="22"/>
          <w:szCs w:val="22"/>
          <w:lang w:eastAsia="en-GB"/>
        </w:rPr>
      </w:pPr>
    </w:p>
    <w:p w14:paraId="5D3DFA56" w14:textId="77777777" w:rsidR="00804AF0" w:rsidRDefault="009A47D6">
      <w:pPr>
        <w:pStyle w:val="Heading1"/>
        <w:numPr>
          <w:ilvl w:val="0"/>
          <w:numId w:val="2"/>
        </w:numPr>
        <w:jc w:val="left"/>
        <w:rPr>
          <w:rFonts w:ascii="Calibri" w:hAnsi="Calibri" w:cs="Calibri"/>
          <w:b/>
          <w:bCs/>
          <w:sz w:val="22"/>
          <w:szCs w:val="22"/>
          <w:lang w:eastAsia="en-GB"/>
        </w:rPr>
      </w:pPr>
      <w:bookmarkStart w:id="31" w:name="_Toc161312420"/>
      <w:r>
        <w:rPr>
          <w:rFonts w:ascii="Calibri" w:hAnsi="Calibri" w:cs="Calibri"/>
          <w:b/>
          <w:bCs/>
          <w:sz w:val="22"/>
          <w:szCs w:val="22"/>
          <w:lang w:eastAsia="en-GB"/>
        </w:rPr>
        <w:t>Engaging Close Relatives of UNDP Personnel</w:t>
      </w:r>
      <w:bookmarkEnd w:id="31"/>
      <w:r>
        <w:rPr>
          <w:rFonts w:ascii="Calibri" w:hAnsi="Calibri" w:cs="Calibri"/>
          <w:b/>
          <w:bCs/>
          <w:sz w:val="22"/>
          <w:szCs w:val="22"/>
          <w:lang w:eastAsia="en-GB"/>
        </w:rPr>
        <w:t> </w:t>
      </w:r>
    </w:p>
    <w:p w14:paraId="2DB9A077" w14:textId="77777777" w:rsidR="00804AF0" w:rsidRDefault="009A47D6">
      <w:pPr>
        <w:textAlignment w:val="baseline"/>
        <w:rPr>
          <w:rFonts w:ascii="Calibri" w:hAnsi="Calibri" w:cs="Calibri"/>
          <w:sz w:val="22"/>
          <w:szCs w:val="22"/>
          <w:lang w:eastAsia="en-GB"/>
        </w:rPr>
      </w:pPr>
      <w:r>
        <w:rPr>
          <w:rFonts w:ascii="Calibri" w:hAnsi="Calibri" w:cs="Calibri"/>
          <w:b/>
          <w:bCs/>
          <w:sz w:val="22"/>
          <w:szCs w:val="22"/>
          <w:lang w:eastAsia="en-GB"/>
        </w:rPr>
        <w:t> </w:t>
      </w:r>
      <w:r>
        <w:rPr>
          <w:rFonts w:ascii="Calibri" w:hAnsi="Calibri" w:cs="Calibri"/>
          <w:sz w:val="22"/>
          <w:szCs w:val="22"/>
          <w:lang w:eastAsia="en-GB"/>
        </w:rPr>
        <w:t> </w:t>
      </w:r>
    </w:p>
    <w:p w14:paraId="454DCC4C" w14:textId="77777777" w:rsidR="00804AF0" w:rsidRDefault="009A47D6">
      <w:pPr>
        <w:numPr>
          <w:ilvl w:val="0"/>
          <w:numId w:val="4"/>
        </w:numPr>
        <w:jc w:val="both"/>
        <w:textAlignment w:val="baseline"/>
        <w:rPr>
          <w:rFonts w:ascii="Calibri" w:hAnsi="Calibri" w:cs="Calibri"/>
          <w:sz w:val="22"/>
          <w:szCs w:val="22"/>
          <w:lang w:eastAsia="en-GB"/>
        </w:rPr>
      </w:pPr>
      <w:bookmarkStart w:id="32" w:name="OLE_LINK22"/>
      <w:r>
        <w:rPr>
          <w:rFonts w:ascii="Calibri" w:hAnsi="Calibri" w:cs="Calibri"/>
          <w:sz w:val="22"/>
          <w:szCs w:val="22"/>
          <w:lang w:eastAsia="en-GB"/>
        </w:rPr>
        <w:t>IPSA holders are subject to UNDP’s policy on Family Relationships. </w:t>
      </w:r>
      <w:bookmarkEnd w:id="32"/>
    </w:p>
    <w:p w14:paraId="54A35BFF" w14:textId="77777777" w:rsidR="00804AF0" w:rsidRDefault="00804AF0">
      <w:pPr>
        <w:jc w:val="both"/>
        <w:textAlignment w:val="baseline"/>
        <w:rPr>
          <w:rFonts w:ascii="Calibri" w:hAnsi="Calibri" w:cs="Calibri"/>
          <w:sz w:val="22"/>
          <w:szCs w:val="22"/>
          <w:lang w:eastAsia="en-GB"/>
        </w:rPr>
      </w:pPr>
    </w:p>
    <w:p w14:paraId="1A0D1E0E" w14:textId="77777777" w:rsidR="00804AF0" w:rsidRDefault="009A47D6">
      <w:pPr>
        <w:numPr>
          <w:ilvl w:val="0"/>
          <w:numId w:val="4"/>
        </w:numPr>
        <w:jc w:val="both"/>
        <w:textAlignment w:val="baseline"/>
        <w:rPr>
          <w:rFonts w:ascii="Calibri" w:hAnsi="Calibri" w:cs="Calibri"/>
          <w:sz w:val="22"/>
          <w:szCs w:val="22"/>
          <w:lang w:eastAsia="en-GB"/>
        </w:rPr>
      </w:pPr>
      <w:bookmarkStart w:id="33" w:name="OLE_LINK23"/>
      <w:r>
        <w:rPr>
          <w:rFonts w:ascii="Calibri" w:hAnsi="Calibri" w:cs="Calibri"/>
          <w:sz w:val="22"/>
          <w:szCs w:val="22"/>
          <w:lang w:eastAsia="en-GB"/>
        </w:rPr>
        <w:t xml:space="preserve">Notwithstanding the foregoing, the Head of the Business Unit must at all times ensure adherence to the requirements in the Staff Regulations and Rules relating to conflict of interest (refer to Staff Regulations and Rules 1.2 g m). </w:t>
      </w:r>
      <w:r>
        <w:rPr>
          <w:rFonts w:ascii="Calibri" w:hAnsi="Calibri" w:cs="Calibri"/>
          <w:sz w:val="22"/>
          <w:szCs w:val="22"/>
        </w:rPr>
        <w:t>If in doubt, the Ethics Office should be consulted for support.</w:t>
      </w:r>
    </w:p>
    <w:bookmarkEnd w:id="33"/>
    <w:p w14:paraId="0446BF74" w14:textId="77777777" w:rsidR="00804AF0" w:rsidRDefault="00804AF0">
      <w:pPr>
        <w:pStyle w:val="ListParagraph"/>
        <w:ind w:left="720"/>
        <w:textAlignment w:val="baseline"/>
        <w:rPr>
          <w:rFonts w:ascii="Calibri" w:hAnsi="Calibri" w:cs="Calibri"/>
          <w:sz w:val="22"/>
          <w:szCs w:val="22"/>
          <w:lang w:eastAsia="en-GB"/>
        </w:rPr>
      </w:pPr>
    </w:p>
    <w:p w14:paraId="292B79BE" w14:textId="77777777" w:rsidR="00804AF0" w:rsidRDefault="009A47D6">
      <w:pPr>
        <w:pStyle w:val="Heading1"/>
        <w:numPr>
          <w:ilvl w:val="0"/>
          <w:numId w:val="2"/>
        </w:numPr>
        <w:jc w:val="left"/>
        <w:rPr>
          <w:rFonts w:ascii="Calibri" w:hAnsi="Calibri" w:cs="Calibri"/>
          <w:b/>
          <w:bCs/>
          <w:sz w:val="22"/>
          <w:szCs w:val="22"/>
          <w:lang w:eastAsia="en-GB"/>
        </w:rPr>
      </w:pPr>
      <w:bookmarkStart w:id="34" w:name="_Toc161312421"/>
      <w:r>
        <w:rPr>
          <w:rFonts w:ascii="Calibri" w:hAnsi="Calibri" w:cs="Calibri"/>
          <w:b/>
          <w:bCs/>
          <w:sz w:val="22"/>
          <w:szCs w:val="22"/>
          <w:lang w:eastAsia="en-GB"/>
        </w:rPr>
        <w:t>Authority for the Issuance of IPSA</w:t>
      </w:r>
      <w:bookmarkEnd w:id="34"/>
      <w:r>
        <w:rPr>
          <w:rFonts w:ascii="Calibri" w:hAnsi="Calibri" w:cs="Calibri"/>
          <w:b/>
          <w:bCs/>
          <w:sz w:val="22"/>
          <w:szCs w:val="22"/>
          <w:lang w:eastAsia="en-GB"/>
        </w:rPr>
        <w:t> </w:t>
      </w:r>
    </w:p>
    <w:p w14:paraId="03EA3522"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 </w:t>
      </w:r>
      <w:r>
        <w:rPr>
          <w:rFonts w:ascii="Calibri" w:hAnsi="Calibri" w:cs="Calibri"/>
          <w:sz w:val="22"/>
          <w:szCs w:val="22"/>
          <w:lang w:eastAsia="en-GB"/>
        </w:rPr>
        <w:t> </w:t>
      </w:r>
    </w:p>
    <w:p w14:paraId="4B051B4A"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authority to create any IPSA position classified as up to and including the IPSA 11 category, as well as the decision to award such an agreement to the selected individual, is delegated to the Resident Representative in Country Offices, and to the Bureau Director or his/her Deputy for non-country office duty stations (HQ, liaison offices, RSCs, policy centers, etc.), as well as UNV/UNCDF Executive Coordinator, and UNOSSC Director, or his/her deputy.</w:t>
      </w:r>
    </w:p>
    <w:p w14:paraId="1DF4B9BB" w14:textId="77777777" w:rsidR="00804AF0" w:rsidRDefault="00804AF0">
      <w:pPr>
        <w:jc w:val="both"/>
        <w:textAlignment w:val="baseline"/>
        <w:rPr>
          <w:rFonts w:ascii="Calibri" w:hAnsi="Calibri" w:cs="Calibri"/>
          <w:sz w:val="22"/>
          <w:szCs w:val="22"/>
          <w:lang w:eastAsia="en-GB"/>
        </w:rPr>
      </w:pPr>
    </w:p>
    <w:p w14:paraId="5085F839"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authority to create positions and issue any IPSA classified IPSA 12 or above is delegated to the Bureau Director or his/her Deputy, as well as UNV/UNCDF Executive Coordinator, and UNOSSC Director, or his/her Deputy through the Regional HR Business Partners, for the business unit seeking such a position.</w:t>
      </w:r>
    </w:p>
    <w:p w14:paraId="3E9092E0"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4B5F71FE" w14:textId="77777777" w:rsidR="00804AF0" w:rsidRDefault="009A47D6">
      <w:pPr>
        <w:pStyle w:val="Heading1"/>
        <w:numPr>
          <w:ilvl w:val="0"/>
          <w:numId w:val="2"/>
        </w:numPr>
        <w:jc w:val="left"/>
        <w:rPr>
          <w:rFonts w:ascii="Calibri" w:hAnsi="Calibri" w:cs="Calibri"/>
          <w:b/>
          <w:bCs/>
          <w:sz w:val="22"/>
          <w:szCs w:val="22"/>
          <w:lang w:eastAsia="en-GB"/>
        </w:rPr>
      </w:pPr>
      <w:bookmarkStart w:id="35" w:name="_Toc161312422"/>
      <w:r>
        <w:rPr>
          <w:rFonts w:ascii="Calibri" w:hAnsi="Calibri" w:cs="Calibri"/>
          <w:b/>
          <w:bCs/>
          <w:sz w:val="22"/>
          <w:szCs w:val="22"/>
          <w:lang w:eastAsia="en-GB"/>
        </w:rPr>
        <w:t>Responsibility and Accountability</w:t>
      </w:r>
      <w:bookmarkEnd w:id="35"/>
    </w:p>
    <w:p w14:paraId="27A4F637" w14:textId="77777777" w:rsidR="00804AF0" w:rsidRDefault="00804AF0">
      <w:pPr>
        <w:jc w:val="both"/>
        <w:textAlignment w:val="baseline"/>
        <w:rPr>
          <w:rFonts w:ascii="Calibri" w:hAnsi="Calibri" w:cs="Calibri"/>
          <w:sz w:val="22"/>
          <w:szCs w:val="22"/>
          <w:lang w:eastAsia="en-GB"/>
        </w:rPr>
      </w:pPr>
    </w:p>
    <w:p w14:paraId="7E8666C1" w14:textId="77777777" w:rsidR="00804AF0" w:rsidRDefault="009A47D6">
      <w:pPr>
        <w:numPr>
          <w:ilvl w:val="0"/>
          <w:numId w:val="4"/>
        </w:numPr>
        <w:jc w:val="both"/>
        <w:textAlignment w:val="baseline"/>
        <w:rPr>
          <w:rFonts w:ascii="Calibri" w:hAnsi="Calibri" w:cs="Calibri"/>
          <w:sz w:val="22"/>
          <w:szCs w:val="22"/>
          <w:lang w:eastAsia="en-GB"/>
        </w:rPr>
      </w:pPr>
      <w:bookmarkStart w:id="36" w:name="_Hlk59873385"/>
      <w:r>
        <w:rPr>
          <w:rFonts w:ascii="Calibri" w:hAnsi="Calibri" w:cs="Calibri"/>
          <w:sz w:val="22"/>
          <w:szCs w:val="22"/>
          <w:lang w:eastAsia="en-GB"/>
        </w:rPr>
        <w:t>IPSA holders like all other UNDP personnel are accountable to the Administrator for the regularity of actions undertaken by them in the course of official duties. IPSA holders involved in any action that is contrary to the Financial Regulations and Rules, or to organizational policies, or other prescriptive guidance (i.e., the POPP) may be held personally responsible and financially liable for the consequences arising therefrom.</w:t>
      </w:r>
    </w:p>
    <w:bookmarkEnd w:id="36"/>
    <w:p w14:paraId="052104F6"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5EC7F4CF"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Responsibility for the correct and effective application and proper management of the IPSA policy and procedures, as well as the creation, issuance and management of individual IPSAs, is distributed to various roles in the organization, subject to oversight by BMS/OHR. Responsibilities and roles are described in Section XXXIV (34) in this policy.</w:t>
      </w:r>
    </w:p>
    <w:p w14:paraId="38077FD1"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2BF4DDE"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UNDP, as the steward and utilization of public funds in its operations and administration, must use due care to ensure funds are utilized only for their intended purpose. Individuals holding a Delegation of Authority must be particularly careful to ensure actions undertaken by themselves or </w:t>
      </w:r>
      <w:proofErr w:type="gramStart"/>
      <w:r>
        <w:rPr>
          <w:rFonts w:ascii="Calibri" w:hAnsi="Calibri" w:cs="Calibri"/>
          <w:sz w:val="22"/>
          <w:szCs w:val="22"/>
          <w:lang w:eastAsia="en-GB"/>
        </w:rPr>
        <w:t>persons</w:t>
      </w:r>
      <w:proofErr w:type="gramEnd"/>
      <w:r>
        <w:rPr>
          <w:rFonts w:ascii="Calibri" w:hAnsi="Calibri" w:cs="Calibri"/>
          <w:sz w:val="22"/>
          <w:szCs w:val="22"/>
          <w:lang w:eastAsia="en-GB"/>
        </w:rPr>
        <w:t xml:space="preserve"> under their supervision </w:t>
      </w:r>
      <w:proofErr w:type="gramStart"/>
      <w:r>
        <w:rPr>
          <w:rFonts w:ascii="Calibri" w:hAnsi="Calibri" w:cs="Calibri"/>
          <w:sz w:val="22"/>
          <w:szCs w:val="22"/>
          <w:lang w:eastAsia="en-GB"/>
        </w:rPr>
        <w:t>are in compliance with</w:t>
      </w:r>
      <w:proofErr w:type="gramEnd"/>
      <w:r>
        <w:rPr>
          <w:rFonts w:ascii="Calibri" w:hAnsi="Calibri" w:cs="Calibri"/>
          <w:sz w:val="22"/>
          <w:szCs w:val="22"/>
          <w:lang w:eastAsia="en-GB"/>
        </w:rPr>
        <w:t xml:space="preserve"> the Financial Regulations and Rules, Programme and Operations Policies and Procedures (POPP), organizational directives, policies and prescriptive guidance applicable to UNDP.</w:t>
      </w:r>
    </w:p>
    <w:p w14:paraId="501B086D" w14:textId="77777777" w:rsidR="00804AF0" w:rsidRDefault="00804AF0">
      <w:pPr>
        <w:jc w:val="both"/>
        <w:textAlignment w:val="baseline"/>
        <w:rPr>
          <w:rFonts w:ascii="Calibri" w:hAnsi="Calibri" w:cs="Calibri"/>
          <w:sz w:val="22"/>
          <w:szCs w:val="22"/>
          <w:lang w:eastAsia="en-GB"/>
        </w:rPr>
      </w:pPr>
    </w:p>
    <w:p w14:paraId="381F2214"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Persons with delegated authority will be held accountable for the regularity of their actions relating to management of IPSAs in their respective business unit.</w:t>
      </w:r>
    </w:p>
    <w:p w14:paraId="1D6B22FF" w14:textId="77777777" w:rsidR="00804AF0" w:rsidRDefault="00804AF0">
      <w:pPr>
        <w:jc w:val="both"/>
        <w:textAlignment w:val="baseline"/>
        <w:rPr>
          <w:rFonts w:ascii="Calibri" w:hAnsi="Calibri" w:cs="Calibri"/>
          <w:sz w:val="22"/>
          <w:szCs w:val="22"/>
          <w:lang w:eastAsia="en-GB"/>
        </w:rPr>
      </w:pPr>
    </w:p>
    <w:p w14:paraId="322A6049" w14:textId="77777777" w:rsidR="00804AF0" w:rsidRDefault="009A47D6">
      <w:pPr>
        <w:pStyle w:val="Heading1"/>
        <w:numPr>
          <w:ilvl w:val="0"/>
          <w:numId w:val="2"/>
        </w:numPr>
        <w:jc w:val="left"/>
        <w:rPr>
          <w:rFonts w:ascii="Calibri" w:hAnsi="Calibri" w:cs="Calibri"/>
          <w:b/>
          <w:bCs/>
          <w:sz w:val="22"/>
          <w:szCs w:val="22"/>
          <w:lang w:eastAsia="en-GB"/>
        </w:rPr>
      </w:pPr>
      <w:bookmarkStart w:id="37" w:name="_Toc161312423"/>
      <w:r>
        <w:rPr>
          <w:rFonts w:ascii="Calibri" w:hAnsi="Calibri" w:cs="Calibri"/>
          <w:b/>
          <w:bCs/>
          <w:sz w:val="22"/>
          <w:szCs w:val="22"/>
          <w:lang w:eastAsia="en-GB"/>
        </w:rPr>
        <w:t>Classification &amp; Established Scales</w:t>
      </w:r>
      <w:bookmarkEnd w:id="37"/>
    </w:p>
    <w:p w14:paraId="1EBCAD95"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475BF788" w14:textId="77777777" w:rsidR="00804AF0" w:rsidRDefault="009A47D6">
      <w:pPr>
        <w:numPr>
          <w:ilvl w:val="0"/>
          <w:numId w:val="4"/>
        </w:numPr>
        <w:jc w:val="both"/>
        <w:textAlignment w:val="baseline"/>
        <w:rPr>
          <w:rFonts w:ascii="Calibri" w:hAnsi="Calibri" w:cs="Calibri"/>
          <w:sz w:val="22"/>
          <w:szCs w:val="22"/>
          <w:lang w:eastAsia="en-GB"/>
        </w:rPr>
      </w:pPr>
      <w:bookmarkStart w:id="38" w:name="_Hlk56981627"/>
      <w:bookmarkStart w:id="39" w:name="OLE_LINK24"/>
      <w:bookmarkStart w:id="40" w:name="OLE_LINK46"/>
      <w:r>
        <w:rPr>
          <w:rFonts w:ascii="Calibri" w:hAnsi="Calibri" w:cs="Calibri"/>
          <w:sz w:val="22"/>
          <w:szCs w:val="22"/>
          <w:lang w:eastAsia="en-GB"/>
        </w:rPr>
        <w:t>The IPSA (Regular and Short-term) consists of a number of levels at which IPSA holders are recruited. The levels are established with broad reference to the International Professional grades and correspond to them in terms of methodology of classification. All IPSA Terms of Reference use UNDP’s competency framework, and positions are classified using standards and frames of reference used within the UN system</w:t>
      </w:r>
      <w:r>
        <w:rPr>
          <w:rFonts w:ascii="Calibri" w:hAnsi="Calibri" w:cs="Calibri"/>
          <w:color w:val="000000"/>
          <w:sz w:val="22"/>
          <w:szCs w:val="22"/>
          <w:lang w:eastAsia="en-GB"/>
        </w:rPr>
        <w:t>.</w:t>
      </w:r>
    </w:p>
    <w:bookmarkEnd w:id="38"/>
    <w:bookmarkEnd w:id="39"/>
    <w:bookmarkEnd w:id="40"/>
    <w:p w14:paraId="2E340468" w14:textId="77777777" w:rsidR="00804AF0" w:rsidRDefault="00804AF0">
      <w:pPr>
        <w:ind w:left="425"/>
        <w:jc w:val="both"/>
        <w:textAlignment w:val="baseline"/>
        <w:rPr>
          <w:rFonts w:ascii="Calibri" w:hAnsi="Calibri" w:cs="Calibri"/>
          <w:sz w:val="22"/>
          <w:szCs w:val="22"/>
          <w:lang w:eastAsia="en-GB"/>
        </w:rPr>
      </w:pPr>
    </w:p>
    <w:p w14:paraId="1C99E81E"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576A94AC"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following levels and classifications scale are established:</w:t>
      </w:r>
    </w:p>
    <w:p w14:paraId="2ED67928"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74F2B1DE" w14:textId="77777777" w:rsidR="00804AF0" w:rsidRDefault="009A47D6">
      <w:pPr>
        <w:ind w:left="1440" w:firstLine="1440"/>
        <w:jc w:val="both"/>
        <w:textAlignment w:val="baseline"/>
        <w:rPr>
          <w:rFonts w:ascii="Calibri" w:hAnsi="Calibri" w:cs="Calibri"/>
          <w:sz w:val="22"/>
          <w:szCs w:val="22"/>
          <w:lang w:eastAsia="en-GB"/>
        </w:rPr>
      </w:pPr>
      <w:r>
        <w:rPr>
          <w:rFonts w:ascii="Calibri" w:hAnsi="Calibri" w:cs="Calibri"/>
          <w:sz w:val="22"/>
          <w:szCs w:val="22"/>
          <w:lang w:eastAsia="en-GB"/>
        </w:rPr>
        <w:t>IPSA8 (equivalent to P1)</w:t>
      </w:r>
    </w:p>
    <w:p w14:paraId="1D9E96A6" w14:textId="77777777" w:rsidR="00804AF0" w:rsidRDefault="009A47D6">
      <w:pPr>
        <w:ind w:left="1440" w:firstLine="1440"/>
        <w:jc w:val="both"/>
        <w:textAlignment w:val="baseline"/>
        <w:rPr>
          <w:rFonts w:ascii="Calibri" w:hAnsi="Calibri" w:cs="Calibri"/>
          <w:sz w:val="22"/>
          <w:szCs w:val="22"/>
          <w:lang w:eastAsia="en-GB"/>
        </w:rPr>
      </w:pPr>
      <w:r>
        <w:rPr>
          <w:rFonts w:ascii="Calibri" w:hAnsi="Calibri" w:cs="Calibri"/>
          <w:sz w:val="22"/>
          <w:szCs w:val="22"/>
          <w:lang w:eastAsia="en-GB"/>
        </w:rPr>
        <w:t>IPSA9 (equivalent to P2)</w:t>
      </w:r>
    </w:p>
    <w:p w14:paraId="680621AA" w14:textId="77777777" w:rsidR="00804AF0" w:rsidRDefault="009A47D6">
      <w:pPr>
        <w:ind w:left="1440" w:firstLine="1440"/>
        <w:jc w:val="both"/>
        <w:textAlignment w:val="baseline"/>
        <w:rPr>
          <w:rFonts w:ascii="Calibri" w:hAnsi="Calibri" w:cs="Calibri"/>
          <w:sz w:val="22"/>
          <w:szCs w:val="22"/>
          <w:lang w:eastAsia="en-GB"/>
        </w:rPr>
      </w:pPr>
      <w:r>
        <w:rPr>
          <w:rFonts w:ascii="Calibri" w:hAnsi="Calibri" w:cs="Calibri"/>
          <w:sz w:val="22"/>
          <w:szCs w:val="22"/>
          <w:lang w:eastAsia="en-GB"/>
        </w:rPr>
        <w:t>IPSA10 (equivalent to P3)</w:t>
      </w:r>
    </w:p>
    <w:p w14:paraId="4E465BE9" w14:textId="77777777" w:rsidR="00804AF0" w:rsidRDefault="009A47D6">
      <w:pPr>
        <w:ind w:left="1440" w:firstLine="1440"/>
        <w:jc w:val="both"/>
        <w:textAlignment w:val="baseline"/>
        <w:rPr>
          <w:rFonts w:ascii="Calibri" w:hAnsi="Calibri" w:cs="Calibri"/>
          <w:sz w:val="22"/>
          <w:szCs w:val="22"/>
          <w:lang w:eastAsia="en-GB"/>
        </w:rPr>
      </w:pPr>
      <w:r>
        <w:rPr>
          <w:rFonts w:ascii="Calibri" w:hAnsi="Calibri" w:cs="Calibri"/>
          <w:sz w:val="22"/>
          <w:szCs w:val="22"/>
          <w:lang w:eastAsia="en-GB"/>
        </w:rPr>
        <w:t>IPSA11 (equivalent to P4)</w:t>
      </w:r>
    </w:p>
    <w:p w14:paraId="7C40DBB9" w14:textId="77777777" w:rsidR="00804AF0" w:rsidRDefault="009A47D6">
      <w:pPr>
        <w:ind w:left="1440" w:firstLine="1440"/>
        <w:jc w:val="both"/>
        <w:textAlignment w:val="baseline"/>
        <w:rPr>
          <w:rFonts w:ascii="Calibri" w:hAnsi="Calibri" w:cs="Calibri"/>
          <w:sz w:val="22"/>
          <w:szCs w:val="22"/>
          <w:lang w:eastAsia="en-GB"/>
        </w:rPr>
      </w:pPr>
      <w:r>
        <w:rPr>
          <w:rFonts w:ascii="Calibri" w:hAnsi="Calibri" w:cs="Calibri"/>
          <w:sz w:val="22"/>
          <w:szCs w:val="22"/>
          <w:lang w:eastAsia="en-GB"/>
        </w:rPr>
        <w:t>IPSA12 (equivalent to P5)</w:t>
      </w:r>
    </w:p>
    <w:p w14:paraId="5F3A3F7E" w14:textId="77777777" w:rsidR="00804AF0" w:rsidRDefault="009A47D6">
      <w:pPr>
        <w:ind w:left="1440" w:firstLine="1440"/>
        <w:jc w:val="both"/>
        <w:textAlignment w:val="baseline"/>
        <w:rPr>
          <w:rFonts w:ascii="Calibri" w:hAnsi="Calibri" w:cs="Calibri"/>
          <w:sz w:val="22"/>
          <w:szCs w:val="22"/>
          <w:lang w:eastAsia="en-GB"/>
        </w:rPr>
      </w:pPr>
      <w:r>
        <w:rPr>
          <w:rFonts w:ascii="Calibri" w:hAnsi="Calibri" w:cs="Calibri"/>
          <w:sz w:val="22"/>
          <w:szCs w:val="22"/>
          <w:lang w:eastAsia="en-GB"/>
        </w:rPr>
        <w:t>IPSA13 (equivalent to D1)</w:t>
      </w:r>
    </w:p>
    <w:p w14:paraId="58A2A534" w14:textId="77777777" w:rsidR="00804AF0" w:rsidRDefault="009A47D6">
      <w:pPr>
        <w:ind w:left="1440" w:firstLine="1440"/>
        <w:jc w:val="both"/>
        <w:textAlignment w:val="baseline"/>
        <w:rPr>
          <w:rFonts w:ascii="Calibri" w:hAnsi="Calibri" w:cs="Calibri"/>
          <w:sz w:val="22"/>
          <w:szCs w:val="22"/>
          <w:lang w:eastAsia="en-GB"/>
        </w:rPr>
      </w:pPr>
      <w:r>
        <w:rPr>
          <w:rFonts w:ascii="Calibri" w:hAnsi="Calibri" w:cs="Calibri"/>
          <w:sz w:val="22"/>
          <w:szCs w:val="22"/>
          <w:lang w:eastAsia="en-GB"/>
        </w:rPr>
        <w:t>IPSA14 (equivalent to D2)*</w:t>
      </w:r>
    </w:p>
    <w:p w14:paraId="72A8B353" w14:textId="77777777" w:rsidR="00804AF0" w:rsidRDefault="00804AF0">
      <w:pPr>
        <w:ind w:left="1440"/>
        <w:jc w:val="both"/>
        <w:textAlignment w:val="baseline"/>
        <w:rPr>
          <w:rFonts w:ascii="Calibri" w:hAnsi="Calibri" w:cs="Calibri"/>
          <w:sz w:val="22"/>
          <w:szCs w:val="22"/>
          <w:lang w:eastAsia="en-GB"/>
        </w:rPr>
      </w:pPr>
    </w:p>
    <w:p w14:paraId="4CF46585"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Specific senior technical roles, not for functions of a representative or authoritative nature</w:t>
      </w:r>
    </w:p>
    <w:p w14:paraId="56E78E95" w14:textId="77777777" w:rsidR="00804AF0" w:rsidRDefault="00804AF0">
      <w:pPr>
        <w:ind w:left="720" w:firstLine="2160"/>
        <w:jc w:val="both"/>
        <w:textAlignment w:val="baseline"/>
        <w:rPr>
          <w:rFonts w:ascii="Calibri" w:hAnsi="Calibri" w:cs="Calibri"/>
          <w:sz w:val="22"/>
          <w:szCs w:val="22"/>
          <w:lang w:eastAsia="en-GB"/>
        </w:rPr>
      </w:pPr>
    </w:p>
    <w:p w14:paraId="0C55E038" w14:textId="77777777" w:rsidR="00804AF0" w:rsidRDefault="009A47D6">
      <w:pPr>
        <w:pStyle w:val="Heading1"/>
        <w:numPr>
          <w:ilvl w:val="0"/>
          <w:numId w:val="2"/>
        </w:numPr>
        <w:jc w:val="left"/>
        <w:rPr>
          <w:rFonts w:ascii="Calibri" w:hAnsi="Calibri" w:cs="Calibri"/>
          <w:b/>
          <w:bCs/>
          <w:sz w:val="22"/>
          <w:szCs w:val="22"/>
          <w:lang w:eastAsia="en-GB"/>
        </w:rPr>
      </w:pPr>
      <w:bookmarkStart w:id="41" w:name="_Toc161312424"/>
      <w:bookmarkStart w:id="42" w:name="OLE_LINK25"/>
      <w:r>
        <w:rPr>
          <w:rFonts w:ascii="Calibri" w:hAnsi="Calibri" w:cs="Calibri"/>
          <w:b/>
          <w:bCs/>
          <w:sz w:val="22"/>
          <w:szCs w:val="22"/>
          <w:lang w:eastAsia="en-GB"/>
        </w:rPr>
        <w:t>Selection of IPSAs</w:t>
      </w:r>
      <w:bookmarkEnd w:id="41"/>
    </w:p>
    <w:bookmarkEnd w:id="42"/>
    <w:p w14:paraId="55878202" w14:textId="77777777" w:rsidR="00804AF0" w:rsidRDefault="00804AF0">
      <w:pPr>
        <w:jc w:val="both"/>
        <w:textAlignment w:val="baseline"/>
        <w:rPr>
          <w:rFonts w:ascii="Calibri" w:hAnsi="Calibri" w:cs="Calibri"/>
          <w:sz w:val="22"/>
          <w:szCs w:val="22"/>
          <w:lang w:eastAsia="en-GB"/>
        </w:rPr>
      </w:pPr>
    </w:p>
    <w:p w14:paraId="4A93735F" w14:textId="77777777" w:rsidR="00804AF0" w:rsidRDefault="009A47D6">
      <w:pPr>
        <w:numPr>
          <w:ilvl w:val="0"/>
          <w:numId w:val="4"/>
        </w:numPr>
        <w:jc w:val="both"/>
        <w:textAlignment w:val="baseline"/>
        <w:rPr>
          <w:rFonts w:ascii="Calibri" w:hAnsi="Calibri"/>
          <w:sz w:val="22"/>
          <w:szCs w:val="22"/>
        </w:rPr>
      </w:pPr>
      <w:bookmarkStart w:id="43" w:name="OLE_LINK26"/>
      <w:r>
        <w:rPr>
          <w:rFonts w:ascii="Calibri" w:hAnsi="Calibri" w:cs="Calibri"/>
          <w:sz w:val="22"/>
          <w:szCs w:val="22"/>
          <w:lang w:eastAsia="en-GB"/>
        </w:rPr>
        <w:t>UNDP Offices must comply with the principles of UNDP’s recruitment and selection framework, which include transparency and competitive selection, regardless of contract modality.</w:t>
      </w:r>
    </w:p>
    <w:p w14:paraId="15BDEBE4" w14:textId="77777777" w:rsidR="00804AF0" w:rsidRDefault="00804AF0">
      <w:pPr>
        <w:ind w:left="425"/>
        <w:jc w:val="both"/>
        <w:textAlignment w:val="baseline"/>
        <w:rPr>
          <w:rFonts w:ascii="Calibri" w:hAnsi="Calibri"/>
          <w:sz w:val="22"/>
          <w:szCs w:val="22"/>
        </w:rPr>
      </w:pPr>
    </w:p>
    <w:p w14:paraId="320F3E47" w14:textId="77777777" w:rsidR="00804AF0" w:rsidRDefault="009A47D6">
      <w:pPr>
        <w:numPr>
          <w:ilvl w:val="0"/>
          <w:numId w:val="4"/>
        </w:numPr>
        <w:jc w:val="both"/>
        <w:textAlignment w:val="baseline"/>
        <w:rPr>
          <w:rFonts w:ascii="Calibri" w:hAnsi="Calibri"/>
          <w:sz w:val="22"/>
          <w:szCs w:val="22"/>
        </w:rPr>
      </w:pPr>
      <w:bookmarkStart w:id="44" w:name="OLE_LINK27"/>
      <w:r>
        <w:rPr>
          <w:rFonts w:ascii="Calibri" w:hAnsi="Calibri"/>
          <w:sz w:val="22"/>
          <w:szCs w:val="22"/>
        </w:rPr>
        <w:t>The different modalities for the selection of IPSAs</w:t>
      </w:r>
      <w:bookmarkEnd w:id="44"/>
      <w:r>
        <w:rPr>
          <w:rFonts w:ascii="Calibri" w:hAnsi="Calibri"/>
          <w:sz w:val="22"/>
          <w:szCs w:val="22"/>
        </w:rPr>
        <w:t xml:space="preserve"> are outlined in Annex 1 to this policy.</w:t>
      </w:r>
    </w:p>
    <w:p w14:paraId="0DD50954" w14:textId="77777777" w:rsidR="00804AF0" w:rsidRDefault="00804AF0">
      <w:pPr>
        <w:pStyle w:val="ListParagraph"/>
        <w:tabs>
          <w:tab w:val="left" w:pos="1080"/>
        </w:tabs>
        <w:ind w:left="785"/>
        <w:jc w:val="both"/>
        <w:textAlignment w:val="baseline"/>
        <w:rPr>
          <w:rFonts w:ascii="Calibri" w:hAnsi="Calibri" w:cs="Calibri"/>
          <w:sz w:val="22"/>
          <w:szCs w:val="22"/>
        </w:rPr>
      </w:pPr>
    </w:p>
    <w:p w14:paraId="40D3A5B2" w14:textId="77777777" w:rsidR="00804AF0" w:rsidRDefault="009A47D6">
      <w:pPr>
        <w:pStyle w:val="ListParagraph"/>
        <w:numPr>
          <w:ilvl w:val="0"/>
          <w:numId w:val="11"/>
        </w:numPr>
        <w:tabs>
          <w:tab w:val="left" w:pos="0"/>
        </w:tabs>
        <w:jc w:val="both"/>
        <w:textAlignment w:val="baseline"/>
        <w:rPr>
          <w:rFonts w:ascii="Calibri" w:hAnsi="Calibri" w:cs="Calibri"/>
          <w:sz w:val="22"/>
          <w:szCs w:val="22"/>
        </w:rPr>
      </w:pPr>
      <w:r>
        <w:rPr>
          <w:rFonts w:ascii="Calibri" w:hAnsi="Calibri" w:cs="Calibri"/>
          <w:sz w:val="22"/>
          <w:szCs w:val="22"/>
        </w:rPr>
        <w:t>For regular IPSAs the modalities include:</w:t>
      </w:r>
    </w:p>
    <w:p w14:paraId="128870C3" w14:textId="77777777" w:rsidR="00804AF0" w:rsidRDefault="009A47D6">
      <w:pPr>
        <w:pStyle w:val="ListParagraph"/>
        <w:numPr>
          <w:ilvl w:val="0"/>
          <w:numId w:val="12"/>
        </w:numPr>
        <w:jc w:val="both"/>
        <w:textAlignment w:val="baseline"/>
        <w:rPr>
          <w:rFonts w:ascii="Calibri" w:hAnsi="Calibri" w:cs="Calibri"/>
          <w:sz w:val="22"/>
          <w:szCs w:val="22"/>
        </w:rPr>
      </w:pPr>
      <w:r>
        <w:rPr>
          <w:rFonts w:ascii="Calibri" w:hAnsi="Calibri" w:cs="Calibri"/>
          <w:sz w:val="22"/>
          <w:szCs w:val="22"/>
        </w:rPr>
        <w:t>Competitive, via a Vacancy Announcement (VA);</w:t>
      </w:r>
    </w:p>
    <w:p w14:paraId="175AAD2D" w14:textId="77777777" w:rsidR="00804AF0" w:rsidRDefault="009A47D6">
      <w:pPr>
        <w:pStyle w:val="ListParagraph"/>
        <w:numPr>
          <w:ilvl w:val="0"/>
          <w:numId w:val="12"/>
        </w:numPr>
        <w:jc w:val="both"/>
        <w:textAlignment w:val="baseline"/>
        <w:rPr>
          <w:rFonts w:ascii="Calibri" w:hAnsi="Calibri" w:cs="Calibri"/>
          <w:sz w:val="22"/>
          <w:szCs w:val="22"/>
        </w:rPr>
      </w:pPr>
      <w:r>
        <w:rPr>
          <w:rFonts w:ascii="Calibri" w:hAnsi="Calibri" w:cs="Calibri"/>
          <w:sz w:val="22"/>
          <w:szCs w:val="22"/>
        </w:rPr>
        <w:t>Using a candidate that has been pre-assessed in a previous competitive process at the same grade level, in the last 36 months;</w:t>
      </w:r>
    </w:p>
    <w:p w14:paraId="0CB26401" w14:textId="77777777" w:rsidR="00804AF0" w:rsidRDefault="009A47D6">
      <w:pPr>
        <w:pStyle w:val="ListParagraph"/>
        <w:numPr>
          <w:ilvl w:val="0"/>
          <w:numId w:val="12"/>
        </w:numPr>
        <w:jc w:val="both"/>
        <w:textAlignment w:val="baseline"/>
        <w:rPr>
          <w:rFonts w:ascii="Calibri" w:hAnsi="Calibri" w:cs="Calibri"/>
          <w:sz w:val="22"/>
          <w:szCs w:val="22"/>
        </w:rPr>
      </w:pPr>
      <w:r>
        <w:rPr>
          <w:rFonts w:ascii="Calibri" w:hAnsi="Calibri" w:cs="Calibri"/>
          <w:sz w:val="22"/>
          <w:szCs w:val="22"/>
        </w:rPr>
        <w:t>Direct selection from an HR or other approved Roster;</w:t>
      </w:r>
    </w:p>
    <w:p w14:paraId="32B326DF" w14:textId="77777777" w:rsidR="00804AF0" w:rsidRDefault="009A47D6">
      <w:pPr>
        <w:pStyle w:val="ListParagraph"/>
        <w:numPr>
          <w:ilvl w:val="0"/>
          <w:numId w:val="12"/>
        </w:numPr>
        <w:jc w:val="both"/>
        <w:textAlignment w:val="baseline"/>
        <w:rPr>
          <w:rFonts w:ascii="Calibri" w:hAnsi="Calibri" w:cs="Calibri"/>
          <w:sz w:val="22"/>
          <w:szCs w:val="22"/>
        </w:rPr>
      </w:pPr>
      <w:r>
        <w:rPr>
          <w:rFonts w:ascii="Calibri" w:hAnsi="Calibri" w:cs="Calibri"/>
          <w:sz w:val="22"/>
          <w:szCs w:val="22"/>
        </w:rPr>
        <w:t xml:space="preserve"> Lateral move from another IPSA position to a substantially similar role at the same level; and</w:t>
      </w:r>
    </w:p>
    <w:p w14:paraId="1DE70ECF" w14:textId="77777777" w:rsidR="00804AF0" w:rsidRDefault="009A47D6">
      <w:pPr>
        <w:pStyle w:val="ListParagraph"/>
        <w:numPr>
          <w:ilvl w:val="0"/>
          <w:numId w:val="12"/>
        </w:numPr>
        <w:jc w:val="both"/>
        <w:textAlignment w:val="baseline"/>
        <w:rPr>
          <w:rFonts w:ascii="Calibri" w:hAnsi="Calibri" w:cs="Calibri"/>
          <w:sz w:val="22"/>
          <w:szCs w:val="22"/>
        </w:rPr>
      </w:pPr>
      <w:r>
        <w:rPr>
          <w:rFonts w:ascii="Calibri" w:hAnsi="Calibri" w:cs="Calibri"/>
          <w:sz w:val="22"/>
          <w:szCs w:val="22"/>
        </w:rPr>
        <w:t>Direct selection upon approval of the  Bureau Director.</w:t>
      </w:r>
    </w:p>
    <w:p w14:paraId="442FCDDA" w14:textId="77777777" w:rsidR="00804AF0" w:rsidRDefault="00804AF0">
      <w:pPr>
        <w:pStyle w:val="ListParagraph"/>
        <w:tabs>
          <w:tab w:val="left" w:pos="1080"/>
          <w:tab w:val="left" w:pos="3240"/>
          <w:tab w:val="left" w:pos="3960"/>
        </w:tabs>
        <w:ind w:left="1440"/>
        <w:jc w:val="both"/>
        <w:textAlignment w:val="baseline"/>
        <w:rPr>
          <w:rFonts w:ascii="Calibri" w:hAnsi="Calibri" w:cs="Calibri"/>
          <w:sz w:val="22"/>
          <w:szCs w:val="22"/>
        </w:rPr>
      </w:pPr>
    </w:p>
    <w:p w14:paraId="78F8F5F0" w14:textId="77777777" w:rsidR="00804AF0" w:rsidRDefault="009A47D6">
      <w:pPr>
        <w:pStyle w:val="ListParagraph"/>
        <w:numPr>
          <w:ilvl w:val="0"/>
          <w:numId w:val="11"/>
        </w:numPr>
        <w:tabs>
          <w:tab w:val="left" w:pos="0"/>
        </w:tabs>
        <w:jc w:val="both"/>
        <w:textAlignment w:val="baseline"/>
        <w:rPr>
          <w:rFonts w:ascii="Calibri" w:hAnsi="Calibri" w:cs="Calibri"/>
          <w:sz w:val="22"/>
          <w:szCs w:val="22"/>
        </w:rPr>
      </w:pPr>
      <w:r>
        <w:rPr>
          <w:rFonts w:ascii="Calibri" w:hAnsi="Calibri" w:cs="Calibri"/>
          <w:sz w:val="22"/>
          <w:szCs w:val="22"/>
        </w:rPr>
        <w:t>In addition to the modalities listed in i), for short-term IPSAs, the modalities include:</w:t>
      </w:r>
    </w:p>
    <w:p w14:paraId="01FFFEEA" w14:textId="77777777" w:rsidR="00804AF0" w:rsidRDefault="009A47D6">
      <w:pPr>
        <w:pStyle w:val="ListParagraph"/>
        <w:numPr>
          <w:ilvl w:val="0"/>
          <w:numId w:val="13"/>
        </w:numPr>
        <w:jc w:val="both"/>
        <w:textAlignment w:val="baseline"/>
        <w:rPr>
          <w:rFonts w:ascii="Calibri" w:hAnsi="Calibri" w:cs="Calibri"/>
          <w:sz w:val="22"/>
          <w:szCs w:val="22"/>
        </w:rPr>
      </w:pPr>
      <w:r>
        <w:rPr>
          <w:rFonts w:ascii="Calibri" w:hAnsi="Calibri" w:cs="Calibri"/>
          <w:sz w:val="22"/>
          <w:szCs w:val="22"/>
        </w:rPr>
        <w:t>Direct selection from a procurement roster, i.e., GPN;</w:t>
      </w:r>
    </w:p>
    <w:p w14:paraId="54E2FAE6" w14:textId="77777777" w:rsidR="00804AF0" w:rsidRDefault="009A47D6">
      <w:pPr>
        <w:pStyle w:val="ListParagraph"/>
        <w:numPr>
          <w:ilvl w:val="0"/>
          <w:numId w:val="13"/>
        </w:numPr>
        <w:jc w:val="both"/>
        <w:textAlignment w:val="baseline"/>
        <w:rPr>
          <w:rFonts w:ascii="Calibri" w:hAnsi="Calibri" w:cs="Calibri"/>
          <w:sz w:val="22"/>
          <w:szCs w:val="22"/>
        </w:rPr>
      </w:pPr>
      <w:r>
        <w:rPr>
          <w:rFonts w:ascii="Calibri" w:hAnsi="Calibri" w:cs="Calibri"/>
          <w:sz w:val="22"/>
          <w:szCs w:val="22"/>
        </w:rPr>
        <w:t>Direct selection of an individual serving as an IC holder in 2021 or thereafter; and</w:t>
      </w:r>
    </w:p>
    <w:p w14:paraId="22C0239F" w14:textId="77777777" w:rsidR="00804AF0" w:rsidRDefault="009A47D6">
      <w:pPr>
        <w:pStyle w:val="ListParagraph"/>
        <w:numPr>
          <w:ilvl w:val="0"/>
          <w:numId w:val="13"/>
        </w:numPr>
        <w:jc w:val="both"/>
        <w:textAlignment w:val="baseline"/>
        <w:rPr>
          <w:rFonts w:ascii="Calibri" w:hAnsi="Calibri" w:cs="Calibri"/>
          <w:sz w:val="22"/>
          <w:szCs w:val="22"/>
        </w:rPr>
      </w:pPr>
      <w:r>
        <w:rPr>
          <w:rFonts w:ascii="Calibri" w:hAnsi="Calibri" w:cs="Calibri"/>
          <w:sz w:val="22"/>
          <w:szCs w:val="22"/>
        </w:rPr>
        <w:t>Review and assessment of candidate CVs/P11s.</w:t>
      </w:r>
    </w:p>
    <w:p w14:paraId="402361FB" w14:textId="77777777" w:rsidR="00804AF0" w:rsidRDefault="00804AF0">
      <w:pPr>
        <w:pStyle w:val="ListParagraph"/>
        <w:tabs>
          <w:tab w:val="left" w:pos="1080"/>
          <w:tab w:val="left" w:pos="3240"/>
          <w:tab w:val="left" w:pos="3960"/>
        </w:tabs>
        <w:ind w:left="1440"/>
        <w:jc w:val="both"/>
        <w:textAlignment w:val="baseline"/>
        <w:rPr>
          <w:rFonts w:ascii="Calibri" w:hAnsi="Calibri" w:cs="Calibri"/>
          <w:sz w:val="22"/>
          <w:szCs w:val="22"/>
        </w:rPr>
      </w:pPr>
    </w:p>
    <w:p w14:paraId="28729E25"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For competitive recruitment processes, one or more assessment methods must be used. These can include, among others, panel interviews, tests, desk reviews, technical assessments.</w:t>
      </w:r>
    </w:p>
    <w:p w14:paraId="5029C19D" w14:textId="77777777" w:rsidR="00804AF0" w:rsidRDefault="00804AF0">
      <w:pPr>
        <w:ind w:left="425"/>
        <w:jc w:val="both"/>
        <w:textAlignment w:val="baseline"/>
        <w:rPr>
          <w:rFonts w:ascii="Calibri" w:hAnsi="Calibri" w:cs="Calibri"/>
          <w:sz w:val="22"/>
          <w:szCs w:val="22"/>
          <w:lang w:eastAsia="en-GB"/>
        </w:rPr>
      </w:pPr>
    </w:p>
    <w:p w14:paraId="6CF58B82" w14:textId="77777777" w:rsidR="00804AF0" w:rsidRDefault="009A47D6">
      <w:pPr>
        <w:pStyle w:val="Heading1"/>
        <w:numPr>
          <w:ilvl w:val="0"/>
          <w:numId w:val="2"/>
        </w:numPr>
        <w:jc w:val="left"/>
        <w:rPr>
          <w:rFonts w:ascii="Calibri" w:hAnsi="Calibri" w:cs="Calibri"/>
          <w:b/>
          <w:bCs/>
          <w:sz w:val="22"/>
          <w:szCs w:val="22"/>
          <w:lang w:eastAsia="en-GB"/>
        </w:rPr>
      </w:pPr>
      <w:bookmarkStart w:id="45" w:name="_Toc161312425"/>
      <w:bookmarkEnd w:id="43"/>
      <w:r>
        <w:rPr>
          <w:rFonts w:ascii="Calibri" w:hAnsi="Calibri" w:cs="Calibri"/>
          <w:b/>
          <w:bCs/>
          <w:sz w:val="22"/>
          <w:szCs w:val="22"/>
          <w:lang w:eastAsia="en-GB"/>
        </w:rPr>
        <w:lastRenderedPageBreak/>
        <w:t>Medical Clearance</w:t>
      </w:r>
      <w:bookmarkEnd w:id="45"/>
      <w:r>
        <w:rPr>
          <w:rFonts w:ascii="Calibri" w:hAnsi="Calibri" w:cs="Calibri"/>
          <w:b/>
          <w:bCs/>
          <w:sz w:val="22"/>
          <w:szCs w:val="22"/>
          <w:lang w:eastAsia="en-GB"/>
        </w:rPr>
        <w:t> </w:t>
      </w:r>
    </w:p>
    <w:p w14:paraId="22F5F483"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50B209D9"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Individuals are responsible to ensure that their medical state is suitable and adequate to perform the functions they have applied for or have agreed to perform.</w:t>
      </w:r>
    </w:p>
    <w:p w14:paraId="5930B5E1" w14:textId="77777777" w:rsidR="00804AF0" w:rsidRDefault="00804AF0">
      <w:pPr>
        <w:jc w:val="both"/>
        <w:textAlignment w:val="baseline"/>
        <w:rPr>
          <w:rFonts w:ascii="Calibri" w:hAnsi="Calibri" w:cs="Calibri"/>
          <w:sz w:val="22"/>
          <w:szCs w:val="22"/>
          <w:lang w:eastAsia="en-GB"/>
        </w:rPr>
      </w:pPr>
    </w:p>
    <w:p w14:paraId="3CBE4FBB" w14:textId="7F64B7E9"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A </w:t>
      </w:r>
      <w:hyperlink r:id="rId8" w:history="1">
        <w:r>
          <w:rPr>
            <w:rStyle w:val="Hyperlink"/>
            <w:rFonts w:ascii="Calibri" w:hAnsi="Calibri" w:cs="Calibri"/>
            <w:sz w:val="22"/>
            <w:szCs w:val="22"/>
            <w:lang w:eastAsia="en-GB"/>
          </w:rPr>
          <w:t>medical certificate</w:t>
        </w:r>
      </w:hyperlink>
      <w:r>
        <w:rPr>
          <w:rFonts w:ascii="Calibri" w:hAnsi="Calibri" w:cs="Calibri"/>
          <w:sz w:val="22"/>
          <w:szCs w:val="22"/>
          <w:lang w:eastAsia="en-GB"/>
        </w:rPr>
        <w:t xml:space="preserve"> from a physician certifying the mental and physical health of the individual is suitable for the performance of the duties and responsibilities, as well as the working environment in terms of location, are required, and should be submitted by the individual prior to any contractual engagement. The cost of the medical examination should be charged to the same source of funding as the IPSA itself, and the medical certification should be placed in the relevant file of the IPSA holder.</w:t>
      </w:r>
    </w:p>
    <w:p w14:paraId="6C058E59" w14:textId="77777777" w:rsidR="00804AF0" w:rsidRDefault="00804AF0">
      <w:pPr>
        <w:jc w:val="both"/>
        <w:textAlignment w:val="baseline"/>
        <w:rPr>
          <w:rFonts w:ascii="Calibri" w:hAnsi="Calibri" w:cs="Calibri"/>
          <w:sz w:val="22"/>
          <w:szCs w:val="22"/>
          <w:lang w:eastAsia="en-GB"/>
        </w:rPr>
      </w:pPr>
    </w:p>
    <w:p w14:paraId="2C32EF3C"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may be required, at any time, to undergo a medical examination when requested to do so to protect their health and safety, to follow-up on chronic health conditions, or to assess how a change in health circumstances since a prior certification might affect an IPSA holder’s capability to fulfill the functions for which they were contracted.</w:t>
      </w:r>
    </w:p>
    <w:p w14:paraId="391090DC" w14:textId="77777777" w:rsidR="00804AF0" w:rsidRDefault="00804AF0">
      <w:pPr>
        <w:jc w:val="both"/>
        <w:textAlignment w:val="baseline"/>
        <w:rPr>
          <w:rFonts w:ascii="Calibri" w:hAnsi="Calibri" w:cs="Calibri"/>
          <w:b/>
          <w:bCs/>
          <w:sz w:val="22"/>
          <w:szCs w:val="22"/>
          <w:lang w:eastAsia="en-GB"/>
        </w:rPr>
      </w:pPr>
    </w:p>
    <w:p w14:paraId="4B922D60" w14:textId="77777777" w:rsidR="00804AF0" w:rsidRDefault="009A47D6">
      <w:pPr>
        <w:pStyle w:val="Heading1"/>
        <w:numPr>
          <w:ilvl w:val="0"/>
          <w:numId w:val="2"/>
        </w:numPr>
        <w:jc w:val="left"/>
        <w:rPr>
          <w:rFonts w:ascii="Calibri" w:hAnsi="Calibri" w:cs="Calibri"/>
          <w:b/>
          <w:bCs/>
          <w:sz w:val="22"/>
          <w:szCs w:val="22"/>
          <w:lang w:eastAsia="en-GB"/>
        </w:rPr>
      </w:pPr>
      <w:bookmarkStart w:id="46" w:name="_Toc161312426"/>
      <w:r>
        <w:rPr>
          <w:rFonts w:ascii="Calibri" w:hAnsi="Calibri" w:cs="Calibri"/>
          <w:b/>
          <w:bCs/>
          <w:sz w:val="22"/>
          <w:szCs w:val="22"/>
          <w:lang w:eastAsia="en-GB"/>
        </w:rPr>
        <w:t>Part-time work</w:t>
      </w:r>
      <w:bookmarkEnd w:id="46"/>
    </w:p>
    <w:p w14:paraId="41E39377" w14:textId="77777777" w:rsidR="00804AF0" w:rsidRDefault="00804AF0">
      <w:pPr>
        <w:ind w:left="720"/>
        <w:jc w:val="both"/>
        <w:textAlignment w:val="baseline"/>
        <w:rPr>
          <w:rFonts w:ascii="Calibri" w:hAnsi="Calibri" w:cs="Calibri"/>
          <w:sz w:val="22"/>
          <w:szCs w:val="22"/>
          <w:lang w:eastAsia="en-GB"/>
        </w:rPr>
      </w:pPr>
    </w:p>
    <w:p w14:paraId="529D2308"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hiring business unit may deem that the functions and activities appropriate for the IPSA modality may be performed on a part-time basis. The basic principle for establishing the pay for part-time remuneration is that of pro-rating the pay from full-time pay for comparable work. For example, if an IPSA holder is engaged to work a four-day week (with normal working hours) the pay would be set at 80% of the pay for an IPSA with the same terms of reference on a full-time basis. Similarly, any other elements in the pay package (e.g. the organization’s portion of the subsidy for health insurance; group life and disability insurance etc. will be 80%) are to be pro-rated in the same manner.</w:t>
      </w:r>
    </w:p>
    <w:p w14:paraId="7155CBD6" w14:textId="77777777" w:rsidR="00804AF0" w:rsidRDefault="00804AF0">
      <w:pPr>
        <w:jc w:val="both"/>
        <w:textAlignment w:val="baseline"/>
        <w:rPr>
          <w:rFonts w:ascii="Calibri" w:hAnsi="Calibri" w:cs="Calibri"/>
          <w:sz w:val="22"/>
          <w:szCs w:val="22"/>
          <w:lang w:eastAsia="en-GB"/>
        </w:rPr>
      </w:pPr>
    </w:p>
    <w:p w14:paraId="0379BA18"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precise working arrangements of the part-time work must be clearly specified in the agreement and understood by the IPSA holder and the immediate supervisor. Any change to the hours of work and pay must be made by an amendment to the agreement.</w:t>
      </w:r>
    </w:p>
    <w:p w14:paraId="6FE4ED2D" w14:textId="77777777" w:rsidR="00804AF0" w:rsidRDefault="00804AF0">
      <w:pPr>
        <w:jc w:val="both"/>
        <w:textAlignment w:val="baseline"/>
        <w:rPr>
          <w:rFonts w:ascii="Calibri" w:hAnsi="Calibri" w:cs="Calibri"/>
          <w:sz w:val="22"/>
          <w:szCs w:val="22"/>
          <w:lang w:eastAsia="en-GB"/>
        </w:rPr>
      </w:pPr>
    </w:p>
    <w:p w14:paraId="3C6BDBF9" w14:textId="77777777" w:rsidR="00804AF0" w:rsidRDefault="009A47D6">
      <w:pPr>
        <w:pStyle w:val="Heading1"/>
        <w:numPr>
          <w:ilvl w:val="0"/>
          <w:numId w:val="2"/>
        </w:numPr>
        <w:jc w:val="left"/>
        <w:rPr>
          <w:rFonts w:ascii="Calibri" w:hAnsi="Calibri" w:cs="Calibri"/>
          <w:b/>
          <w:bCs/>
          <w:sz w:val="22"/>
          <w:szCs w:val="22"/>
          <w:lang w:eastAsia="en-GB"/>
        </w:rPr>
      </w:pPr>
      <w:bookmarkStart w:id="47" w:name="_Toc161312427"/>
      <w:r>
        <w:rPr>
          <w:rFonts w:ascii="Calibri" w:hAnsi="Calibri" w:cs="Calibri"/>
          <w:b/>
          <w:bCs/>
          <w:sz w:val="22"/>
          <w:szCs w:val="22"/>
          <w:lang w:eastAsia="en-GB"/>
        </w:rPr>
        <w:t>IPSA Extension, Expiration and Termination:</w:t>
      </w:r>
      <w:bookmarkEnd w:id="47"/>
    </w:p>
    <w:p w14:paraId="10E2A66B" w14:textId="77777777" w:rsidR="00804AF0" w:rsidRDefault="00804AF0">
      <w:pPr>
        <w:jc w:val="both"/>
        <w:textAlignment w:val="baseline"/>
        <w:rPr>
          <w:rFonts w:ascii="Calibri" w:hAnsi="Calibri" w:cs="Calibri"/>
          <w:sz w:val="22"/>
          <w:szCs w:val="22"/>
          <w:lang w:eastAsia="en-GB"/>
        </w:rPr>
      </w:pPr>
    </w:p>
    <w:p w14:paraId="62170ADF"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IPSA Extension (Regular IPSAs)</w:t>
      </w:r>
    </w:p>
    <w:p w14:paraId="2908E91A" w14:textId="77777777" w:rsidR="00804AF0" w:rsidRDefault="00804AF0">
      <w:pPr>
        <w:jc w:val="both"/>
        <w:textAlignment w:val="baseline"/>
        <w:rPr>
          <w:rFonts w:ascii="Calibri" w:hAnsi="Calibri" w:cs="Calibri"/>
          <w:sz w:val="22"/>
          <w:szCs w:val="22"/>
          <w:lang w:eastAsia="en-GB"/>
        </w:rPr>
      </w:pPr>
    </w:p>
    <w:p w14:paraId="55E346FD" w14:textId="77777777" w:rsidR="00804AF0" w:rsidRDefault="009A47D6">
      <w:pPr>
        <w:numPr>
          <w:ilvl w:val="0"/>
          <w:numId w:val="4"/>
        </w:numPr>
        <w:jc w:val="both"/>
        <w:textAlignment w:val="baseline"/>
        <w:rPr>
          <w:rFonts w:ascii="Calibri" w:hAnsi="Calibri" w:cs="Calibri"/>
          <w:sz w:val="22"/>
          <w:szCs w:val="22"/>
          <w:lang w:eastAsia="en-GB"/>
        </w:rPr>
      </w:pPr>
      <w:bookmarkStart w:id="48" w:name="OLE_LINK28"/>
      <w:r>
        <w:rPr>
          <w:rFonts w:ascii="Calibri" w:hAnsi="Calibri" w:cs="Calibri"/>
          <w:sz w:val="22"/>
          <w:szCs w:val="22"/>
          <w:lang w:eastAsia="en-GB"/>
        </w:rPr>
        <w:t>If a decision is taken to extend an IPSA, it is an opportunity to discuss and review the terms of reference, and whether any modifications are needed, bearing in mind that significant modification may require a new agreement altogether. Changes of more than two main functions are considered significant modifications and require a new hiring process.</w:t>
      </w:r>
      <w:bookmarkEnd w:id="48"/>
    </w:p>
    <w:p w14:paraId="0B2728C3" w14:textId="77777777" w:rsidR="00804AF0" w:rsidRDefault="00804AF0">
      <w:pPr>
        <w:ind w:left="1080" w:firstLine="60"/>
        <w:jc w:val="both"/>
        <w:textAlignment w:val="baseline"/>
        <w:rPr>
          <w:rFonts w:ascii="Calibri" w:hAnsi="Calibri" w:cs="Calibri"/>
          <w:sz w:val="22"/>
          <w:szCs w:val="22"/>
          <w:lang w:eastAsia="en-GB"/>
        </w:rPr>
      </w:pPr>
    </w:p>
    <w:p w14:paraId="785373F0"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An IPSA can be renewed for periods up to one year at a time, in line with fund availability and suitability of performance. </w:t>
      </w:r>
    </w:p>
    <w:p w14:paraId="3493B9BF" w14:textId="77777777" w:rsidR="00804AF0" w:rsidRDefault="009A47D6">
      <w:pPr>
        <w:jc w:val="both"/>
        <w:textAlignment w:val="baseline"/>
        <w:rPr>
          <w:rFonts w:ascii="Calibri" w:hAnsi="Calibri" w:cs="Calibri"/>
          <w:b/>
          <w:bCs/>
          <w:color w:val="000000"/>
          <w:sz w:val="22"/>
          <w:szCs w:val="22"/>
          <w:lang w:eastAsia="en-GB"/>
        </w:rPr>
      </w:pPr>
      <w:r>
        <w:rPr>
          <w:rFonts w:ascii="Calibri" w:hAnsi="Calibri" w:cs="Calibri"/>
          <w:b/>
          <w:bCs/>
          <w:color w:val="000000"/>
          <w:sz w:val="22"/>
          <w:szCs w:val="22"/>
          <w:lang w:eastAsia="en-GB"/>
        </w:rPr>
        <w:t> </w:t>
      </w:r>
    </w:p>
    <w:p w14:paraId="22499C18"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Expiration of IPSAs</w:t>
      </w:r>
    </w:p>
    <w:p w14:paraId="7CF61809" w14:textId="77777777" w:rsidR="00804AF0" w:rsidRDefault="00804AF0">
      <w:pPr>
        <w:ind w:left="1080" w:firstLine="60"/>
        <w:jc w:val="both"/>
        <w:textAlignment w:val="baseline"/>
        <w:rPr>
          <w:rFonts w:ascii="Calibri" w:hAnsi="Calibri" w:cs="Calibri"/>
          <w:sz w:val="22"/>
          <w:szCs w:val="22"/>
          <w:lang w:eastAsia="en-GB"/>
        </w:rPr>
      </w:pPr>
    </w:p>
    <w:p w14:paraId="080510E0" w14:textId="77777777" w:rsidR="00804AF0" w:rsidRDefault="009A47D6">
      <w:pPr>
        <w:numPr>
          <w:ilvl w:val="0"/>
          <w:numId w:val="4"/>
        </w:numPr>
        <w:jc w:val="both"/>
        <w:textAlignment w:val="baseline"/>
        <w:rPr>
          <w:rFonts w:ascii="Calibri" w:hAnsi="Calibri" w:cs="Calibri"/>
          <w:sz w:val="22"/>
          <w:szCs w:val="22"/>
          <w:lang w:eastAsia="en-GB"/>
        </w:rPr>
      </w:pPr>
      <w:bookmarkStart w:id="49" w:name="_Hlk56978970"/>
      <w:r>
        <w:rPr>
          <w:rFonts w:ascii="Calibri" w:hAnsi="Calibri" w:cs="Calibri"/>
          <w:sz w:val="22"/>
          <w:szCs w:val="22"/>
          <w:lang w:eastAsia="en-GB"/>
        </w:rPr>
        <w:t xml:space="preserve">IPSAs carry no expectation of renewal beyond </w:t>
      </w:r>
      <w:proofErr w:type="gramStart"/>
      <w:r>
        <w:rPr>
          <w:rFonts w:ascii="Calibri" w:hAnsi="Calibri" w:cs="Calibri"/>
          <w:sz w:val="22"/>
          <w:szCs w:val="22"/>
          <w:lang w:eastAsia="en-GB"/>
        </w:rPr>
        <w:t>its</w:t>
      </w:r>
      <w:proofErr w:type="gramEnd"/>
      <w:r>
        <w:rPr>
          <w:rFonts w:ascii="Calibri" w:hAnsi="Calibri" w:cs="Calibri"/>
          <w:sz w:val="22"/>
          <w:szCs w:val="22"/>
          <w:lang w:eastAsia="en-GB"/>
        </w:rPr>
        <w:t xml:space="preserve"> expiration date. Should the supervisor wish to extend the IPSA beyond its expiration date, a request for extension should be made, </w:t>
      </w:r>
      <w:r>
        <w:rPr>
          <w:rFonts w:ascii="Calibri" w:hAnsi="Calibri" w:cs="Calibri"/>
          <w:sz w:val="22"/>
          <w:szCs w:val="22"/>
          <w:lang w:eastAsia="en-GB"/>
        </w:rPr>
        <w:lastRenderedPageBreak/>
        <w:t>following communication with the IPSA holder and as early as possible before the expiration date of the IPSA.</w:t>
      </w:r>
    </w:p>
    <w:bookmarkEnd w:id="49"/>
    <w:p w14:paraId="456521BD" w14:textId="77777777" w:rsidR="00804AF0" w:rsidRDefault="00804AF0">
      <w:pPr>
        <w:jc w:val="both"/>
        <w:textAlignment w:val="baseline"/>
        <w:rPr>
          <w:rFonts w:ascii="Calibri" w:hAnsi="Calibri" w:cs="Calibri"/>
          <w:sz w:val="22"/>
          <w:szCs w:val="22"/>
          <w:lang w:eastAsia="en-GB"/>
        </w:rPr>
      </w:pPr>
    </w:p>
    <w:p w14:paraId="53CC2A9F"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In the event that a regular IPSA is not renewed, the supervisor must inform the operational units (HR/Finance/IT) to ensure that necessary actions are taken, e.g. recovery of any indebtedness to the organization, return of UNDP property such as computers/laptops, building access ID cards, keys, badges, etc. and release of final pay. </w:t>
      </w:r>
    </w:p>
    <w:p w14:paraId="5A8C033B" w14:textId="77777777" w:rsidR="00804AF0" w:rsidRDefault="00804AF0">
      <w:pPr>
        <w:jc w:val="both"/>
        <w:textAlignment w:val="baseline"/>
        <w:rPr>
          <w:rFonts w:ascii="Calibri" w:hAnsi="Calibri" w:cs="Calibri"/>
          <w:sz w:val="22"/>
          <w:szCs w:val="22"/>
          <w:lang w:eastAsia="en-GB"/>
        </w:rPr>
      </w:pPr>
    </w:p>
    <w:p w14:paraId="4864D6BC"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UNDP Office may provide a letter of service upon request.</w:t>
      </w:r>
    </w:p>
    <w:p w14:paraId="5F8EBE24" w14:textId="77777777" w:rsidR="00804AF0" w:rsidRDefault="00804AF0">
      <w:pPr>
        <w:ind w:firstLine="720"/>
        <w:jc w:val="both"/>
        <w:textAlignment w:val="baseline"/>
        <w:rPr>
          <w:rFonts w:ascii="Calibri" w:hAnsi="Calibri" w:cs="Calibri"/>
          <w:b/>
          <w:bCs/>
          <w:sz w:val="22"/>
          <w:szCs w:val="22"/>
          <w:lang w:eastAsia="en-GB"/>
        </w:rPr>
      </w:pPr>
    </w:p>
    <w:p w14:paraId="02214EBD" w14:textId="77777777" w:rsidR="00804AF0" w:rsidRDefault="009A47D6">
      <w:pPr>
        <w:jc w:val="both"/>
        <w:textAlignment w:val="baseline"/>
        <w:rPr>
          <w:rFonts w:ascii="Calibri" w:hAnsi="Calibri" w:cs="Calibri"/>
          <w:sz w:val="22"/>
          <w:szCs w:val="22"/>
          <w:lang w:eastAsia="en-GB"/>
        </w:rPr>
      </w:pPr>
      <w:bookmarkStart w:id="50" w:name="OLE_LINK30"/>
      <w:r>
        <w:rPr>
          <w:rFonts w:ascii="Calibri" w:hAnsi="Calibri" w:cs="Calibri"/>
          <w:b/>
          <w:bCs/>
          <w:sz w:val="22"/>
          <w:szCs w:val="22"/>
          <w:lang w:eastAsia="en-GB"/>
        </w:rPr>
        <w:t>Termination of Agreement &amp; Termination indemnity</w:t>
      </w:r>
    </w:p>
    <w:bookmarkEnd w:id="50"/>
    <w:p w14:paraId="52D64C1A" w14:textId="77777777" w:rsidR="00804AF0" w:rsidRDefault="00804AF0">
      <w:pPr>
        <w:ind w:left="360"/>
        <w:jc w:val="both"/>
        <w:textAlignment w:val="baseline"/>
        <w:rPr>
          <w:rFonts w:ascii="Calibri" w:hAnsi="Calibri" w:cs="Calibri"/>
          <w:sz w:val="22"/>
          <w:szCs w:val="22"/>
          <w:lang w:eastAsia="en-GB"/>
        </w:rPr>
      </w:pPr>
    </w:p>
    <w:p w14:paraId="02325812"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Either party may terminate the IPSA before the expiry date of the agreement by giving a minimum period of 30 calendar days’ notice in writing to the other party (IPSA holder and Hiring Manager).</w:t>
      </w:r>
    </w:p>
    <w:p w14:paraId="60694DC1" w14:textId="77777777" w:rsidR="00804AF0" w:rsidRDefault="00804AF0">
      <w:pPr>
        <w:jc w:val="both"/>
        <w:textAlignment w:val="baseline"/>
        <w:rPr>
          <w:rFonts w:ascii="Calibri" w:hAnsi="Calibri" w:cs="Calibri"/>
          <w:sz w:val="22"/>
          <w:szCs w:val="22"/>
          <w:lang w:eastAsia="en-GB"/>
        </w:rPr>
      </w:pPr>
    </w:p>
    <w:p w14:paraId="42D8CD31" w14:textId="77777777" w:rsidR="00804AF0" w:rsidRDefault="009A47D6">
      <w:pPr>
        <w:numPr>
          <w:ilvl w:val="0"/>
          <w:numId w:val="4"/>
        </w:numPr>
        <w:jc w:val="both"/>
        <w:textAlignment w:val="baseline"/>
        <w:rPr>
          <w:rFonts w:ascii="Calibri" w:hAnsi="Calibri" w:cs="Calibri"/>
          <w:sz w:val="22"/>
          <w:szCs w:val="22"/>
          <w:lang w:eastAsia="en-GB"/>
        </w:rPr>
      </w:pPr>
      <w:bookmarkStart w:id="51" w:name="OLE_LINK33"/>
      <w:bookmarkStart w:id="52" w:name="OLE_LINK29"/>
      <w:r>
        <w:rPr>
          <w:rFonts w:ascii="Calibri" w:hAnsi="Calibri" w:cs="Calibri"/>
          <w:sz w:val="22"/>
          <w:szCs w:val="22"/>
          <w:lang w:eastAsia="en-GB"/>
        </w:rPr>
        <w:t>BMS/OLS must be consulted prior to the termination of an IPSA by UNDP</w:t>
      </w:r>
      <w:bookmarkEnd w:id="51"/>
      <w:r>
        <w:rPr>
          <w:rFonts w:ascii="Calibri" w:hAnsi="Calibri" w:cs="Calibri"/>
          <w:sz w:val="22"/>
          <w:szCs w:val="22"/>
          <w:lang w:eastAsia="en-GB"/>
        </w:rPr>
        <w:t>, unless the separation is mutually agreed to in writing by both the IPSA holder and the UNDP Office involved.</w:t>
      </w:r>
    </w:p>
    <w:bookmarkEnd w:id="52"/>
    <w:p w14:paraId="1244A6BF" w14:textId="77777777" w:rsidR="00804AF0" w:rsidRDefault="00804AF0">
      <w:pPr>
        <w:jc w:val="both"/>
        <w:textAlignment w:val="baseline"/>
        <w:rPr>
          <w:rFonts w:ascii="Calibri" w:hAnsi="Calibri" w:cs="Calibri"/>
          <w:sz w:val="22"/>
          <w:szCs w:val="22"/>
          <w:lang w:eastAsia="en-GB"/>
        </w:rPr>
      </w:pPr>
    </w:p>
    <w:p w14:paraId="6EBDADF9"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In the event that the IPSA is foreshortened by UNDP without cause (i.e., through no fault of the IPSA holder), an IPSA holder is entitled to a termination indemnity equivalent to one month of net pay.</w:t>
      </w:r>
    </w:p>
    <w:p w14:paraId="7DC81952" w14:textId="77777777" w:rsidR="00804AF0" w:rsidRDefault="00804AF0">
      <w:pPr>
        <w:jc w:val="both"/>
        <w:textAlignment w:val="baseline"/>
        <w:rPr>
          <w:rFonts w:ascii="Calibri" w:hAnsi="Calibri" w:cs="Calibri"/>
          <w:sz w:val="22"/>
          <w:szCs w:val="22"/>
          <w:lang w:eastAsia="en-GB"/>
        </w:rPr>
      </w:pPr>
    </w:p>
    <w:p w14:paraId="00806657"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If UNDP terminates the IPSA for cause (i.e., </w:t>
      </w:r>
      <w:proofErr w:type="gramStart"/>
      <w:r>
        <w:rPr>
          <w:rFonts w:ascii="Calibri" w:hAnsi="Calibri" w:cs="Calibri"/>
          <w:sz w:val="22"/>
          <w:szCs w:val="22"/>
          <w:lang w:eastAsia="en-GB"/>
        </w:rPr>
        <w:t>as a result of</w:t>
      </w:r>
      <w:proofErr w:type="gramEnd"/>
      <w:r>
        <w:rPr>
          <w:rFonts w:ascii="Calibri" w:hAnsi="Calibri" w:cs="Calibri"/>
          <w:sz w:val="22"/>
          <w:szCs w:val="22"/>
          <w:lang w:eastAsia="en-GB"/>
        </w:rPr>
        <w:t xml:space="preserve"> violation of the standards of conduct or breach of other material terms of the IPSA), the IPSA holder will not be entitled to either a period of notice or other </w:t>
      </w:r>
      <w:proofErr w:type="gramStart"/>
      <w:r>
        <w:rPr>
          <w:rFonts w:ascii="Calibri" w:hAnsi="Calibri" w:cs="Calibri"/>
          <w:sz w:val="22"/>
          <w:szCs w:val="22"/>
          <w:lang w:eastAsia="en-GB"/>
        </w:rPr>
        <w:t>compensation, and</w:t>
      </w:r>
      <w:proofErr w:type="gramEnd"/>
      <w:r>
        <w:rPr>
          <w:rFonts w:ascii="Calibri" w:hAnsi="Calibri" w:cs="Calibri"/>
          <w:sz w:val="22"/>
          <w:szCs w:val="22"/>
          <w:lang w:eastAsia="en-GB"/>
        </w:rPr>
        <w:t xml:space="preserve"> will not be eligible for any future contract of engagement of any type. </w:t>
      </w:r>
    </w:p>
    <w:p w14:paraId="58E2BB58" w14:textId="77777777" w:rsidR="00804AF0" w:rsidRDefault="00804AF0">
      <w:pPr>
        <w:ind w:left="360" w:firstLine="60"/>
        <w:jc w:val="both"/>
        <w:textAlignment w:val="baseline"/>
        <w:rPr>
          <w:rFonts w:ascii="Calibri" w:hAnsi="Calibri" w:cs="Calibri"/>
          <w:sz w:val="22"/>
          <w:szCs w:val="22"/>
          <w:lang w:eastAsia="en-GB"/>
        </w:rPr>
      </w:pPr>
    </w:p>
    <w:p w14:paraId="0D3A1177" w14:textId="77777777" w:rsidR="00804AF0" w:rsidRDefault="009A47D6">
      <w:pPr>
        <w:numPr>
          <w:ilvl w:val="0"/>
          <w:numId w:val="4"/>
        </w:numPr>
        <w:jc w:val="both"/>
        <w:textAlignment w:val="baseline"/>
        <w:rPr>
          <w:rFonts w:ascii="Calibri" w:hAnsi="Calibri" w:cs="Calibri"/>
          <w:sz w:val="22"/>
          <w:szCs w:val="22"/>
          <w:lang w:eastAsia="en-GB"/>
        </w:rPr>
      </w:pPr>
      <w:bookmarkStart w:id="53" w:name="_Hlk56979219"/>
      <w:r>
        <w:rPr>
          <w:rFonts w:ascii="Calibri" w:hAnsi="Calibri" w:cs="Calibri"/>
          <w:sz w:val="22"/>
          <w:szCs w:val="22"/>
          <w:lang w:eastAsia="en-GB"/>
        </w:rPr>
        <w:t>No compensation or termination indemnity payment shall be made in the event that the IPSA holder terminates the IPSA, or upon its natural expiration.</w:t>
      </w:r>
    </w:p>
    <w:bookmarkEnd w:id="53"/>
    <w:p w14:paraId="07BCAFCA" w14:textId="77777777" w:rsidR="00804AF0" w:rsidRDefault="00804AF0">
      <w:pPr>
        <w:jc w:val="both"/>
        <w:textAlignment w:val="baseline"/>
        <w:rPr>
          <w:rFonts w:ascii="Calibri" w:hAnsi="Calibri" w:cs="Calibri"/>
          <w:sz w:val="22"/>
          <w:szCs w:val="22"/>
          <w:lang w:eastAsia="en-GB"/>
        </w:rPr>
      </w:pPr>
    </w:p>
    <w:p w14:paraId="6CB09CA4"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Head of the Business Unit must terminate the IPSA in the following circumstances:</w:t>
      </w:r>
    </w:p>
    <w:p w14:paraId="4E762BA0" w14:textId="77777777" w:rsidR="00804AF0" w:rsidRDefault="00804AF0">
      <w:pPr>
        <w:ind w:left="1800" w:firstLine="60"/>
        <w:jc w:val="both"/>
        <w:textAlignment w:val="baseline"/>
        <w:rPr>
          <w:rFonts w:ascii="Calibri" w:hAnsi="Calibri" w:cs="Calibri"/>
          <w:sz w:val="22"/>
          <w:szCs w:val="22"/>
          <w:lang w:eastAsia="en-GB"/>
        </w:rPr>
      </w:pPr>
    </w:p>
    <w:p w14:paraId="26747045" w14:textId="77777777" w:rsidR="00804AF0" w:rsidRDefault="009A47D6">
      <w:pPr>
        <w:numPr>
          <w:ilvl w:val="0"/>
          <w:numId w:val="14"/>
        </w:numPr>
        <w:jc w:val="both"/>
        <w:textAlignment w:val="baseline"/>
        <w:rPr>
          <w:rFonts w:ascii="Calibri" w:hAnsi="Calibri" w:cs="Calibri"/>
          <w:sz w:val="22"/>
          <w:szCs w:val="22"/>
          <w:lang w:eastAsia="en-GB"/>
        </w:rPr>
      </w:pPr>
      <w:r>
        <w:rPr>
          <w:rFonts w:ascii="Calibri" w:hAnsi="Calibri" w:cs="Calibri"/>
          <w:sz w:val="22"/>
          <w:szCs w:val="22"/>
          <w:lang w:eastAsia="en-GB"/>
        </w:rPr>
        <w:t>Abandonment of functions, i.e., when the IPSA holder is absent from duty without approval for more than five consecutive days;</w:t>
      </w:r>
    </w:p>
    <w:p w14:paraId="5C03C40F" w14:textId="77777777" w:rsidR="00804AF0" w:rsidRDefault="00804AF0">
      <w:pPr>
        <w:ind w:left="720" w:firstLine="60"/>
        <w:jc w:val="both"/>
        <w:textAlignment w:val="baseline"/>
        <w:rPr>
          <w:rFonts w:ascii="Calibri" w:hAnsi="Calibri" w:cs="Calibri"/>
          <w:sz w:val="22"/>
          <w:szCs w:val="22"/>
          <w:lang w:eastAsia="en-GB"/>
        </w:rPr>
      </w:pPr>
    </w:p>
    <w:p w14:paraId="178547BF" w14:textId="77777777" w:rsidR="00804AF0" w:rsidRDefault="009A47D6">
      <w:pPr>
        <w:numPr>
          <w:ilvl w:val="0"/>
          <w:numId w:val="14"/>
        </w:numPr>
        <w:jc w:val="both"/>
        <w:textAlignment w:val="baseline"/>
        <w:rPr>
          <w:rFonts w:ascii="Calibri" w:hAnsi="Calibri" w:cs="Calibri"/>
          <w:sz w:val="22"/>
          <w:szCs w:val="22"/>
          <w:lang w:eastAsia="en-GB"/>
        </w:rPr>
      </w:pPr>
      <w:r>
        <w:rPr>
          <w:rFonts w:ascii="Calibri" w:hAnsi="Calibri" w:cs="Calibri"/>
          <w:sz w:val="22"/>
          <w:szCs w:val="22"/>
          <w:lang w:eastAsia="en-GB"/>
        </w:rPr>
        <w:t>Violation of the standards of conduct or other material terms of the IPSA, including, but not limited to, acts of fraud or misrepresentation;</w:t>
      </w:r>
    </w:p>
    <w:p w14:paraId="6F1E2B1F" w14:textId="77777777" w:rsidR="00804AF0" w:rsidRDefault="00804AF0">
      <w:pPr>
        <w:ind w:firstLine="60"/>
        <w:jc w:val="both"/>
        <w:textAlignment w:val="baseline"/>
        <w:rPr>
          <w:rFonts w:ascii="Calibri" w:hAnsi="Calibri" w:cs="Calibri"/>
          <w:sz w:val="22"/>
          <w:szCs w:val="22"/>
          <w:lang w:eastAsia="en-GB"/>
        </w:rPr>
      </w:pPr>
    </w:p>
    <w:p w14:paraId="73694210" w14:textId="77777777" w:rsidR="00804AF0" w:rsidRDefault="009A47D6">
      <w:pPr>
        <w:numPr>
          <w:ilvl w:val="0"/>
          <w:numId w:val="14"/>
        </w:numPr>
        <w:jc w:val="both"/>
        <w:textAlignment w:val="baseline"/>
        <w:rPr>
          <w:rFonts w:ascii="Calibri" w:hAnsi="Calibri" w:cs="Calibri"/>
          <w:sz w:val="22"/>
          <w:szCs w:val="22"/>
          <w:lang w:eastAsia="en-GB"/>
        </w:rPr>
      </w:pPr>
      <w:r>
        <w:rPr>
          <w:rFonts w:ascii="Calibri" w:hAnsi="Calibri" w:cs="Calibri"/>
          <w:sz w:val="22"/>
          <w:szCs w:val="22"/>
          <w:lang w:eastAsia="en-GB"/>
        </w:rPr>
        <w:t>In event of unsatisfactory performance, where the Head of the Business Unit should consult with BMS/OHR and BMS/OLS before deciding whether to terminate the agreement.</w:t>
      </w:r>
    </w:p>
    <w:p w14:paraId="28185F1E" w14:textId="77777777" w:rsidR="00804AF0" w:rsidRDefault="00804AF0">
      <w:pPr>
        <w:ind w:left="720" w:firstLine="60"/>
        <w:textAlignment w:val="baseline"/>
        <w:rPr>
          <w:rFonts w:ascii="Calibri" w:hAnsi="Calibri" w:cs="Calibri"/>
          <w:sz w:val="22"/>
          <w:szCs w:val="22"/>
          <w:lang w:eastAsia="en-GB"/>
        </w:rPr>
      </w:pPr>
    </w:p>
    <w:p w14:paraId="4A05CCC0"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There is zero tolerance for acts of fraud and violations of the standards of conduct, and any such suspicions must be referred to OAI for review, and if the IPSA holder is found to have engaged in these acts, the Business Unit after consultation with the Legal </w:t>
      </w:r>
      <w:proofErr w:type="gramStart"/>
      <w:r>
        <w:rPr>
          <w:rFonts w:ascii="Calibri" w:hAnsi="Calibri" w:cs="Calibri"/>
          <w:sz w:val="22"/>
          <w:szCs w:val="22"/>
          <w:lang w:eastAsia="en-GB"/>
        </w:rPr>
        <w:t>Office,</w:t>
      </w:r>
      <w:proofErr w:type="gramEnd"/>
      <w:r>
        <w:rPr>
          <w:rFonts w:ascii="Calibri" w:hAnsi="Calibri" w:cs="Calibri"/>
          <w:sz w:val="22"/>
          <w:szCs w:val="22"/>
          <w:lang w:eastAsia="en-GB"/>
        </w:rPr>
        <w:t xml:space="preserve"> is expected </w:t>
      </w:r>
      <w:r>
        <w:rPr>
          <w:rFonts w:ascii="Calibri" w:hAnsi="Calibri" w:cs="Calibri"/>
          <w:sz w:val="22"/>
          <w:szCs w:val="22"/>
          <w:lang w:eastAsia="en-GB"/>
        </w:rPr>
        <w:lastRenderedPageBreak/>
        <w:t>to terminate the agreement. Advice must be sought from the Legal Office prior to taking any decision on such an action.</w:t>
      </w:r>
    </w:p>
    <w:p w14:paraId="5B8CCD32" w14:textId="77777777" w:rsidR="00804AF0" w:rsidRDefault="00804AF0">
      <w:pPr>
        <w:ind w:left="720"/>
        <w:textAlignment w:val="baseline"/>
        <w:rPr>
          <w:rFonts w:ascii="Calibri" w:hAnsi="Calibri" w:cs="Calibri"/>
          <w:sz w:val="22"/>
          <w:szCs w:val="22"/>
          <w:lang w:eastAsia="en-GB"/>
        </w:rPr>
      </w:pPr>
    </w:p>
    <w:p w14:paraId="43A8E323" w14:textId="77777777" w:rsidR="00804AF0" w:rsidRDefault="009A47D6">
      <w:pPr>
        <w:pStyle w:val="Heading1"/>
        <w:numPr>
          <w:ilvl w:val="0"/>
          <w:numId w:val="2"/>
        </w:numPr>
        <w:jc w:val="left"/>
        <w:rPr>
          <w:rFonts w:ascii="Calibri" w:hAnsi="Calibri" w:cs="Calibri"/>
          <w:b/>
          <w:bCs/>
          <w:sz w:val="22"/>
          <w:szCs w:val="22"/>
          <w:lang w:eastAsia="en-GB"/>
        </w:rPr>
      </w:pPr>
      <w:bookmarkStart w:id="54" w:name="_Toc161312428"/>
      <w:r>
        <w:rPr>
          <w:rFonts w:ascii="Calibri" w:hAnsi="Calibri" w:cs="Calibri"/>
          <w:b/>
          <w:bCs/>
          <w:sz w:val="22"/>
          <w:szCs w:val="22"/>
          <w:lang w:eastAsia="en-GB"/>
        </w:rPr>
        <w:t>Remuneration Scales, Bands, and Remuneration setting for IPSAs</w:t>
      </w:r>
      <w:bookmarkEnd w:id="54"/>
    </w:p>
    <w:p w14:paraId="411E85BD" w14:textId="77777777" w:rsidR="00804AF0" w:rsidRDefault="00804AF0">
      <w:pPr>
        <w:jc w:val="both"/>
        <w:textAlignment w:val="baseline"/>
        <w:rPr>
          <w:rFonts w:ascii="Calibri" w:hAnsi="Calibri" w:cs="Calibri"/>
          <w:sz w:val="22"/>
          <w:szCs w:val="22"/>
          <w:lang w:eastAsia="en-GB"/>
        </w:rPr>
      </w:pPr>
    </w:p>
    <w:p w14:paraId="4AFD7D33"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remuneration scale for IPSAs will be set globally by the Director of BMS.</w:t>
      </w:r>
    </w:p>
    <w:p w14:paraId="79B8E9B0" w14:textId="77777777" w:rsidR="00804AF0" w:rsidRDefault="00804AF0">
      <w:pPr>
        <w:jc w:val="both"/>
        <w:textAlignment w:val="baseline"/>
        <w:rPr>
          <w:rFonts w:ascii="Calibri" w:hAnsi="Calibri" w:cs="Calibri"/>
          <w:sz w:val="22"/>
          <w:szCs w:val="22"/>
          <w:lang w:eastAsia="en-GB"/>
        </w:rPr>
      </w:pPr>
    </w:p>
    <w:p w14:paraId="45E9EED0"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IPSA comprises a number of levels at which IPSA holders can be appointed. The classification of these levels is aligned to the corresponding UNDP grade levels and is set out in the form of broad bands, as shown in the table below. They provide a necessary degree of flexibility for hiring managers to adjust the pay according to skills and market circumstances.</w:t>
      </w:r>
    </w:p>
    <w:p w14:paraId="3A7B6E5D" w14:textId="77777777" w:rsidR="00804AF0" w:rsidRDefault="00804AF0">
      <w:pPr>
        <w:jc w:val="both"/>
        <w:textAlignment w:val="baseline"/>
        <w:rPr>
          <w:rFonts w:ascii="Calibri" w:hAnsi="Calibri" w:cs="Calibri"/>
          <w:sz w:val="22"/>
          <w:szCs w:val="22"/>
          <w:lang w:eastAsia="en-GB"/>
        </w:rPr>
      </w:pPr>
    </w:p>
    <w:p w14:paraId="2C45C698"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pay of IPSAs will be set at a point between the minimum and the maximum within each band (the range), and the classified level of the position would serve as an indicator for the level of remuneration for individual IPSAs. The lower of the two levels should normally be set anywhere between the minimum and mid-point of the band, and the higher of the two levels around the mid-point.</w:t>
      </w:r>
    </w:p>
    <w:p w14:paraId="0BE082C6" w14:textId="77777777" w:rsidR="00804AF0" w:rsidRDefault="00804AF0">
      <w:pPr>
        <w:jc w:val="both"/>
        <w:textAlignment w:val="baseline"/>
        <w:rPr>
          <w:rFonts w:ascii="Calibri" w:hAnsi="Calibri" w:cs="Calibri"/>
          <w:sz w:val="22"/>
          <w:szCs w:val="22"/>
          <w:lang w:eastAsia="en-GB"/>
        </w:rPr>
      </w:pPr>
    </w:p>
    <w:p w14:paraId="3F059955" w14:textId="77777777" w:rsidR="00804AF0" w:rsidRDefault="009A47D6">
      <w:pPr>
        <w:ind w:left="720" w:firstLine="720"/>
        <w:jc w:val="both"/>
        <w:textAlignment w:val="baseline"/>
        <w:rPr>
          <w:rFonts w:ascii="Calibri" w:hAnsi="Calibri" w:cs="Calibri"/>
          <w:sz w:val="22"/>
          <w:szCs w:val="22"/>
          <w:lang w:eastAsia="en-GB"/>
        </w:rPr>
      </w:pPr>
      <w:r>
        <w:rPr>
          <w:rFonts w:ascii="Calibri" w:hAnsi="Calibri" w:cs="Calibri"/>
          <w:sz w:val="22"/>
          <w:szCs w:val="22"/>
          <w:u w:val="single"/>
          <w:lang w:eastAsia="en-GB"/>
        </w:rPr>
        <w:t>The Bands:</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2115"/>
        <w:gridCol w:w="2430"/>
      </w:tblGrid>
      <w:tr w:rsidR="00804AF0" w14:paraId="01CD5DA5" w14:textId="77777777">
        <w:trPr>
          <w:tblHeader/>
          <w:jc w:val="center"/>
        </w:trPr>
        <w:tc>
          <w:tcPr>
            <w:tcW w:w="6090" w:type="dxa"/>
            <w:gridSpan w:val="3"/>
            <w:tcBorders>
              <w:top w:val="single" w:sz="6" w:space="0" w:color="auto"/>
              <w:left w:val="single" w:sz="6" w:space="0" w:color="auto"/>
              <w:bottom w:val="single" w:sz="6" w:space="0" w:color="auto"/>
              <w:right w:val="single" w:sz="6" w:space="0" w:color="auto"/>
            </w:tcBorders>
            <w:shd w:val="clear" w:color="auto" w:fill="BFBFBF"/>
          </w:tcPr>
          <w:p w14:paraId="54D81C95" w14:textId="77777777" w:rsidR="00804AF0" w:rsidRDefault="009A47D6">
            <w:pPr>
              <w:jc w:val="center"/>
              <w:textAlignment w:val="baseline"/>
              <w:rPr>
                <w:rFonts w:ascii="Calibri" w:hAnsi="Calibri" w:cs="Calibri"/>
                <w:sz w:val="22"/>
                <w:szCs w:val="22"/>
                <w:lang w:eastAsia="en-GB"/>
              </w:rPr>
            </w:pPr>
            <w:r>
              <w:rPr>
                <w:rFonts w:ascii="Calibri" w:hAnsi="Calibri" w:cs="Calibri"/>
                <w:b/>
                <w:bCs/>
                <w:sz w:val="22"/>
                <w:szCs w:val="22"/>
                <w:u w:val="single"/>
                <w:lang w:eastAsia="en-GB"/>
              </w:rPr>
              <w:t>International PSA</w:t>
            </w:r>
          </w:p>
        </w:tc>
      </w:tr>
      <w:tr w:rsidR="00804AF0" w14:paraId="7B693B8A" w14:textId="77777777">
        <w:trPr>
          <w:jc w:val="center"/>
        </w:trPr>
        <w:tc>
          <w:tcPr>
            <w:tcW w:w="1545" w:type="dxa"/>
            <w:tcBorders>
              <w:top w:val="nil"/>
              <w:left w:val="single" w:sz="6" w:space="0" w:color="auto"/>
              <w:bottom w:val="single" w:sz="6" w:space="0" w:color="auto"/>
              <w:right w:val="single" w:sz="6" w:space="0" w:color="auto"/>
            </w:tcBorders>
            <w:shd w:val="clear" w:color="auto" w:fill="BFBFBF"/>
          </w:tcPr>
          <w:p w14:paraId="3E8E2A6E" w14:textId="77777777" w:rsidR="00804AF0" w:rsidRDefault="009A47D6">
            <w:pPr>
              <w:jc w:val="center"/>
              <w:textAlignment w:val="baseline"/>
              <w:rPr>
                <w:rFonts w:ascii="Calibri" w:hAnsi="Calibri" w:cs="Calibri"/>
                <w:sz w:val="22"/>
                <w:szCs w:val="22"/>
                <w:lang w:eastAsia="en-GB"/>
              </w:rPr>
            </w:pPr>
            <w:r>
              <w:rPr>
                <w:rFonts w:ascii="Calibri" w:hAnsi="Calibri" w:cs="Calibri"/>
                <w:i/>
                <w:iCs/>
                <w:sz w:val="22"/>
                <w:szCs w:val="22"/>
                <w:u w:val="single"/>
                <w:lang w:eastAsia="en-GB"/>
              </w:rPr>
              <w:t>Band</w:t>
            </w:r>
          </w:p>
        </w:tc>
        <w:tc>
          <w:tcPr>
            <w:tcW w:w="2115" w:type="dxa"/>
            <w:tcBorders>
              <w:top w:val="nil"/>
              <w:left w:val="nil"/>
              <w:bottom w:val="single" w:sz="6" w:space="0" w:color="auto"/>
              <w:right w:val="single" w:sz="6" w:space="0" w:color="auto"/>
            </w:tcBorders>
            <w:shd w:val="clear" w:color="auto" w:fill="BFBFBF"/>
          </w:tcPr>
          <w:p w14:paraId="6EFE8D3C" w14:textId="77777777" w:rsidR="00804AF0" w:rsidRDefault="009A47D6">
            <w:pPr>
              <w:jc w:val="center"/>
              <w:textAlignment w:val="baseline"/>
              <w:rPr>
                <w:rFonts w:ascii="Calibri" w:hAnsi="Calibri" w:cs="Calibri"/>
                <w:sz w:val="22"/>
                <w:szCs w:val="22"/>
                <w:lang w:eastAsia="en-GB"/>
              </w:rPr>
            </w:pPr>
            <w:r>
              <w:rPr>
                <w:rFonts w:ascii="Calibri" w:hAnsi="Calibri" w:cs="Calibri"/>
                <w:i/>
                <w:iCs/>
                <w:sz w:val="22"/>
                <w:szCs w:val="22"/>
                <w:u w:val="single"/>
                <w:lang w:eastAsia="en-GB"/>
              </w:rPr>
              <w:t>Classified As</w:t>
            </w:r>
          </w:p>
        </w:tc>
        <w:tc>
          <w:tcPr>
            <w:tcW w:w="2400" w:type="dxa"/>
            <w:tcBorders>
              <w:top w:val="nil"/>
              <w:left w:val="nil"/>
              <w:bottom w:val="single" w:sz="6" w:space="0" w:color="auto"/>
              <w:right w:val="single" w:sz="6" w:space="0" w:color="auto"/>
            </w:tcBorders>
            <w:shd w:val="clear" w:color="auto" w:fill="BFBFBF"/>
          </w:tcPr>
          <w:p w14:paraId="367D2E62" w14:textId="77777777" w:rsidR="00804AF0" w:rsidRDefault="009A47D6">
            <w:pPr>
              <w:jc w:val="center"/>
              <w:textAlignment w:val="baseline"/>
              <w:rPr>
                <w:rFonts w:ascii="Calibri" w:hAnsi="Calibri" w:cs="Calibri"/>
                <w:sz w:val="22"/>
                <w:szCs w:val="22"/>
                <w:lang w:eastAsia="en-GB"/>
              </w:rPr>
            </w:pPr>
            <w:r>
              <w:rPr>
                <w:rFonts w:ascii="Calibri" w:hAnsi="Calibri" w:cs="Calibri"/>
                <w:i/>
                <w:iCs/>
                <w:sz w:val="22"/>
                <w:szCs w:val="22"/>
                <w:u w:val="single"/>
                <w:lang w:eastAsia="en-GB"/>
              </w:rPr>
              <w:t>Corresponding UNDP grade level</w:t>
            </w:r>
          </w:p>
        </w:tc>
      </w:tr>
      <w:tr w:rsidR="00804AF0" w14:paraId="0A86BA81" w14:textId="77777777">
        <w:trPr>
          <w:jc w:val="center"/>
        </w:trPr>
        <w:tc>
          <w:tcPr>
            <w:tcW w:w="1545" w:type="dxa"/>
            <w:tcBorders>
              <w:top w:val="nil"/>
              <w:left w:val="single" w:sz="6" w:space="0" w:color="auto"/>
              <w:bottom w:val="single" w:sz="6" w:space="0" w:color="auto"/>
              <w:right w:val="single" w:sz="6" w:space="0" w:color="auto"/>
            </w:tcBorders>
            <w:shd w:val="clear" w:color="auto" w:fill="BFBFBF"/>
          </w:tcPr>
          <w:p w14:paraId="0F1E2A73" w14:textId="77777777" w:rsidR="00804AF0" w:rsidRDefault="00804AF0">
            <w:pPr>
              <w:jc w:val="center"/>
              <w:textAlignment w:val="baseline"/>
              <w:rPr>
                <w:rFonts w:ascii="Calibri" w:hAnsi="Calibri" w:cs="Calibri"/>
                <w:sz w:val="22"/>
                <w:szCs w:val="22"/>
                <w:lang w:eastAsia="en-GB"/>
              </w:rPr>
            </w:pPr>
          </w:p>
          <w:p w14:paraId="134F476F"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IB1</w:t>
            </w:r>
          </w:p>
          <w:p w14:paraId="63743601"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IB2</w:t>
            </w:r>
          </w:p>
          <w:p w14:paraId="7C48A58B"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IB3</w:t>
            </w:r>
          </w:p>
          <w:p w14:paraId="0A03B5E4"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IB4</w:t>
            </w:r>
          </w:p>
          <w:p w14:paraId="4B65B0FD" w14:textId="77777777" w:rsidR="00804AF0" w:rsidRDefault="00804AF0">
            <w:pPr>
              <w:jc w:val="center"/>
              <w:textAlignment w:val="baseline"/>
              <w:rPr>
                <w:rFonts w:ascii="Calibri" w:hAnsi="Calibri" w:cs="Calibri"/>
                <w:sz w:val="22"/>
                <w:szCs w:val="22"/>
                <w:lang w:eastAsia="en-GB"/>
              </w:rPr>
            </w:pPr>
          </w:p>
        </w:tc>
        <w:tc>
          <w:tcPr>
            <w:tcW w:w="2115" w:type="dxa"/>
            <w:tcBorders>
              <w:top w:val="nil"/>
              <w:left w:val="nil"/>
              <w:bottom w:val="single" w:sz="6" w:space="0" w:color="auto"/>
              <w:right w:val="single" w:sz="6" w:space="0" w:color="auto"/>
            </w:tcBorders>
            <w:shd w:val="clear" w:color="auto" w:fill="BFBFBF"/>
          </w:tcPr>
          <w:p w14:paraId="1743A67D" w14:textId="77777777" w:rsidR="00804AF0" w:rsidRDefault="00804AF0">
            <w:pPr>
              <w:jc w:val="center"/>
              <w:textAlignment w:val="baseline"/>
              <w:rPr>
                <w:rFonts w:ascii="Calibri" w:hAnsi="Calibri" w:cs="Calibri"/>
                <w:sz w:val="22"/>
                <w:szCs w:val="22"/>
                <w:lang w:eastAsia="en-GB"/>
              </w:rPr>
            </w:pPr>
          </w:p>
          <w:p w14:paraId="1956D551"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IPSA 8-9</w:t>
            </w:r>
          </w:p>
          <w:p w14:paraId="334237FA"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IPSA 10-11</w:t>
            </w:r>
          </w:p>
          <w:p w14:paraId="0E6A4A77"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IPSA 12-13</w:t>
            </w:r>
          </w:p>
          <w:p w14:paraId="1EB76623"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IPSA 13-14</w:t>
            </w:r>
          </w:p>
        </w:tc>
        <w:tc>
          <w:tcPr>
            <w:tcW w:w="2400" w:type="dxa"/>
            <w:tcBorders>
              <w:top w:val="nil"/>
              <w:left w:val="nil"/>
              <w:bottom w:val="single" w:sz="6" w:space="0" w:color="auto"/>
              <w:right w:val="single" w:sz="6" w:space="0" w:color="auto"/>
            </w:tcBorders>
            <w:shd w:val="clear" w:color="auto" w:fill="BFBFBF"/>
          </w:tcPr>
          <w:p w14:paraId="7CD61B50" w14:textId="77777777" w:rsidR="00804AF0" w:rsidRDefault="00804AF0">
            <w:pPr>
              <w:jc w:val="center"/>
              <w:textAlignment w:val="baseline"/>
              <w:rPr>
                <w:rFonts w:ascii="Calibri" w:hAnsi="Calibri" w:cs="Calibri"/>
                <w:sz w:val="22"/>
                <w:szCs w:val="22"/>
                <w:lang w:eastAsia="en-GB"/>
              </w:rPr>
            </w:pPr>
          </w:p>
          <w:p w14:paraId="3CE2BAA8"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P-1 to P-2</w:t>
            </w:r>
          </w:p>
          <w:p w14:paraId="611F9CC4"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P-3 to P-4</w:t>
            </w:r>
          </w:p>
          <w:p w14:paraId="14CDEDF6"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P-5 to D-1</w:t>
            </w:r>
          </w:p>
          <w:p w14:paraId="3B2EB947"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D-1 to D-2</w:t>
            </w:r>
          </w:p>
        </w:tc>
      </w:tr>
    </w:tbl>
    <w:p w14:paraId="6DAD94F1"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3737D697"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74302E34"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remuneration is set following pay ranges, and the pay is determined by the hiring manager based on contingencies of service including budget, availability of technical expertise in the market, and based on the special skills the individual brings with him/her to the position and to the organization. The remuneration may be anywhere between the minimum and maximum for each band range.</w:t>
      </w:r>
    </w:p>
    <w:p w14:paraId="77696870" w14:textId="77777777" w:rsidR="00804AF0" w:rsidRDefault="00804AF0">
      <w:pPr>
        <w:jc w:val="both"/>
        <w:textAlignment w:val="baseline"/>
        <w:rPr>
          <w:rFonts w:ascii="Calibri" w:hAnsi="Calibri" w:cs="Calibri"/>
          <w:sz w:val="22"/>
          <w:szCs w:val="22"/>
          <w:lang w:eastAsia="en-GB"/>
        </w:rPr>
      </w:pPr>
    </w:p>
    <w:p w14:paraId="21D89217"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The </w:t>
      </w:r>
      <w:hyperlink r:id="rId9" w:history="1">
        <w:r>
          <w:rPr>
            <w:rFonts w:ascii="Calibri" w:hAnsi="Calibri" w:cs="Calibri"/>
            <w:sz w:val="22"/>
            <w:szCs w:val="22"/>
            <w:lang w:eastAsia="en-GB"/>
          </w:rPr>
          <w:t>pay-setting system</w:t>
        </w:r>
      </w:hyperlink>
      <w:r>
        <w:rPr>
          <w:rFonts w:ascii="Calibri" w:hAnsi="Calibri" w:cs="Calibri"/>
          <w:sz w:val="22"/>
          <w:szCs w:val="22"/>
          <w:lang w:eastAsia="en-GB"/>
        </w:rPr>
        <w:t xml:space="preserve"> is provided to assist hiring managers in setting the approximate remuneration range, using the following parameters:</w:t>
      </w:r>
    </w:p>
    <w:p w14:paraId="0C694A82"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3E5C2203" w14:textId="77777777" w:rsidR="00804AF0" w:rsidRDefault="009A47D6">
      <w:pPr>
        <w:pStyle w:val="ListParagraph"/>
        <w:numPr>
          <w:ilvl w:val="0"/>
          <w:numId w:val="15"/>
        </w:numPr>
        <w:jc w:val="both"/>
        <w:textAlignment w:val="baseline"/>
        <w:rPr>
          <w:rFonts w:ascii="Calibri" w:hAnsi="Calibri" w:cs="Calibri"/>
          <w:sz w:val="22"/>
          <w:szCs w:val="22"/>
          <w:lang w:eastAsia="en-GB"/>
        </w:rPr>
      </w:pPr>
      <w:r>
        <w:rPr>
          <w:rFonts w:ascii="Calibri" w:hAnsi="Calibri" w:cs="Calibri"/>
          <w:sz w:val="22"/>
          <w:szCs w:val="22"/>
          <w:lang w:eastAsia="en-GB"/>
        </w:rPr>
        <w:t>Basic remuneration</w:t>
      </w:r>
    </w:p>
    <w:p w14:paraId="6F919D30" w14:textId="77777777" w:rsidR="00804AF0" w:rsidRDefault="009A47D6">
      <w:pPr>
        <w:numPr>
          <w:ilvl w:val="0"/>
          <w:numId w:val="15"/>
        </w:numPr>
        <w:ind w:left="360" w:firstLine="0"/>
        <w:jc w:val="both"/>
        <w:textAlignment w:val="baseline"/>
        <w:rPr>
          <w:rFonts w:ascii="Calibri" w:hAnsi="Calibri" w:cs="Calibri"/>
          <w:sz w:val="22"/>
          <w:szCs w:val="22"/>
          <w:lang w:eastAsia="en-GB"/>
        </w:rPr>
      </w:pPr>
      <w:r>
        <w:rPr>
          <w:rFonts w:ascii="Calibri" w:hAnsi="Calibri" w:cs="Calibri"/>
          <w:sz w:val="22"/>
          <w:szCs w:val="22"/>
          <w:lang w:eastAsia="en-GB"/>
        </w:rPr>
        <w:t>Cost of living (COL) component</w:t>
      </w:r>
    </w:p>
    <w:p w14:paraId="40481AF2" w14:textId="77777777" w:rsidR="00804AF0" w:rsidRDefault="009A47D6">
      <w:pPr>
        <w:numPr>
          <w:ilvl w:val="0"/>
          <w:numId w:val="15"/>
        </w:numPr>
        <w:ind w:left="360" w:firstLine="0"/>
        <w:jc w:val="both"/>
        <w:textAlignment w:val="baseline"/>
        <w:rPr>
          <w:rFonts w:ascii="Calibri" w:hAnsi="Calibri" w:cs="Calibri"/>
          <w:sz w:val="22"/>
          <w:szCs w:val="22"/>
          <w:lang w:eastAsia="en-GB"/>
        </w:rPr>
      </w:pPr>
      <w:r>
        <w:rPr>
          <w:rFonts w:ascii="Calibri" w:hAnsi="Calibri" w:cs="Calibri"/>
          <w:sz w:val="22"/>
          <w:szCs w:val="22"/>
          <w:lang w:eastAsia="en-GB"/>
        </w:rPr>
        <w:t>Hardship Element in specific duty stations</w:t>
      </w:r>
    </w:p>
    <w:p w14:paraId="293E8DF5" w14:textId="77777777" w:rsidR="00804AF0" w:rsidRDefault="009A47D6">
      <w:pPr>
        <w:numPr>
          <w:ilvl w:val="0"/>
          <w:numId w:val="15"/>
        </w:numPr>
        <w:ind w:left="360" w:firstLine="0"/>
        <w:jc w:val="both"/>
        <w:textAlignment w:val="baseline"/>
        <w:rPr>
          <w:rFonts w:ascii="Calibri" w:hAnsi="Calibri" w:cs="Calibri"/>
          <w:sz w:val="22"/>
          <w:szCs w:val="22"/>
          <w:lang w:eastAsia="en-GB"/>
        </w:rPr>
      </w:pPr>
      <w:r>
        <w:rPr>
          <w:rFonts w:ascii="Calibri" w:hAnsi="Calibri" w:cs="Calibri"/>
          <w:sz w:val="22"/>
          <w:szCs w:val="22"/>
          <w:lang w:eastAsia="en-GB"/>
        </w:rPr>
        <w:t>Additional fixed lumpsum to subsidize medical insurance</w:t>
      </w:r>
    </w:p>
    <w:p w14:paraId="5FD8B3E3" w14:textId="77777777" w:rsidR="00804AF0" w:rsidRDefault="00804AF0">
      <w:pPr>
        <w:ind w:left="360"/>
        <w:jc w:val="both"/>
        <w:textAlignment w:val="baseline"/>
        <w:rPr>
          <w:rFonts w:ascii="Calibri" w:hAnsi="Calibri" w:cs="Calibri"/>
          <w:sz w:val="22"/>
          <w:szCs w:val="22"/>
          <w:lang w:eastAsia="en-GB"/>
        </w:rPr>
      </w:pPr>
    </w:p>
    <w:p w14:paraId="1779FB09"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basic remuneration represents the basis of the calculation and is relevant to the classified level of the position.</w:t>
      </w:r>
    </w:p>
    <w:p w14:paraId="3DA04D81" w14:textId="77777777" w:rsidR="00804AF0" w:rsidRDefault="00804AF0">
      <w:pPr>
        <w:jc w:val="both"/>
        <w:textAlignment w:val="baseline"/>
        <w:rPr>
          <w:rFonts w:ascii="Calibri" w:hAnsi="Calibri" w:cs="Calibri"/>
          <w:sz w:val="22"/>
          <w:szCs w:val="22"/>
          <w:lang w:eastAsia="en-GB"/>
        </w:rPr>
      </w:pPr>
    </w:p>
    <w:p w14:paraId="49CA2168"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lastRenderedPageBreak/>
        <w:t xml:space="preserve">The </w:t>
      </w:r>
      <w:proofErr w:type="gramStart"/>
      <w:r>
        <w:rPr>
          <w:rFonts w:ascii="Calibri" w:hAnsi="Calibri" w:cs="Calibri"/>
          <w:sz w:val="22"/>
          <w:szCs w:val="22"/>
          <w:lang w:eastAsia="en-GB"/>
        </w:rPr>
        <w:t>cost of living</w:t>
      </w:r>
      <w:proofErr w:type="gramEnd"/>
      <w:r>
        <w:rPr>
          <w:rFonts w:ascii="Calibri" w:hAnsi="Calibri" w:cs="Calibri"/>
          <w:sz w:val="22"/>
          <w:szCs w:val="22"/>
          <w:lang w:eastAsia="en-GB"/>
        </w:rPr>
        <w:t xml:space="preserve"> component is based on the UN post adjustment as a reference to the applicable post adjustment rate applicable to the duty station where the functions are expected to be performed. The maximum payable COL component is set at 50%. While the UN post adjustment may fluctuate on a monthly basis, it remains static for the duration of the agreement unless it increases or decreases by more than 20% compared to the rate applicable at the start of the IPSA. In this case, the agreement may be amended, and the increase or decrease will be applied from that point onwards and for the remaining period of the agreement. For home-based IPSA holders, the home of the individual is also the duty station.</w:t>
      </w:r>
    </w:p>
    <w:p w14:paraId="6A7080EC" w14:textId="77777777" w:rsidR="00804AF0" w:rsidRDefault="00804AF0">
      <w:pPr>
        <w:jc w:val="both"/>
        <w:textAlignment w:val="baseline"/>
        <w:rPr>
          <w:rFonts w:ascii="Calibri" w:hAnsi="Calibri" w:cs="Calibri"/>
          <w:sz w:val="22"/>
          <w:szCs w:val="22"/>
          <w:lang w:eastAsia="en-GB"/>
        </w:rPr>
      </w:pPr>
    </w:p>
    <w:p w14:paraId="790EDE62"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hardship element component adds any costs associated with the level of hardship and danger of the duty station.</w:t>
      </w:r>
    </w:p>
    <w:p w14:paraId="4A765115" w14:textId="77777777" w:rsidR="00804AF0" w:rsidRDefault="00804AF0">
      <w:pPr>
        <w:jc w:val="both"/>
        <w:textAlignment w:val="baseline"/>
        <w:rPr>
          <w:rFonts w:ascii="Calibri" w:hAnsi="Calibri" w:cs="Calibri"/>
          <w:sz w:val="22"/>
          <w:szCs w:val="22"/>
          <w:lang w:eastAsia="en-GB"/>
        </w:rPr>
      </w:pPr>
    </w:p>
    <w:p w14:paraId="381179A8" w14:textId="77777777" w:rsidR="00804AF0" w:rsidRDefault="009A47D6">
      <w:pPr>
        <w:pStyle w:val="ListParagraph"/>
        <w:numPr>
          <w:ilvl w:val="0"/>
          <w:numId w:val="16"/>
        </w:numPr>
        <w:jc w:val="both"/>
        <w:textAlignment w:val="baseline"/>
        <w:rPr>
          <w:rFonts w:ascii="Calibri" w:eastAsia="Times New Roman" w:hAnsi="Calibri" w:cs="Calibri"/>
          <w:b/>
          <w:bCs/>
          <w:sz w:val="22"/>
          <w:szCs w:val="22"/>
          <w:lang w:eastAsia="en-GB"/>
        </w:rPr>
      </w:pPr>
      <w:r>
        <w:rPr>
          <w:rFonts w:ascii="Calibri" w:eastAsia="Times New Roman" w:hAnsi="Calibri" w:cs="Calibri"/>
          <w:b/>
          <w:bCs/>
          <w:sz w:val="22"/>
          <w:szCs w:val="22"/>
          <w:lang w:eastAsia="en-GB"/>
        </w:rPr>
        <w:t>Base remuneration:</w:t>
      </w:r>
    </w:p>
    <w:p w14:paraId="1174F282" w14:textId="77777777" w:rsidR="00804AF0" w:rsidRDefault="009A47D6">
      <w:pPr>
        <w:ind w:left="360"/>
        <w:jc w:val="both"/>
        <w:rPr>
          <w:rFonts w:ascii="Calibri" w:hAnsi="Calibri" w:cs="Calibri"/>
          <w:bCs/>
          <w:sz w:val="22"/>
          <w:szCs w:val="22"/>
          <w:lang w:eastAsia="en-GB"/>
        </w:rPr>
      </w:pPr>
      <w:r>
        <w:rPr>
          <w:rFonts w:ascii="Calibri" w:hAnsi="Calibri" w:cs="Calibri"/>
          <w:bCs/>
          <w:sz w:val="22"/>
          <w:szCs w:val="22"/>
          <w:lang w:eastAsia="en-GB"/>
        </w:rPr>
        <w:t>Each band comprises a range to allow hiring managers to determine the applicable remuneration depending on budget availability, level of skills of the individual, availability of skills in the market, complexity, qualifications and experience, and any other considerations the hiring manager may have.</w:t>
      </w:r>
    </w:p>
    <w:p w14:paraId="4E881BD9" w14:textId="77777777" w:rsidR="00804AF0" w:rsidRDefault="00804AF0">
      <w:pPr>
        <w:ind w:left="360"/>
        <w:jc w:val="both"/>
        <w:rPr>
          <w:rFonts w:ascii="Calibri" w:hAnsi="Calibri" w:cs="Calibri"/>
          <w:bCs/>
          <w:sz w:val="22"/>
          <w:szCs w:val="22"/>
          <w:lang w:eastAsia="en-GB"/>
        </w:rPr>
      </w:pPr>
    </w:p>
    <w:p w14:paraId="56A13DA1" w14:textId="77777777" w:rsidR="00804AF0" w:rsidRDefault="009A47D6">
      <w:pPr>
        <w:ind w:left="360"/>
        <w:jc w:val="both"/>
        <w:rPr>
          <w:rFonts w:ascii="Calibri" w:hAnsi="Calibri" w:cs="Calibri"/>
          <w:bCs/>
          <w:sz w:val="22"/>
          <w:szCs w:val="22"/>
          <w:lang w:eastAsia="en-GB"/>
        </w:rPr>
      </w:pPr>
      <w:r>
        <w:rPr>
          <w:rFonts w:ascii="Calibri" w:hAnsi="Calibri" w:cs="Calibri"/>
          <w:bCs/>
          <w:sz w:val="22"/>
          <w:szCs w:val="22"/>
          <w:lang w:eastAsia="en-GB"/>
        </w:rPr>
        <w:t xml:space="preserve">Deviations from the above (below the minimum or above the maximum) may be authorized by the Bureau Director or </w:t>
      </w:r>
      <w:r>
        <w:rPr>
          <w:rFonts w:ascii="Calibri" w:hAnsi="Calibri" w:cs="Calibri"/>
          <w:bCs/>
          <w:sz w:val="22"/>
          <w:szCs w:val="22"/>
        </w:rPr>
        <w:t xml:space="preserve">UNV/UNCDF Executive Coordinator, </w:t>
      </w:r>
      <w:r>
        <w:rPr>
          <w:rFonts w:ascii="Calibri" w:hAnsi="Calibri" w:cs="Calibri"/>
          <w:bCs/>
          <w:sz w:val="22"/>
          <w:szCs w:val="22"/>
          <w:lang w:eastAsia="en-GB"/>
        </w:rPr>
        <w:t xml:space="preserve">UNOSSC Director, </w:t>
      </w:r>
      <w:r>
        <w:rPr>
          <w:rFonts w:ascii="Calibri" w:hAnsi="Calibri" w:cs="Calibri"/>
          <w:bCs/>
          <w:sz w:val="22"/>
          <w:szCs w:val="22"/>
        </w:rPr>
        <w:t>and his/her Deputy</w:t>
      </w:r>
      <w:r>
        <w:rPr>
          <w:rFonts w:ascii="Calibri" w:hAnsi="Calibri" w:cs="Calibri"/>
          <w:bCs/>
          <w:sz w:val="22"/>
          <w:szCs w:val="22"/>
          <w:lang w:eastAsia="en-GB"/>
        </w:rPr>
        <w:t xml:space="preserve"> or his/her delegated authority.</w:t>
      </w:r>
    </w:p>
    <w:p w14:paraId="02C6359D" w14:textId="77777777" w:rsidR="00804AF0" w:rsidRDefault="00804AF0">
      <w:pPr>
        <w:ind w:left="2340"/>
        <w:jc w:val="both"/>
        <w:textAlignment w:val="baseline"/>
        <w:rPr>
          <w:rFonts w:ascii="Calibri" w:hAnsi="Calibri" w:cs="Calibri"/>
          <w:sz w:val="22"/>
          <w:szCs w:val="22"/>
          <w:lang w:eastAsia="en-GB"/>
        </w:rPr>
      </w:pPr>
    </w:p>
    <w:p w14:paraId="09037FA3" w14:textId="77777777" w:rsidR="00804AF0" w:rsidRDefault="009A47D6">
      <w:pPr>
        <w:pStyle w:val="ListParagraph"/>
        <w:numPr>
          <w:ilvl w:val="0"/>
          <w:numId w:val="16"/>
        </w:numPr>
        <w:jc w:val="both"/>
        <w:textAlignment w:val="baseline"/>
        <w:rPr>
          <w:rFonts w:ascii="Calibri" w:eastAsia="Times New Roman" w:hAnsi="Calibri" w:cs="Calibri"/>
          <w:b/>
          <w:bCs/>
          <w:sz w:val="22"/>
          <w:szCs w:val="22"/>
          <w:lang w:eastAsia="en-GB"/>
        </w:rPr>
      </w:pPr>
      <w:r>
        <w:rPr>
          <w:rFonts w:ascii="Calibri" w:eastAsia="Times New Roman" w:hAnsi="Calibri" w:cs="Calibri"/>
          <w:b/>
          <w:bCs/>
          <w:sz w:val="22"/>
          <w:szCs w:val="22"/>
          <w:lang w:eastAsia="en-GB"/>
        </w:rPr>
        <w:t>Cost of Living Component:</w:t>
      </w:r>
    </w:p>
    <w:p w14:paraId="66443B26" w14:textId="77777777" w:rsidR="00804AF0" w:rsidRDefault="00804AF0">
      <w:pPr>
        <w:pStyle w:val="ListParagraph"/>
        <w:ind w:left="720"/>
        <w:jc w:val="both"/>
        <w:textAlignment w:val="baseline"/>
        <w:rPr>
          <w:rFonts w:ascii="Calibri" w:eastAsia="Times New Roman" w:hAnsi="Calibri" w:cs="Calibri"/>
          <w:sz w:val="22"/>
          <w:szCs w:val="22"/>
          <w:lang w:eastAsia="en-GB"/>
        </w:rPr>
      </w:pPr>
    </w:p>
    <w:p w14:paraId="629E14B5" w14:textId="77777777" w:rsidR="00804AF0" w:rsidRDefault="009A47D6">
      <w:pPr>
        <w:ind w:left="360"/>
        <w:jc w:val="both"/>
        <w:rPr>
          <w:rFonts w:ascii="Calibri" w:hAnsi="Calibri" w:cs="Calibri"/>
          <w:bCs/>
          <w:sz w:val="22"/>
          <w:szCs w:val="22"/>
          <w:lang w:eastAsia="en-GB"/>
        </w:rPr>
      </w:pPr>
      <w:r>
        <w:rPr>
          <w:rFonts w:ascii="Calibri" w:hAnsi="Calibri" w:cs="Calibri"/>
          <w:bCs/>
          <w:sz w:val="22"/>
          <w:szCs w:val="22"/>
          <w:lang w:eastAsia="en-GB"/>
        </w:rPr>
        <w:t>The cost of living component represents a mirror of the post adjustment for the duty station of the month of January of each year, and is applied equally for all IPSAs issued throughout that year. The cost of living component is capped and may only reach a maximum of 50%.</w:t>
      </w:r>
    </w:p>
    <w:p w14:paraId="658D5498" w14:textId="77777777" w:rsidR="00804AF0" w:rsidRDefault="00804AF0">
      <w:pPr>
        <w:ind w:left="360"/>
        <w:jc w:val="both"/>
        <w:rPr>
          <w:rFonts w:ascii="Calibri" w:hAnsi="Calibri" w:cs="Calibri"/>
          <w:bCs/>
          <w:sz w:val="22"/>
          <w:szCs w:val="22"/>
          <w:lang w:eastAsia="en-GB"/>
        </w:rPr>
      </w:pPr>
    </w:p>
    <w:p w14:paraId="79F33A2F" w14:textId="77777777" w:rsidR="00804AF0" w:rsidRDefault="009A47D6">
      <w:pPr>
        <w:ind w:left="360"/>
        <w:jc w:val="both"/>
        <w:rPr>
          <w:rFonts w:ascii="Calibri" w:hAnsi="Calibri" w:cs="Calibri"/>
          <w:bCs/>
          <w:sz w:val="22"/>
          <w:szCs w:val="22"/>
          <w:lang w:eastAsia="en-GB"/>
        </w:rPr>
      </w:pPr>
      <w:r>
        <w:rPr>
          <w:rFonts w:ascii="Calibri" w:hAnsi="Calibri" w:cs="Calibri"/>
          <w:bCs/>
          <w:sz w:val="22"/>
          <w:szCs w:val="22"/>
          <w:lang w:eastAsia="en-GB"/>
        </w:rPr>
        <w:t>It is fixed for the duration of the agreement regardless of fluctuations during the IPSA period. Only in case where the post adjustment changes significantly during the period of the agreement, i.e. more than 20%, the remuneration may be re-calculated and adjusted upwards or downwards.</w:t>
      </w:r>
    </w:p>
    <w:p w14:paraId="030C1DA8" w14:textId="77777777" w:rsidR="00804AF0" w:rsidRDefault="00804AF0">
      <w:pPr>
        <w:ind w:left="2340"/>
        <w:jc w:val="both"/>
        <w:textAlignment w:val="baseline"/>
        <w:rPr>
          <w:rFonts w:ascii="Calibri" w:hAnsi="Calibri" w:cs="Calibri"/>
          <w:sz w:val="22"/>
          <w:szCs w:val="22"/>
          <w:lang w:eastAsia="en-GB"/>
        </w:rPr>
      </w:pPr>
    </w:p>
    <w:p w14:paraId="02DA5DD2" w14:textId="77777777" w:rsidR="00804AF0" w:rsidRDefault="009A47D6">
      <w:pPr>
        <w:pStyle w:val="ListParagraph"/>
        <w:numPr>
          <w:ilvl w:val="0"/>
          <w:numId w:val="16"/>
        </w:numPr>
        <w:jc w:val="both"/>
        <w:textAlignment w:val="baseline"/>
        <w:rPr>
          <w:rFonts w:ascii="Calibri" w:eastAsia="Times New Roman" w:hAnsi="Calibri" w:cs="Calibri"/>
          <w:b/>
          <w:bCs/>
          <w:sz w:val="22"/>
          <w:szCs w:val="22"/>
          <w:lang w:eastAsia="en-GB"/>
        </w:rPr>
      </w:pPr>
      <w:r>
        <w:rPr>
          <w:rFonts w:ascii="Calibri" w:eastAsia="Times New Roman" w:hAnsi="Calibri" w:cs="Calibri"/>
          <w:b/>
          <w:bCs/>
          <w:sz w:val="22"/>
          <w:szCs w:val="22"/>
          <w:lang w:eastAsia="en-GB"/>
        </w:rPr>
        <w:t>Hardship Element:</w:t>
      </w:r>
    </w:p>
    <w:p w14:paraId="0E4E0614" w14:textId="77777777" w:rsidR="00804AF0" w:rsidRDefault="00804AF0">
      <w:pPr>
        <w:pStyle w:val="ListParagraph"/>
        <w:ind w:left="720"/>
        <w:jc w:val="both"/>
        <w:textAlignment w:val="baseline"/>
        <w:rPr>
          <w:rFonts w:ascii="Calibri" w:eastAsia="Times New Roman" w:hAnsi="Calibri" w:cs="Calibri"/>
          <w:sz w:val="22"/>
          <w:szCs w:val="22"/>
          <w:lang w:eastAsia="en-GB"/>
        </w:rPr>
      </w:pPr>
    </w:p>
    <w:p w14:paraId="624BEDFF" w14:textId="77777777" w:rsidR="00804AF0" w:rsidRDefault="009A47D6">
      <w:pPr>
        <w:ind w:left="360"/>
        <w:jc w:val="both"/>
        <w:rPr>
          <w:rFonts w:ascii="Calibri" w:hAnsi="Calibri" w:cs="Calibri"/>
          <w:bCs/>
          <w:sz w:val="22"/>
          <w:szCs w:val="22"/>
          <w:lang w:eastAsia="en-GB"/>
        </w:rPr>
      </w:pPr>
      <w:r>
        <w:rPr>
          <w:rFonts w:ascii="Calibri" w:hAnsi="Calibri" w:cs="Calibri"/>
          <w:bCs/>
          <w:sz w:val="22"/>
          <w:szCs w:val="22"/>
          <w:lang w:eastAsia="en-GB"/>
        </w:rPr>
        <w:t>The hardship element consists of a hardship and/or a danger allowance, where applicable. The Hardship Allowance is only applicable in the country where the IPSA holders will perform their functions if this is classified as a duty station D or E. Danger Allowance is applicable in duty stations where Danger Pay is receivable by staff.</w:t>
      </w:r>
    </w:p>
    <w:p w14:paraId="15F645D2" w14:textId="77777777" w:rsidR="00804AF0" w:rsidRDefault="00804AF0">
      <w:pPr>
        <w:jc w:val="both"/>
        <w:textAlignment w:val="baseline"/>
        <w:rPr>
          <w:rFonts w:ascii="Calibri" w:hAnsi="Calibri" w:cs="Calibri"/>
          <w:sz w:val="22"/>
          <w:szCs w:val="22"/>
          <w:lang w:eastAsia="en-GB"/>
        </w:rPr>
      </w:pPr>
    </w:p>
    <w:p w14:paraId="23E1460F"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A chart with the IPSA pay ranges and how to identify the correct levels, as well as amounts payable under the hardship element is provided in </w:t>
      </w:r>
      <w:bookmarkStart w:id="55" w:name="OLE_LINK1"/>
      <w:r>
        <w:rPr>
          <w:rFonts w:ascii="Calibri" w:hAnsi="Calibri" w:cs="Calibri"/>
          <w:sz w:val="22"/>
          <w:szCs w:val="22"/>
          <w:lang w:eastAsia="en-GB"/>
        </w:rPr>
        <w:fldChar w:fldCharType="begin"/>
      </w:r>
      <w:r>
        <w:rPr>
          <w:rFonts w:ascii="Calibri" w:hAnsi="Calibri" w:cs="Calibri"/>
          <w:sz w:val="22"/>
          <w:szCs w:val="22"/>
          <w:lang w:eastAsia="en-GB"/>
        </w:rPr>
        <w:instrText xml:space="preserve"> HYPERLINK \l "_Annex 5: IPSA Pay Ranges and Identifying the right level" </w:instrText>
      </w:r>
      <w:r>
        <w:rPr>
          <w:rFonts w:ascii="Calibri" w:hAnsi="Calibri" w:cs="Calibri"/>
          <w:sz w:val="22"/>
          <w:szCs w:val="22"/>
          <w:lang w:eastAsia="en-GB"/>
        </w:rPr>
      </w:r>
      <w:r>
        <w:rPr>
          <w:rFonts w:ascii="Calibri" w:hAnsi="Calibri" w:cs="Calibri"/>
          <w:sz w:val="22"/>
          <w:szCs w:val="22"/>
          <w:lang w:eastAsia="en-GB"/>
        </w:rPr>
        <w:fldChar w:fldCharType="separate"/>
      </w:r>
      <w:r>
        <w:rPr>
          <w:rStyle w:val="Hyperlink"/>
          <w:rFonts w:ascii="Calibri" w:hAnsi="Calibri" w:cs="Calibri"/>
          <w:sz w:val="22"/>
          <w:szCs w:val="22"/>
          <w:lang w:eastAsia="en-GB"/>
        </w:rPr>
        <w:t>Annex 4</w:t>
      </w:r>
      <w:bookmarkEnd w:id="55"/>
      <w:r>
        <w:rPr>
          <w:rFonts w:ascii="Calibri" w:hAnsi="Calibri" w:cs="Calibri"/>
          <w:sz w:val="22"/>
          <w:szCs w:val="22"/>
          <w:lang w:eastAsia="en-GB"/>
        </w:rPr>
        <w:fldChar w:fldCharType="end"/>
      </w:r>
      <w:r>
        <w:rPr>
          <w:rFonts w:ascii="Calibri" w:hAnsi="Calibri" w:cs="Calibri"/>
          <w:sz w:val="22"/>
          <w:szCs w:val="22"/>
          <w:lang w:eastAsia="en-GB"/>
        </w:rPr>
        <w:t xml:space="preserve"> to this policy.</w:t>
      </w:r>
    </w:p>
    <w:p w14:paraId="14496CD7" w14:textId="77777777" w:rsidR="00804AF0" w:rsidRDefault="00804AF0">
      <w:pPr>
        <w:jc w:val="both"/>
        <w:textAlignment w:val="baseline"/>
        <w:rPr>
          <w:rFonts w:ascii="Calibri" w:hAnsi="Calibri" w:cs="Calibri"/>
          <w:sz w:val="22"/>
          <w:szCs w:val="22"/>
          <w:lang w:eastAsia="en-GB"/>
        </w:rPr>
      </w:pPr>
    </w:p>
    <w:p w14:paraId="5FE14134" w14:textId="77777777" w:rsidR="00804AF0" w:rsidRDefault="009A47D6">
      <w:pPr>
        <w:numPr>
          <w:ilvl w:val="0"/>
          <w:numId w:val="4"/>
        </w:numPr>
        <w:jc w:val="both"/>
        <w:textAlignment w:val="baseline"/>
        <w:rPr>
          <w:rFonts w:ascii="Calibri" w:hAnsi="Calibri" w:cs="Calibri"/>
          <w:sz w:val="22"/>
          <w:szCs w:val="22"/>
          <w:lang w:eastAsia="en-GB"/>
        </w:rPr>
      </w:pPr>
      <w:bookmarkStart w:id="56" w:name="OLE_LINK2"/>
      <w:r>
        <w:rPr>
          <w:rFonts w:ascii="Calibri" w:hAnsi="Calibri" w:cs="Calibri"/>
          <w:sz w:val="22"/>
          <w:szCs w:val="22"/>
          <w:lang w:eastAsia="en-GB"/>
        </w:rPr>
        <w:t>IPSAs are not entitled for Daily Subsistence Allowance (DSA) in addition to their paid fee while in their duty station.</w:t>
      </w:r>
    </w:p>
    <w:p w14:paraId="110F908A" w14:textId="77777777" w:rsidR="000A158C" w:rsidRDefault="000A158C" w:rsidP="0020638C">
      <w:pPr>
        <w:pStyle w:val="ListParagraph"/>
        <w:rPr>
          <w:rFonts w:ascii="Calibri" w:hAnsi="Calibri" w:cs="Calibri"/>
          <w:sz w:val="22"/>
          <w:szCs w:val="22"/>
          <w:lang w:eastAsia="en-GB"/>
        </w:rPr>
      </w:pPr>
    </w:p>
    <w:p w14:paraId="443416C3" w14:textId="77777777" w:rsidR="000A158C" w:rsidRDefault="000A158C" w:rsidP="000A158C">
      <w:pPr>
        <w:ind w:left="425"/>
        <w:jc w:val="both"/>
        <w:textAlignment w:val="baseline"/>
        <w:rPr>
          <w:rFonts w:ascii="Calibri" w:hAnsi="Calibri" w:cs="Calibri"/>
          <w:sz w:val="22"/>
          <w:szCs w:val="22"/>
          <w:lang w:eastAsia="en-GB"/>
        </w:rPr>
      </w:pPr>
    </w:p>
    <w:bookmarkEnd w:id="56"/>
    <w:p w14:paraId="5F8F6492"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lastRenderedPageBreak/>
        <w:t> </w:t>
      </w:r>
    </w:p>
    <w:p w14:paraId="1B121879" w14:textId="77777777" w:rsidR="00804AF0" w:rsidRDefault="009A47D6">
      <w:pPr>
        <w:numPr>
          <w:ilvl w:val="0"/>
          <w:numId w:val="4"/>
        </w:numPr>
        <w:jc w:val="both"/>
        <w:textAlignment w:val="baseline"/>
        <w:rPr>
          <w:rFonts w:ascii="Calibri" w:hAnsi="Calibri" w:cs="Calibri"/>
          <w:b/>
          <w:bCs/>
          <w:sz w:val="22"/>
          <w:szCs w:val="22"/>
          <w:lang w:eastAsia="en-GB"/>
        </w:rPr>
      </w:pPr>
      <w:r>
        <w:rPr>
          <w:rFonts w:ascii="Calibri" w:hAnsi="Calibri" w:cs="Calibri"/>
          <w:b/>
          <w:bCs/>
          <w:sz w:val="22"/>
          <w:szCs w:val="22"/>
          <w:lang w:eastAsia="en-GB"/>
        </w:rPr>
        <w:t>Currency of Remuneration</w:t>
      </w:r>
    </w:p>
    <w:p w14:paraId="20418EDC" w14:textId="77777777" w:rsidR="00804AF0" w:rsidRDefault="00804AF0">
      <w:pPr>
        <w:jc w:val="both"/>
        <w:textAlignment w:val="baseline"/>
        <w:rPr>
          <w:rFonts w:ascii="Calibri" w:hAnsi="Calibri" w:cs="Calibri"/>
          <w:sz w:val="22"/>
          <w:szCs w:val="22"/>
          <w:lang w:eastAsia="en-GB"/>
        </w:rPr>
      </w:pPr>
    </w:p>
    <w:p w14:paraId="0E124A8B" w14:textId="77777777" w:rsidR="00804AF0" w:rsidRDefault="009A47D6">
      <w:pPr>
        <w:pStyle w:val="ListParagraph"/>
        <w:numPr>
          <w:ilvl w:val="0"/>
          <w:numId w:val="17"/>
        </w:numPr>
        <w:jc w:val="both"/>
        <w:textAlignment w:val="baseline"/>
        <w:rPr>
          <w:rFonts w:ascii="Calibri" w:hAnsi="Calibri" w:cs="Calibri"/>
          <w:sz w:val="22"/>
          <w:szCs w:val="22"/>
          <w:lang w:eastAsia="en-GB"/>
        </w:rPr>
      </w:pPr>
      <w:r>
        <w:rPr>
          <w:rFonts w:ascii="Calibri" w:hAnsi="Calibri" w:cs="Calibri"/>
          <w:sz w:val="22"/>
          <w:szCs w:val="22"/>
          <w:lang w:eastAsia="en-GB"/>
        </w:rPr>
        <w:t>The IPSA stipulates a fixed level of remuneration in the currency stated in the agreement, with the default being United States Dollars.</w:t>
      </w:r>
    </w:p>
    <w:p w14:paraId="6EC267F2" w14:textId="77777777" w:rsidR="00804AF0" w:rsidRDefault="00804AF0">
      <w:pPr>
        <w:pStyle w:val="ListParagraph"/>
        <w:ind w:left="1080"/>
        <w:jc w:val="both"/>
        <w:textAlignment w:val="baseline"/>
        <w:rPr>
          <w:rFonts w:ascii="Calibri" w:hAnsi="Calibri" w:cs="Calibri"/>
          <w:sz w:val="22"/>
          <w:szCs w:val="22"/>
          <w:lang w:eastAsia="en-GB"/>
        </w:rPr>
      </w:pPr>
    </w:p>
    <w:p w14:paraId="331AAA9F" w14:textId="77777777" w:rsidR="00804AF0" w:rsidRDefault="009A47D6">
      <w:pPr>
        <w:pStyle w:val="ListParagraph"/>
        <w:numPr>
          <w:ilvl w:val="0"/>
          <w:numId w:val="17"/>
        </w:numPr>
        <w:jc w:val="both"/>
        <w:textAlignment w:val="baseline"/>
        <w:rPr>
          <w:rFonts w:ascii="Calibri" w:hAnsi="Calibri" w:cs="Calibri"/>
          <w:sz w:val="22"/>
          <w:szCs w:val="22"/>
          <w:lang w:eastAsia="en-GB"/>
        </w:rPr>
      </w:pPr>
      <w:r>
        <w:rPr>
          <w:rFonts w:ascii="Calibri" w:hAnsi="Calibri" w:cs="Calibri"/>
          <w:sz w:val="22"/>
          <w:szCs w:val="22"/>
          <w:lang w:eastAsia="en-GB"/>
        </w:rPr>
        <w:t>IPSAs may request that their salaries are distributed to up to two bank accounts, regardless of duty station or country.</w:t>
      </w:r>
    </w:p>
    <w:p w14:paraId="21106B68" w14:textId="77777777" w:rsidR="00804AF0" w:rsidRDefault="00804AF0">
      <w:pPr>
        <w:jc w:val="both"/>
        <w:textAlignment w:val="baseline"/>
        <w:rPr>
          <w:rFonts w:ascii="Calibri" w:hAnsi="Calibri" w:cs="Calibri"/>
          <w:b/>
          <w:bCs/>
          <w:sz w:val="22"/>
          <w:szCs w:val="22"/>
          <w:lang w:eastAsia="en-GB"/>
        </w:rPr>
      </w:pPr>
    </w:p>
    <w:p w14:paraId="0DF53FDD" w14:textId="77777777" w:rsidR="00804AF0" w:rsidRDefault="009A47D6">
      <w:pPr>
        <w:numPr>
          <w:ilvl w:val="0"/>
          <w:numId w:val="4"/>
        </w:numPr>
        <w:jc w:val="both"/>
        <w:textAlignment w:val="baseline"/>
        <w:rPr>
          <w:rFonts w:ascii="Calibri" w:hAnsi="Calibri" w:cs="Calibri"/>
          <w:b/>
          <w:bCs/>
          <w:sz w:val="22"/>
          <w:szCs w:val="22"/>
          <w:lang w:eastAsia="en-GB"/>
        </w:rPr>
      </w:pPr>
      <w:r>
        <w:rPr>
          <w:rFonts w:ascii="Calibri" w:hAnsi="Calibri" w:cs="Calibri"/>
          <w:b/>
          <w:bCs/>
          <w:sz w:val="22"/>
          <w:szCs w:val="22"/>
          <w:lang w:eastAsia="en-GB"/>
        </w:rPr>
        <w:t>Remuneration Subject to Taxation</w:t>
      </w:r>
    </w:p>
    <w:p w14:paraId="149FB4EA" w14:textId="77777777" w:rsidR="00804AF0" w:rsidRDefault="00804AF0">
      <w:pPr>
        <w:jc w:val="both"/>
        <w:textAlignment w:val="baseline"/>
        <w:rPr>
          <w:rFonts w:ascii="Calibri" w:hAnsi="Calibri" w:cs="Calibri"/>
          <w:b/>
          <w:bCs/>
          <w:sz w:val="22"/>
          <w:szCs w:val="22"/>
          <w:lang w:eastAsia="en-GB"/>
        </w:rPr>
      </w:pPr>
    </w:p>
    <w:p w14:paraId="4DEC2E41" w14:textId="77777777" w:rsidR="00804AF0" w:rsidRDefault="009A47D6">
      <w:pPr>
        <w:pStyle w:val="ListParagraph"/>
        <w:numPr>
          <w:ilvl w:val="0"/>
          <w:numId w:val="18"/>
        </w:numPr>
        <w:jc w:val="both"/>
        <w:textAlignment w:val="baseline"/>
        <w:rPr>
          <w:rFonts w:ascii="Calibri" w:hAnsi="Calibri" w:cs="Calibri"/>
          <w:sz w:val="22"/>
          <w:szCs w:val="22"/>
          <w:lang w:eastAsia="en-GB"/>
        </w:rPr>
      </w:pPr>
      <w:r>
        <w:rPr>
          <w:rFonts w:ascii="Calibri" w:hAnsi="Calibri" w:cs="Calibri"/>
          <w:sz w:val="22"/>
          <w:szCs w:val="22"/>
          <w:lang w:eastAsia="en-GB"/>
        </w:rPr>
        <w:t>Taxation on remuneration paid to individuals engaged under an IPSA is the sole responsibility of the IPSA holder.</w:t>
      </w:r>
    </w:p>
    <w:p w14:paraId="78B744C2" w14:textId="77777777" w:rsidR="00804AF0" w:rsidRDefault="00804AF0">
      <w:pPr>
        <w:ind w:left="1080" w:firstLine="60"/>
        <w:jc w:val="both"/>
        <w:textAlignment w:val="baseline"/>
        <w:rPr>
          <w:rFonts w:ascii="Calibri" w:hAnsi="Calibri" w:cs="Calibri"/>
          <w:sz w:val="22"/>
          <w:szCs w:val="22"/>
          <w:lang w:eastAsia="en-GB"/>
        </w:rPr>
      </w:pPr>
    </w:p>
    <w:p w14:paraId="29D5BBD1" w14:textId="77777777" w:rsidR="00804AF0" w:rsidRDefault="009A47D6">
      <w:pPr>
        <w:pStyle w:val="ListParagraph"/>
        <w:numPr>
          <w:ilvl w:val="0"/>
          <w:numId w:val="18"/>
        </w:numPr>
        <w:jc w:val="both"/>
        <w:textAlignment w:val="baseline"/>
        <w:rPr>
          <w:rFonts w:ascii="Calibri" w:hAnsi="Calibri" w:cs="Calibri"/>
          <w:sz w:val="22"/>
          <w:szCs w:val="22"/>
          <w:lang w:eastAsia="en-GB"/>
        </w:rPr>
      </w:pPr>
      <w:r>
        <w:rPr>
          <w:rFonts w:ascii="Calibri" w:hAnsi="Calibri" w:cs="Calibri"/>
          <w:sz w:val="22"/>
          <w:szCs w:val="22"/>
          <w:lang w:eastAsia="en-GB"/>
        </w:rPr>
        <w:t>The total remuneration paid to individuals engaged under an IPSA must be specified in gross terms. The remuneration paid to the IPSA holder is not exempt from national or local taxation. UNDP is not responsible for payment of tax on earnings or other taxes due on the remuneration of the IPSA holder, nor is UNDP responsible for reimbursement of taxes paid by IPSA holders in respect of earnings received under IPSA with UNDP. The IPSA holder must provide periodic proof of payment of taxes, and UNDP reserves the right to request proof of payment of taxes by the IPSA holder. Some national governments may exempt IPSA holders from payment of taxes. Such an exemption is solely within the purview of the respective national government and cannot be based on representations by UNDP that IPSA holders are exempt.</w:t>
      </w:r>
    </w:p>
    <w:p w14:paraId="079305CA" w14:textId="77777777" w:rsidR="00804AF0" w:rsidRDefault="00804AF0">
      <w:pPr>
        <w:pStyle w:val="ListParagraph"/>
        <w:ind w:left="1080"/>
        <w:jc w:val="both"/>
        <w:textAlignment w:val="baseline"/>
        <w:rPr>
          <w:rFonts w:ascii="Calibri" w:hAnsi="Calibri" w:cs="Calibri"/>
          <w:sz w:val="22"/>
          <w:szCs w:val="22"/>
          <w:lang w:eastAsia="en-GB"/>
        </w:rPr>
      </w:pPr>
    </w:p>
    <w:p w14:paraId="2E51C716" w14:textId="77777777" w:rsidR="00804AF0" w:rsidRDefault="009A47D6">
      <w:pPr>
        <w:pStyle w:val="ListParagraph"/>
        <w:numPr>
          <w:ilvl w:val="0"/>
          <w:numId w:val="18"/>
        </w:numPr>
        <w:jc w:val="both"/>
        <w:textAlignment w:val="baseline"/>
        <w:rPr>
          <w:rFonts w:ascii="Calibri" w:hAnsi="Calibri" w:cs="Calibri"/>
          <w:sz w:val="22"/>
          <w:szCs w:val="22"/>
          <w:lang w:eastAsia="en-GB"/>
        </w:rPr>
      </w:pPr>
      <w:r>
        <w:rPr>
          <w:rFonts w:ascii="Calibri" w:hAnsi="Calibri" w:cs="Calibri"/>
          <w:sz w:val="22"/>
          <w:szCs w:val="22"/>
          <w:lang w:eastAsia="en-GB"/>
        </w:rPr>
        <w:t xml:space="preserve">The UNDP Office must not be involved in making payroll deductions for the purpose of remitting monies to the national tax authorities, nor is it required to report the earnings of IPSA holders to the tax authorities. The UNDP Office must emphasise to the IPSA holder upon entry on duty that the IPSA holder must </w:t>
      </w:r>
      <w:proofErr w:type="gramStart"/>
      <w:r>
        <w:rPr>
          <w:rFonts w:ascii="Calibri" w:hAnsi="Calibri" w:cs="Calibri"/>
          <w:sz w:val="22"/>
          <w:szCs w:val="22"/>
          <w:lang w:eastAsia="en-GB"/>
        </w:rPr>
        <w:t>be in compliance with</w:t>
      </w:r>
      <w:proofErr w:type="gramEnd"/>
      <w:r>
        <w:rPr>
          <w:rFonts w:ascii="Calibri" w:hAnsi="Calibri" w:cs="Calibri"/>
          <w:sz w:val="22"/>
          <w:szCs w:val="22"/>
          <w:lang w:eastAsia="en-GB"/>
        </w:rPr>
        <w:t xml:space="preserve"> their national taxation obligations. This requirement will also be set out in the </w:t>
      </w:r>
      <w:hyperlink r:id="rId10" w:history="1">
        <w:r>
          <w:t>IPSA template</w:t>
        </w:r>
      </w:hyperlink>
      <w:r>
        <w:rPr>
          <w:rFonts w:ascii="Calibri" w:hAnsi="Calibri" w:cs="Calibri"/>
          <w:sz w:val="22"/>
          <w:szCs w:val="22"/>
          <w:lang w:eastAsia="en-GB"/>
        </w:rPr>
        <w:t>.</w:t>
      </w:r>
    </w:p>
    <w:p w14:paraId="124F7362" w14:textId="77777777" w:rsidR="00804AF0" w:rsidRDefault="00804AF0">
      <w:pPr>
        <w:ind w:left="720"/>
        <w:textAlignment w:val="baseline"/>
        <w:rPr>
          <w:rFonts w:ascii="Calibri" w:hAnsi="Calibri" w:cs="Calibri"/>
          <w:sz w:val="22"/>
          <w:szCs w:val="22"/>
          <w:lang w:eastAsia="en-GB"/>
        </w:rPr>
      </w:pPr>
    </w:p>
    <w:p w14:paraId="0D0A28A8" w14:textId="77777777" w:rsidR="00804AF0" w:rsidRDefault="009A47D6">
      <w:pPr>
        <w:pStyle w:val="Heading1"/>
        <w:numPr>
          <w:ilvl w:val="0"/>
          <w:numId w:val="2"/>
        </w:numPr>
        <w:jc w:val="left"/>
        <w:rPr>
          <w:rFonts w:ascii="Calibri" w:hAnsi="Calibri" w:cs="Calibri"/>
          <w:b/>
          <w:bCs/>
          <w:sz w:val="22"/>
          <w:szCs w:val="22"/>
          <w:lang w:eastAsia="en-GB"/>
        </w:rPr>
      </w:pPr>
      <w:bookmarkStart w:id="57" w:name="_Toc161312429"/>
      <w:r>
        <w:rPr>
          <w:rFonts w:ascii="Calibri" w:hAnsi="Calibri" w:cs="Calibri"/>
          <w:b/>
          <w:bCs/>
          <w:sz w:val="22"/>
          <w:szCs w:val="22"/>
          <w:lang w:eastAsia="en-GB"/>
        </w:rPr>
        <w:t>Recourse/Settlement of disputes</w:t>
      </w:r>
      <w:bookmarkEnd w:id="57"/>
    </w:p>
    <w:p w14:paraId="59C67565" w14:textId="77777777" w:rsidR="00804AF0" w:rsidRDefault="00804AF0">
      <w:pPr>
        <w:ind w:firstLine="60"/>
        <w:jc w:val="both"/>
        <w:textAlignment w:val="baseline"/>
        <w:rPr>
          <w:rFonts w:ascii="Calibri" w:hAnsi="Calibri" w:cs="Calibri"/>
          <w:sz w:val="22"/>
          <w:szCs w:val="22"/>
          <w:lang w:eastAsia="en-GB"/>
        </w:rPr>
      </w:pPr>
    </w:p>
    <w:p w14:paraId="2D927EA8"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In the event of any dispute arising out of the IPSA, the dispute must be resolved in accordance with the conditions set out in the IPSA on dispute settlement.</w:t>
      </w:r>
    </w:p>
    <w:p w14:paraId="6811BA23" w14:textId="77777777" w:rsidR="00804AF0" w:rsidRDefault="00804AF0">
      <w:pPr>
        <w:jc w:val="both"/>
        <w:textAlignment w:val="baseline"/>
        <w:rPr>
          <w:rFonts w:ascii="Calibri" w:hAnsi="Calibri" w:cs="Calibri"/>
          <w:sz w:val="22"/>
          <w:szCs w:val="22"/>
          <w:lang w:eastAsia="en-GB"/>
        </w:rPr>
      </w:pPr>
    </w:p>
    <w:p w14:paraId="0B1EB905"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Hiring offices/managers should consult and seek the advice of the Legal Office in cases involving issues of breach of agreement, and report to the Office of Audit and Investigations, including cases where misconduct is involved.</w:t>
      </w:r>
    </w:p>
    <w:p w14:paraId="34ACA24D" w14:textId="77777777" w:rsidR="00804AF0" w:rsidRDefault="00804AF0">
      <w:pPr>
        <w:jc w:val="both"/>
        <w:textAlignment w:val="baseline"/>
        <w:rPr>
          <w:rFonts w:ascii="Calibri" w:hAnsi="Calibri" w:cs="Calibri"/>
          <w:sz w:val="22"/>
          <w:szCs w:val="22"/>
          <w:lang w:eastAsia="en-GB"/>
        </w:rPr>
      </w:pPr>
    </w:p>
    <w:p w14:paraId="5DDB2143"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can report workplace issues as follows:</w:t>
      </w:r>
    </w:p>
    <w:p w14:paraId="3A97F782" w14:textId="77777777" w:rsidR="00804AF0" w:rsidRDefault="00804AF0">
      <w:pPr>
        <w:ind w:left="360" w:firstLine="60"/>
        <w:jc w:val="both"/>
        <w:textAlignment w:val="baseline"/>
        <w:rPr>
          <w:rFonts w:ascii="Calibri" w:hAnsi="Calibri" w:cs="Calibri"/>
          <w:sz w:val="22"/>
          <w:szCs w:val="22"/>
          <w:lang w:eastAsia="en-GB"/>
        </w:rPr>
      </w:pPr>
    </w:p>
    <w:p w14:paraId="72FF0CD7" w14:textId="77777777" w:rsidR="00804AF0" w:rsidRDefault="009A47D6">
      <w:pPr>
        <w:numPr>
          <w:ilvl w:val="0"/>
          <w:numId w:val="19"/>
        </w:numPr>
        <w:jc w:val="both"/>
        <w:textAlignment w:val="baseline"/>
        <w:rPr>
          <w:rFonts w:ascii="Calibri" w:hAnsi="Calibri" w:cs="Calibri"/>
          <w:sz w:val="22"/>
          <w:szCs w:val="22"/>
          <w:lang w:eastAsia="en-GB"/>
        </w:rPr>
      </w:pPr>
      <w:r>
        <w:rPr>
          <w:rFonts w:ascii="Calibri" w:hAnsi="Calibri" w:cs="Calibri"/>
          <w:sz w:val="22"/>
          <w:szCs w:val="22"/>
          <w:lang w:eastAsia="en-GB"/>
        </w:rPr>
        <w:t xml:space="preserve">Allegations of workplace harassment, sexual harassment and abuse authority, through </w:t>
      </w:r>
      <w:hyperlink r:id="rId11" w:history="1">
        <w:r>
          <w:rPr>
            <w:rStyle w:val="Hyperlink"/>
            <w:rFonts w:ascii="Calibri" w:hAnsi="Calibri" w:cs="Calibri"/>
            <w:sz w:val="22"/>
            <w:szCs w:val="22"/>
            <w:lang w:eastAsia="en-GB"/>
          </w:rPr>
          <w:t>harassment.support@undp.org</w:t>
        </w:r>
      </w:hyperlink>
      <w:r>
        <w:rPr>
          <w:rFonts w:ascii="Calibri" w:hAnsi="Calibri" w:cs="Calibri"/>
          <w:sz w:val="22"/>
          <w:szCs w:val="22"/>
          <w:lang w:eastAsia="en-GB"/>
        </w:rPr>
        <w:t>;</w:t>
      </w:r>
      <w:r>
        <w:rPr>
          <w:rFonts w:ascii="Calibri" w:hAnsi="Calibri" w:cs="Calibri"/>
          <w:color w:val="0070C0"/>
          <w:sz w:val="22"/>
          <w:szCs w:val="22"/>
          <w:lang w:eastAsia="en-GB"/>
        </w:rPr>
        <w:t xml:space="preserve"> </w:t>
      </w:r>
      <w:r>
        <w:rPr>
          <w:rFonts w:ascii="Calibri" w:hAnsi="Calibri" w:cs="Calibri"/>
          <w:sz w:val="22"/>
          <w:szCs w:val="22"/>
          <w:lang w:eastAsia="en-GB"/>
        </w:rPr>
        <w:t>or</w:t>
      </w:r>
    </w:p>
    <w:p w14:paraId="3D9C9369" w14:textId="77777777" w:rsidR="00804AF0" w:rsidRDefault="00804AF0">
      <w:pPr>
        <w:ind w:left="2160" w:firstLine="60"/>
        <w:jc w:val="both"/>
        <w:textAlignment w:val="baseline"/>
        <w:rPr>
          <w:rFonts w:ascii="Calibri" w:hAnsi="Calibri" w:cs="Calibri"/>
          <w:sz w:val="22"/>
          <w:szCs w:val="22"/>
          <w:lang w:eastAsia="en-GB"/>
        </w:rPr>
      </w:pPr>
    </w:p>
    <w:p w14:paraId="3ACFEE00" w14:textId="77777777" w:rsidR="00804AF0" w:rsidRDefault="009A47D6">
      <w:pPr>
        <w:numPr>
          <w:ilvl w:val="0"/>
          <w:numId w:val="19"/>
        </w:numPr>
        <w:jc w:val="both"/>
        <w:textAlignment w:val="baseline"/>
        <w:rPr>
          <w:rFonts w:ascii="Calibri" w:hAnsi="Calibri" w:cs="Calibri"/>
          <w:sz w:val="22"/>
          <w:szCs w:val="22"/>
          <w:lang w:eastAsia="en-GB"/>
        </w:rPr>
      </w:pPr>
      <w:r>
        <w:rPr>
          <w:rFonts w:ascii="Calibri" w:hAnsi="Calibri" w:cs="Calibri"/>
          <w:sz w:val="22"/>
          <w:szCs w:val="22"/>
          <w:lang w:eastAsia="en-GB"/>
        </w:rPr>
        <w:lastRenderedPageBreak/>
        <w:t xml:space="preserve">Allegations of fraud or mismanagement of UNDP funds, through </w:t>
      </w:r>
      <w:hyperlink r:id="rId12" w:history="1">
        <w:r>
          <w:rPr>
            <w:rStyle w:val="Hyperlink"/>
            <w:rFonts w:ascii="Calibri" w:hAnsi="Calibri" w:cs="Calibri"/>
            <w:sz w:val="22"/>
            <w:szCs w:val="22"/>
            <w:lang w:eastAsia="en-GB"/>
          </w:rPr>
          <w:t>reportmisconduct@undp.org</w:t>
        </w:r>
      </w:hyperlink>
      <w:r>
        <w:rPr>
          <w:rFonts w:ascii="Calibri" w:hAnsi="Calibri" w:cs="Calibri"/>
          <w:sz w:val="22"/>
          <w:szCs w:val="22"/>
          <w:lang w:eastAsia="en-GB"/>
        </w:rPr>
        <w:t>.</w:t>
      </w:r>
    </w:p>
    <w:p w14:paraId="55EA3B15" w14:textId="77777777" w:rsidR="00804AF0" w:rsidRDefault="00804AF0">
      <w:pPr>
        <w:ind w:left="720"/>
        <w:jc w:val="both"/>
        <w:textAlignment w:val="baseline"/>
        <w:rPr>
          <w:rFonts w:ascii="Calibri" w:hAnsi="Calibri" w:cs="Calibri"/>
          <w:sz w:val="22"/>
          <w:szCs w:val="22"/>
          <w:lang w:eastAsia="en-GB"/>
        </w:rPr>
      </w:pPr>
    </w:p>
    <w:p w14:paraId="15E9809A" w14:textId="77777777" w:rsidR="00804AF0" w:rsidRDefault="009A47D6">
      <w:pPr>
        <w:ind w:left="720"/>
        <w:jc w:val="both"/>
        <w:textAlignment w:val="baseline"/>
        <w:rPr>
          <w:rFonts w:ascii="Calibri" w:hAnsi="Calibri" w:cs="Calibri"/>
          <w:sz w:val="22"/>
          <w:szCs w:val="22"/>
          <w:lang w:eastAsia="en-GB"/>
        </w:rPr>
      </w:pPr>
      <w:r>
        <w:rPr>
          <w:rFonts w:ascii="Calibri" w:hAnsi="Calibri" w:cs="Calibri"/>
          <w:sz w:val="22"/>
          <w:szCs w:val="22"/>
          <w:lang w:eastAsia="en-GB"/>
        </w:rPr>
        <w:t>Further details and information can be found under the ‘Accountability’ section on UNDP’s website.</w:t>
      </w:r>
    </w:p>
    <w:p w14:paraId="39F763F8" w14:textId="77777777" w:rsidR="00804AF0" w:rsidRDefault="00804AF0">
      <w:pPr>
        <w:ind w:left="1440"/>
        <w:jc w:val="both"/>
        <w:textAlignment w:val="baseline"/>
        <w:rPr>
          <w:rFonts w:ascii="Calibri" w:hAnsi="Calibri" w:cs="Calibri"/>
          <w:sz w:val="22"/>
          <w:szCs w:val="22"/>
          <w:lang w:eastAsia="en-GB"/>
        </w:rPr>
      </w:pPr>
    </w:p>
    <w:p w14:paraId="62C2FAA2" w14:textId="77777777" w:rsidR="00804AF0" w:rsidRDefault="009A47D6">
      <w:pPr>
        <w:numPr>
          <w:ilvl w:val="0"/>
          <w:numId w:val="19"/>
        </w:numPr>
        <w:jc w:val="both"/>
        <w:textAlignment w:val="baseline"/>
        <w:rPr>
          <w:rFonts w:ascii="Calibri" w:hAnsi="Calibri" w:cs="Calibri"/>
          <w:sz w:val="22"/>
          <w:szCs w:val="22"/>
          <w:lang w:eastAsia="en-GB"/>
        </w:rPr>
      </w:pPr>
      <w:r>
        <w:rPr>
          <w:rFonts w:ascii="Calibri" w:hAnsi="Calibri" w:cs="Calibri"/>
          <w:sz w:val="22"/>
          <w:szCs w:val="22"/>
          <w:lang w:eastAsia="en-GB"/>
        </w:rPr>
        <w:t xml:space="preserve">Such allegations must be reported in good faith and with substantiating and detailed information and documentation. Reporting may also be done anonymously, and IPSA holders </w:t>
      </w:r>
      <w:r>
        <w:rPr>
          <w:rFonts w:ascii="Calibri" w:hAnsi="Calibri" w:cs="Calibri"/>
          <w:sz w:val="22"/>
          <w:szCs w:val="22"/>
        </w:rPr>
        <w:t xml:space="preserve">who work exclusively for UNDP (i.e., not assigned to work for a Partner Agency) </w:t>
      </w:r>
      <w:r>
        <w:rPr>
          <w:rFonts w:ascii="Calibri" w:hAnsi="Calibri" w:cs="Calibri"/>
          <w:sz w:val="22"/>
          <w:szCs w:val="22"/>
          <w:lang w:eastAsia="en-GB"/>
        </w:rPr>
        <w:t>are equally protected by UNDP’s Protection against Retaliation Policy.</w:t>
      </w:r>
    </w:p>
    <w:p w14:paraId="6D15F503" w14:textId="77777777" w:rsidR="00804AF0" w:rsidRDefault="00804AF0">
      <w:pPr>
        <w:ind w:left="1080"/>
        <w:jc w:val="both"/>
        <w:textAlignment w:val="baseline"/>
        <w:rPr>
          <w:rFonts w:ascii="Calibri" w:hAnsi="Calibri" w:cs="Calibri"/>
          <w:sz w:val="22"/>
          <w:szCs w:val="22"/>
          <w:lang w:eastAsia="en-GB"/>
        </w:rPr>
      </w:pPr>
    </w:p>
    <w:p w14:paraId="7E655DF6" w14:textId="77777777" w:rsidR="00804AF0" w:rsidRDefault="009A47D6">
      <w:pPr>
        <w:pStyle w:val="Heading1"/>
        <w:numPr>
          <w:ilvl w:val="0"/>
          <w:numId w:val="2"/>
        </w:numPr>
        <w:jc w:val="left"/>
        <w:rPr>
          <w:rFonts w:ascii="Calibri" w:hAnsi="Calibri" w:cs="Calibri"/>
          <w:b/>
          <w:bCs/>
          <w:sz w:val="22"/>
          <w:szCs w:val="22"/>
          <w:lang w:eastAsia="en-GB"/>
        </w:rPr>
      </w:pPr>
      <w:bookmarkStart w:id="58" w:name="_Toc161312430"/>
      <w:r>
        <w:rPr>
          <w:rFonts w:ascii="Calibri" w:hAnsi="Calibri" w:cs="Calibri"/>
          <w:b/>
          <w:bCs/>
          <w:sz w:val="22"/>
          <w:szCs w:val="22"/>
          <w:lang w:eastAsia="en-GB"/>
        </w:rPr>
        <w:t>Overtime</w:t>
      </w:r>
      <w:bookmarkEnd w:id="58"/>
      <w:r>
        <w:rPr>
          <w:rFonts w:ascii="Calibri" w:hAnsi="Calibri" w:cs="Calibri"/>
          <w:b/>
          <w:bCs/>
          <w:sz w:val="22"/>
          <w:szCs w:val="22"/>
          <w:lang w:eastAsia="en-GB"/>
        </w:rPr>
        <w:t>  </w:t>
      </w:r>
    </w:p>
    <w:p w14:paraId="11D29989"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5758D74A" w14:textId="77777777" w:rsidR="00804AF0" w:rsidRDefault="009A47D6">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IPSA holders are not entitled to overtime payments or to compensatory time off in lieu if hours performed beyond the regular official working hours.</w:t>
      </w:r>
    </w:p>
    <w:p w14:paraId="06480668"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42A7310" w14:textId="77777777" w:rsidR="00804AF0" w:rsidRDefault="009A47D6">
      <w:pPr>
        <w:pStyle w:val="Heading1"/>
        <w:numPr>
          <w:ilvl w:val="0"/>
          <w:numId w:val="2"/>
        </w:numPr>
        <w:jc w:val="left"/>
        <w:rPr>
          <w:rFonts w:ascii="Calibri" w:hAnsi="Calibri" w:cs="Calibri"/>
          <w:b/>
          <w:bCs/>
          <w:sz w:val="22"/>
          <w:szCs w:val="22"/>
          <w:lang w:eastAsia="en-GB"/>
        </w:rPr>
      </w:pPr>
      <w:bookmarkStart w:id="59" w:name="_Hlk56454246"/>
      <w:bookmarkStart w:id="60" w:name="_Toc161312431"/>
      <w:r>
        <w:rPr>
          <w:rFonts w:ascii="Calibri" w:hAnsi="Calibri" w:cs="Calibri"/>
          <w:b/>
          <w:bCs/>
          <w:sz w:val="22"/>
          <w:szCs w:val="22"/>
          <w:lang w:eastAsia="en-GB"/>
        </w:rPr>
        <w:t xml:space="preserve">Hardship and </w:t>
      </w:r>
      <w:bookmarkEnd w:id="59"/>
      <w:r>
        <w:rPr>
          <w:rFonts w:ascii="Calibri" w:hAnsi="Calibri" w:cs="Calibri"/>
          <w:b/>
          <w:bCs/>
          <w:sz w:val="22"/>
          <w:szCs w:val="22"/>
          <w:lang w:eastAsia="en-GB"/>
        </w:rPr>
        <w:t>Danger Allowance</w:t>
      </w:r>
      <w:bookmarkEnd w:id="60"/>
    </w:p>
    <w:p w14:paraId="3B8CF7E4" w14:textId="77777777" w:rsidR="00804AF0" w:rsidRDefault="00804AF0">
      <w:pPr>
        <w:jc w:val="both"/>
        <w:textAlignment w:val="baseline"/>
        <w:rPr>
          <w:rFonts w:ascii="Calibri" w:hAnsi="Calibri" w:cs="Calibri"/>
          <w:b/>
          <w:bCs/>
          <w:sz w:val="22"/>
          <w:szCs w:val="22"/>
          <w:lang w:eastAsia="en-GB"/>
        </w:rPr>
      </w:pPr>
    </w:p>
    <w:p w14:paraId="2A0EBFD2" w14:textId="77777777" w:rsidR="00804AF0" w:rsidRDefault="009A47D6">
      <w:pPr>
        <w:jc w:val="both"/>
        <w:textAlignment w:val="baseline"/>
        <w:rPr>
          <w:rFonts w:ascii="Calibri" w:hAnsi="Calibri" w:cs="Calibri"/>
          <w:color w:val="000000"/>
          <w:sz w:val="22"/>
          <w:szCs w:val="22"/>
          <w:u w:val="single"/>
          <w:lang w:val="en-CA" w:eastAsia="en-GB"/>
        </w:rPr>
      </w:pPr>
      <w:bookmarkStart w:id="61" w:name="_Hlk56454272"/>
      <w:r>
        <w:rPr>
          <w:rFonts w:ascii="Calibri" w:hAnsi="Calibri" w:cs="Calibri"/>
          <w:color w:val="000000"/>
          <w:sz w:val="22"/>
          <w:szCs w:val="22"/>
          <w:u w:val="single"/>
          <w:lang w:val="en-CA" w:eastAsia="en-GB"/>
        </w:rPr>
        <w:t>Hardship Allowance</w:t>
      </w:r>
    </w:p>
    <w:p w14:paraId="12E1948A" w14:textId="77777777" w:rsidR="00804AF0" w:rsidRDefault="00804AF0">
      <w:pPr>
        <w:pStyle w:val="ListParagraph"/>
        <w:jc w:val="both"/>
        <w:textAlignment w:val="baseline"/>
        <w:rPr>
          <w:rFonts w:ascii="Calibri" w:eastAsia="Times New Roman" w:hAnsi="Calibri" w:cs="Calibri"/>
          <w:color w:val="000000"/>
          <w:sz w:val="22"/>
          <w:szCs w:val="22"/>
          <w:lang w:val="en-CA" w:eastAsia="en-GB"/>
        </w:rPr>
      </w:pPr>
    </w:p>
    <w:p w14:paraId="730C1CEA" w14:textId="77777777" w:rsidR="00804AF0" w:rsidRDefault="009A47D6">
      <w:pPr>
        <w:numPr>
          <w:ilvl w:val="0"/>
          <w:numId w:val="4"/>
        </w:numPr>
        <w:jc w:val="both"/>
        <w:textAlignment w:val="baseline"/>
        <w:rPr>
          <w:rFonts w:ascii="Calibri" w:hAnsi="Calibri" w:cs="Calibri"/>
          <w:b/>
          <w:bCs/>
          <w:sz w:val="22"/>
          <w:szCs w:val="22"/>
          <w:lang w:eastAsia="en-GB"/>
        </w:rPr>
      </w:pPr>
      <w:r>
        <w:rPr>
          <w:rFonts w:ascii="Calibri" w:hAnsi="Calibri" w:cs="Calibri"/>
          <w:color w:val="000000"/>
          <w:sz w:val="22"/>
          <w:szCs w:val="22"/>
          <w:lang w:val="en-CA" w:eastAsia="en-GB"/>
        </w:rPr>
        <w:t xml:space="preserve">In addition to the base monthly remuneration and the </w:t>
      </w:r>
      <w:proofErr w:type="gramStart"/>
      <w:r>
        <w:rPr>
          <w:rFonts w:ascii="Calibri" w:hAnsi="Calibri" w:cs="Calibri"/>
          <w:color w:val="000000"/>
          <w:sz w:val="22"/>
          <w:szCs w:val="22"/>
          <w:lang w:val="en-CA" w:eastAsia="en-GB"/>
        </w:rPr>
        <w:t>cost of living</w:t>
      </w:r>
      <w:proofErr w:type="gramEnd"/>
      <w:r>
        <w:rPr>
          <w:rFonts w:ascii="Calibri" w:hAnsi="Calibri" w:cs="Calibri"/>
          <w:color w:val="000000"/>
          <w:sz w:val="22"/>
          <w:szCs w:val="22"/>
          <w:lang w:val="en-CA" w:eastAsia="en-GB"/>
        </w:rPr>
        <w:t xml:space="preserve"> component, IPSA holders who serve in locations classified as D and E are also entitled to a hardship allowance. The hardship allowance is fixed as a lump sum amount specified i</w:t>
      </w:r>
      <w:r>
        <w:rPr>
          <w:rFonts w:ascii="Calibri" w:hAnsi="Calibri" w:cs="Calibri"/>
          <w:color w:val="000000"/>
          <w:sz w:val="22"/>
          <w:szCs w:val="22"/>
          <w:lang w:eastAsia="en-GB"/>
        </w:rPr>
        <w:t xml:space="preserve">n </w:t>
      </w:r>
      <w:bookmarkStart w:id="62" w:name="OLE_LINK7"/>
      <w:r>
        <w:rPr>
          <w:rFonts w:ascii="Calibri" w:hAnsi="Calibri" w:cs="Calibri"/>
          <w:sz w:val="22"/>
          <w:szCs w:val="22"/>
          <w:lang w:eastAsia="en-GB"/>
        </w:rPr>
        <w:fldChar w:fldCharType="begin"/>
      </w:r>
      <w:r>
        <w:rPr>
          <w:rFonts w:ascii="Calibri" w:hAnsi="Calibri" w:cs="Calibri"/>
          <w:sz w:val="22"/>
          <w:szCs w:val="22"/>
          <w:lang w:eastAsia="en-GB"/>
        </w:rPr>
        <w:instrText xml:space="preserve"> HYPERLINK \l "_Annex 2: Overview of IPSA benefits" </w:instrText>
      </w:r>
      <w:r>
        <w:rPr>
          <w:rFonts w:ascii="Calibri" w:hAnsi="Calibri" w:cs="Calibri"/>
          <w:sz w:val="22"/>
          <w:szCs w:val="22"/>
          <w:lang w:eastAsia="en-GB"/>
        </w:rPr>
      </w:r>
      <w:r>
        <w:rPr>
          <w:rFonts w:ascii="Calibri" w:hAnsi="Calibri" w:cs="Calibri"/>
          <w:sz w:val="22"/>
          <w:szCs w:val="22"/>
          <w:lang w:eastAsia="en-GB"/>
        </w:rPr>
        <w:fldChar w:fldCharType="separate"/>
      </w:r>
      <w:r>
        <w:rPr>
          <w:rStyle w:val="Hyperlink"/>
          <w:rFonts w:ascii="Calibri" w:hAnsi="Calibri" w:cs="Calibri"/>
          <w:sz w:val="22"/>
          <w:szCs w:val="22"/>
          <w:lang w:eastAsia="en-GB"/>
        </w:rPr>
        <w:t>Annex 2</w:t>
      </w:r>
      <w:bookmarkEnd w:id="62"/>
      <w:r>
        <w:rPr>
          <w:rFonts w:ascii="Calibri" w:hAnsi="Calibri" w:cs="Calibri"/>
          <w:sz w:val="22"/>
          <w:szCs w:val="22"/>
          <w:lang w:eastAsia="en-GB"/>
        </w:rPr>
        <w:fldChar w:fldCharType="end"/>
      </w:r>
      <w:r>
        <w:rPr>
          <w:rFonts w:ascii="Calibri" w:hAnsi="Calibri" w:cs="Calibri"/>
          <w:sz w:val="22"/>
          <w:szCs w:val="22"/>
          <w:lang w:eastAsia="en-GB"/>
        </w:rPr>
        <w:t>.</w:t>
      </w:r>
    </w:p>
    <w:p w14:paraId="32BE3259" w14:textId="77777777" w:rsidR="00804AF0" w:rsidRDefault="00804AF0">
      <w:pPr>
        <w:jc w:val="both"/>
        <w:textAlignment w:val="baseline"/>
        <w:rPr>
          <w:rFonts w:ascii="Calibri" w:hAnsi="Calibri" w:cs="Calibri"/>
          <w:b/>
          <w:bCs/>
          <w:sz w:val="22"/>
          <w:szCs w:val="22"/>
          <w:lang w:eastAsia="en-GB"/>
        </w:rPr>
      </w:pPr>
    </w:p>
    <w:p w14:paraId="459E4531" w14:textId="77777777" w:rsidR="00804AF0" w:rsidRDefault="009A47D6">
      <w:pPr>
        <w:jc w:val="both"/>
        <w:textAlignment w:val="baseline"/>
        <w:rPr>
          <w:rFonts w:ascii="Calibri" w:hAnsi="Calibri" w:cs="Calibri"/>
          <w:color w:val="000000"/>
          <w:sz w:val="22"/>
          <w:szCs w:val="22"/>
          <w:u w:val="single"/>
          <w:lang w:val="en-CA" w:eastAsia="en-GB"/>
        </w:rPr>
      </w:pPr>
      <w:r>
        <w:rPr>
          <w:rFonts w:ascii="Calibri" w:hAnsi="Calibri" w:cs="Calibri"/>
          <w:color w:val="000000"/>
          <w:sz w:val="22"/>
          <w:szCs w:val="22"/>
          <w:u w:val="single"/>
          <w:lang w:val="en-CA" w:eastAsia="en-GB"/>
        </w:rPr>
        <w:t>Danger Allowance</w:t>
      </w:r>
    </w:p>
    <w:p w14:paraId="63D13FDE" w14:textId="77777777" w:rsidR="00804AF0" w:rsidRDefault="00804AF0">
      <w:pPr>
        <w:jc w:val="both"/>
        <w:textAlignment w:val="baseline"/>
        <w:rPr>
          <w:rFonts w:ascii="Calibri" w:hAnsi="Calibri" w:cs="Calibri"/>
          <w:sz w:val="22"/>
          <w:szCs w:val="22"/>
          <w:lang w:eastAsia="en-GB"/>
        </w:rPr>
      </w:pPr>
    </w:p>
    <w:p w14:paraId="6D8C0408"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color w:val="000000"/>
          <w:sz w:val="22"/>
          <w:szCs w:val="22"/>
          <w:lang w:val="en-CA" w:eastAsia="en-GB"/>
        </w:rPr>
        <w:t>An additional component to the Hardship Allowance, and in duty stations where danger pay is receivable by staff, IPSA holders who serve in the same duty station are also entitled to a danger allowance. The Danger Allowance is fixed as a lump sum amount specified in</w:t>
      </w:r>
      <w:bookmarkEnd w:id="61"/>
      <w:r>
        <w:rPr>
          <w:rFonts w:ascii="Calibri" w:hAnsi="Calibri" w:cs="Calibri"/>
          <w:color w:val="000000"/>
          <w:sz w:val="22"/>
          <w:szCs w:val="22"/>
          <w:lang w:eastAsia="en-GB"/>
        </w:rPr>
        <w:t xml:space="preserve"> </w:t>
      </w:r>
      <w:hyperlink w:anchor="_Annex 2: Overview of IPSA benefits" w:history="1">
        <w:r>
          <w:rPr>
            <w:rStyle w:val="Hyperlink"/>
            <w:rFonts w:ascii="Calibri" w:hAnsi="Calibri" w:cs="Calibri"/>
            <w:sz w:val="22"/>
            <w:szCs w:val="22"/>
            <w:lang w:eastAsia="en-GB"/>
          </w:rPr>
          <w:t>Annex 2</w:t>
        </w:r>
      </w:hyperlink>
      <w:r>
        <w:rPr>
          <w:rFonts w:ascii="Calibri" w:hAnsi="Calibri" w:cs="Calibri"/>
          <w:sz w:val="22"/>
          <w:szCs w:val="22"/>
          <w:lang w:eastAsia="en-GB"/>
        </w:rPr>
        <w:t>.</w:t>
      </w:r>
    </w:p>
    <w:p w14:paraId="2F83A5B0" w14:textId="77777777" w:rsidR="00804AF0" w:rsidRDefault="00804AF0">
      <w:pPr>
        <w:jc w:val="both"/>
        <w:textAlignment w:val="baseline"/>
        <w:rPr>
          <w:rFonts w:ascii="Calibri" w:hAnsi="Calibri" w:cs="Calibri"/>
          <w:sz w:val="22"/>
          <w:szCs w:val="22"/>
          <w:lang w:eastAsia="en-GB"/>
        </w:rPr>
      </w:pPr>
    </w:p>
    <w:p w14:paraId="6878114C" w14:textId="77777777" w:rsidR="00804AF0" w:rsidRDefault="009A47D6">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 xml:space="preserve">The Hardship and Danger Allowances are payable based on presence at the duty station. IPSA holders on maternity, paternity, annual or sick leave continue to be eligible </w:t>
      </w:r>
      <w:proofErr w:type="gramStart"/>
      <w:r>
        <w:rPr>
          <w:rFonts w:ascii="Calibri" w:hAnsi="Calibri" w:cs="Calibri"/>
          <w:color w:val="000000"/>
          <w:sz w:val="22"/>
          <w:szCs w:val="22"/>
          <w:lang w:val="en-CA" w:eastAsia="en-GB"/>
        </w:rPr>
        <w:t>as long as</w:t>
      </w:r>
      <w:proofErr w:type="gramEnd"/>
      <w:r>
        <w:rPr>
          <w:rFonts w:ascii="Calibri" w:hAnsi="Calibri" w:cs="Calibri"/>
          <w:color w:val="000000"/>
          <w:sz w:val="22"/>
          <w:szCs w:val="22"/>
          <w:lang w:val="en-CA" w:eastAsia="en-GB"/>
        </w:rPr>
        <w:t xml:space="preserve"> they remain in the duty station. The </w:t>
      </w:r>
      <w:bookmarkStart w:id="63" w:name="_Hlk56454425"/>
      <w:r>
        <w:rPr>
          <w:rFonts w:ascii="Calibri" w:hAnsi="Calibri" w:cs="Calibri"/>
          <w:color w:val="000000"/>
          <w:sz w:val="22"/>
          <w:szCs w:val="22"/>
          <w:lang w:val="en-CA" w:eastAsia="en-GB"/>
        </w:rPr>
        <w:t>Hardship and</w:t>
      </w:r>
      <w:bookmarkEnd w:id="63"/>
      <w:r>
        <w:rPr>
          <w:rFonts w:ascii="Calibri" w:hAnsi="Calibri" w:cs="Calibri"/>
          <w:color w:val="000000"/>
          <w:sz w:val="22"/>
          <w:szCs w:val="22"/>
          <w:lang w:val="en-CA" w:eastAsia="en-GB"/>
        </w:rPr>
        <w:t xml:space="preserve"> Danger </w:t>
      </w:r>
      <w:bookmarkStart w:id="64" w:name="_Hlk56454439"/>
      <w:r>
        <w:rPr>
          <w:rFonts w:ascii="Calibri" w:hAnsi="Calibri" w:cs="Calibri"/>
          <w:color w:val="000000"/>
          <w:sz w:val="22"/>
          <w:szCs w:val="22"/>
          <w:lang w:val="en-CA" w:eastAsia="en-GB"/>
        </w:rPr>
        <w:t>Allowances, where applicable, are</w:t>
      </w:r>
      <w:bookmarkEnd w:id="64"/>
      <w:r>
        <w:rPr>
          <w:rFonts w:ascii="Calibri" w:hAnsi="Calibri" w:cs="Calibri"/>
          <w:color w:val="000000"/>
          <w:sz w:val="22"/>
          <w:szCs w:val="22"/>
          <w:lang w:val="en-CA" w:eastAsia="en-GB"/>
        </w:rPr>
        <w:t xml:space="preserve"> also payable for time away from the designated duty station on official duty travel up to a maximum of seven consecutive calendar days including weekends and holidays falling during that period. Payment of the Danger Allowance ceases from the eighth day of official duty travel. If the IPSA holder travels on mission to another location that qualifies for </w:t>
      </w:r>
      <w:bookmarkStart w:id="65" w:name="_Hlk56454490"/>
      <w:r>
        <w:rPr>
          <w:rFonts w:ascii="Calibri" w:hAnsi="Calibri" w:cs="Calibri"/>
          <w:color w:val="000000"/>
          <w:sz w:val="22"/>
          <w:szCs w:val="22"/>
          <w:lang w:val="en-CA" w:eastAsia="en-GB"/>
        </w:rPr>
        <w:t xml:space="preserve">Hardship and/or </w:t>
      </w:r>
      <w:bookmarkEnd w:id="65"/>
      <w:r>
        <w:rPr>
          <w:rFonts w:ascii="Calibri" w:hAnsi="Calibri" w:cs="Calibri"/>
          <w:color w:val="000000"/>
          <w:sz w:val="22"/>
          <w:szCs w:val="22"/>
          <w:lang w:val="en-CA" w:eastAsia="en-GB"/>
        </w:rPr>
        <w:t xml:space="preserve">Danger Allowance, they will continue to receive these allowances accordingly. </w:t>
      </w:r>
    </w:p>
    <w:p w14:paraId="613C91EF" w14:textId="77777777" w:rsidR="00804AF0" w:rsidRDefault="00804AF0">
      <w:pPr>
        <w:ind w:left="720"/>
        <w:textAlignment w:val="baseline"/>
        <w:rPr>
          <w:rFonts w:ascii="Calibri" w:hAnsi="Calibri" w:cs="Calibri"/>
          <w:sz w:val="22"/>
          <w:szCs w:val="22"/>
          <w:lang w:eastAsia="en-GB"/>
        </w:rPr>
      </w:pPr>
    </w:p>
    <w:p w14:paraId="6BB76B4B" w14:textId="77777777" w:rsidR="00804AF0" w:rsidRDefault="009A47D6">
      <w:pPr>
        <w:pStyle w:val="Heading1"/>
        <w:numPr>
          <w:ilvl w:val="0"/>
          <w:numId w:val="2"/>
        </w:numPr>
        <w:jc w:val="left"/>
        <w:rPr>
          <w:rFonts w:ascii="Calibri" w:hAnsi="Calibri" w:cs="Calibri"/>
          <w:b/>
          <w:bCs/>
          <w:sz w:val="22"/>
          <w:szCs w:val="22"/>
          <w:lang w:eastAsia="en-GB"/>
        </w:rPr>
      </w:pPr>
      <w:bookmarkStart w:id="66" w:name="_Toc161312432"/>
      <w:r>
        <w:rPr>
          <w:rFonts w:ascii="Calibri" w:hAnsi="Calibri" w:cs="Calibri"/>
          <w:b/>
          <w:bCs/>
          <w:sz w:val="22"/>
          <w:szCs w:val="22"/>
          <w:lang w:eastAsia="en-GB"/>
        </w:rPr>
        <w:t>IPSA Remuneration Advances</w:t>
      </w:r>
      <w:bookmarkEnd w:id="66"/>
    </w:p>
    <w:p w14:paraId="769C048B" w14:textId="77777777" w:rsidR="00804AF0" w:rsidRDefault="009A47D6">
      <w:pPr>
        <w:jc w:val="both"/>
        <w:textAlignment w:val="baseline"/>
        <w:rPr>
          <w:rFonts w:ascii="Calibri" w:hAnsi="Calibri" w:cs="Calibri"/>
          <w:b/>
          <w:bCs/>
          <w:color w:val="000000"/>
          <w:sz w:val="22"/>
          <w:szCs w:val="22"/>
          <w:lang w:eastAsia="en-GB"/>
        </w:rPr>
      </w:pPr>
      <w:r>
        <w:rPr>
          <w:rFonts w:ascii="Calibri" w:hAnsi="Calibri" w:cs="Calibri"/>
          <w:b/>
          <w:bCs/>
          <w:color w:val="000000"/>
          <w:sz w:val="22"/>
          <w:szCs w:val="22"/>
          <w:lang w:eastAsia="en-GB"/>
        </w:rPr>
        <w:t> </w:t>
      </w:r>
    </w:p>
    <w:p w14:paraId="5A6742B4" w14:textId="77777777" w:rsidR="00804AF0" w:rsidRDefault="009A47D6">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 xml:space="preserve">IPSA holders may request remuneration advances in emergency situations, provided the project duration, the IPSA duration and the availability of funding cover the amount and the intended period of repayment. </w:t>
      </w:r>
      <w:proofErr w:type="gramStart"/>
      <w:r>
        <w:rPr>
          <w:rFonts w:ascii="Calibri" w:hAnsi="Calibri" w:cs="Calibri"/>
          <w:color w:val="000000"/>
          <w:sz w:val="22"/>
          <w:szCs w:val="22"/>
          <w:lang w:val="en-CA" w:eastAsia="en-GB"/>
        </w:rPr>
        <w:t>In the event that</w:t>
      </w:r>
      <w:proofErr w:type="gramEnd"/>
      <w:r>
        <w:rPr>
          <w:rFonts w:ascii="Calibri" w:hAnsi="Calibri" w:cs="Calibri"/>
          <w:color w:val="000000"/>
          <w:sz w:val="22"/>
          <w:szCs w:val="22"/>
          <w:lang w:val="en-CA" w:eastAsia="en-GB"/>
        </w:rPr>
        <w:t xml:space="preserve"> remuneration advances are approved by the supervisor, the same conditions of request and repayment shall apply as for </w:t>
      </w:r>
      <w:proofErr w:type="gramStart"/>
      <w:r>
        <w:rPr>
          <w:rFonts w:ascii="Calibri" w:hAnsi="Calibri" w:cs="Calibri"/>
          <w:color w:val="000000"/>
          <w:sz w:val="22"/>
          <w:szCs w:val="22"/>
          <w:lang w:val="en-CA" w:eastAsia="en-GB"/>
        </w:rPr>
        <w:t>staff  salary</w:t>
      </w:r>
      <w:proofErr w:type="gramEnd"/>
      <w:r>
        <w:rPr>
          <w:rFonts w:ascii="Calibri" w:hAnsi="Calibri" w:cs="Calibri"/>
          <w:color w:val="000000"/>
          <w:sz w:val="22"/>
          <w:szCs w:val="22"/>
          <w:lang w:val="en-CA" w:eastAsia="en-GB"/>
        </w:rPr>
        <w:t xml:space="preserve"> advances.</w:t>
      </w:r>
    </w:p>
    <w:p w14:paraId="4676D71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58279109" w14:textId="77777777" w:rsidR="00804AF0" w:rsidRDefault="009A47D6">
      <w:pPr>
        <w:pStyle w:val="Heading1"/>
        <w:numPr>
          <w:ilvl w:val="0"/>
          <w:numId w:val="2"/>
        </w:numPr>
        <w:jc w:val="left"/>
        <w:rPr>
          <w:rFonts w:ascii="Calibri" w:hAnsi="Calibri" w:cs="Calibri"/>
          <w:b/>
          <w:bCs/>
          <w:sz w:val="22"/>
          <w:szCs w:val="22"/>
          <w:lang w:eastAsia="en-GB"/>
        </w:rPr>
      </w:pPr>
      <w:bookmarkStart w:id="67" w:name="_Toc161312433"/>
      <w:r>
        <w:rPr>
          <w:rFonts w:ascii="Calibri" w:hAnsi="Calibri" w:cs="Calibri"/>
          <w:b/>
          <w:bCs/>
          <w:sz w:val="22"/>
          <w:szCs w:val="22"/>
          <w:lang w:eastAsia="en-GB"/>
        </w:rPr>
        <w:lastRenderedPageBreak/>
        <w:t>Mandatory subsidized coverage not commutable to cash</w:t>
      </w:r>
      <w:bookmarkEnd w:id="67"/>
    </w:p>
    <w:p w14:paraId="00F3D8C5" w14:textId="77777777" w:rsidR="00804AF0" w:rsidRDefault="00804AF0">
      <w:pPr>
        <w:jc w:val="both"/>
        <w:textAlignment w:val="baseline"/>
        <w:rPr>
          <w:rFonts w:ascii="Calibri" w:hAnsi="Calibri" w:cs="Calibri"/>
          <w:sz w:val="22"/>
          <w:szCs w:val="22"/>
          <w:lang w:eastAsia="en-GB"/>
        </w:rPr>
      </w:pPr>
    </w:p>
    <w:p w14:paraId="25CFB085" w14:textId="77777777" w:rsidR="00804AF0" w:rsidRDefault="009A47D6">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 xml:space="preserve">The following subsidized coverage is provided by </w:t>
      </w:r>
      <w:proofErr w:type="gramStart"/>
      <w:r>
        <w:rPr>
          <w:rFonts w:ascii="Calibri" w:hAnsi="Calibri" w:cs="Calibri"/>
          <w:color w:val="000000"/>
          <w:sz w:val="22"/>
          <w:szCs w:val="22"/>
          <w:lang w:val="en-CA" w:eastAsia="en-GB"/>
        </w:rPr>
        <w:t>UNDP, and</w:t>
      </w:r>
      <w:proofErr w:type="gramEnd"/>
      <w:r>
        <w:rPr>
          <w:rFonts w:ascii="Calibri" w:hAnsi="Calibri" w:cs="Calibri"/>
          <w:color w:val="000000"/>
          <w:sz w:val="22"/>
          <w:szCs w:val="22"/>
          <w:lang w:val="en-CA" w:eastAsia="en-GB"/>
        </w:rPr>
        <w:t xml:space="preserve"> is mandatory to cover possible risks against the individual or the organization. These benefits may not be commuted to cash and are mandatory and applicable as stated below.</w:t>
      </w:r>
    </w:p>
    <w:p w14:paraId="2BB3A593"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25E3D3C8"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Group Life and Disability Insurance</w:t>
      </w:r>
    </w:p>
    <w:p w14:paraId="3040538C" w14:textId="77777777" w:rsidR="00804AF0" w:rsidRDefault="009A47D6">
      <w:pPr>
        <w:jc w:val="both"/>
        <w:textAlignment w:val="baseline"/>
        <w:rPr>
          <w:rFonts w:ascii="Calibri" w:hAnsi="Calibri" w:cs="Calibri"/>
          <w:sz w:val="22"/>
          <w:szCs w:val="22"/>
          <w:lang w:eastAsia="en-GB"/>
        </w:rPr>
      </w:pPr>
      <w:r>
        <w:rPr>
          <w:rFonts w:ascii="Calibri" w:hAnsi="Calibri" w:cs="Calibri"/>
          <w:color w:val="000000"/>
          <w:sz w:val="22"/>
          <w:szCs w:val="22"/>
          <w:lang w:eastAsia="en-GB"/>
        </w:rPr>
        <w:t> </w:t>
      </w:r>
    </w:p>
    <w:p w14:paraId="2ED1E050" w14:textId="77777777" w:rsidR="00804AF0" w:rsidRDefault="009A47D6">
      <w:pPr>
        <w:numPr>
          <w:ilvl w:val="0"/>
          <w:numId w:val="20"/>
        </w:numPr>
        <w:jc w:val="both"/>
        <w:textAlignment w:val="baseline"/>
        <w:rPr>
          <w:rFonts w:ascii="Calibri" w:hAnsi="Calibri" w:cs="Calibri"/>
          <w:sz w:val="22"/>
          <w:szCs w:val="22"/>
          <w:lang w:eastAsia="en-GB"/>
        </w:rPr>
      </w:pPr>
      <w:r>
        <w:rPr>
          <w:rFonts w:ascii="Calibri" w:hAnsi="Calibri" w:cs="Calibri"/>
          <w:sz w:val="22"/>
          <w:szCs w:val="22"/>
          <w:lang w:eastAsia="en-GB"/>
        </w:rPr>
        <w:t>All persons hired on an IPSA will be covered for service incurred disability/injury/death, at no cost to the IPSA holder.</w:t>
      </w:r>
    </w:p>
    <w:p w14:paraId="449732F8" w14:textId="77777777" w:rsidR="00804AF0" w:rsidRDefault="00804AF0">
      <w:pPr>
        <w:ind w:left="720" w:firstLine="50"/>
        <w:jc w:val="both"/>
        <w:textAlignment w:val="baseline"/>
        <w:rPr>
          <w:rFonts w:ascii="Calibri" w:hAnsi="Calibri" w:cs="Calibri"/>
          <w:sz w:val="22"/>
          <w:szCs w:val="22"/>
          <w:lang w:eastAsia="en-GB"/>
        </w:rPr>
      </w:pPr>
    </w:p>
    <w:p w14:paraId="778B2460" w14:textId="77777777" w:rsidR="00804AF0" w:rsidRDefault="009A47D6">
      <w:pPr>
        <w:numPr>
          <w:ilvl w:val="0"/>
          <w:numId w:val="20"/>
        </w:numPr>
        <w:jc w:val="both"/>
        <w:textAlignment w:val="baseline"/>
        <w:rPr>
          <w:rFonts w:ascii="Calibri" w:hAnsi="Calibri" w:cs="Calibri"/>
          <w:sz w:val="22"/>
          <w:szCs w:val="22"/>
          <w:lang w:eastAsia="en-GB"/>
        </w:rPr>
      </w:pPr>
      <w:r>
        <w:rPr>
          <w:rFonts w:ascii="Calibri" w:hAnsi="Calibri" w:cs="Calibri"/>
          <w:sz w:val="22"/>
          <w:szCs w:val="22"/>
          <w:lang w:eastAsia="en-GB"/>
        </w:rPr>
        <w:t>IPSA holders must be enrolled in the global Cigna “Group Life &amp; Disability” insurance plan prescribed by UNDP which provides cover for death and permanent disability as a result of any cause. In the event of death and disability as a result of any cause, a claim must be submitted under the “Group Service-Incurred Death and Disability Insurance Plan” for compensation through Cigna.</w:t>
      </w:r>
    </w:p>
    <w:p w14:paraId="2FFF7BF3" w14:textId="77777777" w:rsidR="00804AF0" w:rsidRDefault="00804AF0">
      <w:pPr>
        <w:ind w:left="360" w:firstLine="50"/>
        <w:jc w:val="both"/>
        <w:textAlignment w:val="baseline"/>
        <w:rPr>
          <w:rFonts w:ascii="Calibri" w:hAnsi="Calibri" w:cs="Calibri"/>
          <w:sz w:val="22"/>
          <w:szCs w:val="22"/>
          <w:lang w:eastAsia="en-GB"/>
        </w:rPr>
      </w:pPr>
    </w:p>
    <w:p w14:paraId="7742E387" w14:textId="77777777" w:rsidR="00804AF0" w:rsidRDefault="009A47D6">
      <w:pPr>
        <w:numPr>
          <w:ilvl w:val="0"/>
          <w:numId w:val="20"/>
        </w:numPr>
        <w:jc w:val="both"/>
        <w:textAlignment w:val="baseline"/>
        <w:rPr>
          <w:rFonts w:ascii="Calibri" w:hAnsi="Calibri" w:cs="Calibri"/>
          <w:sz w:val="22"/>
          <w:szCs w:val="22"/>
          <w:lang w:eastAsia="en-GB"/>
        </w:rPr>
      </w:pPr>
      <w:r>
        <w:rPr>
          <w:rFonts w:ascii="Calibri" w:hAnsi="Calibri" w:cs="Calibri"/>
          <w:sz w:val="22"/>
          <w:szCs w:val="22"/>
          <w:lang w:eastAsia="en-GB"/>
        </w:rPr>
        <w:t>The premium for the Cigna scheme must be paid by the UNDP Office in respect of each IPSA holder. The premium is established in US dollars. The local currency value must be determined monthly on the basis of the UN operational rate of exchange. The premium must be collected and remitted monthly at the time of processing the remuneration.</w:t>
      </w:r>
    </w:p>
    <w:p w14:paraId="5C1FB278" w14:textId="77777777" w:rsidR="00804AF0" w:rsidRDefault="00804AF0">
      <w:pPr>
        <w:ind w:left="360" w:firstLine="50"/>
        <w:jc w:val="both"/>
        <w:textAlignment w:val="baseline"/>
        <w:rPr>
          <w:rFonts w:ascii="Calibri" w:hAnsi="Calibri" w:cs="Calibri"/>
          <w:sz w:val="22"/>
          <w:szCs w:val="22"/>
          <w:lang w:eastAsia="en-GB"/>
        </w:rPr>
      </w:pPr>
    </w:p>
    <w:p w14:paraId="470E8C52" w14:textId="77777777" w:rsidR="00804AF0" w:rsidRDefault="009A47D6">
      <w:pPr>
        <w:numPr>
          <w:ilvl w:val="0"/>
          <w:numId w:val="20"/>
        </w:numPr>
        <w:jc w:val="both"/>
        <w:textAlignment w:val="baseline"/>
        <w:rPr>
          <w:rFonts w:ascii="Calibri" w:hAnsi="Calibri" w:cs="Calibri"/>
          <w:sz w:val="22"/>
          <w:szCs w:val="22"/>
          <w:lang w:eastAsia="en-GB"/>
        </w:rPr>
      </w:pPr>
      <w:r>
        <w:rPr>
          <w:rFonts w:ascii="Calibri" w:hAnsi="Calibri" w:cs="Calibri"/>
          <w:sz w:val="22"/>
          <w:szCs w:val="22"/>
          <w:lang w:eastAsia="en-GB"/>
        </w:rPr>
        <w:t>The UNDP Office must maintain a record in its ERP system of amounts collected, should there be any questions or audit at a later date.</w:t>
      </w:r>
    </w:p>
    <w:p w14:paraId="142A00C1" w14:textId="77777777" w:rsidR="00804AF0" w:rsidRDefault="00804AF0">
      <w:pPr>
        <w:ind w:left="360" w:firstLine="50"/>
        <w:jc w:val="both"/>
        <w:textAlignment w:val="baseline"/>
        <w:rPr>
          <w:rFonts w:ascii="Calibri" w:hAnsi="Calibri" w:cs="Calibri"/>
          <w:sz w:val="22"/>
          <w:szCs w:val="22"/>
          <w:lang w:eastAsia="en-GB"/>
        </w:rPr>
      </w:pPr>
    </w:p>
    <w:p w14:paraId="2A6BB339" w14:textId="77777777" w:rsidR="00804AF0" w:rsidRDefault="009A47D6">
      <w:pPr>
        <w:numPr>
          <w:ilvl w:val="0"/>
          <w:numId w:val="20"/>
        </w:numPr>
        <w:jc w:val="both"/>
        <w:textAlignment w:val="baseline"/>
        <w:rPr>
          <w:rFonts w:ascii="Calibri" w:hAnsi="Calibri" w:cs="Calibri"/>
          <w:sz w:val="22"/>
          <w:szCs w:val="22"/>
          <w:lang w:eastAsia="en-GB"/>
        </w:rPr>
      </w:pPr>
      <w:r>
        <w:rPr>
          <w:rFonts w:ascii="Calibri" w:hAnsi="Calibri" w:cs="Calibri"/>
          <w:sz w:val="22"/>
          <w:szCs w:val="22"/>
          <w:lang w:eastAsia="en-GB"/>
        </w:rPr>
        <w:t>For this premium amount, subject to the Cigna policies in place, the IPSA holder would be eligible to receive up to the ceiling established under this benefit for permanent total disability and, in the event of the IPSA holder’s death, the surviving spouse and/or dependents would receive up to the ceiling established under this benefit.</w:t>
      </w:r>
    </w:p>
    <w:p w14:paraId="00C753A6" w14:textId="77777777" w:rsidR="00804AF0" w:rsidRDefault="00804AF0">
      <w:pPr>
        <w:ind w:left="720" w:firstLine="50"/>
        <w:textAlignment w:val="baseline"/>
        <w:rPr>
          <w:rFonts w:ascii="Calibri" w:hAnsi="Calibri" w:cs="Calibri"/>
          <w:sz w:val="22"/>
          <w:szCs w:val="22"/>
          <w:lang w:eastAsia="en-GB"/>
        </w:rPr>
      </w:pPr>
    </w:p>
    <w:p w14:paraId="79E0B4C8"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Claims for Death or Disability </w:t>
      </w:r>
    </w:p>
    <w:p w14:paraId="3C8466AD" w14:textId="77777777" w:rsidR="00804AF0" w:rsidRDefault="009A47D6">
      <w:pPr>
        <w:jc w:val="both"/>
        <w:textAlignment w:val="baseline"/>
        <w:rPr>
          <w:rFonts w:ascii="Calibri" w:hAnsi="Calibri" w:cs="Calibri"/>
          <w:sz w:val="22"/>
          <w:szCs w:val="22"/>
          <w:lang w:eastAsia="en-GB"/>
        </w:rPr>
      </w:pPr>
      <w:r>
        <w:rPr>
          <w:rFonts w:ascii="Calibri" w:hAnsi="Calibri" w:cs="Calibri"/>
          <w:color w:val="0000FF"/>
          <w:sz w:val="22"/>
          <w:szCs w:val="22"/>
          <w:lang w:eastAsia="en-GB"/>
        </w:rPr>
        <w:t> </w:t>
      </w:r>
    </w:p>
    <w:p w14:paraId="3E63D031" w14:textId="77777777" w:rsidR="00804AF0" w:rsidRDefault="009A47D6">
      <w:pPr>
        <w:numPr>
          <w:ilvl w:val="0"/>
          <w:numId w:val="21"/>
        </w:numPr>
        <w:jc w:val="both"/>
        <w:textAlignment w:val="baseline"/>
        <w:rPr>
          <w:rFonts w:ascii="Calibri" w:hAnsi="Calibri" w:cs="Calibri"/>
          <w:sz w:val="22"/>
          <w:szCs w:val="22"/>
          <w:lang w:eastAsia="en-GB"/>
        </w:rPr>
      </w:pPr>
      <w:r>
        <w:rPr>
          <w:rFonts w:ascii="Calibri" w:hAnsi="Calibri" w:cs="Calibri"/>
          <w:sz w:val="22"/>
          <w:szCs w:val="22"/>
          <w:lang w:eastAsia="en-GB"/>
        </w:rPr>
        <w:t>In the event of death of an IPSA holder, the UNDP Office must promptly notify the insurance company. Information surrounding the death, contractual status and other documentation must be provided by the UNDP Office as requested by the insurance company.</w:t>
      </w:r>
    </w:p>
    <w:p w14:paraId="1636BD5F" w14:textId="77777777" w:rsidR="00804AF0" w:rsidRDefault="00804AF0">
      <w:pPr>
        <w:ind w:left="360" w:firstLine="50"/>
        <w:jc w:val="both"/>
        <w:textAlignment w:val="baseline"/>
        <w:rPr>
          <w:rFonts w:ascii="Calibri" w:hAnsi="Calibri" w:cs="Calibri"/>
          <w:sz w:val="22"/>
          <w:szCs w:val="22"/>
          <w:lang w:eastAsia="en-GB"/>
        </w:rPr>
      </w:pPr>
    </w:p>
    <w:p w14:paraId="4D0BA99F" w14:textId="77777777" w:rsidR="00804AF0" w:rsidRDefault="009A47D6">
      <w:pPr>
        <w:numPr>
          <w:ilvl w:val="0"/>
          <w:numId w:val="21"/>
        </w:numPr>
        <w:jc w:val="both"/>
        <w:textAlignment w:val="baseline"/>
        <w:rPr>
          <w:rFonts w:ascii="Calibri" w:hAnsi="Calibri" w:cs="Calibri"/>
          <w:sz w:val="22"/>
          <w:szCs w:val="22"/>
          <w:lang w:eastAsia="en-GB"/>
        </w:rPr>
      </w:pPr>
      <w:r>
        <w:rPr>
          <w:rFonts w:ascii="Calibri" w:hAnsi="Calibri" w:cs="Calibri"/>
          <w:sz w:val="22"/>
          <w:szCs w:val="22"/>
          <w:lang w:eastAsia="en-GB"/>
        </w:rPr>
        <w:t>In the event of a service incurred disability which prevents the IPSA holder from continuing to perform according to their agreement, a claim can be submitted under the “Group Service-Incurred Death and Disability Insurance Plan” for compensation through Cigna, or under the local scheme established by the UNDP Office.</w:t>
      </w:r>
    </w:p>
    <w:p w14:paraId="537716DF" w14:textId="77777777" w:rsidR="00804AF0" w:rsidRDefault="00804AF0">
      <w:pPr>
        <w:ind w:left="360" w:firstLine="50"/>
        <w:jc w:val="both"/>
        <w:textAlignment w:val="baseline"/>
        <w:rPr>
          <w:rFonts w:ascii="Calibri" w:hAnsi="Calibri" w:cs="Calibri"/>
          <w:sz w:val="22"/>
          <w:szCs w:val="22"/>
          <w:lang w:eastAsia="en-GB"/>
        </w:rPr>
      </w:pPr>
    </w:p>
    <w:p w14:paraId="1AB54840" w14:textId="77777777" w:rsidR="00804AF0" w:rsidRDefault="009A47D6">
      <w:pPr>
        <w:numPr>
          <w:ilvl w:val="0"/>
          <w:numId w:val="21"/>
        </w:numPr>
        <w:jc w:val="both"/>
        <w:textAlignment w:val="baseline"/>
        <w:rPr>
          <w:rFonts w:ascii="Calibri" w:hAnsi="Calibri" w:cs="Calibri"/>
          <w:sz w:val="22"/>
          <w:szCs w:val="22"/>
          <w:lang w:eastAsia="en-GB"/>
        </w:rPr>
      </w:pPr>
      <w:r>
        <w:rPr>
          <w:rFonts w:ascii="Calibri" w:hAnsi="Calibri" w:cs="Calibri"/>
          <w:sz w:val="22"/>
          <w:szCs w:val="22"/>
          <w:lang w:eastAsia="en-GB"/>
        </w:rPr>
        <w:t>Each UNDP Office must ensure it has a copy of the policy on file since the claim procedure is set forth therein. The current certification required by Cigna for settlement of death, service-incurred injury or disability claims is:</w:t>
      </w:r>
    </w:p>
    <w:p w14:paraId="37A16D8E" w14:textId="77777777" w:rsidR="00804AF0" w:rsidRDefault="00804AF0">
      <w:pPr>
        <w:ind w:left="360"/>
        <w:jc w:val="both"/>
        <w:textAlignment w:val="baseline"/>
        <w:rPr>
          <w:rFonts w:ascii="Calibri" w:hAnsi="Calibri" w:cs="Calibri"/>
          <w:sz w:val="22"/>
          <w:szCs w:val="22"/>
          <w:lang w:eastAsia="en-GB"/>
        </w:rPr>
      </w:pPr>
    </w:p>
    <w:p w14:paraId="46F4C42A" w14:textId="77777777" w:rsidR="00804AF0" w:rsidRDefault="009A47D6">
      <w:pPr>
        <w:numPr>
          <w:ilvl w:val="1"/>
          <w:numId w:val="22"/>
        </w:numPr>
        <w:jc w:val="both"/>
        <w:textAlignment w:val="baseline"/>
        <w:rPr>
          <w:rFonts w:ascii="Calibri" w:hAnsi="Calibri" w:cs="Calibri"/>
          <w:sz w:val="22"/>
          <w:szCs w:val="22"/>
          <w:lang w:eastAsia="en-GB"/>
        </w:rPr>
      </w:pPr>
      <w:r>
        <w:rPr>
          <w:rFonts w:ascii="Calibri" w:hAnsi="Calibri" w:cs="Calibri"/>
          <w:sz w:val="22"/>
          <w:szCs w:val="22"/>
          <w:lang w:eastAsia="en-GB"/>
        </w:rPr>
        <w:t>A report from the UN examining physician;</w:t>
      </w:r>
    </w:p>
    <w:p w14:paraId="37166875" w14:textId="77777777" w:rsidR="00804AF0" w:rsidRDefault="00804AF0">
      <w:pPr>
        <w:ind w:left="1440"/>
        <w:jc w:val="both"/>
        <w:textAlignment w:val="baseline"/>
        <w:rPr>
          <w:rFonts w:ascii="Calibri" w:hAnsi="Calibri" w:cs="Calibri"/>
          <w:sz w:val="22"/>
          <w:szCs w:val="22"/>
          <w:lang w:eastAsia="en-GB"/>
        </w:rPr>
      </w:pPr>
    </w:p>
    <w:p w14:paraId="71B22B3D" w14:textId="77777777" w:rsidR="00804AF0" w:rsidRDefault="009A47D6">
      <w:pPr>
        <w:numPr>
          <w:ilvl w:val="1"/>
          <w:numId w:val="22"/>
        </w:numPr>
        <w:jc w:val="both"/>
        <w:textAlignment w:val="baseline"/>
        <w:rPr>
          <w:rFonts w:ascii="Calibri" w:hAnsi="Calibri" w:cs="Calibri"/>
          <w:sz w:val="22"/>
          <w:szCs w:val="22"/>
          <w:lang w:eastAsia="en-GB"/>
        </w:rPr>
      </w:pPr>
      <w:r>
        <w:rPr>
          <w:rFonts w:ascii="Calibri" w:hAnsi="Calibri" w:cs="Calibri"/>
          <w:sz w:val="22"/>
          <w:szCs w:val="22"/>
          <w:lang w:eastAsia="en-GB"/>
        </w:rPr>
        <w:t xml:space="preserve">Evidence of valid IPSA at the time of death or disability; </w:t>
      </w:r>
      <w:r>
        <w:rPr>
          <w:rFonts w:ascii="Calibri" w:hAnsi="Calibri" w:cs="Calibri"/>
          <w:i/>
          <w:iCs/>
          <w:sz w:val="22"/>
          <w:szCs w:val="22"/>
          <w:lang w:eastAsia="en-GB"/>
        </w:rPr>
        <w:t>and</w:t>
      </w:r>
    </w:p>
    <w:p w14:paraId="5B31C216" w14:textId="77777777" w:rsidR="00804AF0" w:rsidRDefault="00804AF0">
      <w:pPr>
        <w:ind w:left="1440"/>
        <w:jc w:val="both"/>
        <w:textAlignment w:val="baseline"/>
        <w:rPr>
          <w:rFonts w:ascii="Calibri" w:hAnsi="Calibri" w:cs="Calibri"/>
          <w:sz w:val="22"/>
          <w:szCs w:val="22"/>
          <w:lang w:eastAsia="en-GB"/>
        </w:rPr>
      </w:pPr>
    </w:p>
    <w:p w14:paraId="1EEFBACF" w14:textId="77777777" w:rsidR="00804AF0" w:rsidRDefault="009A47D6">
      <w:pPr>
        <w:numPr>
          <w:ilvl w:val="1"/>
          <w:numId w:val="22"/>
        </w:numPr>
        <w:jc w:val="both"/>
        <w:textAlignment w:val="baseline"/>
        <w:rPr>
          <w:rFonts w:ascii="Calibri" w:hAnsi="Calibri" w:cs="Calibri"/>
          <w:sz w:val="22"/>
          <w:szCs w:val="22"/>
          <w:lang w:eastAsia="en-GB"/>
        </w:rPr>
      </w:pPr>
      <w:r>
        <w:rPr>
          <w:rFonts w:ascii="Calibri" w:hAnsi="Calibri" w:cs="Calibri"/>
          <w:sz w:val="22"/>
          <w:szCs w:val="22"/>
          <w:lang w:eastAsia="en-GB"/>
        </w:rPr>
        <w:t>An indication that the premiums have been paid throughout the agreement.</w:t>
      </w:r>
    </w:p>
    <w:p w14:paraId="6DDE517E" w14:textId="77777777" w:rsidR="00804AF0" w:rsidRDefault="009A47D6">
      <w:pPr>
        <w:ind w:left="360"/>
        <w:jc w:val="both"/>
        <w:textAlignment w:val="baseline"/>
        <w:rPr>
          <w:rFonts w:ascii="Calibri" w:hAnsi="Calibri" w:cs="Calibri"/>
          <w:sz w:val="22"/>
          <w:szCs w:val="22"/>
          <w:lang w:eastAsia="en-GB"/>
        </w:rPr>
      </w:pPr>
      <w:r>
        <w:rPr>
          <w:rFonts w:ascii="Calibri" w:hAnsi="Calibri" w:cs="Calibri"/>
          <w:sz w:val="22"/>
          <w:szCs w:val="22"/>
          <w:lang w:eastAsia="en-GB"/>
        </w:rPr>
        <w:t> </w:t>
      </w:r>
    </w:p>
    <w:p w14:paraId="04E934C1" w14:textId="77777777" w:rsidR="00804AF0" w:rsidRDefault="009A47D6">
      <w:pPr>
        <w:numPr>
          <w:ilvl w:val="0"/>
          <w:numId w:val="21"/>
        </w:numPr>
        <w:jc w:val="both"/>
        <w:textAlignment w:val="baseline"/>
        <w:rPr>
          <w:rFonts w:ascii="Calibri" w:hAnsi="Calibri" w:cs="Calibri"/>
          <w:sz w:val="22"/>
          <w:szCs w:val="22"/>
          <w:lang w:eastAsia="en-GB"/>
        </w:rPr>
      </w:pPr>
      <w:r>
        <w:rPr>
          <w:rFonts w:ascii="Calibri" w:hAnsi="Calibri" w:cs="Calibri"/>
          <w:sz w:val="22"/>
          <w:szCs w:val="22"/>
          <w:lang w:eastAsia="en-GB"/>
        </w:rPr>
        <w:t>The UNDP administering unit (GSSU) must have on file the original entry medical certification of the IPSA holder.</w:t>
      </w:r>
    </w:p>
    <w:p w14:paraId="01998BD6" w14:textId="77777777" w:rsidR="00804AF0" w:rsidRDefault="00804AF0">
      <w:pPr>
        <w:ind w:left="720"/>
        <w:jc w:val="both"/>
        <w:textAlignment w:val="baseline"/>
        <w:rPr>
          <w:rFonts w:ascii="Calibri" w:hAnsi="Calibri" w:cs="Calibri"/>
          <w:sz w:val="22"/>
          <w:szCs w:val="22"/>
          <w:lang w:eastAsia="en-GB"/>
        </w:rPr>
      </w:pPr>
    </w:p>
    <w:p w14:paraId="7A963B4C"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Malicious Acts Insurance Policy (MAIP)</w:t>
      </w:r>
    </w:p>
    <w:p w14:paraId="706DD967" w14:textId="77777777" w:rsidR="00804AF0" w:rsidRDefault="00804AF0">
      <w:pPr>
        <w:jc w:val="both"/>
        <w:textAlignment w:val="baseline"/>
        <w:rPr>
          <w:rFonts w:ascii="Calibri" w:hAnsi="Calibri" w:cs="Calibri"/>
          <w:sz w:val="22"/>
          <w:szCs w:val="22"/>
          <w:lang w:eastAsia="en-GB"/>
        </w:rPr>
      </w:pPr>
    </w:p>
    <w:p w14:paraId="413A4778" w14:textId="77777777" w:rsidR="00804AF0" w:rsidRDefault="009A47D6">
      <w:pPr>
        <w:pStyle w:val="ListParagraph"/>
        <w:numPr>
          <w:ilvl w:val="0"/>
          <w:numId w:val="23"/>
        </w:numPr>
        <w:jc w:val="both"/>
        <w:textAlignment w:val="baseline"/>
        <w:rPr>
          <w:rFonts w:ascii="Calibri" w:hAnsi="Calibri" w:cs="Calibri"/>
          <w:sz w:val="22"/>
          <w:szCs w:val="22"/>
          <w:lang w:eastAsia="en-GB"/>
        </w:rPr>
      </w:pPr>
      <w:r>
        <w:rPr>
          <w:rFonts w:ascii="Calibri" w:hAnsi="Calibri" w:cs="Calibri"/>
          <w:sz w:val="22"/>
          <w:szCs w:val="22"/>
          <w:lang w:eastAsia="en-GB"/>
        </w:rPr>
        <w:t>IPSA holders who serve at, or travel at UNDP ’s expense to, a designated hazardous duty station are automatically covered by the Malicious Acts Insurance Policy (MAIP) and must therefore be included under the safety and security measures implemented by the UNDP Country Office under the Security Plan. Failure to comply with security instructions may render the insurance coverage null and void in so far as it relates to the IPSA holder in question. Furthermore, non-compliance with security instructions is grounds for termination of the IPSA for cause. The UNDP Office must therefore ensure that the information on MAIP and the relevant security instructions are available to IPSA holders.</w:t>
      </w:r>
    </w:p>
    <w:p w14:paraId="73D49497" w14:textId="77777777" w:rsidR="00804AF0" w:rsidRDefault="00804AF0">
      <w:pPr>
        <w:ind w:left="720"/>
        <w:jc w:val="both"/>
        <w:textAlignment w:val="baseline"/>
        <w:rPr>
          <w:rFonts w:ascii="Calibri" w:hAnsi="Calibri" w:cs="Calibri"/>
          <w:sz w:val="22"/>
          <w:szCs w:val="22"/>
          <w:lang w:eastAsia="en-GB"/>
        </w:rPr>
      </w:pPr>
    </w:p>
    <w:p w14:paraId="3D55686E" w14:textId="77777777" w:rsidR="00804AF0" w:rsidRDefault="009A47D6">
      <w:pPr>
        <w:pStyle w:val="ListParagraph"/>
        <w:numPr>
          <w:ilvl w:val="0"/>
          <w:numId w:val="23"/>
        </w:numPr>
        <w:jc w:val="both"/>
        <w:textAlignment w:val="baseline"/>
        <w:rPr>
          <w:rFonts w:ascii="Calibri" w:hAnsi="Calibri" w:cs="Calibri"/>
          <w:sz w:val="22"/>
          <w:szCs w:val="22"/>
          <w:lang w:eastAsia="en-GB"/>
        </w:rPr>
      </w:pPr>
      <w:r>
        <w:rPr>
          <w:rFonts w:ascii="Calibri" w:hAnsi="Calibri" w:cs="Calibri"/>
          <w:sz w:val="22"/>
          <w:szCs w:val="22"/>
          <w:lang w:eastAsia="en-GB"/>
        </w:rPr>
        <w:t>All claims, together with supporting documentation, must be submitted by the IPSA holder to the local Human Resources Administrator, who is responsible for reviewing such claims and forwarding them to the HR Advisor at Headquarters serving the duty station in question.</w:t>
      </w:r>
    </w:p>
    <w:p w14:paraId="10941C4E" w14:textId="77777777" w:rsidR="00804AF0" w:rsidRDefault="00804AF0">
      <w:pPr>
        <w:ind w:left="720"/>
        <w:textAlignment w:val="baseline"/>
        <w:rPr>
          <w:rFonts w:ascii="Calibri" w:hAnsi="Calibri" w:cs="Calibri"/>
          <w:sz w:val="22"/>
          <w:szCs w:val="22"/>
          <w:lang w:eastAsia="en-GB"/>
        </w:rPr>
      </w:pPr>
    </w:p>
    <w:p w14:paraId="1D0E95BC" w14:textId="77777777" w:rsidR="00804AF0" w:rsidRDefault="009A47D6">
      <w:pPr>
        <w:pStyle w:val="Heading1"/>
        <w:numPr>
          <w:ilvl w:val="0"/>
          <w:numId w:val="2"/>
        </w:numPr>
        <w:jc w:val="left"/>
        <w:rPr>
          <w:rFonts w:ascii="Calibri" w:hAnsi="Calibri" w:cs="Calibri"/>
          <w:b/>
          <w:bCs/>
          <w:sz w:val="22"/>
          <w:szCs w:val="22"/>
          <w:lang w:eastAsia="en-GB"/>
        </w:rPr>
      </w:pPr>
      <w:bookmarkStart w:id="68" w:name="_Toc161312434"/>
      <w:r>
        <w:rPr>
          <w:rFonts w:ascii="Calibri" w:hAnsi="Calibri" w:cs="Calibri"/>
          <w:b/>
          <w:bCs/>
          <w:sz w:val="22"/>
          <w:szCs w:val="22"/>
          <w:lang w:eastAsia="en-GB"/>
        </w:rPr>
        <w:t>Mandatory partially subsidized (lump sum) coverage not commutable to cash</w:t>
      </w:r>
      <w:bookmarkEnd w:id="68"/>
      <w:r>
        <w:rPr>
          <w:rFonts w:ascii="Calibri" w:hAnsi="Calibri" w:cs="Calibri"/>
          <w:b/>
          <w:bCs/>
          <w:sz w:val="22"/>
          <w:szCs w:val="22"/>
          <w:lang w:eastAsia="en-GB"/>
        </w:rPr>
        <w:t> </w:t>
      </w:r>
    </w:p>
    <w:p w14:paraId="53930604" w14:textId="77777777" w:rsidR="00804AF0" w:rsidRDefault="00804AF0">
      <w:pPr>
        <w:jc w:val="both"/>
        <w:textAlignment w:val="baseline"/>
        <w:rPr>
          <w:rFonts w:ascii="Calibri" w:hAnsi="Calibri" w:cs="Calibri"/>
          <w:sz w:val="22"/>
          <w:szCs w:val="22"/>
          <w:lang w:eastAsia="en-GB"/>
        </w:rPr>
      </w:pPr>
    </w:p>
    <w:p w14:paraId="4A5AB48C" w14:textId="77777777" w:rsidR="00804AF0" w:rsidRDefault="009A47D6">
      <w:p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 xml:space="preserve">The following </w:t>
      </w:r>
      <w:proofErr w:type="gramStart"/>
      <w:r>
        <w:rPr>
          <w:rFonts w:ascii="Calibri" w:hAnsi="Calibri" w:cs="Calibri"/>
          <w:color w:val="000000"/>
          <w:sz w:val="22"/>
          <w:szCs w:val="22"/>
          <w:lang w:val="en-CA" w:eastAsia="en-GB"/>
        </w:rPr>
        <w:t>partially-subsidized</w:t>
      </w:r>
      <w:proofErr w:type="gramEnd"/>
      <w:r>
        <w:rPr>
          <w:rFonts w:ascii="Calibri" w:hAnsi="Calibri" w:cs="Calibri"/>
          <w:color w:val="000000"/>
          <w:sz w:val="22"/>
          <w:szCs w:val="22"/>
          <w:lang w:val="en-CA" w:eastAsia="en-GB"/>
        </w:rPr>
        <w:t xml:space="preserve"> coverage is provided by UNDP in form of a lump sum, and is mandatory for the IPSA to ensure coverage, to cover possible risks against the individual or the organization. These benefits are mandatory and applicable as stated below.</w:t>
      </w:r>
    </w:p>
    <w:p w14:paraId="14CD4AAF" w14:textId="77777777" w:rsidR="00804AF0" w:rsidRDefault="009A47D6">
      <w:pPr>
        <w:ind w:left="360"/>
        <w:jc w:val="both"/>
        <w:textAlignment w:val="baseline"/>
        <w:rPr>
          <w:rFonts w:ascii="Calibri" w:hAnsi="Calibri" w:cs="Calibri"/>
          <w:sz w:val="22"/>
          <w:szCs w:val="22"/>
          <w:lang w:eastAsia="en-GB"/>
        </w:rPr>
      </w:pPr>
      <w:r>
        <w:rPr>
          <w:rFonts w:ascii="Calibri" w:hAnsi="Calibri" w:cs="Calibri"/>
          <w:sz w:val="22"/>
          <w:szCs w:val="22"/>
          <w:lang w:eastAsia="en-GB"/>
        </w:rPr>
        <w:t> </w:t>
      </w:r>
    </w:p>
    <w:p w14:paraId="22B6DDAA"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Medical Insurance </w:t>
      </w:r>
    </w:p>
    <w:p w14:paraId="5C627E2D" w14:textId="77777777" w:rsidR="00804AF0" w:rsidRDefault="00804AF0">
      <w:pPr>
        <w:ind w:left="360"/>
        <w:jc w:val="both"/>
        <w:textAlignment w:val="baseline"/>
        <w:rPr>
          <w:rFonts w:ascii="Calibri" w:hAnsi="Calibri" w:cs="Calibri"/>
          <w:sz w:val="22"/>
          <w:szCs w:val="22"/>
          <w:lang w:eastAsia="en-GB"/>
        </w:rPr>
      </w:pPr>
    </w:p>
    <w:p w14:paraId="498F5FC3" w14:textId="77777777" w:rsidR="00804AF0" w:rsidRDefault="009A47D6">
      <w:pPr>
        <w:numPr>
          <w:ilvl w:val="0"/>
          <w:numId w:val="24"/>
        </w:numPr>
        <w:jc w:val="both"/>
        <w:textAlignment w:val="baseline"/>
        <w:rPr>
          <w:rFonts w:ascii="Calibri" w:hAnsi="Calibri" w:cs="Calibri"/>
          <w:sz w:val="22"/>
          <w:szCs w:val="22"/>
          <w:lang w:eastAsia="en-GB"/>
        </w:rPr>
      </w:pPr>
      <w:r>
        <w:rPr>
          <w:rFonts w:ascii="Calibri" w:hAnsi="Calibri" w:cs="Calibri"/>
          <w:sz w:val="22"/>
          <w:szCs w:val="22"/>
          <w:lang w:eastAsia="en-GB"/>
        </w:rPr>
        <w:t>Medical insurance is mandatory. IPSAs holders must have adequate medical insurance throughout their IPSA period with UNDP.</w:t>
      </w:r>
    </w:p>
    <w:p w14:paraId="1C598665" w14:textId="77777777" w:rsidR="00804AF0" w:rsidRDefault="00804AF0">
      <w:pPr>
        <w:ind w:left="360" w:firstLine="50"/>
        <w:jc w:val="both"/>
        <w:textAlignment w:val="baseline"/>
        <w:rPr>
          <w:rFonts w:ascii="Calibri" w:hAnsi="Calibri" w:cs="Calibri"/>
          <w:sz w:val="22"/>
          <w:szCs w:val="22"/>
          <w:lang w:eastAsia="en-GB"/>
        </w:rPr>
      </w:pPr>
    </w:p>
    <w:p w14:paraId="3185A044" w14:textId="77777777" w:rsidR="00804AF0" w:rsidRDefault="009A47D6">
      <w:pPr>
        <w:numPr>
          <w:ilvl w:val="0"/>
          <w:numId w:val="24"/>
        </w:numPr>
        <w:jc w:val="both"/>
        <w:textAlignment w:val="baseline"/>
        <w:rPr>
          <w:rFonts w:ascii="Calibri" w:hAnsi="Calibri" w:cs="Calibri"/>
          <w:sz w:val="22"/>
          <w:szCs w:val="22"/>
          <w:lang w:eastAsia="en-GB"/>
        </w:rPr>
      </w:pPr>
      <w:r>
        <w:rPr>
          <w:rFonts w:ascii="Calibri" w:hAnsi="Calibri" w:cs="Calibri"/>
          <w:sz w:val="22"/>
          <w:szCs w:val="22"/>
          <w:lang w:eastAsia="en-GB"/>
        </w:rPr>
        <w:t>UNDP will provide a subsidy in the form of a fixed monthly lump sum specified in the table of entitlements (</w:t>
      </w:r>
      <w:bookmarkStart w:id="69" w:name="OLE_LINK9"/>
      <w:r>
        <w:rPr>
          <w:rFonts w:ascii="Calibri" w:hAnsi="Calibri" w:cs="Calibri"/>
          <w:sz w:val="22"/>
          <w:szCs w:val="22"/>
          <w:lang w:eastAsia="en-GB"/>
        </w:rPr>
        <w:fldChar w:fldCharType="begin"/>
      </w:r>
      <w:r>
        <w:rPr>
          <w:rFonts w:ascii="Calibri" w:hAnsi="Calibri" w:cs="Calibri"/>
          <w:sz w:val="22"/>
          <w:szCs w:val="22"/>
          <w:lang w:eastAsia="en-GB"/>
        </w:rPr>
        <w:instrText xml:space="preserve"> HYPERLINK \l "_Annex 2: Overview of IPSA benefits" </w:instrText>
      </w:r>
      <w:r>
        <w:rPr>
          <w:rFonts w:ascii="Calibri" w:hAnsi="Calibri" w:cs="Calibri"/>
          <w:sz w:val="22"/>
          <w:szCs w:val="22"/>
          <w:lang w:eastAsia="en-GB"/>
        </w:rPr>
      </w:r>
      <w:r>
        <w:rPr>
          <w:rFonts w:ascii="Calibri" w:hAnsi="Calibri" w:cs="Calibri"/>
          <w:sz w:val="22"/>
          <w:szCs w:val="22"/>
          <w:lang w:eastAsia="en-GB"/>
        </w:rPr>
        <w:fldChar w:fldCharType="separate"/>
      </w:r>
      <w:bookmarkEnd w:id="69"/>
      <w:r>
        <w:rPr>
          <w:rStyle w:val="Hyperlink"/>
          <w:rFonts w:ascii="Calibri" w:hAnsi="Calibri" w:cs="Calibri"/>
          <w:sz w:val="22"/>
          <w:szCs w:val="22"/>
          <w:lang w:eastAsia="en-GB"/>
        </w:rPr>
        <w:t>Annex</w:t>
      </w:r>
      <w:r>
        <w:rPr>
          <w:rFonts w:ascii="Calibri" w:hAnsi="Calibri" w:cs="Calibri"/>
          <w:sz w:val="22"/>
          <w:szCs w:val="22"/>
          <w:lang w:eastAsia="en-GB"/>
        </w:rPr>
        <w:fldChar w:fldCharType="end"/>
      </w:r>
      <w:r>
        <w:rPr>
          <w:rFonts w:ascii="Calibri" w:hAnsi="Calibri" w:cs="Calibri"/>
          <w:sz w:val="22"/>
          <w:szCs w:val="22"/>
          <w:lang w:eastAsia="en-GB"/>
        </w:rPr>
        <w:t xml:space="preserve"> 2), to subsidize part of the cost of the medical insurance.</w:t>
      </w:r>
    </w:p>
    <w:p w14:paraId="6E6226CB" w14:textId="77777777" w:rsidR="00804AF0" w:rsidRDefault="00804AF0">
      <w:pPr>
        <w:ind w:left="720" w:firstLine="50"/>
        <w:textAlignment w:val="baseline"/>
        <w:rPr>
          <w:rFonts w:ascii="Calibri" w:hAnsi="Calibri" w:cs="Calibri"/>
          <w:sz w:val="22"/>
          <w:szCs w:val="22"/>
          <w:lang w:eastAsia="en-GB"/>
        </w:rPr>
      </w:pPr>
    </w:p>
    <w:p w14:paraId="46772EA2" w14:textId="77777777" w:rsidR="00804AF0" w:rsidRDefault="009A47D6">
      <w:pPr>
        <w:numPr>
          <w:ilvl w:val="0"/>
          <w:numId w:val="24"/>
        </w:numPr>
        <w:jc w:val="both"/>
        <w:textAlignment w:val="baseline"/>
        <w:rPr>
          <w:rFonts w:ascii="Calibri" w:hAnsi="Calibri" w:cs="Calibri"/>
          <w:sz w:val="22"/>
          <w:szCs w:val="22"/>
          <w:lang w:eastAsia="en-GB"/>
        </w:rPr>
      </w:pPr>
      <w:r>
        <w:rPr>
          <w:rFonts w:ascii="Calibri" w:hAnsi="Calibri" w:cs="Calibri"/>
          <w:sz w:val="22"/>
          <w:szCs w:val="22"/>
          <w:lang w:eastAsia="en-GB"/>
        </w:rPr>
        <w:t>In order to ensure that the coverage is adequate to UNDP’s global standards for personnel coverage, UNDP shall make available several schemes for the IPSA holder to select from.</w:t>
      </w:r>
    </w:p>
    <w:p w14:paraId="6544E47A" w14:textId="77777777" w:rsidR="00804AF0" w:rsidRDefault="00804AF0">
      <w:pPr>
        <w:ind w:left="720" w:firstLine="50"/>
        <w:textAlignment w:val="baseline"/>
        <w:rPr>
          <w:rFonts w:ascii="Calibri" w:hAnsi="Calibri" w:cs="Calibri"/>
          <w:sz w:val="22"/>
          <w:szCs w:val="22"/>
          <w:lang w:eastAsia="en-GB"/>
        </w:rPr>
      </w:pPr>
    </w:p>
    <w:p w14:paraId="1EFDFE2E" w14:textId="77777777" w:rsidR="00804AF0" w:rsidRDefault="009A47D6">
      <w:pPr>
        <w:numPr>
          <w:ilvl w:val="0"/>
          <w:numId w:val="24"/>
        </w:numPr>
        <w:jc w:val="both"/>
        <w:textAlignment w:val="baseline"/>
        <w:rPr>
          <w:rFonts w:ascii="Calibri" w:hAnsi="Calibri" w:cs="Calibri"/>
          <w:sz w:val="22"/>
          <w:szCs w:val="22"/>
          <w:lang w:eastAsia="en-GB"/>
        </w:rPr>
      </w:pPr>
      <w:r>
        <w:rPr>
          <w:rFonts w:ascii="Calibri" w:hAnsi="Calibri" w:cs="Calibri"/>
          <w:sz w:val="22"/>
          <w:szCs w:val="22"/>
          <w:lang w:eastAsia="en-GB"/>
        </w:rPr>
        <w:t xml:space="preserve">IPSA holders must present proof of participation and coverage at the commencement of the </w:t>
      </w:r>
      <w:proofErr w:type="gramStart"/>
      <w:r>
        <w:rPr>
          <w:rFonts w:ascii="Calibri" w:hAnsi="Calibri" w:cs="Calibri"/>
          <w:sz w:val="22"/>
          <w:szCs w:val="22"/>
          <w:lang w:eastAsia="en-GB"/>
        </w:rPr>
        <w:t>IPSA, and</w:t>
      </w:r>
      <w:proofErr w:type="gramEnd"/>
      <w:r>
        <w:rPr>
          <w:rFonts w:ascii="Calibri" w:hAnsi="Calibri" w:cs="Calibri"/>
          <w:sz w:val="22"/>
          <w:szCs w:val="22"/>
          <w:lang w:eastAsia="en-GB"/>
        </w:rPr>
        <w:t xml:space="preserve"> take full responsibility for their own coverage and administration of that coverage.</w:t>
      </w:r>
    </w:p>
    <w:p w14:paraId="110CE6BB" w14:textId="77777777" w:rsidR="00804AF0" w:rsidRDefault="00804AF0">
      <w:pPr>
        <w:ind w:left="720"/>
        <w:textAlignment w:val="baseline"/>
        <w:rPr>
          <w:rFonts w:ascii="Calibri" w:hAnsi="Calibri" w:cs="Calibri"/>
          <w:sz w:val="22"/>
          <w:szCs w:val="22"/>
          <w:lang w:eastAsia="en-GB"/>
        </w:rPr>
      </w:pPr>
    </w:p>
    <w:p w14:paraId="36FC5A5E" w14:textId="77777777" w:rsidR="00804AF0" w:rsidRDefault="009A47D6">
      <w:pPr>
        <w:pStyle w:val="Heading1"/>
        <w:numPr>
          <w:ilvl w:val="0"/>
          <w:numId w:val="2"/>
        </w:numPr>
        <w:jc w:val="left"/>
        <w:rPr>
          <w:rFonts w:ascii="Calibri" w:hAnsi="Calibri" w:cs="Calibri"/>
          <w:b/>
          <w:bCs/>
          <w:sz w:val="22"/>
          <w:szCs w:val="22"/>
          <w:lang w:eastAsia="en-GB"/>
        </w:rPr>
      </w:pPr>
      <w:bookmarkStart w:id="70" w:name="_Toc161312435"/>
      <w:proofErr w:type="gramStart"/>
      <w:r>
        <w:rPr>
          <w:rFonts w:ascii="Calibri" w:hAnsi="Calibri" w:cs="Calibri"/>
          <w:b/>
          <w:bCs/>
          <w:sz w:val="22"/>
          <w:szCs w:val="22"/>
          <w:lang w:eastAsia="en-GB"/>
        </w:rPr>
        <w:t>Non subsidized</w:t>
      </w:r>
      <w:proofErr w:type="gramEnd"/>
      <w:r>
        <w:rPr>
          <w:rFonts w:ascii="Calibri" w:hAnsi="Calibri" w:cs="Calibri"/>
          <w:b/>
          <w:bCs/>
          <w:sz w:val="22"/>
          <w:szCs w:val="22"/>
          <w:lang w:eastAsia="en-GB"/>
        </w:rPr>
        <w:t xml:space="preserve"> </w:t>
      </w:r>
      <w:proofErr w:type="gramStart"/>
      <w:r>
        <w:rPr>
          <w:rFonts w:ascii="Calibri" w:hAnsi="Calibri" w:cs="Calibri"/>
          <w:b/>
          <w:bCs/>
          <w:sz w:val="22"/>
          <w:szCs w:val="22"/>
          <w:lang w:eastAsia="en-GB"/>
        </w:rPr>
        <w:t>coverages</w:t>
      </w:r>
      <w:bookmarkEnd w:id="70"/>
      <w:proofErr w:type="gramEnd"/>
    </w:p>
    <w:p w14:paraId="0A23981A" w14:textId="77777777" w:rsidR="00804AF0" w:rsidRDefault="00804AF0">
      <w:pPr>
        <w:jc w:val="both"/>
        <w:textAlignment w:val="baseline"/>
        <w:rPr>
          <w:rFonts w:ascii="Calibri" w:hAnsi="Calibri" w:cs="Calibri"/>
          <w:sz w:val="22"/>
          <w:szCs w:val="22"/>
          <w:lang w:eastAsia="en-GB"/>
        </w:rPr>
      </w:pPr>
    </w:p>
    <w:p w14:paraId="128EC9A8" w14:textId="77777777" w:rsidR="00804AF0" w:rsidRDefault="009A47D6">
      <w:p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The following coverage is to be obtained by the IPSA holder independently:</w:t>
      </w:r>
    </w:p>
    <w:p w14:paraId="0ADAEBF4" w14:textId="77777777" w:rsidR="00804AF0" w:rsidRDefault="009A47D6">
      <w:pPr>
        <w:jc w:val="both"/>
        <w:textAlignment w:val="baseline"/>
        <w:rPr>
          <w:rFonts w:ascii="Calibri" w:hAnsi="Calibri" w:cs="Calibri"/>
          <w:sz w:val="22"/>
          <w:szCs w:val="22"/>
          <w:lang w:eastAsia="en-GB"/>
        </w:rPr>
      </w:pPr>
      <w:r>
        <w:rPr>
          <w:rFonts w:ascii="Calibri" w:hAnsi="Calibri" w:cs="Calibri"/>
          <w:color w:val="333333"/>
          <w:sz w:val="22"/>
          <w:szCs w:val="22"/>
          <w:lang w:eastAsia="en-GB"/>
        </w:rPr>
        <w:lastRenderedPageBreak/>
        <w:t> </w:t>
      </w:r>
    </w:p>
    <w:p w14:paraId="0B9AB2C8"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Medical Evacuation</w:t>
      </w:r>
    </w:p>
    <w:p w14:paraId="48C94C8A" w14:textId="77777777" w:rsidR="00804AF0" w:rsidRDefault="00804AF0">
      <w:pPr>
        <w:jc w:val="both"/>
        <w:textAlignment w:val="baseline"/>
        <w:rPr>
          <w:rFonts w:ascii="Calibri" w:hAnsi="Calibri" w:cs="Calibri"/>
          <w:sz w:val="22"/>
          <w:szCs w:val="22"/>
          <w:lang w:eastAsia="en-GB"/>
        </w:rPr>
      </w:pPr>
    </w:p>
    <w:p w14:paraId="6D8A3893" w14:textId="77777777" w:rsidR="00804AF0" w:rsidRDefault="009A47D6">
      <w:pPr>
        <w:numPr>
          <w:ilvl w:val="0"/>
          <w:numId w:val="25"/>
        </w:numPr>
        <w:jc w:val="both"/>
        <w:textAlignment w:val="baseline"/>
        <w:rPr>
          <w:rFonts w:ascii="Calibri" w:hAnsi="Calibri" w:cs="Calibri"/>
          <w:sz w:val="22"/>
          <w:szCs w:val="22"/>
          <w:lang w:eastAsia="en-GB"/>
        </w:rPr>
      </w:pPr>
      <w:r>
        <w:rPr>
          <w:rFonts w:ascii="Calibri" w:hAnsi="Calibri" w:cs="Calibri"/>
          <w:sz w:val="22"/>
          <w:szCs w:val="22"/>
          <w:lang w:eastAsia="en-GB"/>
        </w:rPr>
        <w:t>Individuals engaged under IPSA are expected to obtain their own medical evacuation insurance as they are generally not eligible for medical evacuation unless they are on official travel status outside the duty station.</w:t>
      </w:r>
    </w:p>
    <w:p w14:paraId="6AA95590" w14:textId="77777777" w:rsidR="00804AF0" w:rsidRDefault="00804AF0">
      <w:pPr>
        <w:ind w:left="1080" w:firstLine="50"/>
        <w:jc w:val="both"/>
        <w:textAlignment w:val="baseline"/>
        <w:rPr>
          <w:rFonts w:ascii="Calibri" w:hAnsi="Calibri" w:cs="Calibri"/>
          <w:sz w:val="22"/>
          <w:szCs w:val="22"/>
          <w:lang w:eastAsia="en-GB"/>
        </w:rPr>
      </w:pPr>
    </w:p>
    <w:p w14:paraId="7D446062" w14:textId="77777777" w:rsidR="00804AF0" w:rsidRDefault="009A47D6">
      <w:pPr>
        <w:numPr>
          <w:ilvl w:val="0"/>
          <w:numId w:val="25"/>
        </w:numPr>
        <w:jc w:val="both"/>
        <w:textAlignment w:val="baseline"/>
        <w:rPr>
          <w:rFonts w:ascii="Calibri" w:hAnsi="Calibri" w:cs="Calibri"/>
          <w:sz w:val="22"/>
          <w:szCs w:val="22"/>
          <w:lang w:eastAsia="en-GB"/>
        </w:rPr>
      </w:pPr>
      <w:r>
        <w:rPr>
          <w:rFonts w:ascii="Calibri" w:hAnsi="Calibri" w:cs="Calibri"/>
          <w:sz w:val="22"/>
          <w:szCs w:val="22"/>
          <w:lang w:eastAsia="en-GB"/>
        </w:rPr>
        <w:t>UNDP office shall make every effort to help facilitate the medical evacuation in cases of an emergency nature, where the service exists and is able to cater for such, and where the local health services are inadequate and the IPSA holder requests the assistance of UNDP. The cost for such medical evacuation shall be facilitated at the full cost of the IPSA holder.</w:t>
      </w:r>
    </w:p>
    <w:p w14:paraId="43327F18" w14:textId="77777777" w:rsidR="00804AF0" w:rsidRDefault="009A47D6">
      <w:pPr>
        <w:ind w:left="360"/>
        <w:jc w:val="both"/>
        <w:textAlignment w:val="baseline"/>
        <w:rPr>
          <w:rFonts w:ascii="Calibri" w:hAnsi="Calibri" w:cs="Calibri"/>
          <w:sz w:val="22"/>
          <w:szCs w:val="22"/>
          <w:lang w:eastAsia="en-GB"/>
        </w:rPr>
      </w:pPr>
      <w:r>
        <w:rPr>
          <w:rFonts w:ascii="Calibri" w:hAnsi="Calibri" w:cs="Calibri"/>
          <w:sz w:val="22"/>
          <w:szCs w:val="22"/>
          <w:lang w:eastAsia="en-GB"/>
        </w:rPr>
        <w:t> </w:t>
      </w:r>
    </w:p>
    <w:p w14:paraId="0342A05A"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Social Security and Pension Fund Arrangements </w:t>
      </w:r>
    </w:p>
    <w:p w14:paraId="2E0E4E00" w14:textId="77777777" w:rsidR="00804AF0" w:rsidRDefault="00804AF0">
      <w:pPr>
        <w:ind w:left="720"/>
        <w:jc w:val="both"/>
        <w:textAlignment w:val="baseline"/>
        <w:rPr>
          <w:rFonts w:ascii="Calibri" w:hAnsi="Calibri" w:cs="Calibri"/>
          <w:sz w:val="22"/>
          <w:szCs w:val="22"/>
          <w:lang w:eastAsia="en-GB"/>
        </w:rPr>
      </w:pPr>
    </w:p>
    <w:p w14:paraId="75D31D68"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UNDP does not make additional payments for social security and pension fund towards IPSAs.</w:t>
      </w:r>
    </w:p>
    <w:p w14:paraId="3F1C1398" w14:textId="77777777" w:rsidR="00804AF0" w:rsidRDefault="00804AF0">
      <w:pPr>
        <w:jc w:val="both"/>
        <w:textAlignment w:val="baseline"/>
        <w:rPr>
          <w:rFonts w:ascii="Calibri" w:hAnsi="Calibri" w:cs="Calibri"/>
          <w:sz w:val="22"/>
          <w:szCs w:val="22"/>
          <w:lang w:eastAsia="en-GB"/>
        </w:rPr>
      </w:pPr>
    </w:p>
    <w:p w14:paraId="33288EF4"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Optional coverage provided but not subsidized by UNDP</w:t>
      </w:r>
    </w:p>
    <w:p w14:paraId="3600ED39" w14:textId="77777777" w:rsidR="00804AF0" w:rsidRDefault="00804AF0">
      <w:pPr>
        <w:jc w:val="both"/>
        <w:textAlignment w:val="baseline"/>
        <w:rPr>
          <w:rFonts w:ascii="Calibri" w:hAnsi="Calibri" w:cs="Calibri"/>
          <w:sz w:val="22"/>
          <w:szCs w:val="22"/>
          <w:lang w:eastAsia="en-GB"/>
        </w:rPr>
      </w:pPr>
    </w:p>
    <w:p w14:paraId="5C998197"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xml:space="preserve">UNDP will make available a range of optional benefits and coverages to be accessed by individuals directly and at their own expense. It is understood that UNDP has entered into an agreement with each of the service providers with no corporate liability on </w:t>
      </w:r>
      <w:proofErr w:type="gramStart"/>
      <w:r>
        <w:rPr>
          <w:rFonts w:ascii="Calibri" w:hAnsi="Calibri" w:cs="Calibri"/>
          <w:sz w:val="22"/>
          <w:szCs w:val="22"/>
          <w:lang w:eastAsia="en-GB"/>
        </w:rPr>
        <w:t>itself, but</w:t>
      </w:r>
      <w:proofErr w:type="gramEnd"/>
      <w:r>
        <w:rPr>
          <w:rFonts w:ascii="Calibri" w:hAnsi="Calibri" w:cs="Calibri"/>
          <w:sz w:val="22"/>
          <w:szCs w:val="22"/>
          <w:lang w:eastAsia="en-GB"/>
        </w:rPr>
        <w:t xml:space="preserve"> is only availing of these services for the direct benefit and at the full cost and responsibility of the IPSA holder.</w:t>
      </w:r>
    </w:p>
    <w:p w14:paraId="080D6E8D" w14:textId="77777777" w:rsidR="00804AF0" w:rsidRDefault="00804AF0">
      <w:pPr>
        <w:jc w:val="both"/>
        <w:textAlignment w:val="baseline"/>
        <w:rPr>
          <w:rFonts w:ascii="Calibri" w:hAnsi="Calibri" w:cs="Calibri"/>
          <w:sz w:val="22"/>
          <w:szCs w:val="22"/>
          <w:lang w:eastAsia="en-GB"/>
        </w:rPr>
      </w:pPr>
    </w:p>
    <w:p w14:paraId="0656D1E5" w14:textId="77777777" w:rsidR="00804AF0" w:rsidRDefault="009A47D6">
      <w:pPr>
        <w:pStyle w:val="Heading1"/>
        <w:numPr>
          <w:ilvl w:val="0"/>
          <w:numId w:val="2"/>
        </w:numPr>
        <w:jc w:val="left"/>
        <w:rPr>
          <w:rFonts w:ascii="Calibri" w:hAnsi="Calibri" w:cs="Calibri"/>
          <w:b/>
          <w:bCs/>
          <w:sz w:val="22"/>
          <w:szCs w:val="22"/>
          <w:lang w:eastAsia="en-GB"/>
        </w:rPr>
      </w:pPr>
      <w:bookmarkStart w:id="71" w:name="_Toc161312436"/>
      <w:r>
        <w:rPr>
          <w:rFonts w:ascii="Calibri" w:hAnsi="Calibri" w:cs="Calibri"/>
          <w:b/>
          <w:bCs/>
          <w:sz w:val="22"/>
          <w:szCs w:val="22"/>
          <w:lang w:eastAsia="en-GB"/>
        </w:rPr>
        <w:t>Working Hours</w:t>
      </w:r>
      <w:bookmarkEnd w:id="71"/>
      <w:r>
        <w:rPr>
          <w:rFonts w:ascii="Calibri" w:hAnsi="Calibri" w:cs="Calibri"/>
          <w:b/>
          <w:bCs/>
          <w:sz w:val="22"/>
          <w:szCs w:val="22"/>
          <w:lang w:eastAsia="en-GB"/>
        </w:rPr>
        <w:t> </w:t>
      </w:r>
    </w:p>
    <w:p w14:paraId="4BBEFA49" w14:textId="77777777" w:rsidR="00804AF0" w:rsidRDefault="00804AF0">
      <w:pPr>
        <w:jc w:val="both"/>
        <w:textAlignment w:val="baseline"/>
        <w:rPr>
          <w:rFonts w:ascii="Calibri" w:hAnsi="Calibri" w:cs="Calibri"/>
          <w:sz w:val="22"/>
          <w:szCs w:val="22"/>
          <w:lang w:eastAsia="en-GB"/>
        </w:rPr>
      </w:pPr>
    </w:p>
    <w:p w14:paraId="78948FEB" w14:textId="77777777" w:rsidR="00804AF0" w:rsidRDefault="009A47D6">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The working hours, UN official holidays and weekends for regular IPSA holders are aligned with those applicable to staff and other personnel in the duty station.</w:t>
      </w:r>
    </w:p>
    <w:p w14:paraId="76621C8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2CEE9342" w14:textId="77777777" w:rsidR="00804AF0" w:rsidRDefault="009A47D6">
      <w:pPr>
        <w:pStyle w:val="Heading1"/>
        <w:numPr>
          <w:ilvl w:val="0"/>
          <w:numId w:val="2"/>
        </w:numPr>
        <w:jc w:val="left"/>
        <w:rPr>
          <w:rFonts w:ascii="Calibri" w:hAnsi="Calibri" w:cs="Calibri"/>
          <w:b/>
          <w:bCs/>
          <w:sz w:val="22"/>
          <w:szCs w:val="22"/>
          <w:lang w:eastAsia="en-GB"/>
        </w:rPr>
      </w:pPr>
      <w:bookmarkStart w:id="72" w:name="_Toc161312437"/>
      <w:r>
        <w:rPr>
          <w:rFonts w:ascii="Calibri" w:hAnsi="Calibri" w:cs="Calibri"/>
          <w:b/>
          <w:bCs/>
          <w:sz w:val="22"/>
          <w:szCs w:val="22"/>
          <w:lang w:eastAsia="en-GB"/>
        </w:rPr>
        <w:t>Leave</w:t>
      </w:r>
      <w:bookmarkEnd w:id="72"/>
    </w:p>
    <w:p w14:paraId="579427D0" w14:textId="77777777" w:rsidR="00804AF0" w:rsidRDefault="00804AF0">
      <w:pPr>
        <w:jc w:val="both"/>
        <w:textAlignment w:val="baseline"/>
        <w:rPr>
          <w:rFonts w:ascii="Calibri" w:hAnsi="Calibri" w:cs="Calibri"/>
          <w:sz w:val="22"/>
          <w:szCs w:val="22"/>
          <w:lang w:eastAsia="en-GB"/>
        </w:rPr>
      </w:pPr>
    </w:p>
    <w:p w14:paraId="69C8326C"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bookmarkStart w:id="73" w:name="OLE_LINK31"/>
      <w:r>
        <w:rPr>
          <w:rFonts w:ascii="Calibri" w:hAnsi="Calibri" w:cs="Calibri"/>
          <w:b/>
          <w:bCs/>
          <w:color w:val="000000"/>
          <w:sz w:val="22"/>
          <w:szCs w:val="22"/>
          <w:lang w:val="en-CA" w:eastAsia="en-GB"/>
        </w:rPr>
        <w:t>Annual leave</w:t>
      </w:r>
    </w:p>
    <w:bookmarkEnd w:id="73"/>
    <w:p w14:paraId="40434D99" w14:textId="77777777" w:rsidR="00804AF0" w:rsidRDefault="00804AF0">
      <w:pPr>
        <w:jc w:val="both"/>
        <w:textAlignment w:val="baseline"/>
        <w:rPr>
          <w:rFonts w:ascii="Calibri" w:hAnsi="Calibri" w:cs="Calibri"/>
          <w:b/>
          <w:bCs/>
          <w:sz w:val="22"/>
          <w:szCs w:val="22"/>
          <w:lang w:eastAsia="en-GB"/>
        </w:rPr>
      </w:pPr>
    </w:p>
    <w:p w14:paraId="7104C3CA" w14:textId="77777777" w:rsidR="00804AF0" w:rsidRDefault="009A47D6">
      <w:pPr>
        <w:numPr>
          <w:ilvl w:val="0"/>
          <w:numId w:val="26"/>
        </w:numPr>
        <w:jc w:val="both"/>
        <w:textAlignment w:val="baseline"/>
        <w:rPr>
          <w:rFonts w:ascii="Calibri" w:hAnsi="Calibri" w:cs="Calibri"/>
          <w:sz w:val="22"/>
          <w:szCs w:val="22"/>
          <w:lang w:eastAsia="en-GB"/>
        </w:rPr>
      </w:pPr>
      <w:r>
        <w:rPr>
          <w:rFonts w:ascii="Calibri" w:hAnsi="Calibri" w:cs="Calibri"/>
          <w:sz w:val="22"/>
          <w:szCs w:val="22"/>
          <w:lang w:eastAsia="en-GB"/>
        </w:rPr>
        <w:t>IPSA holders with regular IPSAs are eligible for paid annual leave of two and a half working days per month for rest purposes, which may be accumulated during the IPSA period, as specified below.</w:t>
      </w:r>
    </w:p>
    <w:p w14:paraId="5ED81B16" w14:textId="77777777" w:rsidR="00804AF0" w:rsidRDefault="00804AF0">
      <w:pPr>
        <w:jc w:val="both"/>
        <w:textAlignment w:val="baseline"/>
        <w:rPr>
          <w:rFonts w:ascii="Calibri" w:hAnsi="Calibri" w:cs="Calibri"/>
          <w:sz w:val="22"/>
          <w:szCs w:val="22"/>
          <w:lang w:eastAsia="en-GB"/>
        </w:rPr>
      </w:pPr>
    </w:p>
    <w:p w14:paraId="2393FAD4" w14:textId="77777777" w:rsidR="00804AF0" w:rsidRDefault="009A47D6">
      <w:pPr>
        <w:numPr>
          <w:ilvl w:val="0"/>
          <w:numId w:val="26"/>
        </w:numPr>
        <w:jc w:val="both"/>
        <w:textAlignment w:val="baseline"/>
        <w:rPr>
          <w:rFonts w:ascii="Calibri" w:hAnsi="Calibri" w:cs="Calibri"/>
          <w:sz w:val="22"/>
          <w:szCs w:val="22"/>
          <w:lang w:eastAsia="en-GB"/>
        </w:rPr>
      </w:pPr>
      <w:r>
        <w:rPr>
          <w:rFonts w:ascii="Calibri" w:hAnsi="Calibri" w:cs="Calibri"/>
          <w:sz w:val="22"/>
          <w:szCs w:val="22"/>
          <w:lang w:eastAsia="en-GB"/>
        </w:rPr>
        <w:t>All annual leave is expected to be taken within the period of the IPSA agreement. If the IPSA agreement is extended for an additional period and funded from the same funding source/project, the IPSA may carry over accrued annual leave to the subsequent IPSA period. As of the annual leave cut-off date of 1 April of any given year, the annual leave balance (if any) will be re-set to a maximum of 24 days. </w:t>
      </w:r>
    </w:p>
    <w:p w14:paraId="7F0A56B3" w14:textId="77777777" w:rsidR="00804AF0" w:rsidRDefault="00804AF0">
      <w:pPr>
        <w:jc w:val="both"/>
        <w:textAlignment w:val="baseline"/>
        <w:rPr>
          <w:rFonts w:ascii="Calibri" w:hAnsi="Calibri" w:cs="Calibri"/>
          <w:sz w:val="22"/>
          <w:szCs w:val="22"/>
          <w:lang w:eastAsia="en-GB"/>
        </w:rPr>
      </w:pPr>
    </w:p>
    <w:p w14:paraId="4AAD205D" w14:textId="77777777" w:rsidR="00804AF0" w:rsidRDefault="009A47D6">
      <w:pPr>
        <w:numPr>
          <w:ilvl w:val="0"/>
          <w:numId w:val="26"/>
        </w:numPr>
        <w:jc w:val="both"/>
        <w:textAlignment w:val="baseline"/>
        <w:rPr>
          <w:rFonts w:ascii="Calibri" w:hAnsi="Calibri" w:cs="Calibri"/>
          <w:sz w:val="22"/>
          <w:szCs w:val="22"/>
          <w:lang w:eastAsia="en-GB"/>
        </w:rPr>
      </w:pPr>
      <w:bookmarkStart w:id="74" w:name="OLE_LINK32"/>
      <w:r>
        <w:rPr>
          <w:rFonts w:ascii="Calibri" w:hAnsi="Calibri" w:cs="Calibri"/>
          <w:sz w:val="22"/>
          <w:szCs w:val="22"/>
          <w:lang w:eastAsia="en-GB"/>
        </w:rPr>
        <w:t xml:space="preserve">Unused paid annual leave is not commutable to cash unless it is approved and/or requested by the supervisor, for example, when the presence of the IPSA holder is required to perform their functions prior to separation within the notice period given, and where the budget is able to cater for this payment and charged fully to the current budget </w:t>
      </w:r>
      <w:r>
        <w:rPr>
          <w:rFonts w:ascii="Calibri" w:hAnsi="Calibri" w:cs="Calibri"/>
          <w:sz w:val="22"/>
          <w:szCs w:val="22"/>
          <w:lang w:eastAsia="en-GB"/>
        </w:rPr>
        <w:lastRenderedPageBreak/>
        <w:t xml:space="preserve">period of the funding source. The maximum number of annual leave days that may be commuted to cash is twenty-four (24). </w:t>
      </w:r>
    </w:p>
    <w:bookmarkEnd w:id="74"/>
    <w:p w14:paraId="6EBF7C0E" w14:textId="77777777" w:rsidR="00804AF0" w:rsidRDefault="00804AF0">
      <w:pPr>
        <w:jc w:val="both"/>
        <w:textAlignment w:val="baseline"/>
        <w:rPr>
          <w:rFonts w:ascii="Calibri" w:hAnsi="Calibri" w:cs="Calibri"/>
          <w:sz w:val="22"/>
          <w:szCs w:val="22"/>
          <w:lang w:eastAsia="en-GB"/>
        </w:rPr>
      </w:pPr>
    </w:p>
    <w:p w14:paraId="430710FC" w14:textId="77777777" w:rsidR="00804AF0" w:rsidRDefault="009A47D6">
      <w:pPr>
        <w:numPr>
          <w:ilvl w:val="0"/>
          <w:numId w:val="26"/>
        </w:numPr>
        <w:jc w:val="both"/>
        <w:textAlignment w:val="baseline"/>
        <w:rPr>
          <w:rFonts w:ascii="Calibri" w:hAnsi="Calibri" w:cs="Calibri"/>
          <w:sz w:val="22"/>
          <w:szCs w:val="22"/>
          <w:lang w:eastAsia="en-GB"/>
        </w:rPr>
      </w:pPr>
      <w:r>
        <w:rPr>
          <w:rFonts w:ascii="Calibri" w:hAnsi="Calibri" w:cs="Calibri"/>
          <w:sz w:val="22"/>
          <w:szCs w:val="22"/>
          <w:lang w:eastAsia="en-GB"/>
        </w:rPr>
        <w:t>Any absence from duty not specifically authorized, including any absence beyond the allowable time-off in accordance with this policy, will be treated as unauthorized absence and must be charged to unpaid leave.</w:t>
      </w:r>
    </w:p>
    <w:p w14:paraId="01235C9B"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44A45D9B"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bookmarkStart w:id="75" w:name="OLE_LINK35"/>
      <w:r>
        <w:rPr>
          <w:rFonts w:ascii="Calibri" w:hAnsi="Calibri" w:cs="Calibri"/>
          <w:b/>
          <w:bCs/>
          <w:color w:val="000000"/>
          <w:sz w:val="22"/>
          <w:szCs w:val="22"/>
          <w:lang w:val="en-CA" w:eastAsia="en-GB"/>
        </w:rPr>
        <w:t>Sick Leave</w:t>
      </w:r>
    </w:p>
    <w:bookmarkEnd w:id="75"/>
    <w:p w14:paraId="70A7DF18" w14:textId="77777777" w:rsidR="00804AF0" w:rsidRDefault="00804AF0">
      <w:pPr>
        <w:jc w:val="both"/>
        <w:textAlignment w:val="baseline"/>
        <w:rPr>
          <w:rFonts w:ascii="Calibri" w:hAnsi="Calibri" w:cs="Calibri"/>
          <w:b/>
          <w:bCs/>
          <w:sz w:val="22"/>
          <w:szCs w:val="22"/>
          <w:lang w:eastAsia="en-GB"/>
        </w:rPr>
      </w:pPr>
    </w:p>
    <w:p w14:paraId="73269493"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Eligible individuals who are unable to perform their duties because of illness or injury or whose attendance at work is prevented by public health requirements shall be granted sick leave in accordance with the terms of their IPSA.</w:t>
      </w:r>
    </w:p>
    <w:p w14:paraId="2A1ECB28" w14:textId="77777777" w:rsidR="00804AF0" w:rsidRDefault="00804AF0">
      <w:pPr>
        <w:jc w:val="both"/>
        <w:textAlignment w:val="baseline"/>
        <w:rPr>
          <w:rFonts w:ascii="Calibri" w:hAnsi="Calibri" w:cs="Calibri"/>
          <w:sz w:val="22"/>
          <w:szCs w:val="22"/>
          <w:lang w:eastAsia="en-GB"/>
        </w:rPr>
      </w:pPr>
    </w:p>
    <w:p w14:paraId="7A648BD4"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 xml:space="preserve">Regular IPSA holders shall accrue credits towards sick leave at the rate of two working days for each month of service up to a maximum of 31 days </w:t>
      </w:r>
      <w:bookmarkStart w:id="76" w:name="_Hlk56980317"/>
      <w:r>
        <w:rPr>
          <w:rFonts w:ascii="Calibri" w:hAnsi="Calibri" w:cs="Calibri"/>
          <w:sz w:val="22"/>
          <w:szCs w:val="22"/>
          <w:lang w:eastAsia="en-GB"/>
        </w:rPr>
        <w:t>(24 certified and 7 uncertified)</w:t>
      </w:r>
      <w:bookmarkEnd w:id="76"/>
      <w:r>
        <w:rPr>
          <w:rFonts w:ascii="Calibri" w:hAnsi="Calibri" w:cs="Calibri"/>
          <w:sz w:val="22"/>
          <w:szCs w:val="22"/>
          <w:lang w:eastAsia="en-GB"/>
        </w:rPr>
        <w:t>. Of those sick leave days accrued, a total of seven working days in an annual cycle starting 1 April of any year (subject to a maximum of two consecutive working days) may be taken as sick leave without providing a medical certificate from a duly recognized medical practitioner; or for family-related emergencies and/or obligations, such as in the event of a death in the IPSA holder’s immediate family or to take care of the IPSA holder’s child or an immediate family member who becomes ill.</w:t>
      </w:r>
    </w:p>
    <w:p w14:paraId="7E553D19" w14:textId="77777777" w:rsidR="00804AF0" w:rsidRDefault="00804AF0">
      <w:pPr>
        <w:jc w:val="both"/>
        <w:textAlignment w:val="baseline"/>
        <w:rPr>
          <w:rFonts w:ascii="Calibri" w:hAnsi="Calibri" w:cs="Calibri"/>
          <w:sz w:val="22"/>
          <w:szCs w:val="22"/>
          <w:lang w:eastAsia="en-GB"/>
        </w:rPr>
      </w:pPr>
    </w:p>
    <w:p w14:paraId="2715D64E"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Any absence supported by a medical certificate from a certified medical practitioner shall be considered as certified sick leave. The sick leave certificate from a certified medical practitioner must state that the individual is unable to perform his or her duties indicating the probable duration of the illness. In the event that the IPSA holder fails to provide the required supporting documents, the absence shall be charged to annual leave. Should the annual leave be exhausted, the absence shall be deducted from remuneration accordingly.</w:t>
      </w:r>
    </w:p>
    <w:p w14:paraId="0BCB294F" w14:textId="77777777" w:rsidR="00804AF0" w:rsidRDefault="00804AF0">
      <w:pPr>
        <w:ind w:left="360"/>
        <w:jc w:val="both"/>
        <w:textAlignment w:val="baseline"/>
        <w:rPr>
          <w:rFonts w:ascii="Calibri" w:hAnsi="Calibri" w:cs="Calibri"/>
          <w:sz w:val="22"/>
          <w:szCs w:val="22"/>
          <w:lang w:eastAsia="en-GB"/>
        </w:rPr>
      </w:pPr>
    </w:p>
    <w:p w14:paraId="0BFC6D4E"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Medical reports must not be shared with non-authorized medical professionals including supervisors and heads of business unit.</w:t>
      </w:r>
    </w:p>
    <w:p w14:paraId="6DFA0640" w14:textId="77777777" w:rsidR="00804AF0" w:rsidRDefault="00804AF0">
      <w:pPr>
        <w:ind w:left="360"/>
        <w:jc w:val="both"/>
        <w:textAlignment w:val="baseline"/>
        <w:rPr>
          <w:rFonts w:ascii="Calibri" w:hAnsi="Calibri" w:cs="Calibri"/>
          <w:sz w:val="22"/>
          <w:szCs w:val="22"/>
          <w:lang w:eastAsia="en-GB"/>
        </w:rPr>
      </w:pPr>
    </w:p>
    <w:p w14:paraId="2BCEB8F1"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IPSA holders must inform their supervisor of absences due to illness or injury on the same day of absence, except in emergency situations where the IPSA holder is unable to communicate this absence.</w:t>
      </w:r>
    </w:p>
    <w:p w14:paraId="3499BA69" w14:textId="77777777" w:rsidR="00804AF0" w:rsidRDefault="00804AF0">
      <w:pPr>
        <w:ind w:left="360"/>
        <w:jc w:val="both"/>
        <w:textAlignment w:val="baseline"/>
        <w:rPr>
          <w:rFonts w:ascii="Calibri" w:hAnsi="Calibri" w:cs="Calibri"/>
          <w:sz w:val="22"/>
          <w:szCs w:val="22"/>
          <w:lang w:eastAsia="en-GB"/>
        </w:rPr>
      </w:pPr>
    </w:p>
    <w:p w14:paraId="08912537"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An IPSA holder may, in exceptional circumstances, be granted advanced sick leave up to a maximum of ten working days, provided that service under the IPSA is expected to continue for the period that is necessary to accrue the sick leave days so advanced.</w:t>
      </w:r>
    </w:p>
    <w:p w14:paraId="434D6501" w14:textId="77777777" w:rsidR="00804AF0" w:rsidRDefault="00804AF0">
      <w:pPr>
        <w:ind w:left="360"/>
        <w:jc w:val="both"/>
        <w:textAlignment w:val="baseline"/>
        <w:rPr>
          <w:rFonts w:ascii="Calibri" w:hAnsi="Calibri" w:cs="Calibri"/>
          <w:sz w:val="22"/>
          <w:szCs w:val="22"/>
          <w:lang w:eastAsia="en-GB"/>
        </w:rPr>
      </w:pPr>
    </w:p>
    <w:p w14:paraId="0B28AFC8"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Certified sick leave shall be recorded in units of full days and/or half-days. </w:t>
      </w:r>
    </w:p>
    <w:p w14:paraId="32EC4C05" w14:textId="77777777" w:rsidR="00804AF0" w:rsidRDefault="00804AF0">
      <w:pPr>
        <w:ind w:left="360"/>
        <w:jc w:val="both"/>
        <w:textAlignment w:val="baseline"/>
        <w:rPr>
          <w:rFonts w:ascii="Calibri" w:hAnsi="Calibri" w:cs="Calibri"/>
          <w:sz w:val="22"/>
          <w:szCs w:val="22"/>
          <w:lang w:eastAsia="en-GB"/>
        </w:rPr>
      </w:pPr>
    </w:p>
    <w:p w14:paraId="2E2D36C8"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In the event that the IPSA is extended for an additional period under the same position, the individual may carry over unused sick leave credits to the subsequent IPSA up to a maximum of 31 days. Sick leave credits will stop accruing when an IPSA holder has a balance of 31 unused sick leave days.</w:t>
      </w:r>
    </w:p>
    <w:p w14:paraId="179B5DC4"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3E68EA24"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lastRenderedPageBreak/>
        <w:t>Sick leave during annual leave and/or hardship leave: An individual who is sick for more than five working days in any seven-day period while on annual leave and/or hardship leave, shall have that portion of the absence considered as sick leave upon presentation of satisfactory medical certification.</w:t>
      </w:r>
    </w:p>
    <w:p w14:paraId="59EB3AEC" w14:textId="77777777" w:rsidR="00804AF0" w:rsidRDefault="00804AF0">
      <w:pPr>
        <w:ind w:left="360"/>
        <w:jc w:val="both"/>
        <w:textAlignment w:val="baseline"/>
        <w:rPr>
          <w:rFonts w:ascii="Calibri" w:hAnsi="Calibri" w:cs="Calibri"/>
          <w:sz w:val="22"/>
          <w:szCs w:val="22"/>
          <w:lang w:eastAsia="en-GB"/>
        </w:rPr>
      </w:pPr>
    </w:p>
    <w:p w14:paraId="30405364"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Sick leave shall not be granted instead of parental leave for birth parents.</w:t>
      </w:r>
    </w:p>
    <w:p w14:paraId="2ECBED22" w14:textId="77777777" w:rsidR="00804AF0" w:rsidRDefault="00804AF0">
      <w:pPr>
        <w:ind w:left="360"/>
        <w:jc w:val="both"/>
        <w:textAlignment w:val="baseline"/>
        <w:rPr>
          <w:rFonts w:ascii="Calibri" w:hAnsi="Calibri" w:cs="Calibri"/>
          <w:sz w:val="22"/>
          <w:szCs w:val="22"/>
          <w:lang w:eastAsia="en-GB"/>
        </w:rPr>
      </w:pPr>
    </w:p>
    <w:p w14:paraId="605507F8"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Unused sick leave credits are not commutable to cash.</w:t>
      </w:r>
    </w:p>
    <w:p w14:paraId="391F8E09" w14:textId="77777777" w:rsidR="00804AF0" w:rsidRDefault="00804AF0">
      <w:pPr>
        <w:ind w:left="360"/>
        <w:jc w:val="both"/>
        <w:textAlignment w:val="baseline"/>
        <w:rPr>
          <w:rFonts w:ascii="Calibri" w:hAnsi="Calibri" w:cs="Calibri"/>
          <w:sz w:val="22"/>
          <w:szCs w:val="22"/>
          <w:lang w:eastAsia="en-GB"/>
        </w:rPr>
      </w:pPr>
    </w:p>
    <w:p w14:paraId="0A98BA0D"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An IPSA holder may be required at any time to submit a medical report in relation to a health condition or to undergo a medical examination by a certified medical practitioner at the request of the Head of the Business Unit. Costs of the medical report will be reimbursed by UNDP, unless such an exam is covered by an insurance.</w:t>
      </w:r>
    </w:p>
    <w:p w14:paraId="202642D7" w14:textId="77777777" w:rsidR="00804AF0" w:rsidRDefault="00804AF0">
      <w:pPr>
        <w:tabs>
          <w:tab w:val="left" w:pos="994"/>
        </w:tabs>
        <w:ind w:left="360"/>
        <w:jc w:val="both"/>
        <w:textAlignment w:val="baseline"/>
        <w:rPr>
          <w:rFonts w:ascii="Calibri" w:hAnsi="Calibri" w:cs="Calibri"/>
          <w:sz w:val="22"/>
          <w:szCs w:val="22"/>
          <w:lang w:eastAsia="en-GB"/>
        </w:rPr>
      </w:pPr>
    </w:p>
    <w:p w14:paraId="76DEFBD5"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The termination of an IPSA shall, from the date it is effective, terminate any possibility to claim sick leave credits.</w:t>
      </w:r>
    </w:p>
    <w:p w14:paraId="63701064"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5D31A976"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In the event that an individual surpasses the sick leave credits limit during the IPSA period, the excess period will be charged against accrued annual leave. Should the annual leave be exhausted, the IPSA holder may be played on special leave without pay, otherwise any further absence shall be deducted from the remuneration accordingly.</w:t>
      </w:r>
    </w:p>
    <w:p w14:paraId="553F0B9A" w14:textId="77777777" w:rsidR="00804AF0" w:rsidRDefault="00804AF0">
      <w:pPr>
        <w:ind w:left="360"/>
        <w:jc w:val="both"/>
        <w:textAlignment w:val="baseline"/>
        <w:rPr>
          <w:rFonts w:ascii="Calibri" w:hAnsi="Calibri" w:cs="Calibri"/>
          <w:sz w:val="22"/>
          <w:szCs w:val="22"/>
          <w:lang w:eastAsia="en-GB"/>
        </w:rPr>
      </w:pPr>
    </w:p>
    <w:p w14:paraId="6EACF6D2"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If the individual is not eligible for paid sick leave, managers should exercise the highest possible degree of flexibility in accepting unpaid leave due to illness. Only in such cases where the extent or timing of absences prevents the individual from delivering the services as specified in the terms of reference may the manager consider a termination of the IPSA due to illness.</w:t>
      </w:r>
    </w:p>
    <w:p w14:paraId="7C85DB5C"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363D490A" w14:textId="77777777" w:rsidR="00804AF0" w:rsidRDefault="009A47D6">
      <w:pPr>
        <w:numPr>
          <w:ilvl w:val="0"/>
          <w:numId w:val="27"/>
        </w:numPr>
        <w:jc w:val="both"/>
        <w:textAlignment w:val="baseline"/>
        <w:rPr>
          <w:rFonts w:ascii="Calibri" w:hAnsi="Calibri" w:cs="Calibri"/>
          <w:i/>
          <w:iCs/>
          <w:sz w:val="22"/>
          <w:szCs w:val="22"/>
          <w:lang w:eastAsia="en-GB"/>
        </w:rPr>
      </w:pPr>
      <w:r>
        <w:rPr>
          <w:rFonts w:ascii="Calibri" w:hAnsi="Calibri" w:cs="Calibri"/>
          <w:i/>
          <w:iCs/>
          <w:sz w:val="22"/>
          <w:szCs w:val="22"/>
          <w:lang w:eastAsia="en-GB"/>
        </w:rPr>
        <w:t>Computation of Annual and Sick Leave</w:t>
      </w:r>
    </w:p>
    <w:p w14:paraId="6827DEC5" w14:textId="77777777" w:rsidR="00804AF0" w:rsidRDefault="00804AF0">
      <w:pPr>
        <w:jc w:val="both"/>
        <w:textAlignment w:val="baseline"/>
        <w:rPr>
          <w:rFonts w:ascii="Calibri" w:hAnsi="Calibri" w:cs="Calibri"/>
          <w:sz w:val="22"/>
          <w:szCs w:val="22"/>
          <w:lang w:eastAsia="en-GB"/>
        </w:rPr>
      </w:pPr>
    </w:p>
    <w:p w14:paraId="5C9A191C"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sz w:val="22"/>
          <w:szCs w:val="22"/>
          <w:lang w:eastAsia="en-GB"/>
        </w:rPr>
        <w:t xml:space="preserve">When the IPSA start date falls on the 1st of the month: Full leave entitlements. </w:t>
      </w:r>
    </w:p>
    <w:p w14:paraId="1EC23671" w14:textId="77777777" w:rsidR="00804AF0" w:rsidRDefault="00804AF0">
      <w:pPr>
        <w:ind w:left="720"/>
        <w:jc w:val="both"/>
        <w:textAlignment w:val="baseline"/>
        <w:rPr>
          <w:rFonts w:ascii="Calibri" w:hAnsi="Calibri" w:cs="Calibri"/>
          <w:sz w:val="22"/>
          <w:szCs w:val="22"/>
          <w:lang w:eastAsia="en-GB"/>
        </w:rPr>
      </w:pPr>
    </w:p>
    <w:p w14:paraId="1BAF5CC7"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sz w:val="22"/>
          <w:szCs w:val="22"/>
          <w:lang w:eastAsia="en-GB"/>
        </w:rPr>
        <w:t>When the IPSA start date falls between the 2nd and the 16th of the month: two days annual leave and one day sick leave for that calendar month.</w:t>
      </w:r>
    </w:p>
    <w:p w14:paraId="3186FBF6" w14:textId="77777777" w:rsidR="00804AF0" w:rsidRDefault="00804AF0">
      <w:pPr>
        <w:pStyle w:val="ListParagraph"/>
        <w:ind w:left="1080"/>
        <w:jc w:val="both"/>
        <w:textAlignment w:val="baseline"/>
        <w:rPr>
          <w:rFonts w:ascii="Calibri" w:hAnsi="Calibri" w:cs="Calibri"/>
          <w:sz w:val="22"/>
          <w:szCs w:val="22"/>
          <w:lang w:eastAsia="en-GB"/>
        </w:rPr>
      </w:pPr>
    </w:p>
    <w:p w14:paraId="227CD2A7"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sz w:val="22"/>
          <w:szCs w:val="22"/>
          <w:lang w:eastAsia="en-GB"/>
        </w:rPr>
        <w:t>When the IPSA start date falls on the 17th of the month or later: one day annual leave and one day sick leave for that calendar month.</w:t>
      </w:r>
    </w:p>
    <w:p w14:paraId="29AA12AE" w14:textId="77777777" w:rsidR="00804AF0" w:rsidRDefault="00804AF0">
      <w:pPr>
        <w:ind w:left="720"/>
        <w:jc w:val="both"/>
        <w:textAlignment w:val="baseline"/>
        <w:rPr>
          <w:rFonts w:ascii="Calibri" w:hAnsi="Calibri" w:cs="Calibri"/>
          <w:sz w:val="22"/>
          <w:szCs w:val="22"/>
          <w:lang w:eastAsia="en-GB"/>
        </w:rPr>
      </w:pPr>
    </w:p>
    <w:p w14:paraId="7C9B7805"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sz w:val="22"/>
          <w:szCs w:val="22"/>
          <w:lang w:eastAsia="en-GB"/>
        </w:rPr>
        <w:t>When the IPSA end date falls between the 1st and the 16th of the month: one day annual leave and one day sick leave for that calendar month. </w:t>
      </w:r>
    </w:p>
    <w:p w14:paraId="73585DB6" w14:textId="77777777" w:rsidR="00804AF0" w:rsidRDefault="00804AF0">
      <w:pPr>
        <w:pStyle w:val="ListParagraph"/>
        <w:ind w:left="1080"/>
        <w:jc w:val="both"/>
        <w:textAlignment w:val="baseline"/>
        <w:rPr>
          <w:rFonts w:ascii="Calibri" w:hAnsi="Calibri" w:cs="Calibri"/>
          <w:sz w:val="22"/>
          <w:szCs w:val="22"/>
          <w:lang w:eastAsia="en-GB"/>
        </w:rPr>
      </w:pPr>
    </w:p>
    <w:p w14:paraId="200FFFBD"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sz w:val="22"/>
          <w:szCs w:val="22"/>
          <w:lang w:eastAsia="en-GB"/>
        </w:rPr>
        <w:t>When IPSA end date falls on the 17th of the month or later, but not on the last day of the month: two days annual leave and one day sick leave.</w:t>
      </w:r>
    </w:p>
    <w:p w14:paraId="20D2A970" w14:textId="77777777" w:rsidR="00804AF0" w:rsidRDefault="00804AF0">
      <w:pPr>
        <w:pStyle w:val="ListParagraph"/>
        <w:ind w:left="1080"/>
        <w:jc w:val="both"/>
        <w:textAlignment w:val="baseline"/>
        <w:rPr>
          <w:rFonts w:ascii="Calibri" w:hAnsi="Calibri" w:cs="Calibri"/>
          <w:sz w:val="22"/>
          <w:szCs w:val="22"/>
          <w:lang w:eastAsia="en-GB"/>
        </w:rPr>
      </w:pPr>
    </w:p>
    <w:p w14:paraId="4CBAF4DE" w14:textId="77777777" w:rsidR="00804AF0" w:rsidRDefault="009A47D6">
      <w:pPr>
        <w:pStyle w:val="ListParagraph"/>
        <w:numPr>
          <w:ilvl w:val="0"/>
          <w:numId w:val="28"/>
        </w:numPr>
        <w:jc w:val="both"/>
        <w:textAlignment w:val="baseline"/>
        <w:rPr>
          <w:rFonts w:ascii="Calibri" w:hAnsi="Calibri" w:cs="Calibri"/>
          <w:sz w:val="22"/>
          <w:szCs w:val="22"/>
          <w:lang w:eastAsia="en-GB"/>
        </w:rPr>
      </w:pPr>
      <w:bookmarkStart w:id="77" w:name="OLE_LINK34"/>
      <w:r>
        <w:rPr>
          <w:rFonts w:ascii="Calibri" w:hAnsi="Calibri" w:cs="Calibri"/>
          <w:sz w:val="22"/>
          <w:szCs w:val="22"/>
          <w:lang w:eastAsia="en-GB"/>
        </w:rPr>
        <w:t>Part-time IPSAs will have their starting and ending annual and sick leave totals pro-rated to reflect their part-time schedule.</w:t>
      </w:r>
    </w:p>
    <w:bookmarkEnd w:id="77"/>
    <w:p w14:paraId="3B50D7EB"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27782219" w14:textId="77777777" w:rsidR="00804AF0" w:rsidRDefault="00804AF0">
      <w:pPr>
        <w:jc w:val="both"/>
        <w:textAlignment w:val="baseline"/>
        <w:rPr>
          <w:rFonts w:ascii="Calibri" w:hAnsi="Calibri" w:cs="Calibri"/>
          <w:sz w:val="22"/>
          <w:szCs w:val="22"/>
          <w:lang w:eastAsia="en-GB"/>
        </w:rPr>
      </w:pPr>
    </w:p>
    <w:p w14:paraId="46C0D6BF"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bookmarkStart w:id="78" w:name="OLE_LINK36"/>
      <w:r>
        <w:rPr>
          <w:rFonts w:ascii="Calibri" w:hAnsi="Calibri" w:cs="Calibri"/>
          <w:b/>
          <w:bCs/>
          <w:color w:val="000000"/>
          <w:sz w:val="22"/>
          <w:szCs w:val="22"/>
          <w:lang w:val="en-CA" w:eastAsia="en-GB"/>
        </w:rPr>
        <w:lastRenderedPageBreak/>
        <w:t>Parental Leave (for the birth parent): </w:t>
      </w:r>
    </w:p>
    <w:bookmarkEnd w:id="78"/>
    <w:p w14:paraId="6EFB4A08" w14:textId="77777777" w:rsidR="00804AF0" w:rsidRDefault="00804AF0">
      <w:pPr>
        <w:jc w:val="both"/>
        <w:textAlignment w:val="baseline"/>
        <w:rPr>
          <w:rFonts w:ascii="Calibri" w:hAnsi="Calibri" w:cs="Calibri"/>
          <w:b/>
          <w:bCs/>
          <w:sz w:val="22"/>
          <w:szCs w:val="22"/>
          <w:lang w:eastAsia="en-GB"/>
        </w:rPr>
      </w:pPr>
    </w:p>
    <w:p w14:paraId="3953FD48" w14:textId="77777777" w:rsidR="00804AF0" w:rsidRDefault="009A47D6">
      <w:pPr>
        <w:numPr>
          <w:ilvl w:val="0"/>
          <w:numId w:val="29"/>
        </w:numPr>
        <w:jc w:val="both"/>
        <w:textAlignment w:val="baseline"/>
        <w:rPr>
          <w:rFonts w:ascii="Calibri" w:hAnsi="Calibri" w:cs="Calibri"/>
          <w:sz w:val="22"/>
          <w:szCs w:val="22"/>
          <w:lang w:eastAsia="en-GB"/>
        </w:rPr>
      </w:pPr>
      <w:bookmarkStart w:id="79" w:name="OLE_LINK39"/>
      <w:r>
        <w:rPr>
          <w:rFonts w:ascii="Calibri" w:hAnsi="Calibri" w:cs="Calibri"/>
          <w:sz w:val="22"/>
          <w:szCs w:val="22"/>
          <w:lang w:eastAsia="en-GB"/>
        </w:rPr>
        <w:t>IPSA holders on regular IPSAs are eligible for 16 consecutive weeks of paid parental leave for the birth parent.</w:t>
      </w:r>
    </w:p>
    <w:p w14:paraId="66288E0B" w14:textId="77777777" w:rsidR="00804AF0" w:rsidRDefault="00804AF0">
      <w:pPr>
        <w:tabs>
          <w:tab w:val="left" w:pos="720"/>
        </w:tabs>
        <w:ind w:left="720"/>
        <w:jc w:val="both"/>
        <w:textAlignment w:val="baseline"/>
        <w:rPr>
          <w:rFonts w:ascii="Calibri" w:hAnsi="Calibri" w:cs="Calibri"/>
          <w:sz w:val="22"/>
          <w:szCs w:val="22"/>
          <w:lang w:eastAsia="en-GB"/>
        </w:rPr>
      </w:pPr>
    </w:p>
    <w:p w14:paraId="3CDE2280" w14:textId="77777777" w:rsidR="00804AF0" w:rsidRDefault="009A47D6">
      <w:pPr>
        <w:numPr>
          <w:ilvl w:val="0"/>
          <w:numId w:val="29"/>
        </w:numPr>
        <w:jc w:val="both"/>
        <w:textAlignment w:val="baseline"/>
        <w:rPr>
          <w:rFonts w:ascii="Calibri" w:hAnsi="Calibri" w:cs="Calibri"/>
          <w:sz w:val="22"/>
          <w:szCs w:val="22"/>
          <w:lang w:eastAsia="en-GB"/>
        </w:rPr>
      </w:pPr>
      <w:bookmarkStart w:id="80" w:name="OLE_LINK37"/>
      <w:r>
        <w:rPr>
          <w:rFonts w:ascii="Calibri" w:hAnsi="Calibri"/>
          <w:sz w:val="22"/>
          <w:szCs w:val="22"/>
        </w:rPr>
        <w:t>Extensions of parental leave for birth parents may be granted on the basis of unpaid leave, regardless of contract durations for regular IPSAs</w:t>
      </w:r>
      <w:r>
        <w:rPr>
          <w:rFonts w:ascii="Calibri" w:hAnsi="Calibri" w:cs="Calibri"/>
          <w:sz w:val="22"/>
          <w:szCs w:val="22"/>
          <w:lang w:eastAsia="en-GB"/>
        </w:rPr>
        <w:t>.</w:t>
      </w:r>
    </w:p>
    <w:bookmarkEnd w:id="79"/>
    <w:bookmarkEnd w:id="80"/>
    <w:p w14:paraId="30DE4E8F" w14:textId="77777777" w:rsidR="00804AF0" w:rsidRDefault="00804AF0">
      <w:pPr>
        <w:ind w:left="360"/>
        <w:jc w:val="both"/>
        <w:textAlignment w:val="baseline"/>
        <w:rPr>
          <w:rFonts w:ascii="Calibri" w:hAnsi="Calibri" w:cs="Calibri"/>
          <w:sz w:val="22"/>
          <w:szCs w:val="22"/>
          <w:lang w:eastAsia="en-GB"/>
        </w:rPr>
      </w:pPr>
    </w:p>
    <w:p w14:paraId="5B78976B" w14:textId="77777777" w:rsidR="00804AF0" w:rsidRDefault="009A47D6">
      <w:pPr>
        <w:numPr>
          <w:ilvl w:val="0"/>
          <w:numId w:val="29"/>
        </w:numPr>
        <w:jc w:val="both"/>
        <w:textAlignment w:val="baseline"/>
        <w:rPr>
          <w:rFonts w:ascii="Calibri" w:hAnsi="Calibri" w:cs="Calibri"/>
          <w:sz w:val="22"/>
          <w:szCs w:val="22"/>
          <w:lang w:eastAsia="en-GB"/>
        </w:rPr>
      </w:pPr>
      <w:r>
        <w:rPr>
          <w:rFonts w:ascii="Calibri" w:hAnsi="Calibri" w:cs="Calibri"/>
          <w:sz w:val="22"/>
          <w:szCs w:val="22"/>
          <w:lang w:eastAsia="en-GB"/>
        </w:rPr>
        <w:t xml:space="preserve">Parental leave for the birth parent must fall within and be taken during the IPSA period. Where the parental leave started during the IPSA </w:t>
      </w:r>
      <w:proofErr w:type="gramStart"/>
      <w:r>
        <w:rPr>
          <w:rFonts w:ascii="Calibri" w:hAnsi="Calibri" w:cs="Calibri"/>
          <w:sz w:val="22"/>
          <w:szCs w:val="22"/>
          <w:lang w:eastAsia="en-GB"/>
        </w:rPr>
        <w:t>period</w:t>
      </w:r>
      <w:proofErr w:type="gramEnd"/>
      <w:r>
        <w:rPr>
          <w:rFonts w:ascii="Calibri" w:hAnsi="Calibri" w:cs="Calibri"/>
          <w:sz w:val="22"/>
          <w:szCs w:val="22"/>
          <w:lang w:eastAsia="en-GB"/>
        </w:rPr>
        <w:t xml:space="preserve"> but the IPSA is due to expire during the period of </w:t>
      </w:r>
      <w:proofErr w:type="gramStart"/>
      <w:r>
        <w:rPr>
          <w:rFonts w:ascii="Calibri" w:hAnsi="Calibri" w:cs="Calibri"/>
          <w:sz w:val="22"/>
          <w:szCs w:val="22"/>
          <w:lang w:eastAsia="en-GB"/>
        </w:rPr>
        <w:t>the parental</w:t>
      </w:r>
      <w:proofErr w:type="gramEnd"/>
      <w:r>
        <w:rPr>
          <w:rFonts w:ascii="Calibri" w:hAnsi="Calibri" w:cs="Calibri"/>
          <w:sz w:val="22"/>
          <w:szCs w:val="22"/>
          <w:lang w:eastAsia="en-GB"/>
        </w:rPr>
        <w:t xml:space="preserve"> leave, the IPSA will be extended for the purpose of covering the full 16-week duration of the parental leave.</w:t>
      </w:r>
      <w:bookmarkStart w:id="81" w:name="OLE_LINK38"/>
      <w:r>
        <w:rPr>
          <w:rFonts w:ascii="Calibri" w:hAnsi="Calibri" w:cs="Calibri"/>
          <w:sz w:val="22"/>
          <w:szCs w:val="22"/>
          <w:lang w:eastAsia="en-GB"/>
        </w:rPr>
        <w:t xml:space="preserve"> There is no expectation or obligation to extend beyond the above extension to accommodate the parental leave for the birth parent if the original position was not envisaged to be longer. No leave will be accumulated during the extended period.</w:t>
      </w:r>
    </w:p>
    <w:bookmarkEnd w:id="81"/>
    <w:p w14:paraId="3C55CB0C" w14:textId="77777777" w:rsidR="00804AF0" w:rsidRDefault="00804AF0">
      <w:pPr>
        <w:ind w:left="360"/>
        <w:jc w:val="both"/>
        <w:textAlignment w:val="baseline"/>
        <w:rPr>
          <w:rFonts w:ascii="Calibri" w:hAnsi="Calibri" w:cs="Calibri"/>
          <w:sz w:val="22"/>
          <w:szCs w:val="22"/>
          <w:lang w:eastAsia="en-GB"/>
        </w:rPr>
      </w:pPr>
    </w:p>
    <w:p w14:paraId="425B69C5" w14:textId="77777777" w:rsidR="00804AF0" w:rsidRDefault="009A47D6">
      <w:pPr>
        <w:numPr>
          <w:ilvl w:val="0"/>
          <w:numId w:val="29"/>
        </w:numPr>
        <w:jc w:val="both"/>
        <w:textAlignment w:val="baseline"/>
        <w:rPr>
          <w:rFonts w:ascii="Calibri" w:hAnsi="Calibri" w:cs="Calibri"/>
          <w:sz w:val="22"/>
          <w:szCs w:val="22"/>
          <w:lang w:eastAsia="en-GB"/>
        </w:rPr>
      </w:pPr>
      <w:r>
        <w:rPr>
          <w:rFonts w:ascii="Calibri" w:hAnsi="Calibri" w:cs="Calibri"/>
          <w:sz w:val="22"/>
          <w:szCs w:val="22"/>
          <w:lang w:eastAsia="en-GB"/>
        </w:rPr>
        <w:t>Individuals must submit the request for parental leave at least three months prior to the anticipated start date and the request should be accompanied by a certification from a doctor or midwife stating the Expected Date of Delivery (EDD).</w:t>
      </w:r>
    </w:p>
    <w:p w14:paraId="47F57F4F" w14:textId="77777777" w:rsidR="00804AF0" w:rsidRDefault="00804AF0">
      <w:pPr>
        <w:ind w:left="360"/>
        <w:jc w:val="both"/>
        <w:textAlignment w:val="baseline"/>
        <w:rPr>
          <w:rFonts w:ascii="Calibri" w:hAnsi="Calibri" w:cs="Calibri"/>
          <w:sz w:val="22"/>
          <w:szCs w:val="22"/>
          <w:lang w:eastAsia="en-GB"/>
        </w:rPr>
      </w:pPr>
    </w:p>
    <w:p w14:paraId="3021E440" w14:textId="77777777" w:rsidR="00804AF0" w:rsidRDefault="009A47D6">
      <w:pPr>
        <w:numPr>
          <w:ilvl w:val="0"/>
          <w:numId w:val="29"/>
        </w:numPr>
        <w:jc w:val="both"/>
        <w:textAlignment w:val="baseline"/>
        <w:rPr>
          <w:rFonts w:ascii="Calibri" w:hAnsi="Calibri" w:cs="Calibri"/>
          <w:sz w:val="22"/>
          <w:szCs w:val="22"/>
          <w:lang w:eastAsia="en-GB"/>
        </w:rPr>
      </w:pPr>
      <w:r>
        <w:rPr>
          <w:rFonts w:ascii="Calibri" w:hAnsi="Calibri" w:cs="Calibri"/>
          <w:sz w:val="22"/>
          <w:szCs w:val="22"/>
          <w:lang w:eastAsia="en-GB"/>
        </w:rPr>
        <w:t>Parental leave for birth parents must begin between two and six weeks prior to EDD and be taken in one consecutive period.</w:t>
      </w:r>
    </w:p>
    <w:p w14:paraId="1F3E29F8" w14:textId="77777777" w:rsidR="00804AF0" w:rsidRDefault="00804AF0">
      <w:pPr>
        <w:ind w:left="360"/>
        <w:jc w:val="both"/>
        <w:textAlignment w:val="baseline"/>
        <w:rPr>
          <w:rFonts w:ascii="Calibri" w:hAnsi="Calibri" w:cs="Calibri"/>
          <w:sz w:val="22"/>
          <w:szCs w:val="22"/>
          <w:lang w:eastAsia="en-GB"/>
        </w:rPr>
      </w:pPr>
    </w:p>
    <w:p w14:paraId="2EDCC3D8" w14:textId="77777777" w:rsidR="00804AF0" w:rsidRDefault="009A47D6">
      <w:pPr>
        <w:numPr>
          <w:ilvl w:val="0"/>
          <w:numId w:val="29"/>
        </w:numPr>
        <w:jc w:val="both"/>
        <w:textAlignment w:val="baseline"/>
        <w:rPr>
          <w:rFonts w:ascii="Calibri" w:hAnsi="Calibri" w:cs="Calibri"/>
          <w:sz w:val="22"/>
          <w:szCs w:val="22"/>
          <w:lang w:eastAsia="en-GB"/>
        </w:rPr>
      </w:pPr>
      <w:r>
        <w:rPr>
          <w:rFonts w:ascii="Calibri" w:hAnsi="Calibri" w:cs="Calibri"/>
          <w:sz w:val="22"/>
          <w:szCs w:val="22"/>
          <w:lang w:eastAsia="en-GB"/>
        </w:rPr>
        <w:t>Annual leave will accrue during the period of parental leave.</w:t>
      </w:r>
    </w:p>
    <w:p w14:paraId="66520A83" w14:textId="77777777" w:rsidR="00804AF0" w:rsidRDefault="00804AF0">
      <w:pPr>
        <w:ind w:left="360"/>
        <w:jc w:val="both"/>
        <w:textAlignment w:val="baseline"/>
        <w:rPr>
          <w:rFonts w:ascii="Calibri" w:hAnsi="Calibri" w:cs="Calibri"/>
          <w:sz w:val="22"/>
          <w:szCs w:val="22"/>
          <w:lang w:eastAsia="en-GB"/>
        </w:rPr>
      </w:pPr>
    </w:p>
    <w:p w14:paraId="746A23A5" w14:textId="77777777" w:rsidR="00804AF0" w:rsidRDefault="009A47D6">
      <w:pPr>
        <w:numPr>
          <w:ilvl w:val="0"/>
          <w:numId w:val="29"/>
        </w:numPr>
        <w:jc w:val="both"/>
        <w:textAlignment w:val="baseline"/>
        <w:rPr>
          <w:rFonts w:ascii="Calibri" w:hAnsi="Calibri" w:cs="Calibri"/>
          <w:sz w:val="22"/>
          <w:szCs w:val="22"/>
          <w:lang w:eastAsia="en-GB"/>
        </w:rPr>
      </w:pPr>
      <w:bookmarkStart w:id="82" w:name="OLE_LINK40"/>
      <w:r>
        <w:rPr>
          <w:rFonts w:ascii="Calibri" w:hAnsi="Calibri" w:cs="Calibri"/>
          <w:sz w:val="22"/>
          <w:szCs w:val="22"/>
          <w:lang w:eastAsia="en-GB"/>
        </w:rPr>
        <w:t>Time-off to breastfeed infants up to two years old, is in accordance with UNDP’s policy on Time Off for Breastfeeding.</w:t>
      </w:r>
      <w:bookmarkEnd w:id="82"/>
    </w:p>
    <w:p w14:paraId="26E66BE7"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70C6333D"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Parental Leave (for non-birth parent)</w:t>
      </w:r>
    </w:p>
    <w:p w14:paraId="7EA89F72" w14:textId="77777777" w:rsidR="00804AF0" w:rsidRDefault="00804AF0">
      <w:pPr>
        <w:jc w:val="both"/>
        <w:textAlignment w:val="baseline"/>
        <w:rPr>
          <w:rFonts w:ascii="Calibri" w:hAnsi="Calibri" w:cs="Calibri"/>
          <w:sz w:val="22"/>
          <w:szCs w:val="22"/>
          <w:lang w:eastAsia="en-GB"/>
        </w:rPr>
      </w:pPr>
    </w:p>
    <w:p w14:paraId="25F9D506" w14:textId="77777777" w:rsidR="00804AF0" w:rsidRDefault="009A47D6">
      <w:pPr>
        <w:numPr>
          <w:ilvl w:val="0"/>
          <w:numId w:val="30"/>
        </w:numPr>
        <w:jc w:val="both"/>
        <w:textAlignment w:val="baseline"/>
        <w:rPr>
          <w:rFonts w:ascii="Calibri" w:hAnsi="Calibri" w:cs="Calibri"/>
          <w:sz w:val="22"/>
          <w:szCs w:val="22"/>
          <w:lang w:eastAsia="en-GB"/>
        </w:rPr>
      </w:pPr>
      <w:r>
        <w:rPr>
          <w:rFonts w:ascii="Calibri" w:hAnsi="Calibri" w:cs="Calibri"/>
          <w:sz w:val="22"/>
          <w:szCs w:val="22"/>
          <w:lang w:eastAsia="en-GB"/>
        </w:rPr>
        <w:t>IPSA holders on regular IPSAs are eligible for four weeks of paid parental leave.</w:t>
      </w:r>
    </w:p>
    <w:p w14:paraId="7C6DFD59" w14:textId="77777777" w:rsidR="00804AF0" w:rsidRDefault="00804AF0">
      <w:pPr>
        <w:ind w:left="360"/>
        <w:jc w:val="both"/>
        <w:textAlignment w:val="baseline"/>
        <w:rPr>
          <w:rFonts w:ascii="Calibri" w:hAnsi="Calibri" w:cs="Calibri"/>
          <w:sz w:val="22"/>
          <w:szCs w:val="22"/>
          <w:lang w:eastAsia="en-GB"/>
        </w:rPr>
      </w:pPr>
    </w:p>
    <w:p w14:paraId="229D4C0D" w14:textId="77777777" w:rsidR="00804AF0" w:rsidRDefault="009A47D6">
      <w:pPr>
        <w:numPr>
          <w:ilvl w:val="0"/>
          <w:numId w:val="30"/>
        </w:numPr>
        <w:jc w:val="both"/>
        <w:textAlignment w:val="baseline"/>
        <w:rPr>
          <w:rFonts w:ascii="Calibri" w:hAnsi="Calibri" w:cs="Calibri"/>
          <w:sz w:val="22"/>
          <w:szCs w:val="22"/>
          <w:lang w:eastAsia="en-GB"/>
        </w:rPr>
      </w:pPr>
      <w:r>
        <w:rPr>
          <w:rFonts w:ascii="Calibri" w:hAnsi="Calibri" w:cs="Calibri"/>
          <w:sz w:val="22"/>
          <w:szCs w:val="22"/>
          <w:lang w:eastAsia="en-GB"/>
        </w:rPr>
        <w:t>Parental leave for non-birth parents may be taken in either one or two fixed periods during the first 12 months from the birth of their child.</w:t>
      </w:r>
    </w:p>
    <w:p w14:paraId="077B46FF" w14:textId="77777777" w:rsidR="00804AF0" w:rsidRDefault="00804AF0">
      <w:pPr>
        <w:ind w:left="360"/>
        <w:jc w:val="both"/>
        <w:textAlignment w:val="baseline"/>
        <w:rPr>
          <w:rFonts w:ascii="Calibri" w:hAnsi="Calibri" w:cs="Calibri"/>
          <w:sz w:val="22"/>
          <w:szCs w:val="22"/>
          <w:lang w:eastAsia="en-GB"/>
        </w:rPr>
      </w:pPr>
    </w:p>
    <w:p w14:paraId="1F5F67ED" w14:textId="77777777" w:rsidR="00804AF0" w:rsidRDefault="009A47D6">
      <w:pPr>
        <w:numPr>
          <w:ilvl w:val="0"/>
          <w:numId w:val="30"/>
        </w:numPr>
        <w:jc w:val="both"/>
        <w:textAlignment w:val="baseline"/>
        <w:rPr>
          <w:rFonts w:ascii="Calibri" w:hAnsi="Calibri" w:cs="Calibri"/>
          <w:sz w:val="22"/>
          <w:szCs w:val="22"/>
          <w:lang w:eastAsia="en-GB"/>
        </w:rPr>
      </w:pPr>
      <w:r>
        <w:rPr>
          <w:rFonts w:ascii="Calibri" w:hAnsi="Calibri" w:cs="Calibri"/>
          <w:sz w:val="22"/>
          <w:szCs w:val="22"/>
          <w:lang w:eastAsia="en-GB"/>
        </w:rPr>
        <w:t>IPSA holders must submit their request for parental leave within a reasonable period of not less than two weeks prior to the expected start of the parental leave, in agreement with the supervisor, and the request should be accompanied by a certification from a doctor or midwife stating the EDD to be followed by a copy of the child’s birth certificate.</w:t>
      </w:r>
    </w:p>
    <w:p w14:paraId="2A22A6EC" w14:textId="77777777" w:rsidR="00804AF0" w:rsidRDefault="00804AF0">
      <w:pPr>
        <w:ind w:left="360"/>
        <w:jc w:val="both"/>
        <w:textAlignment w:val="baseline"/>
        <w:rPr>
          <w:rFonts w:ascii="Calibri" w:hAnsi="Calibri" w:cs="Calibri"/>
          <w:sz w:val="22"/>
          <w:szCs w:val="22"/>
          <w:lang w:eastAsia="en-GB"/>
        </w:rPr>
      </w:pPr>
    </w:p>
    <w:p w14:paraId="0E6A6B94" w14:textId="77777777" w:rsidR="00804AF0" w:rsidRDefault="009A47D6">
      <w:pPr>
        <w:numPr>
          <w:ilvl w:val="0"/>
          <w:numId w:val="30"/>
        </w:numPr>
        <w:jc w:val="both"/>
        <w:textAlignment w:val="baseline"/>
        <w:rPr>
          <w:rFonts w:ascii="Calibri" w:hAnsi="Calibri" w:cs="Calibri"/>
          <w:sz w:val="22"/>
          <w:szCs w:val="22"/>
          <w:lang w:eastAsia="en-GB"/>
        </w:rPr>
      </w:pPr>
      <w:r>
        <w:rPr>
          <w:rFonts w:ascii="Calibri" w:hAnsi="Calibri" w:cs="Calibri"/>
          <w:sz w:val="22"/>
          <w:szCs w:val="22"/>
          <w:lang w:eastAsia="en-GB"/>
        </w:rPr>
        <w:t>Parental leave for non-birth parents is limited to one occurrence per 12 months, regardless of the number of children born during that 12-month period.</w:t>
      </w:r>
    </w:p>
    <w:p w14:paraId="23ADB6F4" w14:textId="77777777" w:rsidR="00804AF0" w:rsidRDefault="00804AF0">
      <w:pPr>
        <w:ind w:left="360"/>
        <w:jc w:val="both"/>
        <w:textAlignment w:val="baseline"/>
        <w:rPr>
          <w:rFonts w:ascii="Calibri" w:hAnsi="Calibri" w:cs="Calibri"/>
          <w:sz w:val="22"/>
          <w:szCs w:val="22"/>
          <w:lang w:eastAsia="en-GB"/>
        </w:rPr>
      </w:pPr>
    </w:p>
    <w:p w14:paraId="5A506C3B" w14:textId="77777777" w:rsidR="00804AF0" w:rsidRDefault="009A47D6">
      <w:pPr>
        <w:numPr>
          <w:ilvl w:val="0"/>
          <w:numId w:val="30"/>
        </w:numPr>
        <w:jc w:val="both"/>
        <w:textAlignment w:val="baseline"/>
        <w:rPr>
          <w:rFonts w:ascii="Calibri" w:hAnsi="Calibri" w:cs="Calibri"/>
          <w:sz w:val="22"/>
          <w:szCs w:val="22"/>
          <w:lang w:eastAsia="en-GB"/>
        </w:rPr>
      </w:pPr>
      <w:r>
        <w:rPr>
          <w:rFonts w:ascii="Calibri" w:hAnsi="Calibri" w:cs="Calibri"/>
          <w:sz w:val="22"/>
          <w:szCs w:val="22"/>
          <w:lang w:eastAsia="en-GB"/>
        </w:rPr>
        <w:t xml:space="preserve">Parental leave for non-birth parents must fall within and be taken during the IPSA period. Unused parental leave is not commutable to cash. The IPSA must not be extended solely </w:t>
      </w:r>
      <w:proofErr w:type="gramStart"/>
      <w:r>
        <w:rPr>
          <w:rFonts w:ascii="Calibri" w:hAnsi="Calibri" w:cs="Calibri"/>
          <w:sz w:val="22"/>
          <w:szCs w:val="22"/>
          <w:lang w:eastAsia="en-GB"/>
        </w:rPr>
        <w:t>in order to</w:t>
      </w:r>
      <w:proofErr w:type="gramEnd"/>
      <w:r>
        <w:rPr>
          <w:rFonts w:ascii="Calibri" w:hAnsi="Calibri" w:cs="Calibri"/>
          <w:sz w:val="22"/>
          <w:szCs w:val="22"/>
          <w:lang w:eastAsia="en-GB"/>
        </w:rPr>
        <w:t xml:space="preserve"> exercise the unused portion of the parental leave.</w:t>
      </w:r>
    </w:p>
    <w:p w14:paraId="48731622" w14:textId="77777777" w:rsidR="000A158C" w:rsidRDefault="000A158C" w:rsidP="0020638C">
      <w:pPr>
        <w:pStyle w:val="ListParagraph"/>
        <w:rPr>
          <w:rFonts w:ascii="Calibri" w:hAnsi="Calibri" w:cs="Calibri"/>
          <w:sz w:val="22"/>
          <w:szCs w:val="22"/>
          <w:lang w:eastAsia="en-GB"/>
        </w:rPr>
      </w:pPr>
    </w:p>
    <w:p w14:paraId="0952CC45" w14:textId="77777777" w:rsidR="000A158C" w:rsidRDefault="000A158C" w:rsidP="000A158C">
      <w:pPr>
        <w:tabs>
          <w:tab w:val="left" w:pos="720"/>
        </w:tabs>
        <w:ind w:left="720"/>
        <w:jc w:val="both"/>
        <w:textAlignment w:val="baseline"/>
        <w:rPr>
          <w:rFonts w:ascii="Calibri" w:hAnsi="Calibri" w:cs="Calibri"/>
          <w:sz w:val="22"/>
          <w:szCs w:val="22"/>
          <w:lang w:eastAsia="en-GB"/>
        </w:rPr>
      </w:pPr>
    </w:p>
    <w:p w14:paraId="5A54F91C" w14:textId="77777777" w:rsidR="00804AF0" w:rsidRDefault="00804AF0">
      <w:pPr>
        <w:jc w:val="both"/>
        <w:textAlignment w:val="baseline"/>
        <w:rPr>
          <w:rFonts w:ascii="Calibri" w:hAnsi="Calibri" w:cs="Calibri"/>
          <w:sz w:val="22"/>
          <w:szCs w:val="22"/>
          <w:lang w:eastAsia="en-GB"/>
        </w:rPr>
      </w:pPr>
    </w:p>
    <w:p w14:paraId="08E593AC"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Unpaid Leave:</w:t>
      </w:r>
    </w:p>
    <w:p w14:paraId="6A5EE18F" w14:textId="77777777" w:rsidR="00804AF0" w:rsidRDefault="00804AF0">
      <w:pPr>
        <w:jc w:val="both"/>
        <w:textAlignment w:val="baseline"/>
        <w:rPr>
          <w:rFonts w:ascii="Calibri" w:hAnsi="Calibri" w:cs="Calibri"/>
          <w:b/>
          <w:bCs/>
          <w:sz w:val="22"/>
          <w:szCs w:val="22"/>
          <w:lang w:eastAsia="en-GB"/>
        </w:rPr>
      </w:pPr>
    </w:p>
    <w:p w14:paraId="55000E01" w14:textId="77777777" w:rsidR="00804AF0" w:rsidRDefault="009A47D6">
      <w:pPr>
        <w:numPr>
          <w:ilvl w:val="0"/>
          <w:numId w:val="31"/>
        </w:numPr>
        <w:jc w:val="both"/>
        <w:textAlignment w:val="baseline"/>
        <w:rPr>
          <w:rFonts w:ascii="Calibri" w:hAnsi="Calibri" w:cs="Calibri"/>
          <w:sz w:val="22"/>
          <w:szCs w:val="22"/>
          <w:lang w:eastAsia="en-GB"/>
        </w:rPr>
      </w:pPr>
      <w:r>
        <w:rPr>
          <w:rFonts w:ascii="Calibri" w:hAnsi="Calibri" w:cs="Calibri"/>
          <w:sz w:val="22"/>
          <w:szCs w:val="22"/>
          <w:lang w:eastAsia="en-GB"/>
        </w:rPr>
        <w:t>In emergency situations the Head of the Business Unit may exercise flexibility in allowing unpaid leave for up to twelve months at the IPSA holder’s request, subject to exigencies of service, for individuals who have been on a continuous IPSA for at least 36months.</w:t>
      </w:r>
    </w:p>
    <w:p w14:paraId="7E261B25" w14:textId="77777777" w:rsidR="00804AF0" w:rsidRDefault="00804AF0">
      <w:pPr>
        <w:ind w:left="360"/>
        <w:jc w:val="both"/>
        <w:textAlignment w:val="baseline"/>
        <w:rPr>
          <w:rFonts w:ascii="Calibri" w:hAnsi="Calibri" w:cs="Calibri"/>
          <w:sz w:val="22"/>
          <w:szCs w:val="22"/>
          <w:lang w:eastAsia="en-GB"/>
        </w:rPr>
      </w:pPr>
    </w:p>
    <w:p w14:paraId="16EC5208" w14:textId="77777777" w:rsidR="00804AF0" w:rsidRDefault="009A47D6">
      <w:pPr>
        <w:pStyle w:val="ListParagraph"/>
        <w:numPr>
          <w:ilvl w:val="0"/>
          <w:numId w:val="31"/>
        </w:numPr>
        <w:tabs>
          <w:tab w:val="clear" w:pos="720"/>
        </w:tabs>
        <w:jc w:val="both"/>
        <w:textAlignment w:val="baseline"/>
        <w:rPr>
          <w:rFonts w:ascii="Calibri" w:hAnsi="Calibri" w:cs="Calibri"/>
          <w:sz w:val="22"/>
          <w:szCs w:val="22"/>
        </w:rPr>
      </w:pPr>
      <w:bookmarkStart w:id="83" w:name="OLE_LINK42"/>
      <w:r>
        <w:rPr>
          <w:rFonts w:ascii="Calibri" w:hAnsi="Calibri" w:cs="Calibri"/>
          <w:sz w:val="22"/>
          <w:szCs w:val="22"/>
        </w:rPr>
        <w:t>In conjunction with parental leave of birth parents, IPSA holders may also be eligible for unpaid leave immediately following the parental leave for up to eight additional months. The 36-month eligibility stated above does not apply in such a case.</w:t>
      </w:r>
    </w:p>
    <w:p w14:paraId="0313AC7D" w14:textId="77777777" w:rsidR="00804AF0" w:rsidRDefault="00804AF0">
      <w:pPr>
        <w:pStyle w:val="ListParagraph"/>
        <w:ind w:left="720"/>
        <w:jc w:val="both"/>
        <w:textAlignment w:val="baseline"/>
        <w:rPr>
          <w:rFonts w:ascii="Calibri" w:hAnsi="Calibri" w:cs="Calibri"/>
          <w:sz w:val="22"/>
          <w:szCs w:val="22"/>
        </w:rPr>
      </w:pPr>
    </w:p>
    <w:p w14:paraId="24CCF800" w14:textId="77777777" w:rsidR="00804AF0" w:rsidRDefault="009A47D6">
      <w:pPr>
        <w:pStyle w:val="ListParagraph"/>
        <w:numPr>
          <w:ilvl w:val="0"/>
          <w:numId w:val="31"/>
        </w:numPr>
        <w:tabs>
          <w:tab w:val="clear" w:pos="720"/>
        </w:tabs>
        <w:jc w:val="both"/>
        <w:textAlignment w:val="baseline"/>
        <w:rPr>
          <w:rFonts w:ascii="Calibri" w:hAnsi="Calibri"/>
          <w:sz w:val="22"/>
          <w:szCs w:val="22"/>
        </w:rPr>
      </w:pPr>
      <w:r>
        <w:rPr>
          <w:rFonts w:ascii="Calibri" w:hAnsi="Calibri"/>
          <w:sz w:val="22"/>
          <w:szCs w:val="22"/>
        </w:rPr>
        <w:t xml:space="preserve">The Head of the Business Unit may also exercise at their own decision to apply unpaid leave to an individual on IPSA without any notice period. Such decisions should only be made in cases or serious breach or identified conflict of interest, or of similar seriousness, and only in full consultation with the Office of Legal services and/or Ethics Office. </w:t>
      </w:r>
    </w:p>
    <w:bookmarkEnd w:id="83"/>
    <w:p w14:paraId="6652E181" w14:textId="77777777" w:rsidR="00804AF0" w:rsidRDefault="00804AF0">
      <w:pPr>
        <w:pStyle w:val="ListParagraph"/>
        <w:tabs>
          <w:tab w:val="left" w:pos="720"/>
        </w:tabs>
        <w:ind w:left="720"/>
        <w:jc w:val="both"/>
        <w:textAlignment w:val="baseline"/>
        <w:rPr>
          <w:rFonts w:ascii="Calibri" w:hAnsi="Calibri" w:cs="Calibri"/>
          <w:sz w:val="22"/>
          <w:szCs w:val="22"/>
          <w:lang w:eastAsia="en-GB"/>
        </w:rPr>
      </w:pPr>
    </w:p>
    <w:p w14:paraId="14A209FA" w14:textId="77777777" w:rsidR="00804AF0" w:rsidRDefault="009A47D6">
      <w:pPr>
        <w:numPr>
          <w:ilvl w:val="0"/>
          <w:numId w:val="31"/>
        </w:numPr>
        <w:jc w:val="both"/>
        <w:textAlignment w:val="baseline"/>
        <w:rPr>
          <w:rFonts w:ascii="Calibri" w:hAnsi="Calibri" w:cs="Calibri"/>
          <w:sz w:val="22"/>
          <w:szCs w:val="22"/>
          <w:lang w:eastAsia="en-GB"/>
        </w:rPr>
      </w:pPr>
      <w:r>
        <w:rPr>
          <w:rFonts w:ascii="Calibri" w:hAnsi="Calibri" w:cs="Calibri"/>
          <w:sz w:val="22"/>
          <w:szCs w:val="22"/>
          <w:lang w:eastAsia="en-GB"/>
        </w:rPr>
        <w:t>Unpaid leave shall not be granted until paid leave provisions, when applicable, have been exhausted.</w:t>
      </w:r>
    </w:p>
    <w:p w14:paraId="276575D1" w14:textId="77777777" w:rsidR="00804AF0" w:rsidRDefault="00804AF0">
      <w:pPr>
        <w:ind w:left="360"/>
        <w:jc w:val="both"/>
        <w:textAlignment w:val="baseline"/>
        <w:rPr>
          <w:rFonts w:ascii="Calibri" w:hAnsi="Calibri" w:cs="Calibri"/>
          <w:sz w:val="22"/>
          <w:szCs w:val="22"/>
          <w:lang w:eastAsia="en-GB"/>
        </w:rPr>
      </w:pPr>
    </w:p>
    <w:p w14:paraId="7A659D07" w14:textId="77777777" w:rsidR="00804AF0" w:rsidRDefault="009A47D6">
      <w:pPr>
        <w:numPr>
          <w:ilvl w:val="0"/>
          <w:numId w:val="31"/>
        </w:numPr>
        <w:jc w:val="both"/>
        <w:textAlignment w:val="baseline"/>
        <w:rPr>
          <w:rFonts w:ascii="Calibri" w:hAnsi="Calibri" w:cs="Calibri"/>
          <w:sz w:val="22"/>
          <w:szCs w:val="22"/>
          <w:lang w:eastAsia="en-GB"/>
        </w:rPr>
      </w:pPr>
      <w:r>
        <w:rPr>
          <w:rFonts w:ascii="Calibri" w:hAnsi="Calibri" w:cs="Calibri"/>
          <w:sz w:val="22"/>
          <w:szCs w:val="22"/>
          <w:lang w:eastAsia="en-GB"/>
        </w:rPr>
        <w:t>Unpaid leave must be approved in advance by the supervisor and Head of the Business Unit.</w:t>
      </w:r>
    </w:p>
    <w:p w14:paraId="27460809" w14:textId="77777777" w:rsidR="00804AF0" w:rsidRDefault="00804AF0">
      <w:pPr>
        <w:ind w:left="360"/>
        <w:jc w:val="both"/>
        <w:textAlignment w:val="baseline"/>
        <w:rPr>
          <w:rFonts w:ascii="Calibri" w:hAnsi="Calibri" w:cs="Calibri"/>
          <w:sz w:val="22"/>
          <w:szCs w:val="22"/>
          <w:lang w:eastAsia="en-GB"/>
        </w:rPr>
      </w:pPr>
    </w:p>
    <w:p w14:paraId="44AF09BA" w14:textId="77777777" w:rsidR="00804AF0" w:rsidRDefault="009A47D6">
      <w:pPr>
        <w:numPr>
          <w:ilvl w:val="0"/>
          <w:numId w:val="31"/>
        </w:numPr>
        <w:jc w:val="both"/>
        <w:textAlignment w:val="baseline"/>
        <w:rPr>
          <w:rFonts w:ascii="Calibri" w:hAnsi="Calibri" w:cs="Calibri"/>
          <w:sz w:val="22"/>
          <w:szCs w:val="22"/>
          <w:lang w:eastAsia="en-GB"/>
        </w:rPr>
      </w:pPr>
      <w:r>
        <w:rPr>
          <w:rFonts w:ascii="Calibri" w:hAnsi="Calibri" w:cs="Calibri"/>
          <w:sz w:val="22"/>
          <w:szCs w:val="22"/>
          <w:lang w:eastAsia="en-GB"/>
        </w:rPr>
        <w:t>Unpaid leave will normally only be allowed in the following circumstances:</w:t>
      </w:r>
    </w:p>
    <w:p w14:paraId="0A14F0DA"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60688B39" w14:textId="77777777" w:rsidR="00804AF0" w:rsidRDefault="009A47D6">
      <w:pPr>
        <w:pStyle w:val="ListParagraph"/>
        <w:numPr>
          <w:ilvl w:val="0"/>
          <w:numId w:val="28"/>
        </w:numPr>
        <w:tabs>
          <w:tab w:val="left" w:pos="720"/>
        </w:tabs>
        <w:jc w:val="both"/>
        <w:textAlignment w:val="baseline"/>
        <w:rPr>
          <w:rFonts w:ascii="Calibri" w:hAnsi="Calibri" w:cs="Calibri"/>
          <w:sz w:val="22"/>
          <w:szCs w:val="22"/>
          <w:lang w:eastAsia="en-GB"/>
        </w:rPr>
      </w:pPr>
      <w:r>
        <w:rPr>
          <w:rFonts w:ascii="Calibri" w:hAnsi="Calibri" w:cs="Calibri"/>
          <w:sz w:val="22"/>
          <w:szCs w:val="22"/>
          <w:lang w:eastAsia="en-GB"/>
        </w:rPr>
        <w:t>In connection with parental leave;</w:t>
      </w:r>
    </w:p>
    <w:p w14:paraId="25B1F41B" w14:textId="77777777" w:rsidR="00804AF0" w:rsidRDefault="009A47D6">
      <w:pPr>
        <w:pStyle w:val="ListParagraph"/>
        <w:numPr>
          <w:ilvl w:val="0"/>
          <w:numId w:val="28"/>
        </w:numPr>
        <w:tabs>
          <w:tab w:val="left" w:pos="720"/>
        </w:tabs>
        <w:jc w:val="both"/>
        <w:textAlignment w:val="baseline"/>
        <w:rPr>
          <w:rFonts w:ascii="Calibri" w:hAnsi="Calibri" w:cs="Calibri"/>
          <w:sz w:val="22"/>
          <w:szCs w:val="22"/>
          <w:lang w:eastAsia="en-GB"/>
        </w:rPr>
      </w:pPr>
      <w:r>
        <w:rPr>
          <w:rFonts w:ascii="Calibri" w:hAnsi="Calibri" w:cs="Calibri"/>
          <w:sz w:val="22"/>
          <w:szCs w:val="22"/>
          <w:lang w:eastAsia="en-GB"/>
        </w:rPr>
        <w:t>In relation to illness;</w:t>
      </w:r>
    </w:p>
    <w:p w14:paraId="36EE86F3" w14:textId="77777777" w:rsidR="00804AF0" w:rsidRDefault="009A47D6">
      <w:pPr>
        <w:pStyle w:val="ListParagraph"/>
        <w:numPr>
          <w:ilvl w:val="0"/>
          <w:numId w:val="28"/>
        </w:numPr>
        <w:tabs>
          <w:tab w:val="left" w:pos="720"/>
        </w:tabs>
        <w:jc w:val="both"/>
        <w:textAlignment w:val="baseline"/>
        <w:rPr>
          <w:rFonts w:ascii="Calibri" w:hAnsi="Calibri" w:cs="Calibri"/>
          <w:sz w:val="22"/>
          <w:szCs w:val="22"/>
          <w:lang w:eastAsia="en-GB"/>
        </w:rPr>
      </w:pPr>
      <w:r>
        <w:rPr>
          <w:rFonts w:ascii="Calibri" w:hAnsi="Calibri" w:cs="Calibri"/>
          <w:sz w:val="22"/>
          <w:szCs w:val="22"/>
          <w:lang w:eastAsia="en-GB"/>
        </w:rPr>
        <w:t>In relation to family/personal reasons; and similar emergency situations;</w:t>
      </w:r>
    </w:p>
    <w:p w14:paraId="77BBFBA1" w14:textId="77777777" w:rsidR="00804AF0" w:rsidRDefault="009A47D6">
      <w:pPr>
        <w:pStyle w:val="ListParagraph"/>
        <w:numPr>
          <w:ilvl w:val="0"/>
          <w:numId w:val="28"/>
        </w:numPr>
        <w:ind w:hanging="270"/>
        <w:jc w:val="both"/>
        <w:textAlignment w:val="baseline"/>
        <w:rPr>
          <w:rFonts w:ascii="Calibri" w:hAnsi="Calibri" w:cs="Calibri"/>
          <w:sz w:val="22"/>
          <w:szCs w:val="22"/>
          <w:lang w:eastAsia="en-GB"/>
        </w:rPr>
      </w:pPr>
      <w:r>
        <w:rPr>
          <w:rFonts w:ascii="Calibri" w:hAnsi="Calibri" w:cs="Calibri"/>
          <w:sz w:val="22"/>
          <w:szCs w:val="22"/>
          <w:lang w:eastAsia="en-GB"/>
        </w:rPr>
        <w:t xml:space="preserve">For deployment or assignment to another office within UNDP, academic research, </w:t>
      </w:r>
    </w:p>
    <w:p w14:paraId="01B14A26" w14:textId="77777777" w:rsidR="00804AF0" w:rsidRDefault="009A47D6">
      <w:pPr>
        <w:ind w:left="1080" w:hanging="270"/>
        <w:jc w:val="both"/>
        <w:textAlignment w:val="baseline"/>
        <w:rPr>
          <w:rFonts w:ascii="Calibri" w:hAnsi="Calibri" w:cs="Calibri"/>
          <w:sz w:val="22"/>
          <w:szCs w:val="22"/>
          <w:lang w:eastAsia="en-GB"/>
        </w:rPr>
      </w:pPr>
      <w:r>
        <w:rPr>
          <w:rFonts w:ascii="Calibri" w:hAnsi="Calibri" w:cs="Calibri"/>
          <w:sz w:val="22"/>
          <w:szCs w:val="22"/>
          <w:lang w:eastAsia="en-GB"/>
        </w:rPr>
        <w:t>lecturing or advancement of a relevant expertise through special trainings.</w:t>
      </w:r>
    </w:p>
    <w:p w14:paraId="0976549F" w14:textId="77777777" w:rsidR="00804AF0" w:rsidRDefault="00804AF0">
      <w:pPr>
        <w:ind w:left="360"/>
        <w:jc w:val="both"/>
        <w:textAlignment w:val="baseline"/>
        <w:rPr>
          <w:rFonts w:ascii="Calibri" w:hAnsi="Calibri" w:cs="Calibri"/>
          <w:sz w:val="22"/>
          <w:szCs w:val="22"/>
          <w:lang w:eastAsia="en-GB"/>
        </w:rPr>
      </w:pPr>
    </w:p>
    <w:p w14:paraId="1B990FD0" w14:textId="77777777" w:rsidR="00804AF0" w:rsidRDefault="009A47D6">
      <w:pPr>
        <w:numPr>
          <w:ilvl w:val="0"/>
          <w:numId w:val="31"/>
        </w:numPr>
        <w:jc w:val="both"/>
        <w:textAlignment w:val="baseline"/>
        <w:rPr>
          <w:rFonts w:ascii="Calibri" w:hAnsi="Calibri" w:cs="Calibri"/>
          <w:sz w:val="22"/>
          <w:szCs w:val="22"/>
          <w:lang w:eastAsia="en-GB"/>
        </w:rPr>
      </w:pPr>
      <w:r>
        <w:rPr>
          <w:rFonts w:ascii="Calibri" w:hAnsi="Calibri" w:cs="Calibri"/>
          <w:sz w:val="22"/>
          <w:szCs w:val="22"/>
          <w:lang w:eastAsia="en-GB"/>
        </w:rPr>
        <w:t>When applicable, annual and sick leave will not accumulate during unpaid leave periods of 30 days or longer.</w:t>
      </w:r>
    </w:p>
    <w:p w14:paraId="5A0063EF" w14:textId="77777777" w:rsidR="00804AF0" w:rsidRDefault="00804AF0">
      <w:pPr>
        <w:ind w:left="360"/>
        <w:jc w:val="both"/>
        <w:textAlignment w:val="baseline"/>
        <w:rPr>
          <w:rFonts w:ascii="Calibri" w:hAnsi="Calibri" w:cs="Calibri"/>
          <w:sz w:val="22"/>
          <w:szCs w:val="22"/>
          <w:lang w:eastAsia="en-GB"/>
        </w:rPr>
      </w:pPr>
    </w:p>
    <w:p w14:paraId="5C06C06B" w14:textId="77777777" w:rsidR="00804AF0" w:rsidRDefault="009A47D6">
      <w:pPr>
        <w:numPr>
          <w:ilvl w:val="0"/>
          <w:numId w:val="31"/>
        </w:numPr>
        <w:jc w:val="both"/>
        <w:textAlignment w:val="baseline"/>
        <w:rPr>
          <w:rFonts w:ascii="Calibri" w:hAnsi="Calibri" w:cs="Calibri"/>
          <w:sz w:val="22"/>
          <w:szCs w:val="22"/>
          <w:lang w:eastAsia="en-GB"/>
        </w:rPr>
      </w:pPr>
      <w:r>
        <w:rPr>
          <w:rFonts w:ascii="Calibri" w:hAnsi="Calibri" w:cs="Calibri"/>
          <w:sz w:val="22"/>
          <w:szCs w:val="22"/>
          <w:lang w:eastAsia="en-GB"/>
        </w:rPr>
        <w:t>When applicable, there will not be health or life insurance coverage during periods of unpaid leave of 30 days or longer.</w:t>
      </w:r>
    </w:p>
    <w:p w14:paraId="0A10C34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40215988"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Jury Duty, Other Appearances in Court and Military Service: </w:t>
      </w:r>
    </w:p>
    <w:p w14:paraId="5A749A36" w14:textId="77777777" w:rsidR="00804AF0" w:rsidRDefault="00804AF0">
      <w:pPr>
        <w:jc w:val="both"/>
        <w:textAlignment w:val="baseline"/>
        <w:rPr>
          <w:rFonts w:ascii="Calibri" w:hAnsi="Calibri" w:cs="Calibri"/>
          <w:b/>
          <w:bCs/>
          <w:sz w:val="22"/>
          <w:szCs w:val="22"/>
          <w:lang w:eastAsia="en-GB"/>
        </w:rPr>
      </w:pPr>
    </w:p>
    <w:p w14:paraId="464CE15C" w14:textId="77777777" w:rsidR="00804AF0" w:rsidRDefault="009A47D6">
      <w:pPr>
        <w:numPr>
          <w:ilvl w:val="0"/>
          <w:numId w:val="32"/>
        </w:numPr>
        <w:jc w:val="both"/>
        <w:textAlignment w:val="baseline"/>
        <w:rPr>
          <w:rFonts w:ascii="Calibri" w:hAnsi="Calibri" w:cs="Calibri"/>
          <w:sz w:val="22"/>
          <w:szCs w:val="22"/>
          <w:lang w:eastAsia="en-GB"/>
        </w:rPr>
      </w:pPr>
      <w:r>
        <w:rPr>
          <w:rFonts w:ascii="Calibri" w:hAnsi="Calibri" w:cs="Calibri"/>
          <w:sz w:val="22"/>
          <w:szCs w:val="22"/>
          <w:lang w:eastAsia="en-GB"/>
        </w:rPr>
        <w:t>PSA holders serving on jury duty will be granted leave with pay by the  Head of the Business Unit up to a maximum of five working days in a calendar year, in units of full or half days as certified by the court.</w:t>
      </w:r>
    </w:p>
    <w:p w14:paraId="0E6E54CD" w14:textId="77777777" w:rsidR="00804AF0" w:rsidRDefault="00804AF0">
      <w:pPr>
        <w:jc w:val="both"/>
        <w:textAlignment w:val="baseline"/>
        <w:rPr>
          <w:rFonts w:ascii="Calibri" w:hAnsi="Calibri" w:cs="Calibri"/>
          <w:sz w:val="22"/>
          <w:szCs w:val="22"/>
          <w:lang w:eastAsia="en-GB"/>
        </w:rPr>
      </w:pPr>
    </w:p>
    <w:p w14:paraId="39B7EFCD" w14:textId="77777777" w:rsidR="00804AF0" w:rsidRDefault="009A47D6">
      <w:pPr>
        <w:numPr>
          <w:ilvl w:val="0"/>
          <w:numId w:val="32"/>
        </w:numPr>
        <w:jc w:val="both"/>
        <w:textAlignment w:val="baseline"/>
        <w:rPr>
          <w:rFonts w:ascii="Calibri" w:hAnsi="Calibri" w:cs="Calibri"/>
          <w:sz w:val="22"/>
          <w:szCs w:val="22"/>
          <w:lang w:eastAsia="en-GB"/>
        </w:rPr>
      </w:pPr>
      <w:r>
        <w:rPr>
          <w:rFonts w:ascii="Calibri" w:hAnsi="Calibri" w:cs="Calibri"/>
          <w:sz w:val="22"/>
          <w:szCs w:val="22"/>
          <w:lang w:eastAsia="en-GB"/>
        </w:rPr>
        <w:t>Court appearances at UNDP’s request should be recorded as absence on official business.</w:t>
      </w:r>
    </w:p>
    <w:p w14:paraId="60774F35" w14:textId="77777777" w:rsidR="00804AF0" w:rsidRDefault="00804AF0">
      <w:pPr>
        <w:ind w:left="360"/>
        <w:jc w:val="both"/>
        <w:textAlignment w:val="baseline"/>
        <w:rPr>
          <w:rFonts w:ascii="Calibri" w:hAnsi="Calibri" w:cs="Calibri"/>
          <w:sz w:val="22"/>
          <w:szCs w:val="22"/>
          <w:lang w:eastAsia="en-GB"/>
        </w:rPr>
      </w:pPr>
    </w:p>
    <w:p w14:paraId="5C2685E2" w14:textId="77777777" w:rsidR="00804AF0" w:rsidRDefault="009A47D6">
      <w:pPr>
        <w:numPr>
          <w:ilvl w:val="0"/>
          <w:numId w:val="32"/>
        </w:numPr>
        <w:jc w:val="both"/>
        <w:textAlignment w:val="baseline"/>
        <w:rPr>
          <w:rFonts w:ascii="Calibri" w:hAnsi="Calibri" w:cs="Calibri"/>
          <w:sz w:val="22"/>
          <w:szCs w:val="22"/>
          <w:lang w:eastAsia="en-GB"/>
        </w:rPr>
      </w:pPr>
      <w:r>
        <w:rPr>
          <w:rFonts w:ascii="Calibri" w:hAnsi="Calibri" w:cs="Calibri"/>
          <w:sz w:val="22"/>
          <w:szCs w:val="22"/>
          <w:lang w:eastAsia="en-GB"/>
        </w:rPr>
        <w:t>Court appearances as a party in the IPSA holder’s personal capacity and not at the request of UNDP will be charged to annual leave or unpaid leave.</w:t>
      </w:r>
    </w:p>
    <w:p w14:paraId="4CEB22F1" w14:textId="77777777" w:rsidR="00804AF0" w:rsidRDefault="00804AF0">
      <w:pPr>
        <w:ind w:left="360"/>
        <w:jc w:val="both"/>
        <w:textAlignment w:val="baseline"/>
        <w:rPr>
          <w:rFonts w:ascii="Calibri" w:hAnsi="Calibri" w:cs="Calibri"/>
          <w:sz w:val="22"/>
          <w:szCs w:val="22"/>
          <w:lang w:eastAsia="en-GB"/>
        </w:rPr>
      </w:pPr>
    </w:p>
    <w:p w14:paraId="73A84A58" w14:textId="77777777" w:rsidR="00804AF0" w:rsidRDefault="009A47D6">
      <w:pPr>
        <w:numPr>
          <w:ilvl w:val="0"/>
          <w:numId w:val="32"/>
        </w:numPr>
        <w:jc w:val="both"/>
        <w:textAlignment w:val="baseline"/>
        <w:rPr>
          <w:rFonts w:ascii="Calibri" w:hAnsi="Calibri" w:cs="Calibri"/>
          <w:sz w:val="22"/>
          <w:szCs w:val="22"/>
          <w:lang w:eastAsia="en-GB"/>
        </w:rPr>
      </w:pPr>
      <w:r>
        <w:rPr>
          <w:rFonts w:ascii="Calibri" w:hAnsi="Calibri" w:cs="Calibri"/>
          <w:sz w:val="22"/>
          <w:szCs w:val="22"/>
          <w:lang w:eastAsia="en-GB"/>
        </w:rPr>
        <w:lastRenderedPageBreak/>
        <w:t>For court appearances as a witness in the IPSA holder’s personal capacity, the heads of business units at other locations shall decide whether the absence is to be charged to annual leave or special paid or unpaid leave, according to the circumstances of the case.</w:t>
      </w:r>
    </w:p>
    <w:p w14:paraId="1A390729" w14:textId="77777777" w:rsidR="00804AF0" w:rsidRDefault="00804AF0">
      <w:pPr>
        <w:ind w:left="360"/>
        <w:jc w:val="both"/>
        <w:textAlignment w:val="baseline"/>
        <w:rPr>
          <w:rFonts w:ascii="Calibri" w:hAnsi="Calibri" w:cs="Calibri"/>
          <w:sz w:val="22"/>
          <w:szCs w:val="22"/>
          <w:lang w:eastAsia="en-GB"/>
        </w:rPr>
      </w:pPr>
    </w:p>
    <w:p w14:paraId="18D466AB" w14:textId="77777777" w:rsidR="00804AF0" w:rsidRDefault="009A47D6">
      <w:pPr>
        <w:numPr>
          <w:ilvl w:val="0"/>
          <w:numId w:val="32"/>
        </w:numPr>
        <w:jc w:val="both"/>
        <w:textAlignment w:val="baseline"/>
        <w:rPr>
          <w:rFonts w:ascii="Calibri" w:hAnsi="Calibri" w:cs="Calibri"/>
          <w:sz w:val="22"/>
          <w:szCs w:val="22"/>
          <w:lang w:eastAsia="en-GB"/>
        </w:rPr>
      </w:pPr>
      <w:r>
        <w:rPr>
          <w:rFonts w:ascii="Calibri" w:hAnsi="Calibri" w:cs="Calibri"/>
          <w:sz w:val="22"/>
          <w:szCs w:val="22"/>
          <w:lang w:eastAsia="en-GB"/>
        </w:rPr>
        <w:t>IPSA holders may be granted unpaid leave for military training or service required by their government at the discretion of the Head of the Business Unit.</w:t>
      </w:r>
    </w:p>
    <w:p w14:paraId="27737F7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4EEE8A8"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Time off for Voting in Elections: </w:t>
      </w:r>
    </w:p>
    <w:p w14:paraId="2C602D61" w14:textId="77777777" w:rsidR="00804AF0" w:rsidRDefault="00804AF0">
      <w:pPr>
        <w:jc w:val="both"/>
        <w:textAlignment w:val="baseline"/>
        <w:rPr>
          <w:rFonts w:ascii="Calibri" w:hAnsi="Calibri" w:cs="Calibri"/>
          <w:b/>
          <w:bCs/>
          <w:sz w:val="22"/>
          <w:szCs w:val="22"/>
          <w:lang w:eastAsia="en-GB"/>
        </w:rPr>
      </w:pPr>
    </w:p>
    <w:p w14:paraId="00B9AC7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IPSA holders wishing to exercise their right to vote on election days should try to do so outside their normal working hours. Those who are unable to do so should request up to two hours of time off from their Head of the Business Unit. However, upon presentation of satisfactory evidence that voting may take longer, the Heads of Business Units may grant up to four hours of time off subject to the exigencies of service.</w:t>
      </w:r>
    </w:p>
    <w:p w14:paraId="6E1B37D6"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2539F352"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Hardship Leave:</w:t>
      </w:r>
    </w:p>
    <w:p w14:paraId="3B38696E" w14:textId="77777777" w:rsidR="00804AF0" w:rsidRDefault="00804AF0">
      <w:pPr>
        <w:jc w:val="both"/>
        <w:textAlignment w:val="baseline"/>
        <w:rPr>
          <w:rFonts w:ascii="Calibri" w:hAnsi="Calibri" w:cs="Calibri"/>
          <w:b/>
          <w:bCs/>
          <w:sz w:val="22"/>
          <w:szCs w:val="22"/>
          <w:lang w:eastAsia="en-GB"/>
        </w:rPr>
      </w:pPr>
    </w:p>
    <w:p w14:paraId="7E31763A" w14:textId="77777777" w:rsidR="00804AF0" w:rsidRDefault="009A47D6">
      <w:pPr>
        <w:numPr>
          <w:ilvl w:val="0"/>
          <w:numId w:val="33"/>
        </w:numPr>
        <w:jc w:val="both"/>
        <w:textAlignment w:val="baseline"/>
        <w:rPr>
          <w:rFonts w:ascii="Calibri" w:hAnsi="Calibri" w:cs="Calibri"/>
          <w:sz w:val="22"/>
          <w:szCs w:val="22"/>
          <w:lang w:eastAsia="en-GB"/>
        </w:rPr>
      </w:pPr>
      <w:r>
        <w:rPr>
          <w:rFonts w:ascii="Calibri" w:hAnsi="Calibri" w:cs="Calibri"/>
          <w:sz w:val="22"/>
          <w:szCs w:val="22"/>
          <w:lang w:eastAsia="en-GB"/>
        </w:rPr>
        <w:t>IPSA holders with agreements of six months or longer based in duty stations designated as hardship duty stations D and E, are eligible for a paid hardship leave of two working days per month to recover from working in a designated hardship duty station and to allow IPSA holders to stock up on basic goods needed for everyday life which are not necessarily available at the designated duty station. Once an IPSA holder under an International IPSA has accrued six days of hardship leave, no additional hardship leave days can be accrued unless the accrued days are utilized.</w:t>
      </w:r>
    </w:p>
    <w:p w14:paraId="4A918408" w14:textId="77777777" w:rsidR="00804AF0" w:rsidRDefault="00804AF0">
      <w:pPr>
        <w:ind w:left="360"/>
        <w:jc w:val="both"/>
        <w:textAlignment w:val="baseline"/>
        <w:rPr>
          <w:rFonts w:ascii="Calibri" w:hAnsi="Calibri" w:cs="Calibri"/>
          <w:sz w:val="22"/>
          <w:szCs w:val="22"/>
          <w:lang w:eastAsia="en-GB"/>
        </w:rPr>
      </w:pPr>
    </w:p>
    <w:p w14:paraId="4B831593" w14:textId="77777777" w:rsidR="00804AF0" w:rsidRDefault="009A47D6">
      <w:pPr>
        <w:numPr>
          <w:ilvl w:val="0"/>
          <w:numId w:val="33"/>
        </w:numPr>
        <w:jc w:val="both"/>
        <w:textAlignment w:val="baseline"/>
        <w:rPr>
          <w:rFonts w:ascii="Calibri" w:hAnsi="Calibri" w:cs="Calibri"/>
          <w:sz w:val="22"/>
          <w:szCs w:val="22"/>
          <w:lang w:eastAsia="en-GB"/>
        </w:rPr>
      </w:pPr>
      <w:r>
        <w:rPr>
          <w:rFonts w:ascii="Calibri" w:hAnsi="Calibri" w:cs="Calibri"/>
          <w:sz w:val="22"/>
          <w:szCs w:val="22"/>
          <w:lang w:eastAsia="en-GB"/>
        </w:rPr>
        <w:t>All hardship leave must be taken within the period of the IPSA and subject to a maximum of six consecutive working days at a time. If the IPSA is extended for an additional period, the IPSA holder may carry over accrued leave to the subsequent agreement period up to a maximum of six days as of the cut-off date of 1 April of any given year.</w:t>
      </w:r>
    </w:p>
    <w:p w14:paraId="7EDF8D1A" w14:textId="77777777" w:rsidR="00804AF0" w:rsidRDefault="00804AF0">
      <w:pPr>
        <w:ind w:left="360"/>
        <w:jc w:val="both"/>
        <w:textAlignment w:val="baseline"/>
        <w:rPr>
          <w:rFonts w:ascii="Calibri" w:hAnsi="Calibri" w:cs="Calibri"/>
          <w:sz w:val="22"/>
          <w:szCs w:val="22"/>
          <w:lang w:eastAsia="en-GB"/>
        </w:rPr>
      </w:pPr>
    </w:p>
    <w:p w14:paraId="61352371" w14:textId="77777777" w:rsidR="00804AF0" w:rsidRDefault="009A47D6">
      <w:pPr>
        <w:numPr>
          <w:ilvl w:val="0"/>
          <w:numId w:val="33"/>
        </w:numPr>
        <w:jc w:val="both"/>
        <w:textAlignment w:val="baseline"/>
        <w:rPr>
          <w:rFonts w:ascii="Calibri" w:hAnsi="Calibri" w:cs="Calibri"/>
          <w:sz w:val="22"/>
          <w:szCs w:val="22"/>
          <w:lang w:eastAsia="en-GB"/>
        </w:rPr>
      </w:pPr>
      <w:r>
        <w:rPr>
          <w:rFonts w:ascii="Calibri" w:hAnsi="Calibri" w:cs="Calibri"/>
          <w:sz w:val="22"/>
          <w:szCs w:val="22"/>
          <w:lang w:eastAsia="en-GB"/>
        </w:rPr>
        <w:t>Unused hardship leave is not commutable to cash.</w:t>
      </w:r>
    </w:p>
    <w:p w14:paraId="4E9D8FC6" w14:textId="77777777" w:rsidR="00804AF0" w:rsidRDefault="00804AF0">
      <w:pPr>
        <w:jc w:val="both"/>
        <w:textAlignment w:val="baseline"/>
        <w:rPr>
          <w:rFonts w:ascii="Calibri" w:hAnsi="Calibri" w:cs="Calibri"/>
          <w:sz w:val="22"/>
          <w:szCs w:val="22"/>
          <w:lang w:eastAsia="en-GB"/>
        </w:rPr>
      </w:pPr>
    </w:p>
    <w:p w14:paraId="0DA18416" w14:textId="77777777" w:rsidR="00804AF0" w:rsidRDefault="009A47D6">
      <w:pPr>
        <w:numPr>
          <w:ilvl w:val="0"/>
          <w:numId w:val="33"/>
        </w:numPr>
        <w:jc w:val="both"/>
        <w:textAlignment w:val="baseline"/>
        <w:rPr>
          <w:rFonts w:ascii="Calibri" w:hAnsi="Calibri" w:cs="Calibri"/>
          <w:sz w:val="22"/>
          <w:szCs w:val="22"/>
          <w:lang w:eastAsia="en-GB"/>
        </w:rPr>
      </w:pPr>
      <w:r>
        <w:rPr>
          <w:rFonts w:ascii="Calibri" w:hAnsi="Calibri" w:cs="Calibri"/>
          <w:sz w:val="22"/>
          <w:szCs w:val="22"/>
          <w:lang w:eastAsia="en-GB"/>
        </w:rPr>
        <w:t xml:space="preserve">For </w:t>
      </w:r>
      <w:bookmarkStart w:id="84" w:name="_Hlk56454824"/>
      <w:r>
        <w:rPr>
          <w:rFonts w:ascii="Calibri" w:hAnsi="Calibri" w:cs="Calibri"/>
          <w:sz w:val="22"/>
          <w:szCs w:val="22"/>
          <w:lang w:eastAsia="en-GB"/>
        </w:rPr>
        <w:t xml:space="preserve">Regular IPSAs where the starting or ending months are </w:t>
      </w:r>
      <w:bookmarkEnd w:id="84"/>
      <w:r>
        <w:rPr>
          <w:rFonts w:ascii="Calibri" w:hAnsi="Calibri" w:cs="Calibri"/>
          <w:sz w:val="22"/>
          <w:szCs w:val="22"/>
          <w:lang w:eastAsia="en-GB"/>
        </w:rPr>
        <w:t>of less than one full calendar month, hardship leave shall be pro-rated to the nearest half day.</w:t>
      </w:r>
    </w:p>
    <w:p w14:paraId="0854FBB7" w14:textId="77777777" w:rsidR="00804AF0" w:rsidRDefault="00804AF0">
      <w:pPr>
        <w:ind w:left="360"/>
        <w:jc w:val="both"/>
        <w:textAlignment w:val="baseline"/>
        <w:rPr>
          <w:rFonts w:ascii="Calibri" w:hAnsi="Calibri" w:cs="Calibri"/>
          <w:sz w:val="22"/>
          <w:szCs w:val="22"/>
          <w:lang w:eastAsia="en-GB"/>
        </w:rPr>
      </w:pPr>
    </w:p>
    <w:p w14:paraId="3F49460A" w14:textId="77777777" w:rsidR="00804AF0" w:rsidRDefault="009A47D6">
      <w:pPr>
        <w:numPr>
          <w:ilvl w:val="0"/>
          <w:numId w:val="33"/>
        </w:numPr>
        <w:jc w:val="both"/>
        <w:textAlignment w:val="baseline"/>
        <w:rPr>
          <w:rFonts w:ascii="Calibri" w:hAnsi="Calibri" w:cs="Calibri"/>
          <w:sz w:val="22"/>
          <w:szCs w:val="22"/>
          <w:lang w:eastAsia="en-GB"/>
        </w:rPr>
      </w:pPr>
      <w:r>
        <w:rPr>
          <w:rFonts w:ascii="Calibri" w:hAnsi="Calibri" w:cs="Calibri"/>
          <w:sz w:val="22"/>
          <w:szCs w:val="22"/>
          <w:lang w:eastAsia="en-GB"/>
        </w:rPr>
        <w:t>When an IPSA of an initial duration of less than six months is subsequently extended to reach or exceed six months, provisions for hardship leave will apply from the effective date of the IPSA extension. Leave is not accumulated retroactively.</w:t>
      </w:r>
    </w:p>
    <w:p w14:paraId="7910CE10" w14:textId="77777777" w:rsidR="00804AF0" w:rsidRDefault="00804AF0">
      <w:pPr>
        <w:jc w:val="both"/>
        <w:textAlignment w:val="baseline"/>
        <w:rPr>
          <w:rFonts w:ascii="Calibri" w:hAnsi="Calibri" w:cs="Calibri"/>
          <w:sz w:val="22"/>
          <w:szCs w:val="22"/>
          <w:lang w:eastAsia="en-GB"/>
        </w:rPr>
      </w:pPr>
    </w:p>
    <w:p w14:paraId="14BE3340"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Leave Provisions on IPSA Extension: </w:t>
      </w:r>
    </w:p>
    <w:p w14:paraId="5FC0E668" w14:textId="77777777" w:rsidR="00804AF0" w:rsidRDefault="00804AF0">
      <w:pPr>
        <w:jc w:val="both"/>
        <w:textAlignment w:val="baseline"/>
        <w:rPr>
          <w:rFonts w:ascii="Calibri" w:hAnsi="Calibri" w:cs="Calibri"/>
          <w:sz w:val="22"/>
          <w:szCs w:val="22"/>
          <w:lang w:eastAsia="en-GB"/>
        </w:rPr>
      </w:pPr>
    </w:p>
    <w:p w14:paraId="0653FA8D"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When an IPSA of an initial duration of less than six months is subsequently extended to reach or exceed six months, provisions for annual leave and sick leave will start to apply subject to the eligibility as specified in this policy, from the effective date of the IPSA extension. Leave is not accumulated retroactively.</w:t>
      </w:r>
    </w:p>
    <w:p w14:paraId="22F1EE98" w14:textId="77777777" w:rsidR="000A158C" w:rsidRDefault="000A158C">
      <w:pPr>
        <w:jc w:val="both"/>
        <w:textAlignment w:val="baseline"/>
        <w:rPr>
          <w:rFonts w:ascii="Calibri" w:hAnsi="Calibri" w:cs="Calibri"/>
          <w:sz w:val="22"/>
          <w:szCs w:val="22"/>
          <w:lang w:eastAsia="en-GB"/>
        </w:rPr>
      </w:pPr>
    </w:p>
    <w:p w14:paraId="5EBFB3BC" w14:textId="77777777" w:rsidR="00804AF0" w:rsidRDefault="00804AF0">
      <w:pPr>
        <w:jc w:val="both"/>
        <w:textAlignment w:val="baseline"/>
        <w:rPr>
          <w:rFonts w:ascii="Calibri" w:hAnsi="Calibri" w:cs="Calibri"/>
          <w:sz w:val="22"/>
          <w:szCs w:val="22"/>
          <w:lang w:eastAsia="en-GB"/>
        </w:rPr>
      </w:pPr>
    </w:p>
    <w:p w14:paraId="7B5F1C31" w14:textId="77777777" w:rsidR="00804AF0" w:rsidRDefault="009A47D6">
      <w:pPr>
        <w:pStyle w:val="Heading1"/>
        <w:numPr>
          <w:ilvl w:val="0"/>
          <w:numId w:val="2"/>
        </w:numPr>
        <w:jc w:val="left"/>
        <w:rPr>
          <w:rFonts w:ascii="Calibri" w:hAnsi="Calibri" w:cs="Calibri"/>
          <w:b/>
          <w:bCs/>
          <w:sz w:val="22"/>
          <w:szCs w:val="22"/>
          <w:lang w:eastAsia="en-GB"/>
        </w:rPr>
      </w:pPr>
      <w:bookmarkStart w:id="85" w:name="_Toc161312438"/>
      <w:r>
        <w:rPr>
          <w:rFonts w:ascii="Calibri" w:hAnsi="Calibri" w:cs="Calibri"/>
          <w:b/>
          <w:bCs/>
          <w:sz w:val="22"/>
          <w:szCs w:val="22"/>
          <w:lang w:eastAsia="en-GB"/>
        </w:rPr>
        <w:lastRenderedPageBreak/>
        <w:t>Travel for Work</w:t>
      </w:r>
      <w:bookmarkEnd w:id="85"/>
    </w:p>
    <w:p w14:paraId="0AC98F65" w14:textId="77777777" w:rsidR="00804AF0" w:rsidRDefault="00804AF0">
      <w:pPr>
        <w:jc w:val="both"/>
        <w:textAlignment w:val="baseline"/>
        <w:rPr>
          <w:rFonts w:ascii="Calibri" w:hAnsi="Calibri" w:cs="Calibri"/>
          <w:sz w:val="22"/>
          <w:szCs w:val="22"/>
          <w:lang w:eastAsia="en-GB"/>
        </w:rPr>
      </w:pPr>
    </w:p>
    <w:p w14:paraId="718ED873" w14:textId="77777777" w:rsidR="00804AF0" w:rsidRDefault="009A47D6">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Travel for work outside the country of duty station shall always be on economy class for IPSA holders, regardless of travel time. Travel arrangements shall follow the regular procedures as established for corporate travel, and DSA is paid regularly during travel for work outside the country of the duty station as per the corporate travel policy.</w:t>
      </w:r>
    </w:p>
    <w:p w14:paraId="1012ADEA" w14:textId="77777777" w:rsidR="00804AF0" w:rsidRDefault="00804AF0">
      <w:pPr>
        <w:jc w:val="both"/>
        <w:textAlignment w:val="baseline"/>
        <w:rPr>
          <w:rFonts w:ascii="Calibri" w:hAnsi="Calibri" w:cs="Calibri"/>
          <w:b/>
          <w:bCs/>
          <w:sz w:val="22"/>
          <w:szCs w:val="22"/>
          <w:lang w:eastAsia="en-GB"/>
        </w:rPr>
      </w:pPr>
    </w:p>
    <w:p w14:paraId="37A6A07B" w14:textId="77777777" w:rsidR="00804AF0" w:rsidRDefault="009A47D6">
      <w:pPr>
        <w:pStyle w:val="Heading1"/>
        <w:numPr>
          <w:ilvl w:val="0"/>
          <w:numId w:val="2"/>
        </w:numPr>
        <w:jc w:val="left"/>
        <w:rPr>
          <w:rFonts w:ascii="Calibri" w:hAnsi="Calibri" w:cs="Calibri"/>
          <w:b/>
          <w:bCs/>
          <w:sz w:val="22"/>
          <w:szCs w:val="22"/>
          <w:lang w:eastAsia="en-GB"/>
        </w:rPr>
      </w:pPr>
      <w:bookmarkStart w:id="86" w:name="_Toc161312439"/>
      <w:bookmarkStart w:id="87" w:name="OLE_LINK41"/>
      <w:r>
        <w:rPr>
          <w:rFonts w:ascii="Calibri" w:hAnsi="Calibri" w:cs="Calibri"/>
          <w:b/>
          <w:bCs/>
          <w:sz w:val="22"/>
          <w:szCs w:val="22"/>
          <w:lang w:eastAsia="en-GB"/>
        </w:rPr>
        <w:t>Performance Evaluation</w:t>
      </w:r>
      <w:bookmarkEnd w:id="86"/>
    </w:p>
    <w:bookmarkEnd w:id="87"/>
    <w:p w14:paraId="0E676A8D" w14:textId="77777777" w:rsidR="00804AF0" w:rsidRDefault="00804AF0">
      <w:pPr>
        <w:jc w:val="both"/>
        <w:textAlignment w:val="baseline"/>
        <w:rPr>
          <w:rFonts w:ascii="Calibri" w:hAnsi="Calibri" w:cs="Calibri"/>
          <w:sz w:val="22"/>
          <w:szCs w:val="22"/>
          <w:lang w:eastAsia="en-GB"/>
        </w:rPr>
      </w:pPr>
    </w:p>
    <w:p w14:paraId="306F4ADC" w14:textId="77777777" w:rsidR="00804AF0" w:rsidRDefault="009A47D6">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Service monitoring and performance evaluation are mandatory for regular IPSAs as part of a process to provide regular feedback about individual performance and progress achieved against agreed terms of reference, as well as objectives and results. Performance of the IPSA holder must be communicated to the IPSA throughout the duration of the IPSA.</w:t>
      </w:r>
    </w:p>
    <w:p w14:paraId="3897B722" w14:textId="77777777" w:rsidR="00804AF0" w:rsidRDefault="00804AF0">
      <w:pPr>
        <w:ind w:left="1080" w:firstLine="60"/>
        <w:jc w:val="both"/>
        <w:textAlignment w:val="baseline"/>
        <w:rPr>
          <w:rFonts w:ascii="Calibri" w:hAnsi="Calibri" w:cs="Calibri"/>
          <w:sz w:val="22"/>
          <w:szCs w:val="22"/>
          <w:lang w:eastAsia="en-GB"/>
        </w:rPr>
      </w:pPr>
    </w:p>
    <w:p w14:paraId="2F596BB2" w14:textId="77777777" w:rsidR="00804AF0" w:rsidRDefault="009A47D6">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In this context, the purpose of the Performance Evaluation is to:</w:t>
      </w:r>
    </w:p>
    <w:p w14:paraId="14854510" w14:textId="77777777" w:rsidR="00804AF0" w:rsidRDefault="00804AF0">
      <w:pPr>
        <w:ind w:left="1800" w:firstLine="60"/>
        <w:jc w:val="both"/>
        <w:textAlignment w:val="baseline"/>
        <w:rPr>
          <w:rFonts w:ascii="Calibri" w:hAnsi="Calibri" w:cs="Calibri"/>
          <w:sz w:val="22"/>
          <w:szCs w:val="22"/>
          <w:lang w:eastAsia="en-GB"/>
        </w:rPr>
      </w:pPr>
    </w:p>
    <w:p w14:paraId="57B72F88" w14:textId="77777777" w:rsidR="00804AF0" w:rsidRDefault="009A47D6">
      <w:pPr>
        <w:numPr>
          <w:ilvl w:val="0"/>
          <w:numId w:val="34"/>
        </w:numPr>
        <w:jc w:val="both"/>
        <w:textAlignment w:val="baseline"/>
        <w:rPr>
          <w:rFonts w:ascii="Calibri" w:hAnsi="Calibri" w:cs="Calibri"/>
          <w:sz w:val="22"/>
          <w:szCs w:val="22"/>
          <w:lang w:eastAsia="en-GB"/>
        </w:rPr>
      </w:pPr>
      <w:r>
        <w:rPr>
          <w:rFonts w:ascii="Calibri" w:hAnsi="Calibri" w:cs="Calibri"/>
          <w:sz w:val="22"/>
          <w:szCs w:val="22"/>
          <w:lang w:eastAsia="en-GB"/>
        </w:rPr>
        <w:t xml:space="preserve">Review progress against </w:t>
      </w:r>
      <w:proofErr w:type="gramStart"/>
      <w:r>
        <w:rPr>
          <w:rFonts w:ascii="Calibri" w:hAnsi="Calibri" w:cs="Calibri"/>
          <w:sz w:val="22"/>
          <w:szCs w:val="22"/>
          <w:lang w:eastAsia="en-GB"/>
        </w:rPr>
        <w:t>agreed upon</w:t>
      </w:r>
      <w:proofErr w:type="gramEnd"/>
      <w:r>
        <w:rPr>
          <w:rFonts w:ascii="Calibri" w:hAnsi="Calibri" w:cs="Calibri"/>
          <w:sz w:val="22"/>
          <w:szCs w:val="22"/>
          <w:lang w:eastAsia="en-GB"/>
        </w:rPr>
        <w:t xml:space="preserve"> terms of reference and objectives;</w:t>
      </w:r>
    </w:p>
    <w:p w14:paraId="29A76181" w14:textId="77777777" w:rsidR="00804AF0" w:rsidRDefault="00804AF0">
      <w:pPr>
        <w:ind w:left="360"/>
        <w:jc w:val="both"/>
        <w:textAlignment w:val="baseline"/>
        <w:rPr>
          <w:rFonts w:ascii="Calibri" w:hAnsi="Calibri" w:cs="Calibri"/>
          <w:sz w:val="22"/>
          <w:szCs w:val="22"/>
          <w:lang w:eastAsia="en-GB"/>
        </w:rPr>
      </w:pPr>
    </w:p>
    <w:p w14:paraId="15545753" w14:textId="77777777" w:rsidR="00804AF0" w:rsidRDefault="009A47D6">
      <w:pPr>
        <w:numPr>
          <w:ilvl w:val="0"/>
          <w:numId w:val="34"/>
        </w:numPr>
        <w:jc w:val="both"/>
        <w:textAlignment w:val="baseline"/>
        <w:rPr>
          <w:rFonts w:ascii="Calibri" w:hAnsi="Calibri" w:cs="Calibri"/>
          <w:sz w:val="22"/>
          <w:szCs w:val="22"/>
          <w:lang w:eastAsia="en-GB"/>
        </w:rPr>
      </w:pPr>
      <w:r>
        <w:rPr>
          <w:rFonts w:ascii="Calibri" w:hAnsi="Calibri" w:cs="Calibri"/>
          <w:sz w:val="22"/>
          <w:szCs w:val="22"/>
          <w:lang w:eastAsia="en-GB"/>
        </w:rPr>
        <w:t>Provide feedback on the performance of the individual IPSA holder; and</w:t>
      </w:r>
    </w:p>
    <w:p w14:paraId="5FA6CD3D" w14:textId="77777777" w:rsidR="00804AF0" w:rsidRDefault="00804AF0">
      <w:pPr>
        <w:ind w:left="360"/>
        <w:jc w:val="both"/>
        <w:textAlignment w:val="baseline"/>
        <w:rPr>
          <w:rFonts w:ascii="Calibri" w:hAnsi="Calibri" w:cs="Calibri"/>
          <w:sz w:val="22"/>
          <w:szCs w:val="22"/>
          <w:lang w:eastAsia="en-GB"/>
        </w:rPr>
      </w:pPr>
    </w:p>
    <w:p w14:paraId="1D1C7EF2" w14:textId="77777777" w:rsidR="00804AF0" w:rsidRDefault="009A47D6">
      <w:pPr>
        <w:numPr>
          <w:ilvl w:val="0"/>
          <w:numId w:val="34"/>
        </w:numPr>
        <w:jc w:val="both"/>
        <w:textAlignment w:val="baseline"/>
        <w:rPr>
          <w:rFonts w:ascii="Calibri" w:hAnsi="Calibri" w:cs="Calibri"/>
          <w:sz w:val="22"/>
          <w:szCs w:val="22"/>
          <w:lang w:eastAsia="en-GB"/>
        </w:rPr>
      </w:pPr>
      <w:r>
        <w:rPr>
          <w:rFonts w:ascii="Calibri" w:hAnsi="Calibri" w:cs="Calibri"/>
          <w:sz w:val="22"/>
          <w:szCs w:val="22"/>
          <w:lang w:eastAsia="en-GB"/>
        </w:rPr>
        <w:t>Make informed decisions on contractual matters (extension, non-renewal).</w:t>
      </w:r>
    </w:p>
    <w:p w14:paraId="693EBEF6" w14:textId="77777777" w:rsidR="00804AF0" w:rsidRDefault="00804AF0">
      <w:pPr>
        <w:ind w:firstLine="60"/>
        <w:jc w:val="both"/>
        <w:textAlignment w:val="baseline"/>
        <w:rPr>
          <w:rFonts w:ascii="Calibri" w:hAnsi="Calibri" w:cs="Calibri"/>
          <w:sz w:val="22"/>
          <w:szCs w:val="22"/>
          <w:lang w:eastAsia="en-GB"/>
        </w:rPr>
      </w:pPr>
    </w:p>
    <w:p w14:paraId="2730D449" w14:textId="44A299C3" w:rsidR="00804AF0" w:rsidRDefault="009A47D6">
      <w:pPr>
        <w:numPr>
          <w:ilvl w:val="0"/>
          <w:numId w:val="4"/>
        </w:numPr>
        <w:jc w:val="both"/>
        <w:textAlignment w:val="baseline"/>
        <w:rPr>
          <w:rFonts w:ascii="Calibri" w:hAnsi="Calibri" w:cs="Calibri"/>
          <w:sz w:val="22"/>
          <w:szCs w:val="22"/>
          <w:lang w:eastAsia="en-GB"/>
        </w:rPr>
      </w:pPr>
      <w:bookmarkStart w:id="88" w:name="OLE_LINK43"/>
      <w:r>
        <w:rPr>
          <w:rFonts w:ascii="Calibri" w:hAnsi="Calibri" w:cs="Calibri"/>
          <w:color w:val="000000"/>
          <w:sz w:val="22"/>
          <w:szCs w:val="22"/>
          <w:lang w:eastAsia="en-GB"/>
        </w:rPr>
        <w:t xml:space="preserve">For regular IPSA holders, a full- service evaluation report must be completed, using the online </w:t>
      </w:r>
      <w:hyperlink r:id="rId13" w:history="1">
        <w:r>
          <w:rPr>
            <w:rStyle w:val="Hyperlink"/>
            <w:rFonts w:ascii="Calibri" w:hAnsi="Calibri" w:cs="Calibri"/>
            <w:sz w:val="22"/>
            <w:szCs w:val="22"/>
            <w:lang w:eastAsia="en-GB"/>
          </w:rPr>
          <w:t>PMD platform</w:t>
        </w:r>
      </w:hyperlink>
      <w:r>
        <w:rPr>
          <w:rFonts w:ascii="Calibri" w:hAnsi="Calibri" w:cs="Calibri"/>
          <w:color w:val="000000"/>
          <w:sz w:val="22"/>
          <w:szCs w:val="22"/>
          <w:lang w:eastAsia="en-GB"/>
        </w:rPr>
        <w:t xml:space="preserve"> for any service period exceeding six months worked during that evaluation year. Where the PMD platform is not available or for short-term IPSA holders, the </w:t>
      </w:r>
      <w:hyperlink w:anchor="_Annex_5:_Performance_1" w:history="1">
        <w:r>
          <w:rPr>
            <w:rStyle w:val="Hyperlink"/>
            <w:rFonts w:ascii="Calibri" w:hAnsi="Calibri" w:cs="Calibri"/>
            <w:sz w:val="22"/>
            <w:szCs w:val="22"/>
            <w:lang w:eastAsia="en-GB"/>
          </w:rPr>
          <w:t>IPSA Service Evaluation</w:t>
        </w:r>
      </w:hyperlink>
      <w:r>
        <w:rPr>
          <w:rFonts w:ascii="Calibri" w:hAnsi="Calibri" w:cs="Calibri"/>
          <w:color w:val="000000"/>
          <w:sz w:val="22"/>
          <w:szCs w:val="22"/>
          <w:lang w:eastAsia="en-GB"/>
        </w:rPr>
        <w:t xml:space="preserve"> form in Annex 5 can be used.</w:t>
      </w:r>
      <w:r w:rsidR="000A158C">
        <w:rPr>
          <w:rFonts w:ascii="Calibri" w:hAnsi="Calibri" w:cs="Calibri"/>
          <w:color w:val="000000"/>
          <w:sz w:val="22"/>
          <w:szCs w:val="22"/>
          <w:lang w:eastAsia="en-GB"/>
        </w:rPr>
        <w:t xml:space="preserve"> </w:t>
      </w:r>
    </w:p>
    <w:p w14:paraId="174CC419" w14:textId="77777777" w:rsidR="00804AF0" w:rsidRDefault="00804AF0">
      <w:pPr>
        <w:jc w:val="both"/>
        <w:textAlignment w:val="baseline"/>
        <w:rPr>
          <w:rFonts w:ascii="Calibri" w:hAnsi="Calibri" w:cs="Calibri"/>
          <w:sz w:val="22"/>
          <w:szCs w:val="22"/>
          <w:lang w:eastAsia="en-GB"/>
        </w:rPr>
      </w:pPr>
    </w:p>
    <w:p w14:paraId="1471D417" w14:textId="581CDE56" w:rsidR="00804AF0" w:rsidRDefault="009A47D6">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 xml:space="preserve">For short-term IPSAs, or for periods of service of less than six months, only section I of the </w:t>
      </w:r>
      <w:hyperlink r:id="rId14" w:history="1">
        <w:r>
          <w:rPr>
            <w:rStyle w:val="Hyperlink"/>
            <w:rFonts w:ascii="Calibri" w:hAnsi="Calibri" w:cs="Calibri"/>
            <w:sz w:val="22"/>
            <w:szCs w:val="22"/>
            <w:lang w:eastAsia="en-GB"/>
          </w:rPr>
          <w:t>IPSA Performance Evaluation</w:t>
        </w:r>
      </w:hyperlink>
      <w:r>
        <w:rPr>
          <w:rStyle w:val="Hyperlink"/>
          <w:rFonts w:ascii="Calibri" w:hAnsi="Calibri" w:cs="Calibri"/>
          <w:sz w:val="22"/>
          <w:szCs w:val="22"/>
          <w:lang w:eastAsia="en-GB"/>
        </w:rPr>
        <w:t xml:space="preserve"> </w:t>
      </w:r>
      <w:r>
        <w:rPr>
          <w:rFonts w:ascii="Calibri" w:hAnsi="Calibri" w:cs="Calibri"/>
          <w:color w:val="000000"/>
          <w:sz w:val="22"/>
          <w:szCs w:val="22"/>
          <w:lang w:val="en-CA" w:eastAsia="en-GB"/>
        </w:rPr>
        <w:t>form is to be completed and should be documented as a note to file.</w:t>
      </w:r>
    </w:p>
    <w:bookmarkEnd w:id="88"/>
    <w:p w14:paraId="6DE2379E" w14:textId="77777777" w:rsidR="00804AF0" w:rsidRDefault="00804AF0">
      <w:pPr>
        <w:ind w:left="720" w:firstLine="110"/>
        <w:jc w:val="both"/>
        <w:textAlignment w:val="baseline"/>
        <w:rPr>
          <w:rFonts w:ascii="Calibri" w:hAnsi="Calibri" w:cs="Calibri"/>
          <w:sz w:val="22"/>
          <w:szCs w:val="22"/>
          <w:lang w:eastAsia="en-GB"/>
        </w:rPr>
      </w:pPr>
    </w:p>
    <w:p w14:paraId="1A7C8A42" w14:textId="77777777" w:rsidR="00804AF0" w:rsidRDefault="009A47D6">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Each Service Evaluation form must be filed for record keeping by the human resources focal point of the Business Unit, or online when available.</w:t>
      </w:r>
    </w:p>
    <w:p w14:paraId="36D0C225" w14:textId="77777777" w:rsidR="00804AF0" w:rsidRDefault="009A47D6">
      <w:pPr>
        <w:textAlignment w:val="baseline"/>
        <w:rPr>
          <w:rFonts w:ascii="Calibri" w:hAnsi="Calibri" w:cs="Calibri"/>
          <w:sz w:val="22"/>
          <w:szCs w:val="22"/>
          <w:lang w:eastAsia="en-GB"/>
        </w:rPr>
      </w:pPr>
      <w:r>
        <w:rPr>
          <w:rFonts w:ascii="Calibri" w:hAnsi="Calibri" w:cs="Calibri"/>
          <w:sz w:val="22"/>
          <w:szCs w:val="22"/>
          <w:lang w:eastAsia="en-GB"/>
        </w:rPr>
        <w:t> </w:t>
      </w:r>
    </w:p>
    <w:p w14:paraId="01B4D9D1" w14:textId="77777777" w:rsidR="00804AF0" w:rsidRDefault="009A47D6">
      <w:pPr>
        <w:pStyle w:val="Heading1"/>
        <w:numPr>
          <w:ilvl w:val="0"/>
          <w:numId w:val="2"/>
        </w:numPr>
        <w:jc w:val="left"/>
        <w:rPr>
          <w:rFonts w:ascii="Calibri" w:hAnsi="Calibri" w:cs="Calibri"/>
          <w:b/>
          <w:bCs/>
          <w:sz w:val="22"/>
          <w:szCs w:val="22"/>
          <w:lang w:eastAsia="en-GB"/>
        </w:rPr>
      </w:pPr>
      <w:bookmarkStart w:id="89" w:name="_Toc161312440"/>
      <w:r>
        <w:rPr>
          <w:rFonts w:ascii="Calibri" w:hAnsi="Calibri" w:cs="Calibri"/>
          <w:b/>
          <w:bCs/>
          <w:sz w:val="22"/>
          <w:szCs w:val="22"/>
          <w:lang w:eastAsia="en-GB"/>
        </w:rPr>
        <w:t>Learning Opportunities</w:t>
      </w:r>
      <w:bookmarkEnd w:id="89"/>
    </w:p>
    <w:p w14:paraId="1214C846" w14:textId="77777777" w:rsidR="00804AF0" w:rsidRDefault="00804AF0">
      <w:pPr>
        <w:jc w:val="both"/>
        <w:textAlignment w:val="baseline"/>
        <w:rPr>
          <w:rFonts w:ascii="Calibri" w:hAnsi="Calibri" w:cs="Calibri"/>
          <w:sz w:val="22"/>
          <w:szCs w:val="22"/>
          <w:lang w:eastAsia="en-GB"/>
        </w:rPr>
      </w:pPr>
    </w:p>
    <w:p w14:paraId="4253D264" w14:textId="77777777" w:rsidR="00804AF0" w:rsidRDefault="009A47D6">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IPSA holders must complete any corporate mandatory training courses within the required time established by UNDP.</w:t>
      </w:r>
    </w:p>
    <w:p w14:paraId="24BB1036" w14:textId="77777777" w:rsidR="00804AF0" w:rsidRDefault="00804AF0">
      <w:pPr>
        <w:jc w:val="both"/>
        <w:textAlignment w:val="baseline"/>
        <w:rPr>
          <w:rFonts w:ascii="Calibri" w:hAnsi="Calibri" w:cs="Calibri"/>
          <w:color w:val="000000"/>
          <w:sz w:val="22"/>
          <w:szCs w:val="22"/>
          <w:lang w:val="en-CA" w:eastAsia="en-GB"/>
        </w:rPr>
      </w:pPr>
    </w:p>
    <w:p w14:paraId="37699ED7" w14:textId="77777777" w:rsidR="00804AF0" w:rsidRDefault="009A47D6">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IPSA holders who have been on IPSA continuously for at least twelve months may have access to learning and development opportunities available to UNDP personnel, including access to formal programmes (in line with the target audiences and requirements established for such programmes), on-demand learning resources, and the UNDP learning management system/platform(s), and only if such trainings are deemed to be necessary due to the natural progression of the function and its requirements.</w:t>
      </w:r>
    </w:p>
    <w:p w14:paraId="69FF72EC" w14:textId="77777777" w:rsidR="00804AF0" w:rsidRDefault="00804AF0">
      <w:pPr>
        <w:jc w:val="both"/>
        <w:textAlignment w:val="baseline"/>
        <w:rPr>
          <w:rFonts w:ascii="Calibri" w:hAnsi="Calibri" w:cs="Calibri"/>
          <w:color w:val="000000"/>
          <w:sz w:val="22"/>
          <w:szCs w:val="22"/>
          <w:lang w:val="en-CA" w:eastAsia="en-GB"/>
        </w:rPr>
      </w:pPr>
    </w:p>
    <w:p w14:paraId="07E8B941" w14:textId="77777777" w:rsidR="00804AF0" w:rsidRDefault="009A47D6">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 xml:space="preserve">The proforma cost of the IPSA will include a contribution to the UNDP corporate Learning Reserve to enable IPSA holders’ access to the initiatives funded from the Learning Reserve </w:t>
      </w:r>
      <w:r>
        <w:rPr>
          <w:rFonts w:ascii="Calibri" w:hAnsi="Calibri" w:cs="Calibri"/>
          <w:color w:val="000000"/>
          <w:sz w:val="22"/>
          <w:szCs w:val="22"/>
          <w:lang w:val="en-CA" w:eastAsia="en-GB"/>
        </w:rPr>
        <w:lastRenderedPageBreak/>
        <w:t>and resources that are offered to UNDP personnel at no cost. Any additional costs related to the participation in the UNDP corporate learning and development programmes and other relevant costs will be charged to the funding source(s) of the respective IPSA holders, as needed.</w:t>
      </w:r>
    </w:p>
    <w:p w14:paraId="0617AD36" w14:textId="77777777" w:rsidR="00804AF0" w:rsidRDefault="00804AF0">
      <w:pPr>
        <w:jc w:val="both"/>
        <w:textAlignment w:val="baseline"/>
        <w:rPr>
          <w:rFonts w:ascii="Calibri" w:hAnsi="Calibri" w:cs="Calibri"/>
          <w:color w:val="000000"/>
          <w:sz w:val="22"/>
          <w:szCs w:val="22"/>
          <w:lang w:val="en-CA" w:eastAsia="en-GB"/>
        </w:rPr>
      </w:pPr>
    </w:p>
    <w:p w14:paraId="555CA5BE" w14:textId="77777777" w:rsidR="00804AF0" w:rsidRDefault="009A47D6">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IPSA holders may be requested to undergo specific trainings if found to be necessary by the hiring managers to deliver on services requiring technical skills beyond those originally identified in the TORs.</w:t>
      </w:r>
    </w:p>
    <w:p w14:paraId="5E4F3B8B" w14:textId="77777777" w:rsidR="00804AF0" w:rsidRDefault="00804AF0">
      <w:pPr>
        <w:pStyle w:val="ListParagraph"/>
        <w:rPr>
          <w:rFonts w:ascii="Calibri" w:hAnsi="Calibri" w:cs="Calibri"/>
          <w:color w:val="000000"/>
          <w:sz w:val="22"/>
          <w:szCs w:val="22"/>
          <w:lang w:val="en-CA" w:eastAsia="en-GB"/>
        </w:rPr>
      </w:pPr>
    </w:p>
    <w:p w14:paraId="20AC3550" w14:textId="77777777" w:rsidR="00804AF0" w:rsidRDefault="009A47D6">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Regular IPSA holders are eligible for detail assignments, provided that the requirements of both the releasing and receiving offices, as well as their host countries allow for that, and that the individual is adequately covered with health insurance while on assignment.</w:t>
      </w:r>
    </w:p>
    <w:p w14:paraId="09861489"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77CE7068" w14:textId="77777777" w:rsidR="00804AF0" w:rsidRDefault="009A47D6">
      <w:pPr>
        <w:pStyle w:val="Heading1"/>
        <w:numPr>
          <w:ilvl w:val="0"/>
          <w:numId w:val="2"/>
        </w:numPr>
        <w:jc w:val="left"/>
        <w:rPr>
          <w:rFonts w:ascii="Calibri" w:hAnsi="Calibri" w:cs="Calibri"/>
          <w:b/>
          <w:bCs/>
          <w:sz w:val="22"/>
          <w:szCs w:val="22"/>
          <w:lang w:eastAsia="en-GB"/>
        </w:rPr>
      </w:pPr>
      <w:bookmarkStart w:id="90" w:name="_Toc161312441"/>
      <w:bookmarkStart w:id="91" w:name="OLE_LINK45"/>
      <w:bookmarkStart w:id="92" w:name="_Hlk35217050"/>
      <w:r>
        <w:rPr>
          <w:rFonts w:ascii="Calibri" w:hAnsi="Calibri" w:cs="Calibri"/>
          <w:b/>
          <w:bCs/>
          <w:sz w:val="22"/>
          <w:szCs w:val="22"/>
          <w:lang w:eastAsia="en-GB"/>
        </w:rPr>
        <w:t>Career Paths</w:t>
      </w:r>
      <w:bookmarkEnd w:id="90"/>
    </w:p>
    <w:bookmarkEnd w:id="91"/>
    <w:p w14:paraId="45BB3F2A" w14:textId="77777777" w:rsidR="00804AF0" w:rsidRDefault="00804AF0">
      <w:pPr>
        <w:pStyle w:val="ListParagraph"/>
        <w:ind w:left="360"/>
        <w:jc w:val="both"/>
        <w:rPr>
          <w:rFonts w:ascii="Calibri" w:hAnsi="Calibri" w:cs="Calibri"/>
          <w:b/>
          <w:sz w:val="22"/>
          <w:szCs w:val="22"/>
        </w:rPr>
      </w:pPr>
    </w:p>
    <w:bookmarkEnd w:id="92"/>
    <w:p w14:paraId="3B7311FD" w14:textId="77777777" w:rsidR="00804AF0" w:rsidRDefault="009A47D6">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 xml:space="preserve">IPSA holders will have access to career opportunities within UNDP as well as to the career development resources available to UNDP personnel. As such, they will be able to apply to UNDP staff positions and positions offered under other contractual modalities, in line with the UNDP recruitment and selection framework, and the requirements of the respective positions and offers. </w:t>
      </w:r>
    </w:p>
    <w:p w14:paraId="4885E7AF" w14:textId="77777777" w:rsidR="00804AF0" w:rsidRDefault="00804AF0">
      <w:pPr>
        <w:jc w:val="both"/>
        <w:textAlignment w:val="baseline"/>
        <w:rPr>
          <w:rFonts w:ascii="Calibri" w:hAnsi="Calibri" w:cs="Calibri"/>
          <w:color w:val="000000"/>
          <w:sz w:val="22"/>
          <w:szCs w:val="22"/>
          <w:lang w:val="en-CA" w:eastAsia="en-GB"/>
        </w:rPr>
      </w:pPr>
    </w:p>
    <w:p w14:paraId="5415F712" w14:textId="77777777" w:rsidR="00804AF0" w:rsidRDefault="009A47D6">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IPSA holders who have served a minimum of three years with UNDP and have demonstrated successful performance, as recorded in the formal performance reviews, will be eligible to participate in the corporate talent pool assessments and similar initiatives as internal candidates. All IPSA holders will be able to participate in such initiatives, when open to external candidates.</w:t>
      </w:r>
    </w:p>
    <w:p w14:paraId="69B446DA" w14:textId="77777777" w:rsidR="00804AF0" w:rsidRDefault="00804AF0">
      <w:pPr>
        <w:pStyle w:val="ListParagraph"/>
        <w:ind w:left="425"/>
        <w:jc w:val="both"/>
        <w:textAlignment w:val="baseline"/>
        <w:rPr>
          <w:rFonts w:ascii="Calibri" w:hAnsi="Calibri" w:cs="Calibri"/>
          <w:color w:val="000000"/>
          <w:sz w:val="22"/>
          <w:szCs w:val="22"/>
          <w:lang w:val="en-CA" w:eastAsia="en-GB"/>
        </w:rPr>
      </w:pPr>
    </w:p>
    <w:p w14:paraId="440F06D1" w14:textId="77777777" w:rsidR="00804AF0" w:rsidRDefault="009A47D6">
      <w:pPr>
        <w:pStyle w:val="ListParagraph"/>
        <w:numPr>
          <w:ilvl w:val="0"/>
          <w:numId w:val="4"/>
        </w:numPr>
        <w:spacing w:after="160" w:line="259" w:lineRule="auto"/>
        <w:jc w:val="both"/>
        <w:rPr>
          <w:rFonts w:ascii="Calibri" w:hAnsi="Calibri" w:cs="Calibri"/>
          <w:sz w:val="22"/>
          <w:szCs w:val="22"/>
        </w:rPr>
      </w:pPr>
      <w:bookmarkStart w:id="93" w:name="OLE_LINK44"/>
      <w:r>
        <w:rPr>
          <w:rFonts w:ascii="Calibri" w:hAnsi="Calibri" w:cs="Calibri"/>
          <w:sz w:val="22"/>
          <w:szCs w:val="22"/>
        </w:rPr>
        <w:t xml:space="preserve">IPSAs shall not be considered internal candidates for vacancy announcements that have been categorized as internal, regardless of time spent on IPSA contracts. </w:t>
      </w:r>
    </w:p>
    <w:bookmarkEnd w:id="93"/>
    <w:p w14:paraId="08533714" w14:textId="77777777" w:rsidR="00804AF0" w:rsidRDefault="00804AF0">
      <w:pPr>
        <w:jc w:val="both"/>
        <w:textAlignment w:val="baseline"/>
        <w:rPr>
          <w:rFonts w:ascii="Calibri" w:hAnsi="Calibri" w:cs="Calibri"/>
          <w:sz w:val="22"/>
          <w:szCs w:val="22"/>
          <w:lang w:eastAsia="en-GB"/>
        </w:rPr>
      </w:pPr>
    </w:p>
    <w:p w14:paraId="7B74B84E" w14:textId="77777777" w:rsidR="00804AF0" w:rsidRDefault="009A47D6">
      <w:pPr>
        <w:pStyle w:val="Heading1"/>
        <w:numPr>
          <w:ilvl w:val="0"/>
          <w:numId w:val="2"/>
        </w:numPr>
        <w:jc w:val="left"/>
        <w:rPr>
          <w:rFonts w:ascii="Calibri" w:hAnsi="Calibri" w:cs="Calibri"/>
          <w:b/>
          <w:bCs/>
          <w:sz w:val="22"/>
          <w:szCs w:val="22"/>
          <w:lang w:eastAsia="en-GB"/>
        </w:rPr>
      </w:pPr>
      <w:bookmarkStart w:id="94" w:name="_Toc161312442"/>
      <w:r>
        <w:rPr>
          <w:rFonts w:ascii="Calibri" w:hAnsi="Calibri" w:cs="Calibri"/>
          <w:b/>
          <w:bCs/>
          <w:sz w:val="22"/>
          <w:szCs w:val="22"/>
          <w:lang w:eastAsia="en-GB"/>
        </w:rPr>
        <w:t>Roles and Responsibilities</w:t>
      </w:r>
      <w:bookmarkEnd w:id="94"/>
    </w:p>
    <w:p w14:paraId="47CF7176" w14:textId="77777777" w:rsidR="00804AF0" w:rsidRDefault="00804AF0">
      <w:pPr>
        <w:jc w:val="both"/>
        <w:textAlignment w:val="baseline"/>
        <w:rPr>
          <w:rFonts w:ascii="Calibri" w:hAnsi="Calibri" w:cs="Calibri"/>
          <w:sz w:val="22"/>
          <w:szCs w:val="22"/>
          <w:lang w:eastAsia="en-GB"/>
        </w:rPr>
      </w:pPr>
    </w:p>
    <w:p w14:paraId="7C408FB5" w14:textId="77777777" w:rsidR="00804AF0" w:rsidRDefault="009A47D6">
      <w:pPr>
        <w:numPr>
          <w:ilvl w:val="0"/>
          <w:numId w:val="4"/>
        </w:numPr>
        <w:jc w:val="both"/>
        <w:textAlignment w:val="baseline"/>
        <w:rPr>
          <w:rFonts w:ascii="Calibri" w:hAnsi="Calibri" w:cs="Calibri"/>
          <w:color w:val="000000"/>
          <w:sz w:val="22"/>
          <w:szCs w:val="22"/>
          <w:u w:val="single"/>
          <w:lang w:val="en-CA" w:eastAsia="en-GB"/>
        </w:rPr>
      </w:pPr>
      <w:r>
        <w:rPr>
          <w:rFonts w:ascii="Calibri" w:hAnsi="Calibri" w:cs="Calibri"/>
          <w:color w:val="000000"/>
          <w:sz w:val="22"/>
          <w:szCs w:val="22"/>
          <w:u w:val="single"/>
          <w:lang w:val="en-CA" w:eastAsia="en-GB"/>
        </w:rPr>
        <w:t>Heads of Business Units / Responsible Officers: </w:t>
      </w:r>
    </w:p>
    <w:p w14:paraId="53D61CC5" w14:textId="77777777" w:rsidR="00804AF0" w:rsidRDefault="00804AF0">
      <w:pPr>
        <w:jc w:val="both"/>
        <w:textAlignment w:val="baseline"/>
        <w:rPr>
          <w:rFonts w:ascii="Calibri" w:hAnsi="Calibri" w:cs="Calibri"/>
          <w:sz w:val="22"/>
          <w:szCs w:val="22"/>
          <w:lang w:eastAsia="en-GB"/>
        </w:rPr>
      </w:pPr>
    </w:p>
    <w:p w14:paraId="581AA1E2" w14:textId="77777777" w:rsidR="00804AF0" w:rsidRDefault="009A47D6">
      <w:pPr>
        <w:jc w:val="both"/>
        <w:textAlignment w:val="baseline"/>
        <w:rPr>
          <w:rFonts w:ascii="Calibri" w:hAnsi="Calibri" w:cs="Calibri"/>
          <w:color w:val="000000"/>
          <w:sz w:val="22"/>
          <w:szCs w:val="22"/>
          <w:lang w:eastAsia="en-GB"/>
        </w:rPr>
      </w:pPr>
      <w:r>
        <w:rPr>
          <w:rFonts w:ascii="Calibri" w:hAnsi="Calibri" w:cs="Calibri"/>
          <w:color w:val="000000"/>
          <w:sz w:val="22"/>
          <w:szCs w:val="22"/>
          <w:lang w:eastAsia="en-GB"/>
        </w:rPr>
        <w:t xml:space="preserve">Heads of Business Unit (incl. Resident Representatives, UNV/UNCDF Executive Coordinator, </w:t>
      </w:r>
      <w:r>
        <w:rPr>
          <w:rFonts w:ascii="Calibri" w:hAnsi="Calibri" w:cs="Calibri"/>
          <w:sz w:val="22"/>
          <w:szCs w:val="22"/>
          <w:lang w:eastAsia="en-GB"/>
        </w:rPr>
        <w:t xml:space="preserve">UNOSSC Director, </w:t>
      </w:r>
      <w:r>
        <w:rPr>
          <w:rFonts w:ascii="Calibri" w:hAnsi="Calibri" w:cs="Calibri"/>
          <w:color w:val="000000"/>
          <w:sz w:val="22"/>
          <w:szCs w:val="22"/>
          <w:lang w:eastAsia="en-GB"/>
        </w:rPr>
        <w:t>or other individuals delegated authority hereunder) are designated as Responsible Offices, responsible for enforcing the terms of this policy and are accountable for decisions taken. Directors must consider the performance of the Responsible Officers in managing the IPSA in accordance with this policy in the annual performance review of Heads of Office e.g. Audit Reports and OHR reports may be used as a reference for evaluation.</w:t>
      </w:r>
    </w:p>
    <w:p w14:paraId="10C13FA9" w14:textId="77777777" w:rsidR="00804AF0" w:rsidRDefault="00804AF0">
      <w:pPr>
        <w:jc w:val="both"/>
        <w:textAlignment w:val="baseline"/>
        <w:rPr>
          <w:rFonts w:ascii="Calibri" w:hAnsi="Calibri" w:cs="Calibri"/>
          <w:sz w:val="22"/>
          <w:szCs w:val="22"/>
          <w:lang w:eastAsia="en-GB"/>
        </w:rPr>
      </w:pPr>
    </w:p>
    <w:p w14:paraId="60B3E0BA" w14:textId="77777777" w:rsidR="00804AF0" w:rsidRDefault="009A47D6">
      <w:pPr>
        <w:numPr>
          <w:ilvl w:val="0"/>
          <w:numId w:val="4"/>
        </w:numPr>
        <w:jc w:val="both"/>
        <w:textAlignment w:val="baseline"/>
        <w:rPr>
          <w:rFonts w:ascii="Calibri" w:hAnsi="Calibri" w:cs="Calibri"/>
          <w:color w:val="000000"/>
          <w:sz w:val="22"/>
          <w:szCs w:val="22"/>
          <w:u w:val="single"/>
          <w:lang w:val="en-CA" w:eastAsia="en-GB"/>
        </w:rPr>
      </w:pPr>
      <w:r>
        <w:rPr>
          <w:rFonts w:ascii="Calibri" w:hAnsi="Calibri" w:cs="Calibri"/>
          <w:color w:val="000000"/>
          <w:sz w:val="22"/>
          <w:szCs w:val="22"/>
          <w:u w:val="single"/>
          <w:lang w:val="en-CA" w:eastAsia="en-GB"/>
        </w:rPr>
        <w:t>Responsible Officers:</w:t>
      </w:r>
    </w:p>
    <w:p w14:paraId="6FC13175" w14:textId="77777777" w:rsidR="00804AF0" w:rsidRDefault="00804AF0">
      <w:pPr>
        <w:jc w:val="both"/>
        <w:textAlignment w:val="baseline"/>
        <w:rPr>
          <w:rFonts w:ascii="Calibri" w:hAnsi="Calibri" w:cs="Calibri"/>
          <w:sz w:val="22"/>
          <w:szCs w:val="22"/>
          <w:lang w:eastAsia="en-GB"/>
        </w:rPr>
      </w:pPr>
    </w:p>
    <w:p w14:paraId="6193594D" w14:textId="77777777" w:rsidR="00804AF0" w:rsidRDefault="009A47D6">
      <w:pPr>
        <w:numPr>
          <w:ilvl w:val="0"/>
          <w:numId w:val="35"/>
        </w:numPr>
        <w:jc w:val="both"/>
        <w:textAlignment w:val="baseline"/>
        <w:rPr>
          <w:rFonts w:ascii="Calibri" w:hAnsi="Calibri" w:cs="Calibri"/>
          <w:sz w:val="22"/>
          <w:szCs w:val="22"/>
          <w:lang w:eastAsia="en-GB"/>
        </w:rPr>
      </w:pPr>
      <w:r>
        <w:rPr>
          <w:rFonts w:ascii="Calibri" w:hAnsi="Calibri" w:cs="Calibri"/>
          <w:sz w:val="22"/>
          <w:szCs w:val="22"/>
          <w:lang w:eastAsia="en-GB"/>
        </w:rPr>
        <w:t>defining clear terms of reference with measurable outputs, timelines, and indicating qualifications and competencies required;</w:t>
      </w:r>
    </w:p>
    <w:p w14:paraId="6CD5CC4A" w14:textId="77777777" w:rsidR="00804AF0" w:rsidRDefault="009A47D6">
      <w:pPr>
        <w:numPr>
          <w:ilvl w:val="0"/>
          <w:numId w:val="35"/>
        </w:numPr>
        <w:jc w:val="both"/>
        <w:textAlignment w:val="baseline"/>
        <w:rPr>
          <w:rFonts w:ascii="Calibri" w:hAnsi="Calibri" w:cs="Calibri"/>
          <w:sz w:val="22"/>
          <w:szCs w:val="22"/>
          <w:lang w:eastAsia="en-GB"/>
        </w:rPr>
      </w:pPr>
      <w:r>
        <w:rPr>
          <w:rFonts w:ascii="Calibri" w:hAnsi="Calibri" w:cs="Calibri"/>
          <w:sz w:val="22"/>
          <w:szCs w:val="22"/>
          <w:lang w:eastAsia="en-GB"/>
        </w:rPr>
        <w:t>determining the use of IPSA as the appropriate contractual modality and adhering to the requirements of this policy;</w:t>
      </w:r>
    </w:p>
    <w:p w14:paraId="610B339C" w14:textId="77777777" w:rsidR="00804AF0" w:rsidRDefault="009A47D6">
      <w:pPr>
        <w:numPr>
          <w:ilvl w:val="0"/>
          <w:numId w:val="35"/>
        </w:numPr>
        <w:jc w:val="both"/>
        <w:textAlignment w:val="baseline"/>
        <w:rPr>
          <w:rFonts w:ascii="Calibri" w:hAnsi="Calibri" w:cs="Calibri"/>
          <w:sz w:val="22"/>
          <w:szCs w:val="22"/>
          <w:lang w:eastAsia="en-GB"/>
        </w:rPr>
      </w:pPr>
      <w:r>
        <w:rPr>
          <w:rFonts w:ascii="Calibri" w:hAnsi="Calibri" w:cs="Calibri"/>
          <w:sz w:val="22"/>
          <w:szCs w:val="22"/>
          <w:lang w:eastAsia="en-GB"/>
        </w:rPr>
        <w:lastRenderedPageBreak/>
        <w:t>ensuring availability of funds for the duration of the IPSA and extension;</w:t>
      </w:r>
    </w:p>
    <w:p w14:paraId="05C7C3EA" w14:textId="77777777" w:rsidR="00804AF0" w:rsidRDefault="009A47D6">
      <w:pPr>
        <w:numPr>
          <w:ilvl w:val="0"/>
          <w:numId w:val="35"/>
        </w:numPr>
        <w:jc w:val="both"/>
        <w:textAlignment w:val="baseline"/>
        <w:rPr>
          <w:rFonts w:ascii="Calibri" w:hAnsi="Calibri" w:cs="Calibri"/>
          <w:sz w:val="22"/>
          <w:szCs w:val="22"/>
          <w:lang w:eastAsia="en-GB"/>
        </w:rPr>
      </w:pPr>
      <w:r>
        <w:rPr>
          <w:rFonts w:ascii="Calibri" w:hAnsi="Calibri" w:cs="Calibri"/>
          <w:sz w:val="22"/>
          <w:szCs w:val="22"/>
          <w:lang w:eastAsia="en-GB"/>
        </w:rPr>
        <w:t>contracting the most qualified candidate in a transparent and competitive manner; and</w:t>
      </w:r>
    </w:p>
    <w:p w14:paraId="5BB38C1F" w14:textId="77777777" w:rsidR="00804AF0" w:rsidRDefault="009A47D6">
      <w:pPr>
        <w:numPr>
          <w:ilvl w:val="0"/>
          <w:numId w:val="35"/>
        </w:numPr>
        <w:jc w:val="both"/>
        <w:textAlignment w:val="baseline"/>
        <w:rPr>
          <w:rFonts w:ascii="Calibri" w:hAnsi="Calibri" w:cs="Calibri"/>
          <w:sz w:val="22"/>
          <w:szCs w:val="22"/>
          <w:lang w:eastAsia="en-GB"/>
        </w:rPr>
      </w:pPr>
      <w:r>
        <w:rPr>
          <w:rFonts w:ascii="Calibri" w:hAnsi="Calibri" w:cs="Calibri"/>
          <w:sz w:val="22"/>
          <w:szCs w:val="22"/>
          <w:lang w:eastAsia="en-GB"/>
        </w:rPr>
        <w:t>service monitoring and evaluation, recommendation for level of payment and IPSA extensions.</w:t>
      </w:r>
    </w:p>
    <w:p w14:paraId="1213703C" w14:textId="77777777" w:rsidR="00804AF0" w:rsidRDefault="009A47D6">
      <w:pPr>
        <w:numPr>
          <w:ilvl w:val="0"/>
          <w:numId w:val="35"/>
        </w:numPr>
        <w:jc w:val="both"/>
        <w:textAlignment w:val="baseline"/>
        <w:rPr>
          <w:rFonts w:ascii="Calibri" w:hAnsi="Calibri" w:cs="Calibri"/>
          <w:sz w:val="22"/>
          <w:szCs w:val="22"/>
          <w:lang w:eastAsia="en-GB"/>
        </w:rPr>
      </w:pPr>
      <w:r>
        <w:rPr>
          <w:rFonts w:ascii="Calibri" w:hAnsi="Calibri" w:cs="Calibri"/>
          <w:sz w:val="22"/>
          <w:szCs w:val="22"/>
          <w:lang w:eastAsia="en-GB"/>
        </w:rPr>
        <w:t>exercising delegation of authority on the issuance of IPSAs;</w:t>
      </w:r>
    </w:p>
    <w:p w14:paraId="0EC561A7" w14:textId="77777777" w:rsidR="00804AF0" w:rsidRDefault="009A47D6">
      <w:pPr>
        <w:numPr>
          <w:ilvl w:val="0"/>
          <w:numId w:val="35"/>
        </w:numPr>
        <w:jc w:val="both"/>
        <w:textAlignment w:val="baseline"/>
        <w:rPr>
          <w:rFonts w:ascii="Calibri" w:hAnsi="Calibri" w:cs="Calibri"/>
          <w:sz w:val="22"/>
          <w:szCs w:val="22"/>
          <w:lang w:eastAsia="en-GB"/>
        </w:rPr>
      </w:pPr>
      <w:r>
        <w:rPr>
          <w:rFonts w:ascii="Calibri" w:hAnsi="Calibri" w:cs="Calibri"/>
          <w:sz w:val="22"/>
          <w:szCs w:val="22"/>
          <w:lang w:eastAsia="en-GB"/>
        </w:rPr>
        <w:t>ensuring that a transparent and competitive selection process is instituted for IPSAs in their respective office;</w:t>
      </w:r>
    </w:p>
    <w:p w14:paraId="453FEB74" w14:textId="77777777" w:rsidR="00804AF0" w:rsidRDefault="009A47D6">
      <w:pPr>
        <w:numPr>
          <w:ilvl w:val="0"/>
          <w:numId w:val="35"/>
        </w:numPr>
        <w:jc w:val="both"/>
        <w:textAlignment w:val="baseline"/>
        <w:rPr>
          <w:rFonts w:ascii="Calibri" w:hAnsi="Calibri" w:cs="Calibri"/>
          <w:sz w:val="22"/>
          <w:szCs w:val="22"/>
          <w:lang w:eastAsia="en-GB"/>
        </w:rPr>
      </w:pPr>
      <w:r>
        <w:rPr>
          <w:rFonts w:ascii="Calibri" w:hAnsi="Calibri" w:cs="Calibri"/>
          <w:sz w:val="22"/>
          <w:szCs w:val="22"/>
          <w:lang w:eastAsia="en-GB"/>
        </w:rPr>
        <w:t>monitoring the transparency and competitive selection process for IPSAs in their respective office;</w:t>
      </w:r>
    </w:p>
    <w:p w14:paraId="4038AC4A" w14:textId="77777777" w:rsidR="00804AF0" w:rsidRDefault="009A47D6">
      <w:pPr>
        <w:numPr>
          <w:ilvl w:val="0"/>
          <w:numId w:val="35"/>
        </w:numPr>
        <w:jc w:val="both"/>
        <w:textAlignment w:val="baseline"/>
        <w:rPr>
          <w:rFonts w:ascii="Calibri" w:hAnsi="Calibri" w:cs="Calibri"/>
          <w:sz w:val="22"/>
          <w:szCs w:val="22"/>
          <w:lang w:eastAsia="en-GB"/>
        </w:rPr>
      </w:pPr>
      <w:r>
        <w:rPr>
          <w:rFonts w:ascii="Calibri" w:hAnsi="Calibri" w:cs="Calibri"/>
          <w:sz w:val="22"/>
          <w:szCs w:val="22"/>
          <w:lang w:eastAsia="en-GB"/>
        </w:rPr>
        <w:t>managing the conflict resolution process in accordance with the IPSA and in consultation with the Legal Office and theBMS/OHR Policy Unit as set forth in this Guide.</w:t>
      </w:r>
    </w:p>
    <w:p w14:paraId="593662FB" w14:textId="77777777" w:rsidR="00804AF0" w:rsidRDefault="009A47D6">
      <w:pPr>
        <w:ind w:left="1080"/>
        <w:jc w:val="both"/>
        <w:textAlignment w:val="baseline"/>
        <w:rPr>
          <w:rFonts w:ascii="Calibri" w:hAnsi="Calibri" w:cs="Calibri"/>
          <w:sz w:val="22"/>
          <w:szCs w:val="22"/>
          <w:lang w:eastAsia="en-GB"/>
        </w:rPr>
      </w:pPr>
      <w:r>
        <w:rPr>
          <w:rFonts w:ascii="Calibri" w:hAnsi="Calibri" w:cs="Calibri"/>
          <w:sz w:val="22"/>
          <w:szCs w:val="22"/>
          <w:lang w:eastAsia="en-GB"/>
        </w:rPr>
        <w:t> </w:t>
      </w:r>
    </w:p>
    <w:p w14:paraId="168017B2" w14:textId="77777777" w:rsidR="00804AF0" w:rsidRDefault="009A47D6">
      <w:pPr>
        <w:numPr>
          <w:ilvl w:val="0"/>
          <w:numId w:val="4"/>
        </w:numPr>
        <w:jc w:val="both"/>
        <w:textAlignment w:val="baseline"/>
        <w:rPr>
          <w:rFonts w:ascii="Calibri" w:hAnsi="Calibri" w:cs="Calibri"/>
          <w:color w:val="000000"/>
          <w:sz w:val="22"/>
          <w:szCs w:val="22"/>
          <w:u w:val="single"/>
          <w:lang w:val="en-CA" w:eastAsia="en-GB"/>
        </w:rPr>
      </w:pPr>
      <w:r>
        <w:rPr>
          <w:rFonts w:ascii="Calibri" w:hAnsi="Calibri" w:cs="Calibri"/>
          <w:color w:val="000000"/>
          <w:sz w:val="22"/>
          <w:szCs w:val="22"/>
          <w:u w:val="single"/>
          <w:lang w:val="en-CA" w:eastAsia="en-GB"/>
        </w:rPr>
        <w:t>The HR Focal Point &amp; GSSC</w:t>
      </w:r>
    </w:p>
    <w:p w14:paraId="4B19B957" w14:textId="77777777" w:rsidR="00804AF0" w:rsidRDefault="009A47D6">
      <w:pPr>
        <w:jc w:val="both"/>
        <w:textAlignment w:val="baseline"/>
        <w:rPr>
          <w:rFonts w:ascii="Calibri" w:hAnsi="Calibri" w:cs="Calibri"/>
          <w:sz w:val="22"/>
          <w:szCs w:val="22"/>
          <w:lang w:eastAsia="en-GB"/>
        </w:rPr>
      </w:pPr>
      <w:r>
        <w:rPr>
          <w:rFonts w:ascii="Calibri" w:hAnsi="Calibri" w:cs="Calibri"/>
          <w:color w:val="000000"/>
          <w:sz w:val="22"/>
          <w:szCs w:val="22"/>
          <w:lang w:eastAsia="en-GB"/>
        </w:rPr>
        <w:t> </w:t>
      </w:r>
    </w:p>
    <w:p w14:paraId="34E828DB" w14:textId="600834EC" w:rsidR="00804AF0" w:rsidRDefault="009A47D6">
      <w:pPr>
        <w:numPr>
          <w:ilvl w:val="0"/>
          <w:numId w:val="36"/>
        </w:numPr>
        <w:jc w:val="both"/>
        <w:textAlignment w:val="baseline"/>
        <w:rPr>
          <w:rFonts w:ascii="Calibri" w:hAnsi="Calibri" w:cs="Calibri"/>
          <w:sz w:val="22"/>
          <w:szCs w:val="22"/>
          <w:lang w:eastAsia="en-GB"/>
        </w:rPr>
      </w:pPr>
      <w:r>
        <w:rPr>
          <w:rFonts w:ascii="Calibri" w:hAnsi="Calibri" w:cs="Calibri"/>
          <w:sz w:val="22"/>
          <w:szCs w:val="22"/>
          <w:lang w:eastAsia="en-GB"/>
        </w:rPr>
        <w:t xml:space="preserve">Before issuing the IPSA, </w:t>
      </w:r>
      <w:r>
        <w:rPr>
          <w:rFonts w:ascii="Calibri" w:hAnsi="Calibri" w:cs="Calibri"/>
          <w:color w:val="000000"/>
          <w:sz w:val="22"/>
          <w:szCs w:val="22"/>
          <w:lang w:eastAsia="en-GB"/>
        </w:rPr>
        <w:t xml:space="preserve">HR </w:t>
      </w:r>
      <w:r>
        <w:rPr>
          <w:rFonts w:ascii="Calibri" w:hAnsi="Calibri" w:cs="Calibri"/>
          <w:sz w:val="22"/>
          <w:szCs w:val="22"/>
          <w:lang w:eastAsia="en-GB"/>
        </w:rPr>
        <w:t xml:space="preserve">must ensure that the policy is complied with and that the </w:t>
      </w:r>
      <w:hyperlink r:id="rId15" w:history="1">
        <w:r>
          <w:rPr>
            <w:rStyle w:val="Hyperlink"/>
            <w:rFonts w:ascii="Calibri" w:hAnsi="Calibri" w:cs="Calibri"/>
            <w:sz w:val="22"/>
            <w:szCs w:val="22"/>
            <w:lang w:eastAsia="en-GB"/>
          </w:rPr>
          <w:t>IPSA template</w:t>
        </w:r>
      </w:hyperlink>
      <w:r>
        <w:rPr>
          <w:rFonts w:ascii="Calibri" w:hAnsi="Calibri" w:cs="Calibri"/>
          <w:sz w:val="22"/>
          <w:szCs w:val="22"/>
          <w:lang w:eastAsia="en-GB"/>
        </w:rPr>
        <w:t xml:space="preserve"> </w:t>
      </w:r>
      <w:r>
        <w:rPr>
          <w:rFonts w:ascii="Calibri" w:hAnsi="Calibri" w:cs="Calibri"/>
          <w:color w:val="000000"/>
          <w:sz w:val="22"/>
          <w:szCs w:val="22"/>
          <w:lang w:eastAsia="en-GB"/>
        </w:rPr>
        <w:t>is used for contracting the services of the individual</w:t>
      </w:r>
      <w:r>
        <w:rPr>
          <w:rFonts w:ascii="Calibri" w:hAnsi="Calibri" w:cs="Calibri"/>
          <w:sz w:val="22"/>
          <w:szCs w:val="22"/>
          <w:lang w:eastAsia="en-GB"/>
        </w:rPr>
        <w:t>. No deviations to the model IPSA template can be made without consultation with, and clearance of, the BMS/OHR Policy Unit and BMS/OLS.</w:t>
      </w:r>
    </w:p>
    <w:p w14:paraId="497422C3" w14:textId="77777777" w:rsidR="00804AF0" w:rsidRDefault="00804AF0">
      <w:pPr>
        <w:ind w:left="1080" w:firstLine="50"/>
        <w:jc w:val="both"/>
        <w:textAlignment w:val="baseline"/>
        <w:rPr>
          <w:rFonts w:ascii="Calibri" w:hAnsi="Calibri" w:cs="Calibri"/>
          <w:sz w:val="22"/>
          <w:szCs w:val="22"/>
          <w:lang w:eastAsia="en-GB"/>
        </w:rPr>
      </w:pPr>
    </w:p>
    <w:p w14:paraId="07667E71" w14:textId="77777777" w:rsidR="00804AF0" w:rsidRDefault="00804AF0">
      <w:pPr>
        <w:ind w:left="1080"/>
        <w:jc w:val="both"/>
        <w:textAlignment w:val="baseline"/>
        <w:rPr>
          <w:rFonts w:ascii="Calibri" w:hAnsi="Calibri" w:cs="Calibri"/>
          <w:color w:val="000000"/>
          <w:sz w:val="22"/>
          <w:szCs w:val="22"/>
          <w:lang w:eastAsia="en-GB"/>
        </w:rPr>
      </w:pPr>
    </w:p>
    <w:p w14:paraId="020D623D" w14:textId="77777777" w:rsidR="00804AF0" w:rsidRDefault="009A47D6">
      <w:pPr>
        <w:numPr>
          <w:ilvl w:val="0"/>
          <w:numId w:val="36"/>
        </w:numPr>
        <w:jc w:val="both"/>
        <w:textAlignment w:val="baseline"/>
        <w:rPr>
          <w:rFonts w:ascii="Calibri" w:hAnsi="Calibri" w:cs="Calibri"/>
          <w:sz w:val="22"/>
          <w:szCs w:val="22"/>
          <w:lang w:eastAsia="en-GB"/>
        </w:rPr>
      </w:pPr>
      <w:r>
        <w:rPr>
          <w:rFonts w:ascii="Calibri" w:hAnsi="Calibri" w:cs="Calibri"/>
          <w:sz w:val="22"/>
          <w:szCs w:val="22"/>
          <w:lang w:eastAsia="en-GB"/>
        </w:rPr>
        <w:t>GSSC Focal Points are responsible for:</w:t>
      </w:r>
    </w:p>
    <w:p w14:paraId="567E5F94"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sz w:val="22"/>
          <w:szCs w:val="22"/>
          <w:lang w:eastAsia="en-GB"/>
        </w:rPr>
        <w:t>coordinating and administering the recruitment process;</w:t>
      </w:r>
    </w:p>
    <w:p w14:paraId="49258B0E"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color w:val="000000"/>
          <w:sz w:val="22"/>
          <w:szCs w:val="22"/>
          <w:lang w:eastAsia="en-GB"/>
        </w:rPr>
        <w:t>coordinating the contracting process of the candidates;</w:t>
      </w:r>
    </w:p>
    <w:p w14:paraId="40548435"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color w:val="000000"/>
          <w:sz w:val="22"/>
          <w:szCs w:val="22"/>
          <w:lang w:eastAsia="en-GB"/>
        </w:rPr>
        <w:t>issuing the IPSA including the applicable conditions of service and</w:t>
      </w:r>
      <w:r>
        <w:rPr>
          <w:rFonts w:ascii="Calibri" w:hAnsi="Calibri" w:cs="Calibri"/>
          <w:sz w:val="22"/>
          <w:szCs w:val="22"/>
          <w:lang w:eastAsia="en-GB"/>
        </w:rPr>
        <w:t xml:space="preserve"> </w:t>
      </w:r>
      <w:r>
        <w:rPr>
          <w:rFonts w:ascii="Calibri" w:hAnsi="Calibri" w:cs="Calibri"/>
          <w:color w:val="000000"/>
          <w:sz w:val="22"/>
          <w:szCs w:val="22"/>
          <w:lang w:eastAsia="en-GB"/>
        </w:rPr>
        <w:t>the non-career nature of the work;</w:t>
      </w:r>
    </w:p>
    <w:p w14:paraId="0560C338"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color w:val="000000"/>
          <w:sz w:val="22"/>
          <w:szCs w:val="22"/>
          <w:lang w:eastAsia="en-GB"/>
        </w:rPr>
        <w:t>Management of IPSAs in the UNDP ERP system’s HR module;</w:t>
      </w:r>
    </w:p>
    <w:p w14:paraId="6C2DE646"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color w:val="000000"/>
          <w:sz w:val="22"/>
          <w:szCs w:val="22"/>
          <w:lang w:eastAsia="en-GB"/>
        </w:rPr>
        <w:t>ensuring payment of monthly remuneration according to terms of IPSA;</w:t>
      </w:r>
    </w:p>
    <w:p w14:paraId="37E80EB4"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color w:val="000000"/>
          <w:sz w:val="22"/>
          <w:szCs w:val="22"/>
          <w:lang w:eastAsia="en-GB"/>
        </w:rPr>
        <w:t>ensuring that adequate social security provisions are in place;</w:t>
      </w:r>
    </w:p>
    <w:p w14:paraId="5C88F238"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color w:val="000000"/>
          <w:sz w:val="22"/>
          <w:szCs w:val="22"/>
          <w:lang w:eastAsia="en-GB"/>
        </w:rPr>
        <w:t>maintaining a roster of candidates in the various categories, and</w:t>
      </w:r>
    </w:p>
    <w:p w14:paraId="0CC13E97"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color w:val="000000"/>
          <w:sz w:val="22"/>
          <w:szCs w:val="22"/>
          <w:lang w:eastAsia="en-GB"/>
        </w:rPr>
        <w:t>maintaining records for monitoring and reporting purposes.</w:t>
      </w:r>
    </w:p>
    <w:p w14:paraId="6C8ADE13" w14:textId="77777777" w:rsidR="00804AF0" w:rsidRDefault="009A47D6">
      <w:pPr>
        <w:ind w:left="360"/>
        <w:jc w:val="both"/>
        <w:textAlignment w:val="baseline"/>
        <w:rPr>
          <w:rFonts w:ascii="Calibri" w:hAnsi="Calibri" w:cs="Calibri"/>
          <w:sz w:val="22"/>
          <w:szCs w:val="22"/>
          <w:lang w:eastAsia="en-GB"/>
        </w:rPr>
      </w:pPr>
      <w:r>
        <w:rPr>
          <w:rFonts w:ascii="Calibri" w:hAnsi="Calibri" w:cs="Calibri"/>
          <w:color w:val="000000"/>
          <w:sz w:val="22"/>
          <w:szCs w:val="22"/>
          <w:lang w:eastAsia="en-GB"/>
        </w:rPr>
        <w:t> </w:t>
      </w:r>
    </w:p>
    <w:p w14:paraId="26767A16" w14:textId="77777777" w:rsidR="00804AF0" w:rsidRDefault="009A47D6">
      <w:pPr>
        <w:pStyle w:val="ListParagraph"/>
        <w:numPr>
          <w:ilvl w:val="0"/>
          <w:numId w:val="36"/>
        </w:numPr>
        <w:jc w:val="both"/>
        <w:textAlignment w:val="baseline"/>
        <w:rPr>
          <w:rFonts w:ascii="Calibri" w:hAnsi="Calibri" w:cs="Calibri"/>
          <w:sz w:val="22"/>
          <w:szCs w:val="22"/>
          <w:lang w:eastAsia="en-GB"/>
        </w:rPr>
      </w:pPr>
      <w:r>
        <w:rPr>
          <w:rFonts w:ascii="Calibri" w:eastAsia="Times New Roman" w:hAnsi="Calibri" w:cs="Calibri"/>
          <w:sz w:val="22"/>
          <w:szCs w:val="22"/>
          <w:lang w:eastAsia="en-GB"/>
        </w:rPr>
        <w:t>IPSAs are paid through UNDP’s GSSC/Global Payroll</w:t>
      </w:r>
      <w:r>
        <w:rPr>
          <w:rFonts w:ascii="Calibri" w:hAnsi="Calibri" w:cs="Calibri"/>
          <w:sz w:val="22"/>
          <w:szCs w:val="22"/>
          <w:lang w:eastAsia="en-GB"/>
        </w:rPr>
        <w:t>.</w:t>
      </w:r>
    </w:p>
    <w:p w14:paraId="2A366926"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r>
        <w:rPr>
          <w:rFonts w:ascii="Calibri" w:hAnsi="Calibri" w:cs="Calibri"/>
          <w:color w:val="0000FF"/>
          <w:sz w:val="22"/>
          <w:szCs w:val="22"/>
          <w:lang w:eastAsia="en-GB"/>
        </w:rPr>
        <w:t> </w:t>
      </w:r>
    </w:p>
    <w:p w14:paraId="046C9167" w14:textId="77777777" w:rsidR="00804AF0" w:rsidRDefault="009A47D6">
      <w:pPr>
        <w:numPr>
          <w:ilvl w:val="0"/>
          <w:numId w:val="4"/>
        </w:numPr>
        <w:jc w:val="both"/>
        <w:textAlignment w:val="baseline"/>
        <w:rPr>
          <w:rFonts w:ascii="Calibri" w:hAnsi="Calibri" w:cs="Calibri"/>
          <w:color w:val="000000"/>
          <w:sz w:val="22"/>
          <w:szCs w:val="22"/>
          <w:u w:val="single"/>
          <w:lang w:val="en-CA" w:eastAsia="en-GB"/>
        </w:rPr>
      </w:pPr>
      <w:r>
        <w:rPr>
          <w:rFonts w:ascii="Calibri" w:hAnsi="Calibri" w:cs="Calibri"/>
          <w:color w:val="000000"/>
          <w:sz w:val="22"/>
          <w:szCs w:val="22"/>
          <w:u w:val="single"/>
          <w:lang w:val="en-CA" w:eastAsia="en-GB"/>
        </w:rPr>
        <w:t>BMS/OHR Business Partners: </w:t>
      </w:r>
    </w:p>
    <w:p w14:paraId="5412D18B" w14:textId="77777777" w:rsidR="00804AF0" w:rsidRDefault="009A47D6">
      <w:pPr>
        <w:jc w:val="both"/>
        <w:textAlignment w:val="baseline"/>
        <w:rPr>
          <w:rFonts w:ascii="Calibri" w:hAnsi="Calibri" w:cs="Calibri"/>
          <w:sz w:val="22"/>
          <w:szCs w:val="22"/>
          <w:lang w:eastAsia="en-GB"/>
        </w:rPr>
      </w:pPr>
      <w:r>
        <w:rPr>
          <w:rFonts w:ascii="Calibri" w:hAnsi="Calibri" w:cs="Calibri"/>
          <w:color w:val="000000"/>
          <w:sz w:val="22"/>
          <w:szCs w:val="22"/>
          <w:lang w:eastAsia="en-GB"/>
        </w:rPr>
        <w:t> </w:t>
      </w:r>
    </w:p>
    <w:p w14:paraId="70FD9304" w14:textId="77777777" w:rsidR="00804AF0" w:rsidRDefault="009A47D6">
      <w:pPr>
        <w:numPr>
          <w:ilvl w:val="0"/>
          <w:numId w:val="37"/>
        </w:numPr>
        <w:jc w:val="both"/>
        <w:textAlignment w:val="baseline"/>
        <w:rPr>
          <w:rFonts w:ascii="Calibri" w:hAnsi="Calibri" w:cs="Calibri"/>
          <w:sz w:val="22"/>
          <w:szCs w:val="22"/>
          <w:lang w:eastAsia="en-GB"/>
        </w:rPr>
      </w:pPr>
      <w:r>
        <w:rPr>
          <w:rFonts w:ascii="Calibri" w:hAnsi="Calibri" w:cs="Calibri"/>
          <w:color w:val="000000"/>
          <w:sz w:val="22"/>
          <w:szCs w:val="22"/>
          <w:lang w:eastAsia="en-GB"/>
        </w:rPr>
        <w:t>BMS/OHR Business Partners are responsible for providing advisory support and guidance in the administration and application of IPSAs.</w:t>
      </w:r>
    </w:p>
    <w:p w14:paraId="4AFDF245" w14:textId="77777777" w:rsidR="00804AF0" w:rsidRDefault="009A47D6">
      <w:pPr>
        <w:numPr>
          <w:ilvl w:val="0"/>
          <w:numId w:val="37"/>
        </w:numPr>
        <w:jc w:val="both"/>
        <w:textAlignment w:val="baseline"/>
        <w:rPr>
          <w:rFonts w:ascii="Calibri" w:hAnsi="Calibri" w:cs="Calibri"/>
          <w:sz w:val="22"/>
          <w:szCs w:val="22"/>
          <w:lang w:eastAsia="en-GB"/>
        </w:rPr>
      </w:pPr>
      <w:r>
        <w:rPr>
          <w:rFonts w:ascii="Calibri" w:hAnsi="Calibri" w:cs="Calibri"/>
          <w:color w:val="000000"/>
          <w:sz w:val="22"/>
          <w:szCs w:val="22"/>
          <w:lang w:eastAsia="en-GB"/>
        </w:rPr>
        <w:t>They are also responsible for monitoring the correct and appropriate use of the IPSA and taking necessary action to prevent misuse.</w:t>
      </w:r>
    </w:p>
    <w:p w14:paraId="0B44179D" w14:textId="77777777" w:rsidR="00804AF0" w:rsidRDefault="00804AF0">
      <w:pPr>
        <w:ind w:left="720"/>
        <w:jc w:val="both"/>
        <w:textAlignment w:val="baseline"/>
        <w:rPr>
          <w:rFonts w:ascii="Calibri" w:hAnsi="Calibri" w:cs="Calibri"/>
          <w:sz w:val="22"/>
          <w:szCs w:val="22"/>
          <w:lang w:eastAsia="en-GB"/>
        </w:rPr>
      </w:pPr>
    </w:p>
    <w:p w14:paraId="4E4A8DA5" w14:textId="77777777" w:rsidR="00804AF0" w:rsidRDefault="009A47D6">
      <w:pPr>
        <w:numPr>
          <w:ilvl w:val="0"/>
          <w:numId w:val="4"/>
        </w:numPr>
        <w:jc w:val="both"/>
        <w:textAlignment w:val="baseline"/>
        <w:rPr>
          <w:rFonts w:ascii="Calibri" w:hAnsi="Calibri" w:cs="Calibri"/>
          <w:color w:val="000000"/>
          <w:sz w:val="22"/>
          <w:szCs w:val="22"/>
          <w:u w:val="single"/>
          <w:lang w:val="en-CA" w:eastAsia="en-GB"/>
        </w:rPr>
      </w:pPr>
      <w:r>
        <w:rPr>
          <w:rFonts w:ascii="Calibri" w:hAnsi="Calibri" w:cs="Calibri"/>
          <w:color w:val="000000"/>
          <w:sz w:val="22"/>
          <w:szCs w:val="22"/>
          <w:u w:val="single"/>
          <w:lang w:val="en-CA" w:eastAsia="en-GB"/>
        </w:rPr>
        <w:t>Office of Audit and Investigation (OAI):</w:t>
      </w:r>
    </w:p>
    <w:p w14:paraId="1D28C1D8" w14:textId="77777777" w:rsidR="00804AF0" w:rsidRDefault="00804AF0">
      <w:pPr>
        <w:jc w:val="both"/>
        <w:textAlignment w:val="baseline"/>
        <w:rPr>
          <w:rFonts w:ascii="Calibri" w:hAnsi="Calibri" w:cs="Calibri"/>
          <w:sz w:val="22"/>
          <w:szCs w:val="22"/>
          <w:lang w:eastAsia="en-GB"/>
        </w:rPr>
      </w:pPr>
    </w:p>
    <w:p w14:paraId="3FA13936" w14:textId="77777777" w:rsidR="00804AF0" w:rsidRDefault="009A47D6">
      <w:pPr>
        <w:numPr>
          <w:ilvl w:val="0"/>
          <w:numId w:val="38"/>
        </w:numPr>
        <w:jc w:val="both"/>
        <w:textAlignment w:val="baseline"/>
        <w:rPr>
          <w:rFonts w:ascii="Calibri" w:hAnsi="Calibri" w:cs="Calibri"/>
          <w:color w:val="000000"/>
          <w:sz w:val="22"/>
          <w:szCs w:val="22"/>
          <w:lang w:eastAsia="en-GB"/>
        </w:rPr>
      </w:pPr>
      <w:r>
        <w:rPr>
          <w:rFonts w:ascii="Calibri" w:hAnsi="Calibri" w:cs="Calibri"/>
          <w:color w:val="000000"/>
          <w:sz w:val="22"/>
          <w:szCs w:val="22"/>
          <w:lang w:eastAsia="en-GB"/>
        </w:rPr>
        <w:t>OAI will audit the use of IPSAs by the UNDP Offices and report on its findings at any time OAI deems necessary.</w:t>
      </w:r>
    </w:p>
    <w:p w14:paraId="271C99D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713EF551" w14:textId="77777777" w:rsidR="000A158C" w:rsidRDefault="000A158C">
      <w:pPr>
        <w:jc w:val="both"/>
        <w:textAlignment w:val="baseline"/>
        <w:rPr>
          <w:rFonts w:ascii="Calibri" w:hAnsi="Calibri" w:cs="Calibri"/>
          <w:sz w:val="22"/>
          <w:szCs w:val="22"/>
          <w:lang w:eastAsia="en-GB"/>
        </w:rPr>
      </w:pPr>
    </w:p>
    <w:p w14:paraId="0F47BDE8" w14:textId="77777777" w:rsidR="00804AF0" w:rsidRDefault="009A47D6">
      <w:pPr>
        <w:numPr>
          <w:ilvl w:val="0"/>
          <w:numId w:val="4"/>
        </w:numPr>
        <w:jc w:val="both"/>
        <w:textAlignment w:val="baseline"/>
        <w:rPr>
          <w:rFonts w:ascii="Calibri" w:hAnsi="Calibri" w:cs="Calibri"/>
          <w:color w:val="000000"/>
          <w:sz w:val="22"/>
          <w:szCs w:val="22"/>
          <w:u w:val="single"/>
          <w:lang w:val="en-CA" w:eastAsia="en-GB"/>
        </w:rPr>
      </w:pPr>
      <w:r>
        <w:rPr>
          <w:rFonts w:ascii="Calibri" w:hAnsi="Calibri" w:cs="Calibri"/>
          <w:color w:val="000000"/>
          <w:sz w:val="22"/>
          <w:szCs w:val="22"/>
          <w:u w:val="single"/>
          <w:lang w:val="en-CA" w:eastAsia="en-GB"/>
        </w:rPr>
        <w:t>Oversight, Monitoring, Evaluation and Reporting:</w:t>
      </w:r>
    </w:p>
    <w:p w14:paraId="4E4D221B"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002241D3" w14:textId="77777777" w:rsidR="00804AF0" w:rsidRDefault="009A47D6">
      <w:pPr>
        <w:numPr>
          <w:ilvl w:val="0"/>
          <w:numId w:val="39"/>
        </w:numPr>
        <w:jc w:val="both"/>
        <w:textAlignment w:val="baseline"/>
        <w:rPr>
          <w:rFonts w:ascii="Calibri" w:hAnsi="Calibri" w:cs="Calibri"/>
          <w:color w:val="000000"/>
          <w:sz w:val="22"/>
          <w:szCs w:val="22"/>
          <w:lang w:eastAsia="en-GB"/>
        </w:rPr>
      </w:pPr>
      <w:r>
        <w:rPr>
          <w:rFonts w:ascii="Calibri" w:hAnsi="Calibri" w:cs="Calibri"/>
          <w:color w:val="000000"/>
          <w:sz w:val="22"/>
          <w:szCs w:val="22"/>
          <w:lang w:eastAsia="en-GB"/>
        </w:rPr>
        <w:lastRenderedPageBreak/>
        <w:t xml:space="preserve">The Responsible Officers, Business Partners, GSSC and the respective HR Unit should use the information available in the </w:t>
      </w:r>
      <w:hyperlink r:id="rId16" w:tgtFrame="_blank" w:history="1">
        <w:r>
          <w:rPr>
            <w:rFonts w:ascii="Calibri" w:hAnsi="Calibri" w:cs="Calibri"/>
            <w:color w:val="000000"/>
            <w:sz w:val="22"/>
            <w:szCs w:val="22"/>
            <w:lang w:eastAsia="en-GB"/>
          </w:rPr>
          <w:t>UNDP</w:t>
        </w:r>
      </w:hyperlink>
      <w:r>
        <w:rPr>
          <w:rFonts w:ascii="Calibri" w:hAnsi="Calibri" w:cs="Calibri"/>
          <w:color w:val="000000"/>
          <w:sz w:val="22"/>
          <w:szCs w:val="22"/>
          <w:lang w:eastAsia="en-GB"/>
        </w:rPr>
        <w:t xml:space="preserve"> ERP database to act on their respective responsibility for oversight, monitoring and / or evaluation on the use of IPSAs.</w:t>
      </w:r>
    </w:p>
    <w:p w14:paraId="3D43F13A" w14:textId="77777777" w:rsidR="00804AF0" w:rsidRDefault="00804AF0">
      <w:pPr>
        <w:tabs>
          <w:tab w:val="left" w:pos="720"/>
        </w:tabs>
        <w:ind w:left="720"/>
        <w:jc w:val="both"/>
        <w:textAlignment w:val="baseline"/>
        <w:rPr>
          <w:rFonts w:ascii="Calibri" w:hAnsi="Calibri" w:cs="Calibri"/>
          <w:color w:val="000000"/>
          <w:sz w:val="22"/>
          <w:szCs w:val="22"/>
          <w:lang w:eastAsia="en-GB"/>
        </w:rPr>
      </w:pPr>
    </w:p>
    <w:p w14:paraId="728A130A" w14:textId="77777777" w:rsidR="00804AF0" w:rsidRDefault="009A47D6">
      <w:pPr>
        <w:numPr>
          <w:ilvl w:val="0"/>
          <w:numId w:val="39"/>
        </w:numPr>
        <w:jc w:val="both"/>
        <w:textAlignment w:val="baseline"/>
        <w:rPr>
          <w:rFonts w:ascii="Calibri" w:hAnsi="Calibri" w:cs="Calibri"/>
          <w:color w:val="000000"/>
          <w:sz w:val="22"/>
          <w:szCs w:val="22"/>
          <w:lang w:eastAsia="en-GB"/>
        </w:rPr>
      </w:pPr>
      <w:r>
        <w:rPr>
          <w:rFonts w:ascii="Calibri" w:hAnsi="Calibri" w:cs="Calibri"/>
          <w:color w:val="000000"/>
          <w:sz w:val="22"/>
          <w:szCs w:val="22"/>
          <w:lang w:eastAsia="en-GB"/>
        </w:rPr>
        <w:t>Organizational score cards or benchmarks will be established on a periodic basis to ensure the reporting, monitoring and evaluation of the use of IPSAs.</w:t>
      </w:r>
    </w:p>
    <w:p w14:paraId="36094E1C" w14:textId="77777777" w:rsidR="00804AF0" w:rsidRDefault="00804AF0">
      <w:pPr>
        <w:jc w:val="both"/>
        <w:textAlignment w:val="baseline"/>
        <w:rPr>
          <w:rFonts w:ascii="Calibri" w:hAnsi="Calibri" w:cs="Calibri"/>
          <w:b/>
          <w:bCs/>
          <w:sz w:val="22"/>
          <w:szCs w:val="22"/>
          <w:u w:val="single"/>
          <w:lang w:eastAsia="en-GB"/>
        </w:rPr>
      </w:pPr>
    </w:p>
    <w:p w14:paraId="1E065C2B"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u w:val="single"/>
          <w:lang w:eastAsia="en-GB"/>
        </w:rPr>
        <w:t>Annexes</w:t>
      </w:r>
    </w:p>
    <w:p w14:paraId="750AA8D9" w14:textId="02E51476" w:rsidR="00804AF0" w:rsidRPr="005C3CB1" w:rsidRDefault="009A47D6">
      <w:pPr>
        <w:ind w:left="345"/>
        <w:jc w:val="both"/>
        <w:textAlignment w:val="baseline"/>
        <w:rPr>
          <w:rStyle w:val="Hyperlink"/>
          <w:rFonts w:ascii="Calibri" w:hAnsi="Calibri" w:cs="Calibri"/>
          <w:i/>
          <w:iCs/>
          <w:sz w:val="22"/>
          <w:szCs w:val="22"/>
          <w:lang w:eastAsia="en-GB"/>
        </w:rPr>
      </w:pPr>
      <w:hyperlink w:anchor="_Annex_1:_Overview" w:history="1">
        <w:r w:rsidRPr="005C3CB1">
          <w:rPr>
            <w:rStyle w:val="Hyperlink"/>
            <w:rFonts w:ascii="Calibri" w:hAnsi="Calibri" w:cs="Calibri"/>
            <w:i/>
            <w:iCs/>
            <w:sz w:val="22"/>
            <w:szCs w:val="22"/>
            <w:lang w:eastAsia="en-GB"/>
          </w:rPr>
          <w:t xml:space="preserve">Annex 1 – </w:t>
        </w:r>
      </w:hyperlink>
      <w:hyperlink w:anchor="_Annex_1:_Recruitment" w:history="1">
        <w:r w:rsidRPr="005C3CB1">
          <w:rPr>
            <w:rStyle w:val="Hyperlink"/>
            <w:rFonts w:ascii="Calibri" w:hAnsi="Calibri" w:cs="Calibri"/>
            <w:i/>
            <w:iCs/>
            <w:sz w:val="22"/>
            <w:szCs w:val="22"/>
            <w:lang w:eastAsia="en-GB"/>
          </w:rPr>
          <w:t>Recruitment standards and procedures </w:t>
        </w:r>
      </w:hyperlink>
      <w:r w:rsidRPr="005C3CB1">
        <w:rPr>
          <w:rStyle w:val="Hyperlink"/>
          <w:rFonts w:ascii="Calibri" w:hAnsi="Calibri" w:cs="Calibri"/>
          <w:i/>
          <w:iCs/>
          <w:sz w:val="22"/>
          <w:szCs w:val="22"/>
          <w:lang w:eastAsia="en-GB"/>
        </w:rPr>
        <w:t>for IPSAs</w:t>
      </w:r>
    </w:p>
    <w:p w14:paraId="5D5A1F8B" w14:textId="3C4A6E05" w:rsidR="006E4674" w:rsidRPr="005C3CB1" w:rsidRDefault="006E4674" w:rsidP="006E4674">
      <w:pPr>
        <w:ind w:left="345"/>
        <w:jc w:val="both"/>
        <w:textAlignment w:val="baseline"/>
        <w:rPr>
          <w:rStyle w:val="Hyperlink"/>
          <w:rFonts w:ascii="Calibri" w:hAnsi="Calibri" w:cs="Calibri"/>
          <w:i/>
          <w:iCs/>
          <w:sz w:val="22"/>
          <w:szCs w:val="22"/>
          <w:lang w:eastAsia="en-GB"/>
        </w:rPr>
      </w:pPr>
      <w:hyperlink w:anchor="_Annex_2:_Overview" w:history="1">
        <w:r w:rsidRPr="005C3CB1">
          <w:rPr>
            <w:rStyle w:val="Hyperlink"/>
            <w:rFonts w:ascii="Calibri" w:hAnsi="Calibri" w:cs="Calibri"/>
            <w:i/>
            <w:iCs/>
            <w:sz w:val="22"/>
            <w:szCs w:val="22"/>
            <w:lang w:eastAsia="en-GB"/>
          </w:rPr>
          <w:t>Annex 2 – Overview of IPSA benefits</w:t>
        </w:r>
      </w:hyperlink>
    </w:p>
    <w:p w14:paraId="54180DEB" w14:textId="6290ED49" w:rsidR="00804AF0" w:rsidRPr="005C3CB1" w:rsidRDefault="005C3CB1">
      <w:pPr>
        <w:ind w:left="345"/>
        <w:jc w:val="both"/>
        <w:textAlignment w:val="baseline"/>
        <w:rPr>
          <w:rFonts w:ascii="Calibri" w:hAnsi="Calibri" w:cs="Calibri"/>
          <w:i/>
          <w:iCs/>
          <w:sz w:val="22"/>
          <w:szCs w:val="22"/>
          <w:lang w:eastAsia="en-GB"/>
        </w:rPr>
      </w:pPr>
      <w:hyperlink w:anchor="_Annex_3:_Definition_1" w:history="1">
        <w:r w:rsidRPr="005C3CB1">
          <w:rPr>
            <w:rStyle w:val="Hyperlink"/>
            <w:rFonts w:ascii="Calibri" w:hAnsi="Calibri" w:cs="Calibri"/>
            <w:i/>
            <w:iCs/>
            <w:sz w:val="22"/>
            <w:szCs w:val="22"/>
            <w:lang w:eastAsia="en-GB"/>
          </w:rPr>
          <w:t>Annex 3</w:t>
        </w:r>
        <w:r>
          <w:rPr>
            <w:rStyle w:val="Hyperlink"/>
            <w:rFonts w:ascii="Calibri" w:hAnsi="Calibri" w:cs="Calibri"/>
            <w:i/>
            <w:iCs/>
            <w:sz w:val="22"/>
            <w:szCs w:val="22"/>
            <w:lang w:eastAsia="en-GB"/>
          </w:rPr>
          <w:t xml:space="preserve"> - </w:t>
        </w:r>
        <w:r w:rsidRPr="005C3CB1">
          <w:rPr>
            <w:rStyle w:val="Hyperlink"/>
            <w:rFonts w:ascii="Calibri" w:hAnsi="Calibri" w:cs="Calibri"/>
            <w:i/>
            <w:iCs/>
            <w:sz w:val="22"/>
            <w:szCs w:val="22"/>
            <w:lang w:eastAsia="en-GB"/>
          </w:rPr>
          <w:t>Definition of functions of inherent and continuous nature</w:t>
        </w:r>
      </w:hyperlink>
    </w:p>
    <w:p w14:paraId="39DAC93D" w14:textId="26CCC4C3" w:rsidR="00804AF0" w:rsidRPr="005C3CB1" w:rsidRDefault="005C3CB1">
      <w:pPr>
        <w:ind w:left="345"/>
        <w:jc w:val="both"/>
        <w:textAlignment w:val="baseline"/>
        <w:rPr>
          <w:rFonts w:ascii="Calibri" w:hAnsi="Calibri" w:cs="Calibri"/>
          <w:i/>
          <w:iCs/>
          <w:sz w:val="22"/>
          <w:szCs w:val="22"/>
          <w:lang w:eastAsia="en-GB"/>
        </w:rPr>
      </w:pPr>
      <w:hyperlink w:anchor="_Annex_4:_IPSA_1" w:history="1">
        <w:r w:rsidRPr="005C3CB1">
          <w:rPr>
            <w:rStyle w:val="Hyperlink"/>
            <w:rFonts w:ascii="Calibri" w:hAnsi="Calibri" w:cs="Calibri"/>
            <w:i/>
            <w:iCs/>
            <w:sz w:val="22"/>
            <w:szCs w:val="22"/>
            <w:lang w:eastAsia="en-GB"/>
          </w:rPr>
          <w:t xml:space="preserve">Annex 4 - IPSA </w:t>
        </w:r>
        <w:r w:rsidR="00292140">
          <w:rPr>
            <w:rStyle w:val="Hyperlink"/>
            <w:rFonts w:ascii="Calibri" w:hAnsi="Calibri" w:cs="Calibri"/>
            <w:i/>
            <w:iCs/>
            <w:sz w:val="22"/>
            <w:szCs w:val="22"/>
            <w:lang w:eastAsia="en-GB"/>
          </w:rPr>
          <w:t>p</w:t>
        </w:r>
        <w:r w:rsidRPr="005C3CB1">
          <w:rPr>
            <w:rStyle w:val="Hyperlink"/>
            <w:rFonts w:ascii="Calibri" w:hAnsi="Calibri" w:cs="Calibri"/>
            <w:i/>
            <w:iCs/>
            <w:sz w:val="22"/>
            <w:szCs w:val="22"/>
            <w:lang w:eastAsia="en-GB"/>
          </w:rPr>
          <w:t xml:space="preserve">ay </w:t>
        </w:r>
        <w:r w:rsidR="00292140">
          <w:rPr>
            <w:rStyle w:val="Hyperlink"/>
            <w:rFonts w:ascii="Calibri" w:hAnsi="Calibri" w:cs="Calibri"/>
            <w:i/>
            <w:iCs/>
            <w:sz w:val="22"/>
            <w:szCs w:val="22"/>
            <w:lang w:eastAsia="en-GB"/>
          </w:rPr>
          <w:t>r</w:t>
        </w:r>
        <w:r w:rsidRPr="005C3CB1">
          <w:rPr>
            <w:rStyle w:val="Hyperlink"/>
            <w:rFonts w:ascii="Calibri" w:hAnsi="Calibri" w:cs="Calibri"/>
            <w:i/>
            <w:iCs/>
            <w:sz w:val="22"/>
            <w:szCs w:val="22"/>
            <w:lang w:eastAsia="en-GB"/>
          </w:rPr>
          <w:t xml:space="preserve">anges and </w:t>
        </w:r>
        <w:r w:rsidR="00292140">
          <w:rPr>
            <w:rStyle w:val="Hyperlink"/>
            <w:rFonts w:ascii="Calibri" w:hAnsi="Calibri" w:cs="Calibri"/>
            <w:i/>
            <w:iCs/>
            <w:sz w:val="22"/>
            <w:szCs w:val="22"/>
            <w:lang w:eastAsia="en-GB"/>
          </w:rPr>
          <w:t>i</w:t>
        </w:r>
        <w:r w:rsidRPr="005C3CB1">
          <w:rPr>
            <w:rStyle w:val="Hyperlink"/>
            <w:rFonts w:ascii="Calibri" w:hAnsi="Calibri" w:cs="Calibri"/>
            <w:i/>
            <w:iCs/>
            <w:sz w:val="22"/>
            <w:szCs w:val="22"/>
            <w:lang w:eastAsia="en-GB"/>
          </w:rPr>
          <w:t xml:space="preserve">dentifying the right level </w:t>
        </w:r>
      </w:hyperlink>
    </w:p>
    <w:p w14:paraId="1966ECF9" w14:textId="19323877" w:rsidR="00804AF0" w:rsidRDefault="009A47D6">
      <w:pPr>
        <w:ind w:left="345"/>
        <w:jc w:val="both"/>
        <w:textAlignment w:val="baseline"/>
        <w:rPr>
          <w:rFonts w:ascii="Calibri" w:hAnsi="Calibri" w:cs="Calibri"/>
          <w:sz w:val="22"/>
          <w:szCs w:val="22"/>
          <w:lang w:eastAsia="en-GB"/>
        </w:rPr>
      </w:pPr>
      <w:hyperlink w:anchor="_Annex_5:_Performance_1" w:history="1">
        <w:r>
          <w:rPr>
            <w:rStyle w:val="Hyperlink"/>
            <w:rFonts w:ascii="Calibri" w:hAnsi="Calibri" w:cs="Calibri"/>
            <w:i/>
            <w:iCs/>
            <w:sz w:val="22"/>
            <w:szCs w:val="22"/>
            <w:lang w:eastAsia="en-GB"/>
          </w:rPr>
          <w:t xml:space="preserve">Annex 5 – Performance </w:t>
        </w:r>
        <w:r w:rsidR="006B0893">
          <w:rPr>
            <w:rStyle w:val="Hyperlink"/>
            <w:rFonts w:ascii="Calibri" w:hAnsi="Calibri" w:cs="Calibri"/>
            <w:i/>
            <w:iCs/>
            <w:sz w:val="22"/>
            <w:szCs w:val="22"/>
            <w:lang w:eastAsia="en-GB"/>
          </w:rPr>
          <w:t>e</w:t>
        </w:r>
        <w:r>
          <w:rPr>
            <w:rStyle w:val="Hyperlink"/>
            <w:rFonts w:ascii="Calibri" w:hAnsi="Calibri" w:cs="Calibri"/>
            <w:i/>
            <w:iCs/>
            <w:sz w:val="22"/>
            <w:szCs w:val="22"/>
            <w:lang w:eastAsia="en-GB"/>
          </w:rPr>
          <w:t>valuation</w:t>
        </w:r>
        <w:r>
          <w:rPr>
            <w:rStyle w:val="Hyperlink"/>
            <w:rFonts w:ascii="Calibri" w:hAnsi="Calibri" w:cs="Calibri"/>
            <w:sz w:val="22"/>
            <w:szCs w:val="22"/>
            <w:lang w:eastAsia="en-GB"/>
          </w:rPr>
          <w:t> </w:t>
        </w:r>
      </w:hyperlink>
    </w:p>
    <w:p w14:paraId="1C9DCEB2" w14:textId="5A663EA5" w:rsidR="00804AF0" w:rsidRDefault="009A47D6">
      <w:pPr>
        <w:ind w:left="345"/>
        <w:jc w:val="both"/>
        <w:textAlignment w:val="baseline"/>
        <w:rPr>
          <w:rFonts w:ascii="Calibri" w:hAnsi="Calibri" w:cs="Calibri"/>
          <w:sz w:val="22"/>
          <w:szCs w:val="22"/>
          <w:lang w:eastAsia="en-GB"/>
        </w:rPr>
      </w:pPr>
      <w:hyperlink w:anchor="_Annex_6:_To_1" w:history="1">
        <w:r>
          <w:rPr>
            <w:rStyle w:val="Hyperlink"/>
            <w:rFonts w:ascii="Calibri" w:hAnsi="Calibri" w:cs="Calibri"/>
            <w:i/>
            <w:iCs/>
            <w:sz w:val="22"/>
            <w:szCs w:val="22"/>
            <w:lang w:eastAsia="en-GB"/>
          </w:rPr>
          <w:t>Annex 6 – Checklist of inclusions in IPSA personnel file</w:t>
        </w:r>
        <w:r>
          <w:rPr>
            <w:rStyle w:val="Hyperlink"/>
            <w:rFonts w:ascii="Calibri" w:hAnsi="Calibri" w:cs="Calibri"/>
            <w:sz w:val="22"/>
            <w:szCs w:val="22"/>
            <w:lang w:eastAsia="en-GB"/>
          </w:rPr>
          <w:t> </w:t>
        </w:r>
      </w:hyperlink>
    </w:p>
    <w:p w14:paraId="6D0F4C04" w14:textId="0A4A1307" w:rsidR="00804AF0" w:rsidRDefault="009A47D6">
      <w:pPr>
        <w:ind w:left="345"/>
        <w:jc w:val="both"/>
        <w:textAlignment w:val="baseline"/>
        <w:rPr>
          <w:rStyle w:val="Hyperlink"/>
          <w:rFonts w:ascii="Calibri" w:hAnsi="Calibri" w:cs="Calibri"/>
          <w:sz w:val="22"/>
          <w:szCs w:val="22"/>
          <w:lang w:eastAsia="en-GB"/>
        </w:rPr>
      </w:pPr>
      <w:hyperlink w:anchor="_Annex_7_:" w:history="1">
        <w:r>
          <w:rPr>
            <w:rStyle w:val="Hyperlink"/>
            <w:rFonts w:ascii="Calibri" w:hAnsi="Calibri" w:cs="Calibri"/>
            <w:i/>
            <w:iCs/>
            <w:sz w:val="22"/>
            <w:szCs w:val="22"/>
            <w:lang w:eastAsia="en-GB"/>
          </w:rPr>
          <w:t xml:space="preserve">Annex 7 – Equipment and </w:t>
        </w:r>
        <w:r w:rsidR="006B0893">
          <w:rPr>
            <w:rStyle w:val="Hyperlink"/>
            <w:rFonts w:ascii="Calibri" w:hAnsi="Calibri" w:cs="Calibri"/>
            <w:i/>
            <w:iCs/>
            <w:sz w:val="22"/>
            <w:szCs w:val="22"/>
            <w:lang w:eastAsia="en-GB"/>
          </w:rPr>
          <w:t>s</w:t>
        </w:r>
        <w:r>
          <w:rPr>
            <w:rStyle w:val="Hyperlink"/>
            <w:rFonts w:ascii="Calibri" w:hAnsi="Calibri" w:cs="Calibri"/>
            <w:i/>
            <w:iCs/>
            <w:sz w:val="22"/>
            <w:szCs w:val="22"/>
            <w:lang w:eastAsia="en-GB"/>
          </w:rPr>
          <w:t>upplies</w:t>
        </w:r>
        <w:r>
          <w:rPr>
            <w:rStyle w:val="Hyperlink"/>
            <w:rFonts w:ascii="Calibri" w:hAnsi="Calibri" w:cs="Calibri"/>
            <w:sz w:val="22"/>
            <w:szCs w:val="22"/>
            <w:lang w:eastAsia="en-GB"/>
          </w:rPr>
          <w:t> </w:t>
        </w:r>
      </w:hyperlink>
    </w:p>
    <w:p w14:paraId="7EE42EFC" w14:textId="7D5D9B0E" w:rsidR="00804AF0" w:rsidRDefault="00BB1B5D">
      <w:pPr>
        <w:ind w:left="345"/>
        <w:jc w:val="both"/>
        <w:textAlignment w:val="baseline"/>
        <w:rPr>
          <w:rStyle w:val="Hyperlink"/>
          <w:rFonts w:ascii="Calibri" w:eastAsia="MS Mincho" w:hAnsi="Calibri" w:cs="Calibri"/>
          <w:i/>
          <w:iCs/>
          <w:sz w:val="22"/>
          <w:szCs w:val="22"/>
          <w:lang w:eastAsia="en-GB"/>
        </w:rPr>
      </w:pPr>
      <w:hyperlink w:anchor="_Annex_8_:" w:history="1">
        <w:r w:rsidRPr="00BB1B5D">
          <w:rPr>
            <w:rStyle w:val="Hyperlink"/>
            <w:rFonts w:ascii="Calibri" w:eastAsia="MS Mincho" w:hAnsi="Calibri" w:cs="Calibri"/>
            <w:i/>
            <w:iCs/>
            <w:sz w:val="22"/>
            <w:szCs w:val="22"/>
            <w:lang w:eastAsia="en-GB"/>
          </w:rPr>
          <w:t>Annex 8 - Transitional measures</w:t>
        </w:r>
      </w:hyperlink>
    </w:p>
    <w:p w14:paraId="12EB6B5E"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6C82A553" w14:textId="77777777" w:rsidR="00804AF0" w:rsidRDefault="009A47D6">
      <w:pPr>
        <w:rPr>
          <w:rFonts w:ascii="Calibri" w:hAnsi="Calibri" w:cs="Calibri"/>
          <w:b/>
          <w:bCs/>
          <w:sz w:val="22"/>
          <w:szCs w:val="22"/>
          <w:u w:val="single"/>
          <w:lang w:eastAsia="en-GB"/>
        </w:rPr>
      </w:pPr>
      <w:bookmarkStart w:id="95" w:name="_Annex_1:_Overview"/>
      <w:bookmarkEnd w:id="95"/>
      <w:r>
        <w:rPr>
          <w:rFonts w:ascii="Calibri" w:hAnsi="Calibri" w:cs="Calibri"/>
          <w:b/>
          <w:bCs/>
          <w:sz w:val="22"/>
          <w:szCs w:val="22"/>
          <w:u w:val="single"/>
          <w:lang w:eastAsia="en-GB"/>
        </w:rPr>
        <w:br w:type="page"/>
      </w:r>
    </w:p>
    <w:p w14:paraId="6B0D597C" w14:textId="77777777" w:rsidR="00804AF0" w:rsidRDefault="009A47D6" w:rsidP="004218DB">
      <w:pPr>
        <w:pStyle w:val="Heading1"/>
        <w:jc w:val="left"/>
        <w:rPr>
          <w:rFonts w:ascii="Calibri" w:hAnsi="Calibri" w:cs="Calibri"/>
          <w:b/>
          <w:bCs/>
          <w:sz w:val="22"/>
          <w:szCs w:val="22"/>
          <w:u w:val="single"/>
          <w:lang w:eastAsia="en-GB"/>
        </w:rPr>
      </w:pPr>
      <w:bookmarkStart w:id="96" w:name="_Annex_1:_Recruitment"/>
      <w:bookmarkStart w:id="97" w:name="_Toc161312443"/>
      <w:bookmarkEnd w:id="96"/>
      <w:r>
        <w:rPr>
          <w:rFonts w:ascii="Calibri" w:hAnsi="Calibri" w:cs="Calibri"/>
          <w:b/>
          <w:bCs/>
          <w:sz w:val="22"/>
          <w:szCs w:val="22"/>
          <w:u w:val="single"/>
          <w:lang w:eastAsia="en-GB"/>
        </w:rPr>
        <w:lastRenderedPageBreak/>
        <w:t>Annex 1: </w:t>
      </w:r>
      <w:bookmarkStart w:id="98" w:name="OLE_LINK3"/>
      <w:r>
        <w:rPr>
          <w:rFonts w:ascii="Calibri" w:hAnsi="Calibri" w:cs="Calibri"/>
          <w:b/>
          <w:bCs/>
          <w:sz w:val="22"/>
          <w:szCs w:val="22"/>
          <w:u w:val="single"/>
          <w:lang w:eastAsia="en-GB"/>
        </w:rPr>
        <w:fldChar w:fldCharType="begin"/>
      </w:r>
      <w:r>
        <w:rPr>
          <w:rFonts w:ascii="Calibri" w:hAnsi="Calibri" w:cs="Calibri"/>
          <w:b/>
          <w:bCs/>
          <w:sz w:val="22"/>
          <w:szCs w:val="22"/>
          <w:u w:val="single"/>
          <w:lang w:eastAsia="en-GB"/>
        </w:rPr>
        <w:instrText xml:space="preserve"> HYPERLINK \l "_Annex_1:_Overview" </w:instrText>
      </w:r>
      <w:r>
        <w:rPr>
          <w:rFonts w:ascii="Calibri" w:hAnsi="Calibri" w:cs="Calibri"/>
          <w:b/>
          <w:bCs/>
          <w:sz w:val="22"/>
          <w:szCs w:val="22"/>
          <w:u w:val="single"/>
          <w:lang w:eastAsia="en-GB"/>
        </w:rPr>
      </w:r>
      <w:r>
        <w:rPr>
          <w:rFonts w:ascii="Calibri" w:hAnsi="Calibri" w:cs="Calibri"/>
          <w:b/>
          <w:bCs/>
          <w:sz w:val="22"/>
          <w:szCs w:val="22"/>
          <w:u w:val="single"/>
          <w:lang w:eastAsia="en-GB"/>
        </w:rPr>
        <w:fldChar w:fldCharType="separate"/>
      </w:r>
      <w:r>
        <w:rPr>
          <w:rFonts w:ascii="Calibri" w:hAnsi="Calibri" w:cs="Calibri"/>
          <w:b/>
          <w:bCs/>
          <w:sz w:val="22"/>
          <w:szCs w:val="22"/>
          <w:u w:val="single"/>
          <w:lang w:eastAsia="en-GB"/>
        </w:rPr>
        <w:t>Recruitment standards and procedures </w:t>
      </w:r>
      <w:r>
        <w:rPr>
          <w:rFonts w:ascii="Calibri" w:hAnsi="Calibri" w:cs="Calibri"/>
          <w:b/>
          <w:bCs/>
          <w:sz w:val="22"/>
          <w:szCs w:val="22"/>
          <w:u w:val="single"/>
          <w:lang w:eastAsia="en-GB"/>
        </w:rPr>
        <w:fldChar w:fldCharType="end"/>
      </w:r>
      <w:r>
        <w:rPr>
          <w:rFonts w:ascii="Calibri" w:hAnsi="Calibri" w:cs="Calibri"/>
          <w:b/>
          <w:bCs/>
          <w:sz w:val="22"/>
          <w:szCs w:val="22"/>
          <w:u w:val="single"/>
          <w:lang w:eastAsia="en-GB"/>
        </w:rPr>
        <w:t>for IPSAs.</w:t>
      </w:r>
      <w:bookmarkEnd w:id="97"/>
    </w:p>
    <w:bookmarkEnd w:id="98"/>
    <w:p w14:paraId="7A2EDF75"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733F7D9E" w14:textId="77777777" w:rsidR="00804AF0" w:rsidRDefault="00804AF0">
      <w:pPr>
        <w:jc w:val="both"/>
        <w:textAlignment w:val="baseline"/>
        <w:rPr>
          <w:rFonts w:ascii="Calibri" w:hAnsi="Calibri" w:cs="Calibri"/>
          <w:sz w:val="22"/>
          <w:szCs w:val="22"/>
        </w:rPr>
      </w:pPr>
    </w:p>
    <w:p w14:paraId="65C308D0" w14:textId="77777777" w:rsidR="00804AF0" w:rsidRDefault="009A47D6">
      <w:pPr>
        <w:jc w:val="both"/>
        <w:textAlignment w:val="baseline"/>
        <w:rPr>
          <w:rFonts w:ascii="Calibri" w:hAnsi="Calibri" w:cs="Calibri"/>
          <w:sz w:val="22"/>
          <w:szCs w:val="22"/>
        </w:rPr>
      </w:pPr>
      <w:r>
        <w:rPr>
          <w:rFonts w:ascii="Calibri" w:hAnsi="Calibri" w:cs="Calibri"/>
          <w:sz w:val="22"/>
          <w:szCs w:val="22"/>
        </w:rPr>
        <w:t>For the selection of </w:t>
      </w:r>
      <w:r>
        <w:rPr>
          <w:rFonts w:ascii="Calibri" w:hAnsi="Calibri" w:cs="Calibri"/>
          <w:sz w:val="22"/>
          <w:szCs w:val="22"/>
          <w:u w:val="single"/>
          <w:lang w:eastAsia="en-GB"/>
        </w:rPr>
        <w:t>IPSAs</w:t>
      </w:r>
      <w:r>
        <w:rPr>
          <w:rFonts w:ascii="Calibri" w:hAnsi="Calibri" w:cs="Calibri"/>
          <w:sz w:val="22"/>
          <w:szCs w:val="22"/>
        </w:rPr>
        <w:t>, the selection process must adhere to the general principles listed in the UNDP’s Recruitment and Selection Framework Policy to ensure that the person selected is the best-qualified candidate to perform the job functions in a fully satisfactory manner. These principles are:</w:t>
      </w:r>
    </w:p>
    <w:p w14:paraId="0635FB7E" w14:textId="77777777" w:rsidR="00804AF0" w:rsidRDefault="00804AF0">
      <w:pPr>
        <w:jc w:val="both"/>
        <w:textAlignment w:val="baseline"/>
        <w:rPr>
          <w:rFonts w:ascii="Calibri" w:hAnsi="Calibri" w:cs="Calibri"/>
          <w:sz w:val="22"/>
          <w:szCs w:val="22"/>
        </w:rPr>
      </w:pPr>
    </w:p>
    <w:p w14:paraId="5FFDC1C6" w14:textId="77777777" w:rsidR="00804AF0" w:rsidRDefault="009A47D6">
      <w:pPr>
        <w:jc w:val="both"/>
        <w:textAlignment w:val="baseline"/>
        <w:rPr>
          <w:rFonts w:ascii="Calibri" w:hAnsi="Calibri" w:cs="Calibri"/>
          <w:sz w:val="22"/>
          <w:szCs w:val="22"/>
        </w:rPr>
      </w:pPr>
      <w:r>
        <w:rPr>
          <w:rFonts w:ascii="Calibri" w:hAnsi="Calibri" w:cs="Calibri"/>
          <w:b/>
          <w:bCs/>
          <w:sz w:val="22"/>
          <w:szCs w:val="22"/>
        </w:rPr>
        <w:t>Competition:</w:t>
      </w:r>
      <w:r>
        <w:rPr>
          <w:rFonts w:ascii="Calibri" w:hAnsi="Calibri" w:cs="Calibri"/>
          <w:sz w:val="22"/>
          <w:szCs w:val="22"/>
        </w:rPr>
        <w:t xml:space="preserve"> Selection will follow a visible and fair competitive process for all vacancies, regardless of post, contractual modality or hiring unit;</w:t>
      </w:r>
    </w:p>
    <w:p w14:paraId="24FFC131" w14:textId="77777777" w:rsidR="00804AF0" w:rsidRDefault="00804AF0">
      <w:pPr>
        <w:jc w:val="both"/>
        <w:textAlignment w:val="baseline"/>
        <w:rPr>
          <w:rFonts w:ascii="Calibri" w:hAnsi="Calibri" w:cs="Calibri"/>
          <w:sz w:val="22"/>
          <w:szCs w:val="22"/>
        </w:rPr>
      </w:pPr>
    </w:p>
    <w:p w14:paraId="02A33CBC" w14:textId="77777777" w:rsidR="00804AF0" w:rsidRDefault="009A47D6">
      <w:pPr>
        <w:jc w:val="both"/>
        <w:textAlignment w:val="baseline"/>
        <w:rPr>
          <w:rFonts w:ascii="Calibri" w:hAnsi="Calibri" w:cs="Calibri"/>
          <w:sz w:val="22"/>
          <w:szCs w:val="22"/>
        </w:rPr>
      </w:pPr>
      <w:r>
        <w:rPr>
          <w:rFonts w:ascii="Calibri" w:hAnsi="Calibri" w:cs="Calibri"/>
          <w:b/>
          <w:bCs/>
          <w:sz w:val="22"/>
          <w:szCs w:val="22"/>
        </w:rPr>
        <w:t>Objectivity:</w:t>
      </w:r>
      <w:r>
        <w:rPr>
          <w:rFonts w:ascii="Calibri" w:hAnsi="Calibri" w:cs="Calibri"/>
          <w:sz w:val="22"/>
          <w:szCs w:val="22"/>
        </w:rPr>
        <w:t xml:space="preserve"> Screening will be conducted with professional rigor, with candidates measured against clearly articulated criteria, job skills and competencies and corporate priorities;</w:t>
      </w:r>
    </w:p>
    <w:p w14:paraId="4B5DBA29" w14:textId="77777777" w:rsidR="00804AF0" w:rsidRDefault="00804AF0">
      <w:pPr>
        <w:jc w:val="both"/>
        <w:textAlignment w:val="baseline"/>
        <w:rPr>
          <w:rFonts w:ascii="Calibri" w:hAnsi="Calibri" w:cs="Calibri"/>
          <w:sz w:val="22"/>
          <w:szCs w:val="22"/>
        </w:rPr>
      </w:pPr>
    </w:p>
    <w:p w14:paraId="65BB83C5" w14:textId="77777777" w:rsidR="00804AF0" w:rsidRDefault="009A47D6">
      <w:pPr>
        <w:jc w:val="both"/>
        <w:textAlignment w:val="baseline"/>
        <w:rPr>
          <w:rFonts w:ascii="Calibri" w:hAnsi="Calibri" w:cs="Calibri"/>
          <w:sz w:val="22"/>
          <w:szCs w:val="22"/>
        </w:rPr>
      </w:pPr>
      <w:r>
        <w:rPr>
          <w:rFonts w:ascii="Calibri" w:hAnsi="Calibri" w:cs="Calibri"/>
          <w:b/>
          <w:bCs/>
          <w:sz w:val="22"/>
          <w:szCs w:val="22"/>
        </w:rPr>
        <w:t>Transparency:</w:t>
      </w:r>
      <w:r>
        <w:rPr>
          <w:rFonts w:ascii="Calibri" w:hAnsi="Calibri" w:cs="Calibri"/>
          <w:sz w:val="22"/>
          <w:szCs w:val="22"/>
        </w:rPr>
        <w:t xml:space="preserve"> The recruitment and selection criteria and all phases of recruitment processes will </w:t>
      </w:r>
      <w:proofErr w:type="gramStart"/>
      <w:r>
        <w:rPr>
          <w:rFonts w:ascii="Calibri" w:hAnsi="Calibri" w:cs="Calibri"/>
          <w:sz w:val="22"/>
          <w:szCs w:val="22"/>
        </w:rPr>
        <w:t>be transparent to candidates to the fullest extent</w:t>
      </w:r>
      <w:proofErr w:type="gramEnd"/>
      <w:r>
        <w:rPr>
          <w:rFonts w:ascii="Calibri" w:hAnsi="Calibri" w:cs="Calibri"/>
          <w:sz w:val="22"/>
          <w:szCs w:val="22"/>
        </w:rPr>
        <w:t xml:space="preserve"> possible;</w:t>
      </w:r>
    </w:p>
    <w:p w14:paraId="65BB1B58" w14:textId="77777777" w:rsidR="00804AF0" w:rsidRDefault="00804AF0">
      <w:pPr>
        <w:jc w:val="both"/>
        <w:textAlignment w:val="baseline"/>
        <w:rPr>
          <w:rFonts w:ascii="Calibri" w:hAnsi="Calibri" w:cs="Calibri"/>
          <w:sz w:val="22"/>
          <w:szCs w:val="22"/>
        </w:rPr>
      </w:pPr>
    </w:p>
    <w:p w14:paraId="5614E5B2" w14:textId="77777777" w:rsidR="00804AF0" w:rsidRDefault="009A47D6">
      <w:pPr>
        <w:jc w:val="both"/>
        <w:textAlignment w:val="baseline"/>
        <w:rPr>
          <w:rFonts w:ascii="Calibri" w:hAnsi="Calibri" w:cs="Calibri"/>
          <w:sz w:val="22"/>
          <w:szCs w:val="22"/>
        </w:rPr>
      </w:pPr>
      <w:r>
        <w:rPr>
          <w:rFonts w:ascii="Calibri" w:hAnsi="Calibri" w:cs="Calibri"/>
          <w:b/>
          <w:bCs/>
          <w:sz w:val="22"/>
          <w:szCs w:val="22"/>
        </w:rPr>
        <w:t>Diversity:</w:t>
      </w:r>
      <w:r>
        <w:rPr>
          <w:rFonts w:ascii="Calibri" w:hAnsi="Calibri" w:cs="Calibri"/>
          <w:sz w:val="22"/>
          <w:szCs w:val="22"/>
        </w:rPr>
        <w:t xml:space="preserve"> UNDP’s workforce will reflect diversity and will strive to include equal numbers of men and women, and individuals from under-represented groups, indigenous groups and persons with disabilities;</w:t>
      </w:r>
    </w:p>
    <w:p w14:paraId="7ABCB8A0" w14:textId="77777777" w:rsidR="00804AF0" w:rsidRDefault="00804AF0">
      <w:pPr>
        <w:jc w:val="both"/>
        <w:textAlignment w:val="baseline"/>
        <w:rPr>
          <w:rFonts w:ascii="Calibri" w:hAnsi="Calibri" w:cs="Calibri"/>
          <w:sz w:val="22"/>
          <w:szCs w:val="22"/>
        </w:rPr>
      </w:pPr>
    </w:p>
    <w:p w14:paraId="3503BF99" w14:textId="77777777" w:rsidR="00804AF0" w:rsidRDefault="009A47D6">
      <w:pPr>
        <w:jc w:val="both"/>
        <w:textAlignment w:val="baseline"/>
        <w:rPr>
          <w:rFonts w:ascii="Calibri" w:hAnsi="Calibri" w:cs="Calibri"/>
          <w:sz w:val="22"/>
          <w:szCs w:val="22"/>
        </w:rPr>
      </w:pPr>
      <w:r>
        <w:rPr>
          <w:rFonts w:ascii="Calibri" w:hAnsi="Calibri" w:cs="Calibri"/>
          <w:b/>
          <w:bCs/>
          <w:sz w:val="22"/>
          <w:szCs w:val="22"/>
        </w:rPr>
        <w:t>Non-Discrimination:</w:t>
      </w:r>
      <w:r>
        <w:rPr>
          <w:rFonts w:ascii="Calibri" w:hAnsi="Calibri" w:cs="Calibri"/>
          <w:sz w:val="22"/>
          <w:szCs w:val="22"/>
        </w:rPr>
        <w:t xml:space="preserve"> Subject to the principle of recruiting personnel on as wide a geographical basis as possible, UNDP will not discriminate in its recruitment and selection processes on the grounds of race, national or ethnic origin, colour, religion, age, sex, gender identity, sexual orientation, marital status, family status or disability; and</w:t>
      </w:r>
    </w:p>
    <w:p w14:paraId="6BDA1297" w14:textId="77777777" w:rsidR="00804AF0" w:rsidRDefault="00804AF0">
      <w:pPr>
        <w:jc w:val="both"/>
        <w:textAlignment w:val="baseline"/>
        <w:rPr>
          <w:rFonts w:ascii="Calibri" w:hAnsi="Calibri" w:cs="Calibri"/>
          <w:sz w:val="22"/>
          <w:szCs w:val="22"/>
        </w:rPr>
      </w:pPr>
    </w:p>
    <w:p w14:paraId="28082C09" w14:textId="77777777" w:rsidR="00804AF0" w:rsidRDefault="009A47D6">
      <w:pPr>
        <w:jc w:val="both"/>
        <w:textAlignment w:val="baseline"/>
        <w:rPr>
          <w:rFonts w:ascii="Calibri" w:hAnsi="Calibri" w:cs="Calibri"/>
          <w:sz w:val="22"/>
          <w:szCs w:val="22"/>
        </w:rPr>
      </w:pPr>
      <w:r>
        <w:rPr>
          <w:rFonts w:ascii="Calibri" w:hAnsi="Calibri" w:cs="Calibri"/>
          <w:b/>
          <w:bCs/>
          <w:sz w:val="22"/>
          <w:szCs w:val="22"/>
        </w:rPr>
        <w:t>Accountability:</w:t>
      </w:r>
      <w:r>
        <w:rPr>
          <w:rFonts w:ascii="Calibri" w:hAnsi="Calibri" w:cs="Calibri"/>
          <w:sz w:val="22"/>
          <w:szCs w:val="22"/>
        </w:rPr>
        <w:t xml:space="preserve"> Hiring managers will be held accountable both for their selection proposals and the manner in which they have followed the processes leading up to them.</w:t>
      </w:r>
    </w:p>
    <w:p w14:paraId="5C8E0E70" w14:textId="77777777" w:rsidR="00804AF0" w:rsidRDefault="00804AF0">
      <w:pPr>
        <w:jc w:val="both"/>
        <w:textAlignment w:val="baseline"/>
        <w:rPr>
          <w:rFonts w:ascii="Calibri" w:hAnsi="Calibri" w:cs="Calibri"/>
          <w:sz w:val="22"/>
          <w:szCs w:val="22"/>
          <w:lang w:val="en-CA"/>
        </w:rPr>
      </w:pPr>
    </w:p>
    <w:p w14:paraId="5C36DD87" w14:textId="77777777" w:rsidR="00804AF0" w:rsidRDefault="009A47D6">
      <w:pPr>
        <w:jc w:val="both"/>
        <w:textAlignment w:val="baseline"/>
        <w:rPr>
          <w:rFonts w:ascii="Calibri" w:hAnsi="Calibri" w:cs="Calibri"/>
          <w:b/>
          <w:bCs/>
          <w:sz w:val="22"/>
          <w:szCs w:val="22"/>
          <w:u w:val="single"/>
        </w:rPr>
      </w:pPr>
      <w:r>
        <w:rPr>
          <w:rFonts w:ascii="Calibri" w:hAnsi="Calibri" w:cs="Calibri"/>
          <w:b/>
          <w:bCs/>
          <w:sz w:val="22"/>
          <w:szCs w:val="22"/>
          <w:u w:val="single"/>
        </w:rPr>
        <w:t>Other fundamental conditions:</w:t>
      </w:r>
    </w:p>
    <w:p w14:paraId="2CEE3BAD" w14:textId="0A21C477" w:rsidR="00804AF0" w:rsidRDefault="00804AF0">
      <w:pPr>
        <w:jc w:val="both"/>
        <w:textAlignment w:val="baseline"/>
        <w:rPr>
          <w:rFonts w:ascii="Calibri" w:hAnsi="Calibri" w:cs="Calibri"/>
          <w:sz w:val="22"/>
          <w:szCs w:val="22"/>
        </w:rPr>
      </w:pPr>
    </w:p>
    <w:p w14:paraId="66311EA2" w14:textId="77777777" w:rsidR="00804AF0" w:rsidRDefault="009A47D6">
      <w:pPr>
        <w:jc w:val="both"/>
        <w:textAlignment w:val="baseline"/>
        <w:rPr>
          <w:rFonts w:ascii="Calibri" w:hAnsi="Calibri" w:cs="Calibri"/>
          <w:sz w:val="22"/>
          <w:szCs w:val="22"/>
        </w:rPr>
      </w:pPr>
      <w:r>
        <w:rPr>
          <w:rFonts w:ascii="Calibri" w:hAnsi="Calibri" w:cs="Calibri"/>
          <w:b/>
          <w:bCs/>
          <w:sz w:val="22"/>
          <w:szCs w:val="22"/>
        </w:rPr>
        <w:t>Recruitment of Government Personnel:</w:t>
      </w:r>
      <w:r>
        <w:rPr>
          <w:rFonts w:ascii="Calibri" w:hAnsi="Calibri" w:cs="Calibri"/>
          <w:sz w:val="22"/>
          <w:szCs w:val="22"/>
        </w:rPr>
        <w:t xml:space="preserve"> Any candidate who is a government employee must disclose this relationship prior to being engaged on an IPSA. As a rule, candidates who are employed by a government or a government entity are expected to resign from said employment upon acceptance of an IPSA with UNDP. In cases where candidates continue to be employed or affiliated with a government institution or other authority external to UNDP must provide evidence that they have been accorded special leave without pay, or a similar status, from their employer prior to being engaged under an IPSA. Notwithstanding the disclosure, the individual engaged under an IPSA Service Contract is bound by the principle of impartiality as specified in the agreement.</w:t>
      </w:r>
    </w:p>
    <w:p w14:paraId="05712C3C" w14:textId="77777777" w:rsidR="00804AF0" w:rsidRDefault="00804AF0">
      <w:pPr>
        <w:jc w:val="both"/>
        <w:textAlignment w:val="baseline"/>
        <w:rPr>
          <w:rFonts w:ascii="Calibri" w:hAnsi="Calibri" w:cs="Calibri"/>
          <w:sz w:val="22"/>
          <w:szCs w:val="22"/>
        </w:rPr>
      </w:pPr>
    </w:p>
    <w:p w14:paraId="61BAA52E" w14:textId="77777777" w:rsidR="00804AF0" w:rsidRDefault="009A47D6">
      <w:pPr>
        <w:jc w:val="both"/>
        <w:textAlignment w:val="baseline"/>
        <w:rPr>
          <w:rFonts w:ascii="Calibri" w:hAnsi="Calibri" w:cs="Calibri"/>
          <w:sz w:val="22"/>
          <w:szCs w:val="22"/>
        </w:rPr>
      </w:pPr>
      <w:r>
        <w:rPr>
          <w:rFonts w:ascii="Calibri" w:hAnsi="Calibri" w:cs="Calibri"/>
          <w:b/>
          <w:bCs/>
          <w:sz w:val="22"/>
          <w:szCs w:val="22"/>
        </w:rPr>
        <w:t>Obligation of Confidentialit</w:t>
      </w:r>
      <w:r>
        <w:rPr>
          <w:rFonts w:ascii="Calibri" w:hAnsi="Calibri" w:cs="Calibri"/>
          <w:sz w:val="22"/>
          <w:szCs w:val="22"/>
        </w:rPr>
        <w:t>y: Everyone who is involved in a selection process, in one capacity or another (e.g., long-listing, short-listing, interview panel, etc.) must engage in these such activities maintaining strict confidentiality. A selection process is not completed until all the different selection, review and clearance steps have been taken. It is therefore expected that no information be shared with the candidates or others not involved in the selection process until the final approval for the selection has been signed</w:t>
      </w:r>
    </w:p>
    <w:p w14:paraId="505FB611" w14:textId="77777777" w:rsidR="00804AF0" w:rsidRDefault="00804AF0">
      <w:pPr>
        <w:rPr>
          <w:rFonts w:ascii="Calibri" w:hAnsi="Calibri" w:cs="Calibri"/>
          <w:sz w:val="22"/>
          <w:szCs w:val="22"/>
        </w:rPr>
      </w:pPr>
    </w:p>
    <w:p w14:paraId="02D89AA6" w14:textId="77777777" w:rsidR="00804AF0" w:rsidRDefault="009A47D6">
      <w:pPr>
        <w:jc w:val="both"/>
        <w:textAlignment w:val="baseline"/>
        <w:rPr>
          <w:rFonts w:ascii="Calibri" w:hAnsi="Calibri" w:cs="Calibri"/>
          <w:b/>
          <w:bCs/>
          <w:sz w:val="22"/>
          <w:szCs w:val="22"/>
          <w:u w:val="single"/>
        </w:rPr>
      </w:pPr>
      <w:r>
        <w:rPr>
          <w:rFonts w:ascii="Calibri" w:hAnsi="Calibri" w:cs="Calibri"/>
          <w:sz w:val="22"/>
          <w:szCs w:val="22"/>
        </w:rPr>
        <w:lastRenderedPageBreak/>
        <w:t> </w:t>
      </w:r>
      <w:r>
        <w:rPr>
          <w:rFonts w:ascii="Calibri" w:hAnsi="Calibri" w:cs="Calibri"/>
          <w:b/>
          <w:bCs/>
          <w:sz w:val="22"/>
          <w:szCs w:val="22"/>
          <w:u w:val="single"/>
        </w:rPr>
        <w:t>Selection Modalities and Procedures:</w:t>
      </w:r>
    </w:p>
    <w:p w14:paraId="4AB17811" w14:textId="77777777" w:rsidR="00804AF0" w:rsidRDefault="00804AF0">
      <w:pPr>
        <w:jc w:val="both"/>
        <w:textAlignment w:val="baseline"/>
        <w:rPr>
          <w:rFonts w:ascii="Calibri" w:hAnsi="Calibri" w:cs="Calibri"/>
          <w:sz w:val="22"/>
          <w:szCs w:val="22"/>
        </w:rPr>
      </w:pPr>
    </w:p>
    <w:p w14:paraId="15581300" w14:textId="77777777" w:rsidR="00804AF0" w:rsidRDefault="00804AF0">
      <w:pPr>
        <w:jc w:val="both"/>
        <w:textAlignment w:val="baseline"/>
        <w:rPr>
          <w:rFonts w:ascii="Calibri" w:hAnsi="Calibri" w:cs="Calibri"/>
          <w:sz w:val="22"/>
          <w:szCs w:val="22"/>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2"/>
        <w:gridCol w:w="3625"/>
        <w:gridCol w:w="4107"/>
      </w:tblGrid>
      <w:tr w:rsidR="00804AF0" w14:paraId="4B4E0988" w14:textId="77777777">
        <w:tc>
          <w:tcPr>
            <w:tcW w:w="1612" w:type="dxa"/>
            <w:tcBorders>
              <w:top w:val="single" w:sz="6" w:space="0" w:color="auto"/>
              <w:left w:val="single" w:sz="6" w:space="0" w:color="auto"/>
              <w:bottom w:val="single" w:sz="6" w:space="0" w:color="auto"/>
              <w:right w:val="single" w:sz="6" w:space="0" w:color="auto"/>
            </w:tcBorders>
          </w:tcPr>
          <w:p w14:paraId="6EDDA3EA" w14:textId="77777777" w:rsidR="00804AF0" w:rsidRDefault="009A47D6">
            <w:pPr>
              <w:jc w:val="both"/>
              <w:textAlignment w:val="baseline"/>
              <w:rPr>
                <w:rFonts w:ascii="Calibri" w:hAnsi="Calibri" w:cs="Calibri"/>
                <w:sz w:val="22"/>
                <w:szCs w:val="22"/>
              </w:rPr>
            </w:pPr>
            <w:r>
              <w:rPr>
                <w:rFonts w:ascii="Calibri" w:hAnsi="Calibri" w:cs="Calibri"/>
                <w:b/>
                <w:bCs/>
                <w:sz w:val="22"/>
                <w:szCs w:val="22"/>
                <w:lang w:eastAsia="en-GB"/>
              </w:rPr>
              <w:t>IPSA</w:t>
            </w:r>
            <w:r>
              <w:rPr>
                <w:rFonts w:ascii="Calibri" w:hAnsi="Calibri" w:cs="Calibri"/>
                <w:b/>
                <w:sz w:val="22"/>
                <w:szCs w:val="22"/>
              </w:rPr>
              <w:t xml:space="preserve"> Level</w:t>
            </w:r>
            <w:r>
              <w:rPr>
                <w:rFonts w:ascii="Calibri" w:hAnsi="Calibri" w:cs="Calibri"/>
                <w:sz w:val="22"/>
                <w:szCs w:val="22"/>
                <w:lang w:eastAsia="en-GB"/>
              </w:rPr>
              <w:t> </w:t>
            </w:r>
          </w:p>
        </w:tc>
        <w:tc>
          <w:tcPr>
            <w:tcW w:w="3625" w:type="dxa"/>
            <w:tcBorders>
              <w:top w:val="single" w:sz="6" w:space="0" w:color="auto"/>
              <w:left w:val="nil"/>
              <w:bottom w:val="single" w:sz="6" w:space="0" w:color="auto"/>
              <w:right w:val="single" w:sz="6" w:space="0" w:color="auto"/>
            </w:tcBorders>
          </w:tcPr>
          <w:p w14:paraId="47E63BB2" w14:textId="77777777" w:rsidR="00804AF0" w:rsidRDefault="009A47D6">
            <w:pPr>
              <w:jc w:val="both"/>
              <w:textAlignment w:val="baseline"/>
              <w:rPr>
                <w:rFonts w:ascii="Calibri" w:hAnsi="Calibri" w:cs="Calibri"/>
                <w:sz w:val="22"/>
                <w:szCs w:val="22"/>
              </w:rPr>
            </w:pPr>
            <w:r>
              <w:rPr>
                <w:rFonts w:ascii="Calibri" w:hAnsi="Calibri" w:cs="Calibri"/>
                <w:b/>
                <w:sz w:val="22"/>
                <w:szCs w:val="22"/>
              </w:rPr>
              <w:t xml:space="preserve">Regular </w:t>
            </w:r>
            <w:r>
              <w:rPr>
                <w:rFonts w:ascii="Calibri" w:hAnsi="Calibri" w:cs="Calibri"/>
                <w:b/>
                <w:bCs/>
                <w:sz w:val="22"/>
                <w:szCs w:val="22"/>
                <w:lang w:eastAsia="en-GB"/>
              </w:rPr>
              <w:t>IPSA</w:t>
            </w:r>
            <w:r>
              <w:rPr>
                <w:rFonts w:ascii="Calibri" w:hAnsi="Calibri" w:cs="Calibri"/>
                <w:sz w:val="22"/>
                <w:szCs w:val="22"/>
                <w:lang w:eastAsia="en-GB"/>
              </w:rPr>
              <w:t> </w:t>
            </w:r>
          </w:p>
        </w:tc>
        <w:tc>
          <w:tcPr>
            <w:tcW w:w="4107" w:type="dxa"/>
            <w:tcBorders>
              <w:top w:val="single" w:sz="6" w:space="0" w:color="auto"/>
              <w:left w:val="nil"/>
              <w:bottom w:val="single" w:sz="6" w:space="0" w:color="auto"/>
              <w:right w:val="single" w:sz="6" w:space="0" w:color="auto"/>
            </w:tcBorders>
          </w:tcPr>
          <w:p w14:paraId="668D06E2" w14:textId="77777777" w:rsidR="00804AF0" w:rsidRDefault="009A47D6">
            <w:pPr>
              <w:jc w:val="both"/>
              <w:textAlignment w:val="baseline"/>
              <w:rPr>
                <w:rFonts w:ascii="Calibri" w:hAnsi="Calibri" w:cs="Calibri"/>
                <w:sz w:val="22"/>
                <w:szCs w:val="22"/>
              </w:rPr>
            </w:pPr>
            <w:r>
              <w:rPr>
                <w:rFonts w:ascii="Calibri" w:hAnsi="Calibri" w:cs="Calibri"/>
                <w:b/>
                <w:bCs/>
                <w:sz w:val="22"/>
                <w:szCs w:val="22"/>
                <w:lang w:eastAsia="en-GB"/>
              </w:rPr>
              <w:t>Short-Term IPSA</w:t>
            </w:r>
            <w:r>
              <w:rPr>
                <w:rFonts w:ascii="Calibri" w:hAnsi="Calibri" w:cs="Calibri"/>
                <w:sz w:val="22"/>
                <w:szCs w:val="22"/>
                <w:lang w:eastAsia="en-GB"/>
              </w:rPr>
              <w:t> </w:t>
            </w:r>
          </w:p>
        </w:tc>
      </w:tr>
      <w:tr w:rsidR="00804AF0" w14:paraId="6D142386" w14:textId="77777777">
        <w:tc>
          <w:tcPr>
            <w:tcW w:w="1612" w:type="dxa"/>
            <w:tcBorders>
              <w:top w:val="nil"/>
              <w:left w:val="single" w:sz="6" w:space="0" w:color="auto"/>
              <w:bottom w:val="single" w:sz="6" w:space="0" w:color="auto"/>
              <w:right w:val="single" w:sz="6" w:space="0" w:color="auto"/>
            </w:tcBorders>
          </w:tcPr>
          <w:p w14:paraId="0BD082CC" w14:textId="77777777" w:rsidR="00804AF0" w:rsidRDefault="009A47D6">
            <w:pPr>
              <w:jc w:val="both"/>
              <w:textAlignment w:val="baseline"/>
              <w:rPr>
                <w:rFonts w:ascii="Calibri" w:hAnsi="Calibri" w:cs="Calibri"/>
                <w:sz w:val="22"/>
                <w:szCs w:val="22"/>
              </w:rPr>
            </w:pPr>
            <w:r>
              <w:rPr>
                <w:rFonts w:ascii="Calibri" w:hAnsi="Calibri" w:cs="Calibri"/>
                <w:sz w:val="22"/>
                <w:szCs w:val="22"/>
                <w:u w:val="single"/>
                <w:lang w:eastAsia="en-GB"/>
              </w:rPr>
              <w:t>All IPSA levels</w:t>
            </w:r>
            <w:r>
              <w:rPr>
                <w:rFonts w:ascii="Calibri" w:hAnsi="Calibri" w:cs="Calibri"/>
                <w:sz w:val="22"/>
                <w:szCs w:val="22"/>
                <w:lang w:eastAsia="en-GB"/>
              </w:rPr>
              <w:t> </w:t>
            </w:r>
          </w:p>
        </w:tc>
        <w:tc>
          <w:tcPr>
            <w:tcW w:w="3625" w:type="dxa"/>
            <w:tcBorders>
              <w:top w:val="nil"/>
              <w:left w:val="nil"/>
              <w:bottom w:val="single" w:sz="6" w:space="0" w:color="auto"/>
              <w:right w:val="single" w:sz="6" w:space="0" w:color="auto"/>
            </w:tcBorders>
          </w:tcPr>
          <w:p w14:paraId="59367E29" w14:textId="77777777" w:rsidR="00804AF0" w:rsidRDefault="009A47D6">
            <w:pPr>
              <w:jc w:val="both"/>
              <w:textAlignment w:val="baseline"/>
              <w:rPr>
                <w:rFonts w:ascii="Calibri" w:hAnsi="Calibri" w:cs="Calibri"/>
                <w:sz w:val="22"/>
                <w:szCs w:val="22"/>
              </w:rPr>
            </w:pPr>
            <w:r>
              <w:rPr>
                <w:rFonts w:ascii="Calibri" w:hAnsi="Calibri" w:cs="Calibri"/>
                <w:sz w:val="22"/>
                <w:szCs w:val="22"/>
              </w:rPr>
              <w:t>Advertise:  Minimum 1 week </w:t>
            </w:r>
          </w:p>
          <w:p w14:paraId="1A92D1A0" w14:textId="77777777" w:rsidR="00804AF0" w:rsidRDefault="00804AF0">
            <w:pPr>
              <w:jc w:val="both"/>
              <w:textAlignment w:val="baseline"/>
              <w:rPr>
                <w:rFonts w:ascii="Calibri" w:hAnsi="Calibri" w:cs="Calibri"/>
                <w:sz w:val="22"/>
                <w:szCs w:val="22"/>
              </w:rPr>
            </w:pPr>
          </w:p>
          <w:p w14:paraId="0D809BBA" w14:textId="77777777" w:rsidR="00804AF0" w:rsidRDefault="009A47D6">
            <w:pPr>
              <w:jc w:val="both"/>
              <w:textAlignment w:val="baseline"/>
              <w:rPr>
                <w:rFonts w:ascii="Calibri" w:hAnsi="Calibri" w:cs="Calibri"/>
                <w:sz w:val="22"/>
                <w:szCs w:val="22"/>
              </w:rPr>
            </w:pPr>
            <w:r>
              <w:rPr>
                <w:rFonts w:ascii="Calibri" w:hAnsi="Calibri" w:cs="Calibri"/>
                <w:sz w:val="22"/>
                <w:szCs w:val="22"/>
              </w:rPr>
              <w:t xml:space="preserve">Modality: Competitive; </w:t>
            </w:r>
            <w:proofErr w:type="gramStart"/>
            <w:r>
              <w:rPr>
                <w:rFonts w:ascii="Calibri" w:hAnsi="Calibri" w:cs="Calibri"/>
                <w:sz w:val="22"/>
                <w:szCs w:val="22"/>
              </w:rPr>
              <w:t>Pre-assessed</w:t>
            </w:r>
            <w:proofErr w:type="gramEnd"/>
            <w:r>
              <w:rPr>
                <w:rFonts w:ascii="Calibri" w:hAnsi="Calibri" w:cs="Calibri"/>
                <w:sz w:val="22"/>
                <w:szCs w:val="22"/>
              </w:rPr>
              <w:t xml:space="preserve"> candidate from a previous competitive process at the same grade level (in the last 36 months); Direct selection from an HR or other approved Roster; Lateral move from another IPSA position to a substantially similar role at the same level; Direct selection upon approval of the Bureau Director.</w:t>
            </w:r>
          </w:p>
          <w:p w14:paraId="19E2F5AE" w14:textId="77777777" w:rsidR="00804AF0" w:rsidRDefault="00804AF0">
            <w:pPr>
              <w:jc w:val="both"/>
              <w:textAlignment w:val="baseline"/>
              <w:rPr>
                <w:rFonts w:ascii="Calibri" w:hAnsi="Calibri" w:cs="Calibri"/>
                <w:sz w:val="22"/>
                <w:szCs w:val="22"/>
              </w:rPr>
            </w:pPr>
          </w:p>
          <w:p w14:paraId="32F7D626" w14:textId="77777777" w:rsidR="00804AF0" w:rsidRDefault="009A47D6">
            <w:pPr>
              <w:jc w:val="both"/>
              <w:textAlignment w:val="baseline"/>
              <w:rPr>
                <w:rFonts w:ascii="Calibri" w:hAnsi="Calibri" w:cs="Calibri"/>
                <w:sz w:val="22"/>
                <w:szCs w:val="22"/>
              </w:rPr>
            </w:pPr>
            <w:r>
              <w:rPr>
                <w:rFonts w:ascii="Calibri" w:hAnsi="Calibri" w:cs="Calibri"/>
                <w:sz w:val="22"/>
                <w:szCs w:val="22"/>
              </w:rPr>
              <w:t>Assessment: one or more assessment methods must be used. These can include, among others, panel interviews, tests, Panel desk reviews, technical assessments</w:t>
            </w:r>
          </w:p>
          <w:p w14:paraId="68DF43A6" w14:textId="77777777" w:rsidR="00804AF0" w:rsidRDefault="00804AF0">
            <w:pPr>
              <w:jc w:val="both"/>
              <w:textAlignment w:val="baseline"/>
              <w:rPr>
                <w:rFonts w:ascii="Calibri" w:hAnsi="Calibri" w:cs="Calibri"/>
                <w:sz w:val="22"/>
                <w:szCs w:val="22"/>
              </w:rPr>
            </w:pPr>
          </w:p>
          <w:p w14:paraId="58331AF5" w14:textId="77777777" w:rsidR="00804AF0" w:rsidRDefault="009A47D6">
            <w:pPr>
              <w:jc w:val="both"/>
              <w:textAlignment w:val="baseline"/>
              <w:rPr>
                <w:rFonts w:ascii="Calibri" w:hAnsi="Calibri" w:cs="Calibri"/>
                <w:sz w:val="22"/>
                <w:szCs w:val="22"/>
              </w:rPr>
            </w:pPr>
            <w:r>
              <w:rPr>
                <w:rFonts w:ascii="Calibri" w:hAnsi="Calibri" w:cs="Calibri"/>
                <w:sz w:val="22"/>
                <w:szCs w:val="22"/>
              </w:rPr>
              <w:t>Selection decision: Head of the Business Unit, Bureau Director for direct selections. </w:t>
            </w:r>
          </w:p>
        </w:tc>
        <w:tc>
          <w:tcPr>
            <w:tcW w:w="4107" w:type="dxa"/>
            <w:tcBorders>
              <w:top w:val="nil"/>
              <w:left w:val="nil"/>
              <w:bottom w:val="single" w:sz="6" w:space="0" w:color="auto"/>
              <w:right w:val="single" w:sz="6" w:space="0" w:color="auto"/>
            </w:tcBorders>
          </w:tcPr>
          <w:p w14:paraId="3B9E192C" w14:textId="77777777" w:rsidR="00804AF0" w:rsidRDefault="009A47D6">
            <w:pPr>
              <w:jc w:val="both"/>
              <w:textAlignment w:val="baseline"/>
              <w:rPr>
                <w:rFonts w:ascii="Calibri" w:hAnsi="Calibri" w:cs="Calibri"/>
                <w:sz w:val="22"/>
                <w:szCs w:val="22"/>
              </w:rPr>
            </w:pPr>
            <w:r>
              <w:rPr>
                <w:rFonts w:ascii="Calibri" w:hAnsi="Calibri" w:cs="Calibri"/>
                <w:sz w:val="22"/>
                <w:szCs w:val="22"/>
              </w:rPr>
              <w:t>Advertise: Minimum 1 week </w:t>
            </w:r>
          </w:p>
          <w:p w14:paraId="3B38839A" w14:textId="77777777" w:rsidR="00804AF0" w:rsidRDefault="00804AF0">
            <w:pPr>
              <w:jc w:val="both"/>
              <w:textAlignment w:val="baseline"/>
              <w:rPr>
                <w:rFonts w:ascii="Calibri" w:hAnsi="Calibri" w:cs="Calibri"/>
                <w:sz w:val="22"/>
                <w:szCs w:val="22"/>
              </w:rPr>
            </w:pPr>
          </w:p>
          <w:p w14:paraId="021D83E4" w14:textId="77777777" w:rsidR="00804AF0" w:rsidRDefault="009A47D6">
            <w:pPr>
              <w:jc w:val="both"/>
              <w:textAlignment w:val="baseline"/>
              <w:rPr>
                <w:rFonts w:ascii="Calibri" w:hAnsi="Calibri" w:cs="Calibri"/>
                <w:sz w:val="22"/>
                <w:szCs w:val="22"/>
              </w:rPr>
            </w:pPr>
            <w:r>
              <w:rPr>
                <w:rFonts w:ascii="Calibri" w:hAnsi="Calibri" w:cs="Calibri"/>
                <w:sz w:val="22"/>
                <w:szCs w:val="22"/>
              </w:rPr>
              <w:t xml:space="preserve">Modality: Same as for Regular IPSA, in addition to: </w:t>
            </w:r>
          </w:p>
          <w:p w14:paraId="4159663E" w14:textId="77777777" w:rsidR="00804AF0" w:rsidRDefault="009A47D6">
            <w:pPr>
              <w:jc w:val="both"/>
              <w:textAlignment w:val="baseline"/>
              <w:rPr>
                <w:rFonts w:ascii="Calibri" w:hAnsi="Calibri" w:cs="Calibri"/>
                <w:sz w:val="22"/>
                <w:szCs w:val="22"/>
              </w:rPr>
            </w:pPr>
            <w:r>
              <w:rPr>
                <w:rFonts w:ascii="Calibri" w:hAnsi="Calibri" w:cs="Calibri"/>
                <w:sz w:val="22"/>
                <w:szCs w:val="22"/>
              </w:rPr>
              <w:t xml:space="preserve">Direct selection from a procurement roster, such as GPN or local interagency rosters; </w:t>
            </w:r>
          </w:p>
          <w:p w14:paraId="1DB43D02" w14:textId="77777777" w:rsidR="00804AF0" w:rsidRDefault="009A47D6">
            <w:pPr>
              <w:jc w:val="both"/>
              <w:textAlignment w:val="baseline"/>
              <w:rPr>
                <w:rFonts w:ascii="Calibri" w:hAnsi="Calibri" w:cs="Calibri"/>
                <w:sz w:val="22"/>
                <w:szCs w:val="22"/>
              </w:rPr>
            </w:pPr>
            <w:r>
              <w:rPr>
                <w:rFonts w:ascii="Calibri" w:hAnsi="Calibri" w:cs="Calibri"/>
                <w:sz w:val="22"/>
                <w:szCs w:val="22"/>
              </w:rPr>
              <w:t xml:space="preserve">Direct selection of an individual serving as an IC holder in 2021 or thereafter; Direct selection upon approval of the Head of the business unit (RR/DRR in country offices); and review and assessment of a candidate CVs/P11s. </w:t>
            </w:r>
          </w:p>
          <w:p w14:paraId="26953019" w14:textId="77777777" w:rsidR="00804AF0" w:rsidRDefault="00804AF0">
            <w:pPr>
              <w:jc w:val="both"/>
              <w:textAlignment w:val="baseline"/>
              <w:rPr>
                <w:rFonts w:ascii="Calibri" w:hAnsi="Calibri" w:cs="Calibri"/>
                <w:sz w:val="22"/>
                <w:szCs w:val="22"/>
              </w:rPr>
            </w:pPr>
          </w:p>
          <w:p w14:paraId="4462F5AA" w14:textId="77777777" w:rsidR="00804AF0" w:rsidRDefault="00804AF0">
            <w:pPr>
              <w:jc w:val="both"/>
              <w:textAlignment w:val="baseline"/>
              <w:rPr>
                <w:rFonts w:ascii="Calibri" w:hAnsi="Calibri" w:cs="Calibri"/>
                <w:sz w:val="22"/>
                <w:szCs w:val="22"/>
              </w:rPr>
            </w:pPr>
          </w:p>
          <w:p w14:paraId="237758A5" w14:textId="77777777" w:rsidR="00804AF0" w:rsidRDefault="00804AF0">
            <w:pPr>
              <w:jc w:val="both"/>
              <w:textAlignment w:val="baseline"/>
              <w:rPr>
                <w:rFonts w:ascii="Calibri" w:hAnsi="Calibri" w:cs="Calibri"/>
                <w:sz w:val="22"/>
                <w:szCs w:val="22"/>
              </w:rPr>
            </w:pPr>
          </w:p>
          <w:p w14:paraId="34907C45" w14:textId="77777777" w:rsidR="00804AF0" w:rsidRDefault="009A47D6">
            <w:pPr>
              <w:jc w:val="both"/>
              <w:textAlignment w:val="baseline"/>
              <w:rPr>
                <w:rFonts w:ascii="Calibri" w:hAnsi="Calibri" w:cs="Calibri"/>
                <w:sz w:val="22"/>
                <w:szCs w:val="22"/>
              </w:rPr>
            </w:pPr>
            <w:r>
              <w:rPr>
                <w:rFonts w:ascii="Calibri" w:hAnsi="Calibri" w:cs="Calibri"/>
                <w:sz w:val="22"/>
                <w:szCs w:val="22"/>
              </w:rPr>
              <w:t>Assessment: Same as for Regular IPSAs but a  review and assessment of just the candidate’s CV/P11 is also allowed.   </w:t>
            </w:r>
          </w:p>
          <w:p w14:paraId="25FC441A" w14:textId="77777777" w:rsidR="00804AF0" w:rsidRDefault="00804AF0">
            <w:pPr>
              <w:jc w:val="both"/>
              <w:textAlignment w:val="baseline"/>
              <w:rPr>
                <w:rFonts w:ascii="Calibri" w:hAnsi="Calibri" w:cs="Calibri"/>
                <w:sz w:val="22"/>
                <w:szCs w:val="22"/>
                <w:lang w:eastAsia="en-GB"/>
              </w:rPr>
            </w:pPr>
          </w:p>
          <w:p w14:paraId="59CD5589" w14:textId="77777777" w:rsidR="00804AF0" w:rsidRDefault="00804AF0">
            <w:pPr>
              <w:jc w:val="both"/>
              <w:textAlignment w:val="baseline"/>
              <w:rPr>
                <w:rFonts w:ascii="Calibri" w:hAnsi="Calibri" w:cs="Calibri"/>
                <w:sz w:val="22"/>
                <w:szCs w:val="22"/>
              </w:rPr>
            </w:pPr>
          </w:p>
          <w:p w14:paraId="35575C89"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rPr>
              <w:t>Selection decision: Head of the Business Unit, Head of business/RR/DRR for direct selections.  </w:t>
            </w:r>
          </w:p>
          <w:p w14:paraId="7385BF98" w14:textId="77777777" w:rsidR="00804AF0" w:rsidRDefault="009A47D6">
            <w:pPr>
              <w:jc w:val="both"/>
              <w:textAlignment w:val="baseline"/>
              <w:rPr>
                <w:rFonts w:ascii="Calibri" w:hAnsi="Calibri" w:cs="Calibri"/>
                <w:sz w:val="22"/>
                <w:szCs w:val="22"/>
              </w:rPr>
            </w:pPr>
            <w:r>
              <w:rPr>
                <w:rFonts w:ascii="Calibri" w:hAnsi="Calibri" w:cs="Calibri"/>
                <w:sz w:val="22"/>
                <w:szCs w:val="22"/>
                <w:lang w:eastAsia="en-GB"/>
              </w:rPr>
              <w:t> </w:t>
            </w:r>
          </w:p>
        </w:tc>
      </w:tr>
    </w:tbl>
    <w:p w14:paraId="38A3CEE1" w14:textId="77777777" w:rsidR="00804AF0" w:rsidRDefault="009A47D6">
      <w:pPr>
        <w:jc w:val="both"/>
        <w:textAlignment w:val="baseline"/>
        <w:rPr>
          <w:rFonts w:ascii="Calibri" w:hAnsi="Calibri" w:cs="Calibri"/>
          <w:sz w:val="22"/>
          <w:szCs w:val="22"/>
        </w:rPr>
      </w:pPr>
      <w:r>
        <w:rPr>
          <w:rFonts w:ascii="Calibri" w:hAnsi="Calibri" w:cs="Calibri"/>
          <w:sz w:val="22"/>
          <w:szCs w:val="22"/>
        </w:rPr>
        <w:t> </w:t>
      </w:r>
    </w:p>
    <w:p w14:paraId="7F4469AC" w14:textId="77777777" w:rsidR="00804AF0" w:rsidRDefault="009A47D6">
      <w:pPr>
        <w:jc w:val="both"/>
        <w:textAlignment w:val="baseline"/>
        <w:rPr>
          <w:rFonts w:ascii="Calibri" w:hAnsi="Calibri" w:cs="Calibri"/>
          <w:sz w:val="22"/>
          <w:szCs w:val="22"/>
        </w:rPr>
      </w:pPr>
      <w:r>
        <w:rPr>
          <w:rFonts w:ascii="Calibri" w:hAnsi="Calibri" w:cs="Calibri"/>
          <w:sz w:val="22"/>
          <w:szCs w:val="22"/>
        </w:rPr>
        <w:t>Unless a competitive selection is considered not practicable, each recruitment and selection must include the following:</w:t>
      </w:r>
    </w:p>
    <w:p w14:paraId="7E96E6D0" w14:textId="77777777" w:rsidR="00804AF0" w:rsidRDefault="00804AF0">
      <w:pPr>
        <w:jc w:val="both"/>
        <w:textAlignment w:val="baseline"/>
        <w:rPr>
          <w:rFonts w:ascii="Calibri" w:hAnsi="Calibri" w:cs="Calibri"/>
          <w:sz w:val="22"/>
          <w:szCs w:val="22"/>
        </w:rPr>
      </w:pPr>
    </w:p>
    <w:p w14:paraId="7E21B929" w14:textId="77777777" w:rsidR="00804AF0" w:rsidRDefault="009A47D6">
      <w:pPr>
        <w:jc w:val="both"/>
        <w:textAlignment w:val="baseline"/>
        <w:rPr>
          <w:rFonts w:ascii="Calibri" w:hAnsi="Calibri" w:cs="Calibri"/>
          <w:sz w:val="22"/>
          <w:szCs w:val="22"/>
        </w:rPr>
      </w:pPr>
      <w:r>
        <w:rPr>
          <w:rFonts w:ascii="Calibri" w:hAnsi="Calibri" w:cs="Calibri"/>
          <w:sz w:val="22"/>
          <w:szCs w:val="22"/>
        </w:rPr>
        <w:t>i)  Vacancy announcement of a budgeted and classified IPSA post;</w:t>
      </w:r>
    </w:p>
    <w:p w14:paraId="6EC966FB" w14:textId="77777777" w:rsidR="00804AF0" w:rsidRDefault="009A47D6">
      <w:pPr>
        <w:jc w:val="both"/>
        <w:textAlignment w:val="baseline"/>
        <w:rPr>
          <w:rFonts w:ascii="Calibri" w:hAnsi="Calibri" w:cs="Calibri"/>
          <w:sz w:val="22"/>
          <w:szCs w:val="22"/>
        </w:rPr>
      </w:pPr>
      <w:r>
        <w:rPr>
          <w:rFonts w:ascii="Calibri" w:hAnsi="Calibri" w:cs="Calibri"/>
          <w:sz w:val="22"/>
          <w:szCs w:val="22"/>
        </w:rPr>
        <w:t>ii) Competitive, job-specific objective assessment of skills and competencies as well as a competitive assessment of corporate values and ethics.</w:t>
      </w:r>
    </w:p>
    <w:p w14:paraId="3F80AC96" w14:textId="77777777" w:rsidR="00804AF0" w:rsidRDefault="00804AF0">
      <w:pPr>
        <w:jc w:val="both"/>
        <w:textAlignment w:val="baseline"/>
        <w:rPr>
          <w:rFonts w:ascii="Calibri" w:hAnsi="Calibri" w:cs="Calibri"/>
          <w:sz w:val="22"/>
          <w:szCs w:val="22"/>
        </w:rPr>
      </w:pPr>
    </w:p>
    <w:p w14:paraId="4669C4A4" w14:textId="77777777" w:rsidR="00804AF0" w:rsidRDefault="009A47D6">
      <w:pPr>
        <w:jc w:val="both"/>
        <w:textAlignment w:val="baseline"/>
        <w:rPr>
          <w:rFonts w:ascii="Calibri" w:hAnsi="Calibri" w:cs="Calibri"/>
          <w:sz w:val="22"/>
          <w:szCs w:val="22"/>
        </w:rPr>
      </w:pPr>
      <w:r>
        <w:rPr>
          <w:rFonts w:ascii="Calibri" w:hAnsi="Calibri" w:cs="Calibri"/>
          <w:sz w:val="22"/>
          <w:szCs w:val="22"/>
        </w:rPr>
        <w:t xml:space="preserve">A thorough verification of relevant qualifications and credentials, including thorough reference checks must be completed in every case. </w:t>
      </w:r>
    </w:p>
    <w:p w14:paraId="62A9B2B9" w14:textId="77777777" w:rsidR="00804AF0" w:rsidRDefault="00804AF0">
      <w:pPr>
        <w:ind w:left="720"/>
        <w:jc w:val="both"/>
        <w:textAlignment w:val="baseline"/>
        <w:rPr>
          <w:rFonts w:ascii="Calibri" w:hAnsi="Calibri" w:cs="Calibri"/>
          <w:sz w:val="22"/>
          <w:szCs w:val="22"/>
        </w:rPr>
      </w:pPr>
    </w:p>
    <w:p w14:paraId="233A59AC" w14:textId="77777777" w:rsidR="00804AF0" w:rsidRDefault="009A47D6">
      <w:pPr>
        <w:jc w:val="both"/>
        <w:textAlignment w:val="baseline"/>
        <w:rPr>
          <w:rFonts w:ascii="Calibri" w:hAnsi="Calibri" w:cs="Calibri"/>
          <w:sz w:val="22"/>
          <w:szCs w:val="22"/>
        </w:rPr>
      </w:pPr>
      <w:r>
        <w:rPr>
          <w:rFonts w:ascii="Calibri" w:hAnsi="Calibri" w:cs="Calibri"/>
          <w:b/>
          <w:sz w:val="22"/>
          <w:szCs w:val="22"/>
        </w:rPr>
        <w:t>A. Selection by competitive process </w:t>
      </w:r>
      <w:r>
        <w:rPr>
          <w:rFonts w:ascii="Calibri" w:hAnsi="Calibri" w:cs="Calibri"/>
          <w:sz w:val="22"/>
          <w:szCs w:val="22"/>
        </w:rPr>
        <w:t> </w:t>
      </w:r>
    </w:p>
    <w:p w14:paraId="108ED5A2" w14:textId="77777777" w:rsidR="00804AF0" w:rsidRDefault="009A47D6">
      <w:pPr>
        <w:ind w:left="360"/>
        <w:jc w:val="both"/>
        <w:textAlignment w:val="baseline"/>
        <w:rPr>
          <w:rFonts w:ascii="Calibri" w:hAnsi="Calibri" w:cs="Calibri"/>
          <w:sz w:val="22"/>
          <w:szCs w:val="22"/>
        </w:rPr>
      </w:pPr>
      <w:r>
        <w:rPr>
          <w:rFonts w:ascii="Calibri" w:hAnsi="Calibri" w:cs="Calibri"/>
          <w:sz w:val="22"/>
          <w:szCs w:val="22"/>
        </w:rPr>
        <w:t> </w:t>
      </w:r>
    </w:p>
    <w:p w14:paraId="52A65987" w14:textId="77777777" w:rsidR="00804AF0" w:rsidRDefault="009A47D6">
      <w:pPr>
        <w:jc w:val="both"/>
        <w:textAlignment w:val="baseline"/>
        <w:rPr>
          <w:rFonts w:ascii="Calibri" w:hAnsi="Calibri" w:cs="Calibri"/>
          <w:sz w:val="22"/>
          <w:szCs w:val="22"/>
          <w:lang w:eastAsia="en-GB"/>
        </w:rPr>
      </w:pPr>
      <w:bookmarkStart w:id="99" w:name="_Hlk59876532"/>
      <w:r>
        <w:rPr>
          <w:rFonts w:ascii="Calibri" w:hAnsi="Calibri" w:cs="Calibri"/>
          <w:sz w:val="22"/>
          <w:szCs w:val="22"/>
          <w:lang w:eastAsia="en-GB"/>
        </w:rPr>
        <w:t xml:space="preserve">A competitive recruitment process is the standard procedure for recruiting regular </w:t>
      </w:r>
      <w:bookmarkEnd w:id="99"/>
      <w:r>
        <w:rPr>
          <w:rFonts w:ascii="Calibri" w:hAnsi="Calibri" w:cs="Calibri"/>
          <w:sz w:val="22"/>
          <w:szCs w:val="22"/>
          <w:lang w:eastAsia="en-GB"/>
        </w:rPr>
        <w:t>IPSAs. </w:t>
      </w:r>
    </w:p>
    <w:p w14:paraId="52C57A4A" w14:textId="77777777" w:rsidR="00804AF0" w:rsidRDefault="00804AF0">
      <w:pPr>
        <w:jc w:val="both"/>
        <w:textAlignment w:val="baseline"/>
        <w:rPr>
          <w:rFonts w:ascii="Calibri" w:hAnsi="Calibri" w:cs="Calibri"/>
          <w:sz w:val="22"/>
          <w:szCs w:val="22"/>
          <w:lang w:eastAsia="en-GB"/>
        </w:rPr>
      </w:pPr>
    </w:p>
    <w:p w14:paraId="7CF15873"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xml:space="preserve">To ensure competitiveness, the shortlist must be comprised of at least two candidates, but ideally three or more. At least one woman should be included on the short-list. If no female candidate is included on the short-list, the Hiring Unit must document the efforts that have been made to identify qualified female candidates including re-advertisement. Where only one qualified </w:t>
      </w:r>
      <w:r>
        <w:rPr>
          <w:rFonts w:ascii="Calibri" w:hAnsi="Calibri" w:cs="Calibri"/>
          <w:sz w:val="22"/>
          <w:szCs w:val="22"/>
          <w:lang w:eastAsia="en-GB"/>
        </w:rPr>
        <w:lastRenderedPageBreak/>
        <w:t xml:space="preserve">candidate has been identified, the Hiring Unit must document the efforts that have been made to identify additional candidates, and secure approval from the BMS/OHR Business Partner before proceeding further. </w:t>
      </w:r>
    </w:p>
    <w:p w14:paraId="51DB1F60" w14:textId="77777777" w:rsidR="00804AF0" w:rsidRDefault="00804AF0">
      <w:pPr>
        <w:ind w:left="720"/>
        <w:jc w:val="both"/>
        <w:textAlignment w:val="baseline"/>
        <w:rPr>
          <w:rFonts w:ascii="Calibri" w:hAnsi="Calibri" w:cs="Calibri"/>
          <w:sz w:val="22"/>
          <w:szCs w:val="22"/>
        </w:rPr>
      </w:pPr>
    </w:p>
    <w:p w14:paraId="5E4F796B" w14:textId="77777777" w:rsidR="00804AF0" w:rsidRDefault="009A47D6">
      <w:pPr>
        <w:jc w:val="both"/>
        <w:textAlignment w:val="baseline"/>
        <w:rPr>
          <w:rFonts w:ascii="Calibri" w:hAnsi="Calibri" w:cs="Calibri"/>
          <w:sz w:val="22"/>
          <w:szCs w:val="22"/>
          <w:lang w:eastAsia="en-GB"/>
        </w:rPr>
      </w:pPr>
      <w:bookmarkStart w:id="100" w:name="_Hlk59876639"/>
      <w:r>
        <w:rPr>
          <w:rFonts w:ascii="Calibri" w:hAnsi="Calibri" w:cs="Calibri"/>
          <w:sz w:val="22"/>
          <w:szCs w:val="22"/>
          <w:lang w:eastAsia="en-GB"/>
        </w:rPr>
        <w:t>For short-term IPSAs, an assessment and review of the profiles or CVs at least two qualifying candidates is required and should be documented and presented to the Head of the Business Unit for their selection decision.</w:t>
      </w:r>
      <w:bookmarkEnd w:id="100"/>
      <w:r>
        <w:rPr>
          <w:rFonts w:ascii="Calibri" w:hAnsi="Calibri" w:cs="Calibri"/>
          <w:sz w:val="22"/>
          <w:szCs w:val="22"/>
          <w:lang w:eastAsia="en-GB"/>
        </w:rPr>
        <w:t> </w:t>
      </w:r>
    </w:p>
    <w:p w14:paraId="29F1EC04" w14:textId="77777777" w:rsidR="00804AF0" w:rsidRDefault="00804AF0">
      <w:pPr>
        <w:ind w:left="360"/>
        <w:jc w:val="both"/>
        <w:textAlignment w:val="baseline"/>
        <w:rPr>
          <w:rFonts w:ascii="Calibri" w:hAnsi="Calibri" w:cs="Calibri"/>
          <w:sz w:val="22"/>
          <w:szCs w:val="22"/>
        </w:rPr>
      </w:pPr>
    </w:p>
    <w:p w14:paraId="40F82FBE" w14:textId="77777777" w:rsidR="00804AF0" w:rsidRDefault="009A47D6">
      <w:pPr>
        <w:jc w:val="both"/>
        <w:textAlignment w:val="baseline"/>
        <w:rPr>
          <w:rFonts w:ascii="Calibri" w:hAnsi="Calibri" w:cs="Calibri"/>
          <w:b/>
          <w:sz w:val="22"/>
          <w:szCs w:val="22"/>
        </w:rPr>
      </w:pPr>
      <w:r>
        <w:rPr>
          <w:rFonts w:ascii="Calibri" w:hAnsi="Calibri" w:cs="Calibri"/>
          <w:b/>
          <w:sz w:val="22"/>
          <w:szCs w:val="22"/>
        </w:rPr>
        <w:t xml:space="preserve">B. Direct recruitment of a </w:t>
      </w:r>
      <w:r>
        <w:rPr>
          <w:rFonts w:ascii="Calibri" w:hAnsi="Calibri" w:cs="Calibri"/>
          <w:b/>
          <w:bCs/>
          <w:sz w:val="22"/>
          <w:szCs w:val="22"/>
          <w:lang w:eastAsia="en-GB"/>
        </w:rPr>
        <w:t xml:space="preserve">previously </w:t>
      </w:r>
      <w:r>
        <w:rPr>
          <w:rFonts w:ascii="Calibri" w:hAnsi="Calibri" w:cs="Calibri"/>
          <w:b/>
          <w:sz w:val="22"/>
          <w:szCs w:val="22"/>
        </w:rPr>
        <w:t>assessed candidate</w:t>
      </w:r>
    </w:p>
    <w:p w14:paraId="0C4C6125" w14:textId="77777777" w:rsidR="00804AF0" w:rsidRDefault="00804AF0">
      <w:pPr>
        <w:ind w:left="1080"/>
        <w:jc w:val="both"/>
        <w:textAlignment w:val="baseline"/>
        <w:rPr>
          <w:rFonts w:ascii="Calibri" w:hAnsi="Calibri" w:cs="Calibri"/>
          <w:sz w:val="22"/>
          <w:szCs w:val="22"/>
        </w:rPr>
      </w:pPr>
    </w:p>
    <w:p w14:paraId="6937891A" w14:textId="77777777" w:rsidR="00804AF0" w:rsidRDefault="009A47D6">
      <w:pPr>
        <w:jc w:val="both"/>
        <w:textAlignment w:val="baseline"/>
        <w:rPr>
          <w:rFonts w:ascii="Calibri" w:hAnsi="Calibri" w:cs="Calibri"/>
          <w:sz w:val="22"/>
          <w:szCs w:val="22"/>
          <w:lang w:eastAsia="en-GB"/>
        </w:rPr>
      </w:pPr>
      <w:bookmarkStart w:id="101" w:name="_Hlk59876693"/>
      <w:r>
        <w:rPr>
          <w:rFonts w:ascii="Calibri" w:hAnsi="Calibri" w:cs="Calibri"/>
          <w:sz w:val="22"/>
          <w:szCs w:val="22"/>
          <w:lang w:eastAsia="en-GB"/>
        </w:rPr>
        <w:t>This option allows offices to hire a candidate who has been assessed through a competitive process for the same job function and level, and who has passed the threshold in a previous recruitment process completed within the previous 36 months.</w:t>
      </w:r>
      <w:bookmarkEnd w:id="101"/>
      <w:r>
        <w:rPr>
          <w:rFonts w:ascii="Calibri" w:hAnsi="Calibri" w:cs="Calibri"/>
          <w:sz w:val="22"/>
          <w:szCs w:val="22"/>
          <w:lang w:eastAsia="en-GB"/>
        </w:rPr>
        <w:t> </w:t>
      </w:r>
    </w:p>
    <w:p w14:paraId="1293A149" w14:textId="77777777" w:rsidR="00804AF0" w:rsidRDefault="00804AF0">
      <w:pPr>
        <w:jc w:val="both"/>
        <w:textAlignment w:val="baseline"/>
        <w:rPr>
          <w:rFonts w:ascii="Calibri" w:hAnsi="Calibri" w:cs="Calibri"/>
          <w:sz w:val="22"/>
          <w:szCs w:val="22"/>
          <w:lang w:eastAsia="en-GB"/>
        </w:rPr>
      </w:pPr>
      <w:bookmarkStart w:id="102" w:name="_Hlk59876746"/>
    </w:p>
    <w:p w14:paraId="449F2424"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Individuals who had previously been assessed for similar positions and had passed the threshold but were ranked below the candidate selected within the past 36 months, may be placed on an HR roster. Hiring managers should preferably interview the individual to ascertain that the individual is interested in the position and to reconfirm their suitability.   </w:t>
      </w:r>
    </w:p>
    <w:p w14:paraId="283A62E1" w14:textId="77777777" w:rsidR="00804AF0" w:rsidRDefault="00804AF0">
      <w:pPr>
        <w:jc w:val="both"/>
        <w:textAlignment w:val="baseline"/>
        <w:rPr>
          <w:rFonts w:ascii="Calibri" w:hAnsi="Calibri" w:cs="Calibri"/>
          <w:sz w:val="22"/>
          <w:szCs w:val="22"/>
        </w:rPr>
      </w:pPr>
    </w:p>
    <w:bookmarkEnd w:id="102"/>
    <w:p w14:paraId="62F0177F" w14:textId="77777777" w:rsidR="00804AF0" w:rsidRDefault="009A47D6">
      <w:pPr>
        <w:jc w:val="both"/>
        <w:textAlignment w:val="baseline"/>
        <w:rPr>
          <w:rFonts w:ascii="Calibri" w:hAnsi="Calibri" w:cs="Calibri"/>
          <w:sz w:val="22"/>
          <w:szCs w:val="22"/>
        </w:rPr>
      </w:pPr>
      <w:r>
        <w:rPr>
          <w:rFonts w:ascii="Calibri" w:hAnsi="Calibri" w:cs="Calibri"/>
          <w:sz w:val="22"/>
          <w:szCs w:val="22"/>
        </w:rPr>
        <w:t xml:space="preserve">A hiring unit may also transfer an </w:t>
      </w:r>
      <w:r>
        <w:rPr>
          <w:rFonts w:ascii="Calibri" w:hAnsi="Calibri" w:cs="Calibri"/>
          <w:sz w:val="22"/>
          <w:szCs w:val="22"/>
          <w:lang w:eastAsia="en-GB"/>
        </w:rPr>
        <w:t>IPSA</w:t>
      </w:r>
      <w:r>
        <w:rPr>
          <w:rFonts w:ascii="Calibri" w:hAnsi="Calibri" w:cs="Calibri"/>
          <w:sz w:val="22"/>
          <w:szCs w:val="22"/>
        </w:rPr>
        <w:t xml:space="preserve"> holder from one project or position to another in the same duty station with identical functions</w:t>
      </w:r>
      <w:r>
        <w:rPr>
          <w:rFonts w:ascii="Calibri" w:hAnsi="Calibri" w:cs="Calibri"/>
          <w:sz w:val="22"/>
          <w:szCs w:val="22"/>
          <w:lang w:eastAsia="en-GB"/>
        </w:rPr>
        <w:t>,</w:t>
      </w:r>
      <w:r>
        <w:rPr>
          <w:rFonts w:ascii="Calibri" w:hAnsi="Calibri" w:cs="Calibri"/>
          <w:sz w:val="22"/>
          <w:szCs w:val="22"/>
        </w:rPr>
        <w:t xml:space="preserve"> and the same band/level and remuneration, without a new competitive process, provided that the candidate has a satisfactory performance</w:t>
      </w:r>
      <w:r>
        <w:rPr>
          <w:rFonts w:ascii="Calibri" w:hAnsi="Calibri" w:cs="Calibri"/>
          <w:sz w:val="22"/>
          <w:szCs w:val="22"/>
          <w:lang w:eastAsia="en-GB"/>
        </w:rPr>
        <w:t xml:space="preserve"> record</w:t>
      </w:r>
      <w:r>
        <w:rPr>
          <w:rFonts w:ascii="Calibri" w:hAnsi="Calibri" w:cs="Calibri"/>
          <w:sz w:val="22"/>
          <w:szCs w:val="22"/>
        </w:rPr>
        <w:t xml:space="preserve">. In such instances a new </w:t>
      </w:r>
      <w:r>
        <w:rPr>
          <w:rFonts w:ascii="Calibri" w:hAnsi="Calibri" w:cs="Calibri"/>
          <w:sz w:val="22"/>
          <w:szCs w:val="22"/>
          <w:lang w:eastAsia="en-GB"/>
        </w:rPr>
        <w:t>IPSA contract</w:t>
      </w:r>
      <w:r>
        <w:rPr>
          <w:rFonts w:ascii="Calibri" w:hAnsi="Calibri" w:cs="Calibri"/>
          <w:sz w:val="22"/>
          <w:szCs w:val="22"/>
        </w:rPr>
        <w:t xml:space="preserve"> must be issued. It must also be noted that by doing so, the time of service of the </w:t>
      </w:r>
      <w:r>
        <w:rPr>
          <w:rFonts w:ascii="Calibri" w:hAnsi="Calibri" w:cs="Calibri"/>
          <w:sz w:val="22"/>
          <w:szCs w:val="22"/>
          <w:lang w:eastAsia="en-GB"/>
        </w:rPr>
        <w:t>IPSA</w:t>
      </w:r>
      <w:r>
        <w:rPr>
          <w:rFonts w:ascii="Calibri" w:hAnsi="Calibri" w:cs="Calibri"/>
          <w:sz w:val="22"/>
          <w:szCs w:val="22"/>
        </w:rPr>
        <w:t xml:space="preserve"> holder is not reset in such case, if there is no break between the contracts.   </w:t>
      </w:r>
    </w:p>
    <w:p w14:paraId="2FC24119" w14:textId="77777777" w:rsidR="00804AF0" w:rsidRDefault="009A47D6">
      <w:pPr>
        <w:ind w:left="720"/>
        <w:jc w:val="both"/>
        <w:textAlignment w:val="baseline"/>
        <w:rPr>
          <w:rFonts w:ascii="Calibri" w:hAnsi="Calibri" w:cs="Calibri"/>
          <w:sz w:val="22"/>
          <w:szCs w:val="22"/>
        </w:rPr>
      </w:pPr>
      <w:r>
        <w:rPr>
          <w:rFonts w:ascii="Calibri" w:hAnsi="Calibri" w:cs="Calibri"/>
          <w:sz w:val="22"/>
          <w:szCs w:val="22"/>
        </w:rPr>
        <w:t> </w:t>
      </w:r>
    </w:p>
    <w:p w14:paraId="4A482D61" w14:textId="77777777" w:rsidR="00804AF0" w:rsidRDefault="009A47D6">
      <w:pPr>
        <w:jc w:val="both"/>
        <w:textAlignment w:val="baseline"/>
        <w:rPr>
          <w:rFonts w:ascii="Calibri" w:hAnsi="Calibri" w:cs="Calibri"/>
          <w:sz w:val="22"/>
          <w:szCs w:val="22"/>
        </w:rPr>
      </w:pPr>
      <w:r>
        <w:rPr>
          <w:rFonts w:ascii="Calibri" w:hAnsi="Calibri" w:cs="Calibri"/>
          <w:sz w:val="22"/>
          <w:szCs w:val="22"/>
        </w:rPr>
        <w:t xml:space="preserve">For the </w:t>
      </w:r>
      <w:r>
        <w:rPr>
          <w:rFonts w:ascii="Calibri" w:hAnsi="Calibri" w:cs="Calibri"/>
          <w:sz w:val="22"/>
          <w:szCs w:val="22"/>
          <w:lang w:eastAsia="en-GB"/>
        </w:rPr>
        <w:t>purposes</w:t>
      </w:r>
      <w:r>
        <w:rPr>
          <w:rFonts w:ascii="Calibri" w:hAnsi="Calibri" w:cs="Calibri"/>
          <w:sz w:val="22"/>
          <w:szCs w:val="22"/>
        </w:rPr>
        <w:t xml:space="preserve"> of </w:t>
      </w:r>
      <w:r>
        <w:rPr>
          <w:rFonts w:ascii="Calibri" w:hAnsi="Calibri" w:cs="Calibri"/>
          <w:sz w:val="22"/>
          <w:szCs w:val="22"/>
          <w:lang w:eastAsia="en-GB"/>
        </w:rPr>
        <w:t>this Policy</w:t>
      </w:r>
      <w:r>
        <w:rPr>
          <w:rFonts w:ascii="Calibri" w:hAnsi="Calibri" w:cs="Calibri"/>
          <w:sz w:val="22"/>
          <w:szCs w:val="22"/>
        </w:rPr>
        <w:t>, “similar position” shall mean a position under the same contract modality (</w:t>
      </w:r>
      <w:r>
        <w:rPr>
          <w:rFonts w:ascii="Calibri" w:hAnsi="Calibri" w:cs="Calibri"/>
          <w:sz w:val="22"/>
          <w:szCs w:val="22"/>
          <w:lang w:eastAsia="en-GB"/>
        </w:rPr>
        <w:t>IPSA</w:t>
      </w:r>
      <w:r>
        <w:rPr>
          <w:rFonts w:ascii="Calibri" w:hAnsi="Calibri" w:cs="Calibri"/>
          <w:sz w:val="22"/>
          <w:szCs w:val="22"/>
        </w:rPr>
        <w:t>), grade and band with two or less changes to the stated functions.  </w:t>
      </w:r>
    </w:p>
    <w:p w14:paraId="4E01BF26" w14:textId="77777777" w:rsidR="00804AF0" w:rsidRDefault="009A47D6">
      <w:pPr>
        <w:ind w:left="1080"/>
        <w:jc w:val="both"/>
        <w:textAlignment w:val="baseline"/>
        <w:rPr>
          <w:rFonts w:ascii="Calibri" w:hAnsi="Calibri" w:cs="Calibri"/>
          <w:sz w:val="22"/>
          <w:szCs w:val="22"/>
        </w:rPr>
      </w:pPr>
      <w:r>
        <w:rPr>
          <w:rFonts w:ascii="Calibri" w:hAnsi="Calibri" w:cs="Calibri"/>
          <w:sz w:val="22"/>
          <w:szCs w:val="22"/>
        </w:rPr>
        <w:t> </w:t>
      </w:r>
    </w:p>
    <w:p w14:paraId="340EF7A3" w14:textId="77777777" w:rsidR="00804AF0" w:rsidRDefault="009A47D6">
      <w:pPr>
        <w:jc w:val="both"/>
        <w:textAlignment w:val="baseline"/>
        <w:rPr>
          <w:rFonts w:ascii="Calibri" w:hAnsi="Calibri" w:cs="Calibri"/>
          <w:sz w:val="22"/>
          <w:szCs w:val="22"/>
        </w:rPr>
      </w:pPr>
      <w:bookmarkStart w:id="103" w:name="_Hlk59876997"/>
      <w:r>
        <w:rPr>
          <w:rFonts w:ascii="Calibri" w:hAnsi="Calibri" w:cs="Calibri"/>
          <w:b/>
          <w:sz w:val="22"/>
          <w:szCs w:val="22"/>
        </w:rPr>
        <w:t>C. Direct recruitment from a roster</w:t>
      </w:r>
      <w:r>
        <w:rPr>
          <w:rFonts w:ascii="Calibri" w:hAnsi="Calibri" w:cs="Calibri"/>
          <w:b/>
          <w:bCs/>
          <w:sz w:val="22"/>
          <w:szCs w:val="22"/>
          <w:lang w:eastAsia="en-GB"/>
        </w:rPr>
        <w:t> </w:t>
      </w:r>
      <w:r>
        <w:rPr>
          <w:rFonts w:ascii="Calibri" w:hAnsi="Calibri" w:cs="Calibri"/>
          <w:b/>
          <w:sz w:val="22"/>
          <w:szCs w:val="22"/>
        </w:rPr>
        <w:t>that has been formally recognized by UNDP</w:t>
      </w:r>
      <w:r>
        <w:rPr>
          <w:rFonts w:ascii="Calibri" w:hAnsi="Calibri" w:cs="Calibri"/>
          <w:sz w:val="22"/>
          <w:szCs w:val="22"/>
          <w:lang w:eastAsia="en-GB"/>
        </w:rPr>
        <w:t> </w:t>
      </w:r>
    </w:p>
    <w:bookmarkEnd w:id="103"/>
    <w:p w14:paraId="3D3EF218" w14:textId="77777777" w:rsidR="00804AF0" w:rsidRDefault="00804AF0">
      <w:pPr>
        <w:ind w:left="360" w:firstLine="720"/>
        <w:jc w:val="both"/>
        <w:textAlignment w:val="baseline"/>
        <w:rPr>
          <w:rFonts w:ascii="Calibri" w:hAnsi="Calibri" w:cs="Calibri"/>
          <w:sz w:val="22"/>
          <w:szCs w:val="22"/>
        </w:rPr>
      </w:pPr>
    </w:p>
    <w:p w14:paraId="32DA604E" w14:textId="77777777" w:rsidR="00804AF0" w:rsidRDefault="009A47D6">
      <w:pPr>
        <w:jc w:val="both"/>
        <w:textAlignment w:val="baseline"/>
        <w:rPr>
          <w:rFonts w:ascii="Calibri" w:hAnsi="Calibri" w:cs="Calibri"/>
          <w:sz w:val="22"/>
          <w:szCs w:val="22"/>
          <w:lang w:eastAsia="en-GB"/>
        </w:rPr>
      </w:pPr>
      <w:bookmarkStart w:id="104" w:name="_Hlk59877037"/>
      <w:r>
        <w:rPr>
          <w:rFonts w:ascii="Calibri" w:hAnsi="Calibri" w:cs="Calibri"/>
          <w:sz w:val="22"/>
          <w:szCs w:val="22"/>
          <w:lang w:eastAsia="en-GB"/>
        </w:rPr>
        <w:t>UNDP business units may also use a roster of pre–assessed candidates, in accordance with locally established roster procedures without having to go through a full process outlined in Section A. above. The selection from the roster remains subject to the approval of the Head of the Business Unit.</w:t>
      </w:r>
      <w:r>
        <w:rPr>
          <w:rFonts w:ascii="Calibri" w:hAnsi="Calibri" w:cs="Calibri"/>
          <w:color w:val="4472C4"/>
          <w:sz w:val="22"/>
          <w:szCs w:val="22"/>
          <w:lang w:eastAsia="en-GB"/>
        </w:rPr>
        <w:t> </w:t>
      </w:r>
    </w:p>
    <w:bookmarkEnd w:id="104"/>
    <w:p w14:paraId="7EAD6527" w14:textId="77777777" w:rsidR="00804AF0" w:rsidRDefault="009A47D6">
      <w:pPr>
        <w:ind w:left="720"/>
        <w:jc w:val="both"/>
        <w:textAlignment w:val="baseline"/>
        <w:rPr>
          <w:rFonts w:ascii="Calibri" w:hAnsi="Calibri" w:cs="Calibri"/>
          <w:sz w:val="22"/>
          <w:szCs w:val="22"/>
        </w:rPr>
      </w:pPr>
      <w:r>
        <w:rPr>
          <w:rFonts w:ascii="Calibri" w:hAnsi="Calibri" w:cs="Calibri"/>
          <w:sz w:val="22"/>
          <w:szCs w:val="22"/>
        </w:rPr>
        <w:t> </w:t>
      </w:r>
    </w:p>
    <w:p w14:paraId="5D0E7AAF" w14:textId="77777777" w:rsidR="00804AF0" w:rsidRDefault="009A47D6">
      <w:pPr>
        <w:jc w:val="both"/>
        <w:textAlignment w:val="baseline"/>
        <w:rPr>
          <w:rFonts w:ascii="Calibri" w:hAnsi="Calibri" w:cs="Calibri"/>
          <w:sz w:val="22"/>
          <w:szCs w:val="22"/>
        </w:rPr>
      </w:pPr>
      <w:r>
        <w:rPr>
          <w:rFonts w:ascii="Calibri" w:hAnsi="Calibri" w:cs="Calibri"/>
          <w:sz w:val="22"/>
          <w:szCs w:val="22"/>
        </w:rPr>
        <w:t>Where one or more suitable candidates is/are identified by the Head of the Business Unit , the remuneration to be offered will be calculated by the unit using the remuneration setting tool as relevant to the role described in the TORs and the duty station. </w:t>
      </w:r>
    </w:p>
    <w:p w14:paraId="0F856C9C" w14:textId="77777777" w:rsidR="00804AF0" w:rsidRDefault="009A47D6">
      <w:pPr>
        <w:ind w:left="720"/>
        <w:jc w:val="both"/>
        <w:textAlignment w:val="baseline"/>
        <w:rPr>
          <w:rFonts w:ascii="Calibri" w:hAnsi="Calibri" w:cs="Calibri"/>
          <w:sz w:val="22"/>
          <w:szCs w:val="22"/>
        </w:rPr>
      </w:pPr>
      <w:r>
        <w:rPr>
          <w:rFonts w:ascii="Calibri" w:hAnsi="Calibri" w:cs="Calibri"/>
          <w:sz w:val="22"/>
          <w:szCs w:val="22"/>
        </w:rPr>
        <w:t> </w:t>
      </w:r>
    </w:p>
    <w:p w14:paraId="0CA458C5" w14:textId="77777777" w:rsidR="00804AF0" w:rsidRDefault="009A47D6">
      <w:pPr>
        <w:jc w:val="both"/>
        <w:textAlignment w:val="baseline"/>
        <w:rPr>
          <w:rFonts w:ascii="Calibri" w:hAnsi="Calibri" w:cs="Calibri"/>
          <w:sz w:val="22"/>
          <w:szCs w:val="22"/>
        </w:rPr>
      </w:pPr>
      <w:r>
        <w:rPr>
          <w:rFonts w:ascii="Calibri" w:hAnsi="Calibri" w:cs="Calibri"/>
          <w:sz w:val="22"/>
          <w:szCs w:val="22"/>
        </w:rPr>
        <w:t>In such cases, a review or assessment process is not necessary. The recommendation and the criteria must be documented. </w:t>
      </w:r>
    </w:p>
    <w:p w14:paraId="17EE249B" w14:textId="77777777" w:rsidR="00804AF0" w:rsidRDefault="009A47D6">
      <w:pPr>
        <w:jc w:val="both"/>
        <w:textAlignment w:val="baseline"/>
        <w:rPr>
          <w:rFonts w:ascii="Calibri" w:hAnsi="Calibri" w:cs="Calibri"/>
          <w:sz w:val="22"/>
          <w:szCs w:val="22"/>
        </w:rPr>
      </w:pPr>
      <w:r>
        <w:rPr>
          <w:rFonts w:ascii="Calibri" w:hAnsi="Calibri" w:cs="Calibri"/>
          <w:sz w:val="22"/>
          <w:szCs w:val="22"/>
        </w:rPr>
        <w:t> </w:t>
      </w:r>
    </w:p>
    <w:p w14:paraId="25FF1A23" w14:textId="77777777" w:rsidR="00804AF0" w:rsidRDefault="009A47D6">
      <w:pPr>
        <w:jc w:val="both"/>
        <w:textAlignment w:val="baseline"/>
        <w:rPr>
          <w:rFonts w:ascii="Calibri" w:hAnsi="Calibri" w:cs="Calibri"/>
          <w:sz w:val="22"/>
          <w:szCs w:val="22"/>
        </w:rPr>
      </w:pPr>
      <w:r>
        <w:rPr>
          <w:rFonts w:ascii="Calibri" w:hAnsi="Calibri" w:cs="Calibri"/>
          <w:sz w:val="22"/>
          <w:szCs w:val="22"/>
        </w:rPr>
        <w:t>For certain roles, UNDP may access formally established personnel rosters of other UN, recognised multi-lateral international organizations and International Financial Institutions (IFI) to source suitable personnel. It is at the Hiring Manager’s discretion to select external partner personnel, through the clearance of the Regional HR Business Partner.  </w:t>
      </w:r>
    </w:p>
    <w:p w14:paraId="469A83A9" w14:textId="77777777" w:rsidR="00804AF0" w:rsidRDefault="009A47D6">
      <w:pPr>
        <w:ind w:left="1080"/>
        <w:jc w:val="both"/>
        <w:textAlignment w:val="baseline"/>
        <w:rPr>
          <w:rFonts w:ascii="Calibri" w:hAnsi="Calibri" w:cs="Calibri"/>
          <w:sz w:val="22"/>
          <w:szCs w:val="22"/>
        </w:rPr>
      </w:pPr>
      <w:r>
        <w:rPr>
          <w:rFonts w:ascii="Calibri" w:hAnsi="Calibri" w:cs="Calibri"/>
          <w:sz w:val="22"/>
          <w:szCs w:val="22"/>
        </w:rPr>
        <w:t> </w:t>
      </w:r>
    </w:p>
    <w:p w14:paraId="30B9C728" w14:textId="77777777" w:rsidR="00804AF0" w:rsidRDefault="009A47D6">
      <w:pPr>
        <w:jc w:val="both"/>
        <w:textAlignment w:val="baseline"/>
        <w:rPr>
          <w:rFonts w:ascii="Calibri" w:hAnsi="Calibri" w:cs="Calibri"/>
          <w:b/>
          <w:sz w:val="22"/>
          <w:szCs w:val="22"/>
        </w:rPr>
      </w:pPr>
      <w:bookmarkStart w:id="105" w:name="_Hlk58164679"/>
      <w:r>
        <w:rPr>
          <w:rFonts w:ascii="Calibri" w:hAnsi="Calibri" w:cs="Calibri"/>
          <w:b/>
          <w:sz w:val="22"/>
          <w:szCs w:val="22"/>
        </w:rPr>
        <w:t>D. Direct selection</w:t>
      </w:r>
      <w:r>
        <w:rPr>
          <w:rFonts w:ascii="Calibri" w:hAnsi="Calibri" w:cs="Calibri"/>
          <w:b/>
          <w:bCs/>
          <w:sz w:val="22"/>
          <w:szCs w:val="22"/>
          <w:lang w:eastAsia="en-GB"/>
        </w:rPr>
        <w:t> </w:t>
      </w:r>
      <w:r>
        <w:rPr>
          <w:rFonts w:ascii="Calibri" w:hAnsi="Calibri" w:cs="Calibri"/>
          <w:b/>
          <w:sz w:val="22"/>
          <w:szCs w:val="22"/>
        </w:rPr>
        <w:t>of a candidate</w:t>
      </w:r>
    </w:p>
    <w:p w14:paraId="621A1E6C"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lastRenderedPageBreak/>
        <w:t xml:space="preserve">  </w:t>
      </w:r>
    </w:p>
    <w:p w14:paraId="1F0E0DB9" w14:textId="77777777" w:rsidR="00804AF0" w:rsidRDefault="009A47D6">
      <w:pPr>
        <w:jc w:val="both"/>
        <w:textAlignment w:val="baseline"/>
        <w:rPr>
          <w:rFonts w:ascii="Calibri" w:hAnsi="Calibri" w:cs="Calibri"/>
          <w:sz w:val="22"/>
          <w:szCs w:val="22"/>
          <w:lang w:eastAsia="en-GB"/>
        </w:rPr>
      </w:pPr>
      <w:bookmarkStart w:id="106" w:name="_Hlk59877180"/>
      <w:r>
        <w:rPr>
          <w:rFonts w:ascii="Calibri" w:hAnsi="Calibri" w:cs="Calibri"/>
          <w:sz w:val="22"/>
          <w:szCs w:val="22"/>
          <w:lang w:eastAsia="en-GB"/>
        </w:rPr>
        <w:t>The UNDP Administrator, Associate Administrator or their delegates (RB Directors and Deputies, UNV or UNCDF Executive Coordinator, and UNOSSC Director) may hire a candidate on any IPSA position directly. </w:t>
      </w:r>
    </w:p>
    <w:p w14:paraId="793128AD" w14:textId="77777777" w:rsidR="00804AF0" w:rsidRDefault="009A47D6">
      <w:pPr>
        <w:ind w:left="360"/>
        <w:jc w:val="both"/>
        <w:textAlignment w:val="baseline"/>
        <w:rPr>
          <w:rFonts w:ascii="Calibri" w:hAnsi="Calibri" w:cs="Calibri"/>
          <w:sz w:val="22"/>
          <w:szCs w:val="22"/>
          <w:lang w:eastAsia="en-GB"/>
        </w:rPr>
      </w:pPr>
      <w:r>
        <w:rPr>
          <w:rFonts w:ascii="Calibri" w:hAnsi="Calibri" w:cs="Calibri"/>
          <w:sz w:val="22"/>
          <w:szCs w:val="22"/>
          <w:lang w:eastAsia="en-GB"/>
        </w:rPr>
        <w:t> </w:t>
      </w:r>
    </w:p>
    <w:p w14:paraId="6DF27712" w14:textId="77777777" w:rsidR="00804AF0" w:rsidRDefault="009A47D6">
      <w:pPr>
        <w:jc w:val="both"/>
        <w:textAlignment w:val="baseline"/>
        <w:rPr>
          <w:rFonts w:ascii="Calibri" w:hAnsi="Calibri" w:cs="Calibri"/>
          <w:sz w:val="22"/>
          <w:szCs w:val="22"/>
        </w:rPr>
      </w:pPr>
      <w:r>
        <w:rPr>
          <w:rFonts w:ascii="Calibri" w:hAnsi="Calibri" w:cs="Calibri"/>
          <w:sz w:val="22"/>
          <w:szCs w:val="22"/>
          <w:lang w:eastAsia="en-GB"/>
        </w:rPr>
        <w:t>In instances where business needs prevail, for example, in emergency response situations, the Head of the Business Unit (RRs/DRRs in country offices) may select individuals directly and contract them under a short-term IPSA, provided the candidate meets the requirements of the position.</w:t>
      </w:r>
      <w:r>
        <w:rPr>
          <w:rFonts w:ascii="Calibri" w:hAnsi="Calibri" w:cs="Calibri"/>
          <w:sz w:val="22"/>
          <w:szCs w:val="22"/>
        </w:rPr>
        <w:t> </w:t>
      </w:r>
      <w:bookmarkEnd w:id="106"/>
    </w:p>
    <w:bookmarkEnd w:id="105"/>
    <w:p w14:paraId="09CEE20E" w14:textId="77777777" w:rsidR="00804AF0" w:rsidRDefault="00804AF0">
      <w:pPr>
        <w:jc w:val="both"/>
        <w:textAlignment w:val="baseline"/>
        <w:rPr>
          <w:rFonts w:ascii="Calibri" w:hAnsi="Calibri" w:cs="Calibri"/>
          <w:b/>
          <w:bCs/>
          <w:sz w:val="22"/>
          <w:szCs w:val="22"/>
          <w:u w:val="single"/>
          <w:lang w:eastAsia="en-GB"/>
        </w:rPr>
      </w:pPr>
    </w:p>
    <w:p w14:paraId="60C2F7F2" w14:textId="77777777" w:rsidR="00804AF0" w:rsidRDefault="009A47D6">
      <w:pPr>
        <w:jc w:val="both"/>
        <w:textAlignment w:val="baseline"/>
        <w:rPr>
          <w:rFonts w:ascii="Calibri" w:hAnsi="Calibri" w:cs="Calibri"/>
          <w:b/>
          <w:sz w:val="22"/>
          <w:szCs w:val="22"/>
        </w:rPr>
      </w:pPr>
      <w:r>
        <w:rPr>
          <w:rFonts w:ascii="Calibri" w:hAnsi="Calibri" w:cs="Calibri"/>
          <w:b/>
          <w:sz w:val="22"/>
          <w:szCs w:val="22"/>
        </w:rPr>
        <w:t xml:space="preserve">E. Review and assessment of at least 2 candidates (for short-term IPSAs only) </w:t>
      </w:r>
    </w:p>
    <w:p w14:paraId="32AED5FB" w14:textId="77777777" w:rsidR="00804AF0" w:rsidRDefault="00804AF0">
      <w:pPr>
        <w:jc w:val="both"/>
        <w:textAlignment w:val="baseline"/>
        <w:rPr>
          <w:rFonts w:ascii="Calibri" w:hAnsi="Calibri" w:cs="Calibri"/>
          <w:b/>
          <w:sz w:val="22"/>
          <w:szCs w:val="22"/>
        </w:rPr>
      </w:pPr>
    </w:p>
    <w:p w14:paraId="7853DA91" w14:textId="77777777" w:rsidR="00804AF0" w:rsidRDefault="009A47D6">
      <w:pPr>
        <w:jc w:val="both"/>
        <w:textAlignment w:val="baseline"/>
        <w:rPr>
          <w:rFonts w:ascii="Calibri" w:hAnsi="Calibri" w:cs="Calibri"/>
          <w:sz w:val="22"/>
          <w:szCs w:val="22"/>
        </w:rPr>
      </w:pPr>
      <w:r>
        <w:rPr>
          <w:rFonts w:ascii="Calibri" w:hAnsi="Calibri" w:cs="Calibri"/>
          <w:sz w:val="22"/>
          <w:szCs w:val="22"/>
        </w:rPr>
        <w:t xml:space="preserve">A hiring unit may proceed to a competitive selection via a review and assessment of at least 2 qualified candidates CVs/P11s. </w:t>
      </w:r>
    </w:p>
    <w:p w14:paraId="43F4EB74" w14:textId="77777777" w:rsidR="00804AF0" w:rsidRDefault="00804AF0">
      <w:pPr>
        <w:jc w:val="both"/>
        <w:textAlignment w:val="baseline"/>
        <w:rPr>
          <w:rFonts w:ascii="Calibri" w:hAnsi="Calibri" w:cs="Calibri"/>
          <w:b/>
          <w:bCs/>
          <w:sz w:val="22"/>
          <w:szCs w:val="22"/>
          <w:u w:val="single"/>
          <w:lang w:eastAsia="en-GB"/>
        </w:rPr>
      </w:pPr>
    </w:p>
    <w:p w14:paraId="25F9A7DF" w14:textId="77777777" w:rsidR="00804AF0" w:rsidRDefault="00804AF0">
      <w:pPr>
        <w:jc w:val="both"/>
        <w:textAlignment w:val="baseline"/>
        <w:rPr>
          <w:rFonts w:ascii="Calibri" w:hAnsi="Calibri" w:cs="Calibri"/>
          <w:sz w:val="22"/>
          <w:szCs w:val="22"/>
        </w:rPr>
      </w:pPr>
    </w:p>
    <w:p w14:paraId="75A9CA9C" w14:textId="77777777" w:rsidR="00804AF0" w:rsidRDefault="009A47D6">
      <w:pPr>
        <w:jc w:val="both"/>
        <w:textAlignment w:val="baseline"/>
        <w:rPr>
          <w:rFonts w:ascii="Calibri" w:hAnsi="Calibri" w:cs="Calibri"/>
          <w:b/>
          <w:sz w:val="22"/>
          <w:szCs w:val="22"/>
          <w:u w:val="single"/>
        </w:rPr>
      </w:pPr>
      <w:r>
        <w:rPr>
          <w:rFonts w:ascii="Calibri" w:hAnsi="Calibri" w:cs="Calibri"/>
          <w:b/>
          <w:sz w:val="22"/>
          <w:szCs w:val="22"/>
          <w:u w:val="single"/>
        </w:rPr>
        <w:t xml:space="preserve">Assessment procedures: </w:t>
      </w:r>
    </w:p>
    <w:p w14:paraId="0DCEB025" w14:textId="77777777" w:rsidR="00804AF0" w:rsidRDefault="00804AF0">
      <w:pPr>
        <w:jc w:val="both"/>
        <w:textAlignment w:val="baseline"/>
        <w:rPr>
          <w:rFonts w:ascii="Calibri" w:hAnsi="Calibri" w:cs="Calibri"/>
          <w:b/>
          <w:sz w:val="22"/>
          <w:szCs w:val="22"/>
          <w:u w:val="single"/>
        </w:rPr>
      </w:pPr>
    </w:p>
    <w:p w14:paraId="4D483D74" w14:textId="77777777" w:rsidR="00804AF0" w:rsidRDefault="009A47D6">
      <w:pPr>
        <w:jc w:val="both"/>
        <w:textAlignment w:val="baseline"/>
        <w:rPr>
          <w:rFonts w:ascii="Calibri" w:hAnsi="Calibri" w:cs="Calibri"/>
          <w:sz w:val="22"/>
          <w:szCs w:val="22"/>
        </w:rPr>
      </w:pPr>
      <w:r>
        <w:rPr>
          <w:rFonts w:ascii="Calibri" w:hAnsi="Calibri" w:cs="Calibri"/>
          <w:sz w:val="22"/>
          <w:szCs w:val="22"/>
        </w:rPr>
        <w:t>The assessment procedures used to evaluate candidates for a specific position may vary depending on the position requirements. </w:t>
      </w:r>
    </w:p>
    <w:p w14:paraId="676A65F4" w14:textId="77777777" w:rsidR="00804AF0" w:rsidRDefault="009A47D6">
      <w:pPr>
        <w:jc w:val="both"/>
        <w:textAlignment w:val="baseline"/>
        <w:rPr>
          <w:rFonts w:ascii="Calibri" w:hAnsi="Calibri" w:cs="Calibri"/>
          <w:sz w:val="22"/>
          <w:szCs w:val="22"/>
        </w:rPr>
      </w:pPr>
      <w:r>
        <w:rPr>
          <w:rFonts w:ascii="Calibri" w:hAnsi="Calibri" w:cs="Calibri"/>
          <w:sz w:val="22"/>
          <w:szCs w:val="22"/>
        </w:rPr>
        <w:t> </w:t>
      </w:r>
    </w:p>
    <w:p w14:paraId="77D6212C" w14:textId="77777777" w:rsidR="00804AF0" w:rsidRDefault="009A47D6">
      <w:pPr>
        <w:jc w:val="both"/>
        <w:textAlignment w:val="baseline"/>
        <w:rPr>
          <w:rFonts w:ascii="Calibri" w:hAnsi="Calibri" w:cs="Calibri"/>
          <w:sz w:val="22"/>
          <w:szCs w:val="22"/>
        </w:rPr>
      </w:pPr>
      <w:r>
        <w:rPr>
          <w:rFonts w:ascii="Calibri" w:hAnsi="Calibri" w:cs="Calibri"/>
          <w:sz w:val="22"/>
          <w:szCs w:val="22"/>
        </w:rPr>
        <w:t>The Hiring Manager, in consultation with the HR focal point, will decide on the assessment methodologies to be used to best determine the suitability of the candidate for the position, as well as the relative weight to be assigned to each assessment technique. In order to ensure transparency, Hiring Managers are required to account fully for all techniques used and relative weights assigned. </w:t>
      </w:r>
    </w:p>
    <w:p w14:paraId="6CC38586" w14:textId="77777777" w:rsidR="00804AF0" w:rsidRDefault="009A47D6">
      <w:pPr>
        <w:jc w:val="both"/>
        <w:textAlignment w:val="baseline"/>
        <w:rPr>
          <w:rFonts w:ascii="Calibri" w:hAnsi="Calibri" w:cs="Calibri"/>
          <w:sz w:val="22"/>
          <w:szCs w:val="22"/>
        </w:rPr>
      </w:pPr>
      <w:r>
        <w:rPr>
          <w:rFonts w:ascii="Calibri" w:hAnsi="Calibri" w:cs="Calibri"/>
          <w:sz w:val="22"/>
          <w:szCs w:val="22"/>
        </w:rPr>
        <w:t> </w:t>
      </w:r>
    </w:p>
    <w:p w14:paraId="23E65F4A" w14:textId="77777777" w:rsidR="00804AF0" w:rsidRDefault="009A47D6">
      <w:pPr>
        <w:jc w:val="both"/>
        <w:textAlignment w:val="baseline"/>
        <w:rPr>
          <w:rFonts w:ascii="Calibri" w:hAnsi="Calibri" w:cs="Calibri"/>
          <w:sz w:val="22"/>
          <w:szCs w:val="22"/>
        </w:rPr>
      </w:pPr>
      <w:r>
        <w:rPr>
          <w:rFonts w:ascii="Calibri" w:hAnsi="Calibri" w:cs="Calibri"/>
          <w:sz w:val="22"/>
          <w:szCs w:val="22"/>
        </w:rPr>
        <w:t>To ensure a fair and equal assessment of all candidates, assessments for the same position must be conducted following the same assessment methods. </w:t>
      </w:r>
    </w:p>
    <w:p w14:paraId="57E26C3A" w14:textId="77777777" w:rsidR="00804AF0" w:rsidRDefault="00804AF0">
      <w:pPr>
        <w:jc w:val="both"/>
        <w:textAlignment w:val="baseline"/>
        <w:rPr>
          <w:rFonts w:ascii="Calibri" w:hAnsi="Calibri" w:cs="Calibri"/>
          <w:sz w:val="22"/>
          <w:szCs w:val="22"/>
        </w:rPr>
      </w:pPr>
    </w:p>
    <w:p w14:paraId="245EDED0" w14:textId="77777777" w:rsidR="00804AF0" w:rsidRDefault="009A47D6">
      <w:pPr>
        <w:jc w:val="both"/>
        <w:textAlignment w:val="baseline"/>
        <w:rPr>
          <w:rFonts w:ascii="Calibri" w:hAnsi="Calibri" w:cs="Calibri"/>
          <w:b/>
          <w:sz w:val="22"/>
          <w:szCs w:val="22"/>
        </w:rPr>
      </w:pPr>
      <w:r>
        <w:rPr>
          <w:rFonts w:ascii="Calibri" w:hAnsi="Calibri" w:cs="Calibri"/>
          <w:b/>
          <w:sz w:val="22"/>
          <w:szCs w:val="22"/>
        </w:rPr>
        <w:t>A. Interview panel</w:t>
      </w:r>
    </w:p>
    <w:p w14:paraId="6696A10F" w14:textId="77777777" w:rsidR="00804AF0" w:rsidRDefault="00804AF0">
      <w:pPr>
        <w:jc w:val="both"/>
        <w:textAlignment w:val="baseline"/>
        <w:rPr>
          <w:rFonts w:ascii="Calibri" w:hAnsi="Calibri" w:cs="Calibri"/>
          <w:sz w:val="22"/>
          <w:szCs w:val="22"/>
        </w:rPr>
      </w:pPr>
    </w:p>
    <w:p w14:paraId="3BADB1F0" w14:textId="01E77FDB" w:rsidR="00804AF0" w:rsidRDefault="009A47D6">
      <w:pPr>
        <w:jc w:val="both"/>
        <w:textAlignment w:val="baseline"/>
        <w:rPr>
          <w:rFonts w:ascii="Calibri" w:hAnsi="Calibri" w:cs="Calibri"/>
          <w:sz w:val="22"/>
          <w:szCs w:val="22"/>
        </w:rPr>
      </w:pPr>
      <w:r>
        <w:rPr>
          <w:rFonts w:ascii="Calibri" w:hAnsi="Calibri" w:cs="Calibri"/>
          <w:sz w:val="22"/>
          <w:szCs w:val="22"/>
        </w:rPr>
        <w:t xml:space="preserve">The Hiring Unit can establish an ad hoc panel made up of at least three UNDP members of personnel, either </w:t>
      </w:r>
      <w:r w:rsidR="00AE4A4A" w:rsidRPr="00AE4A4A">
        <w:rPr>
          <w:rFonts w:ascii="Calibri" w:hAnsi="Calibri" w:cs="Calibri"/>
          <w:sz w:val="22"/>
          <w:szCs w:val="22"/>
        </w:rPr>
        <w:t xml:space="preserve">staff (PA/FTA/TA) </w:t>
      </w:r>
      <w:r>
        <w:rPr>
          <w:rFonts w:ascii="Calibri" w:hAnsi="Calibri" w:cs="Calibri"/>
          <w:sz w:val="22"/>
          <w:szCs w:val="22"/>
        </w:rPr>
        <w:t xml:space="preserve">or </w:t>
      </w:r>
      <w:r>
        <w:rPr>
          <w:rFonts w:ascii="Calibri" w:hAnsi="Calibri" w:cs="Calibri"/>
          <w:sz w:val="22"/>
          <w:szCs w:val="22"/>
          <w:lang w:eastAsia="en-GB"/>
        </w:rPr>
        <w:t>PSA</w:t>
      </w:r>
      <w:r>
        <w:rPr>
          <w:rFonts w:ascii="Calibri" w:hAnsi="Calibri" w:cs="Calibri"/>
          <w:sz w:val="22"/>
          <w:szCs w:val="22"/>
        </w:rPr>
        <w:t xml:space="preserve"> holders</w:t>
      </w:r>
      <w:r w:rsidR="00AE4A4A">
        <w:rPr>
          <w:rFonts w:ascii="Calibri" w:hAnsi="Calibri" w:cs="Calibri"/>
          <w:sz w:val="22"/>
          <w:szCs w:val="22"/>
        </w:rPr>
        <w:t xml:space="preserve"> </w:t>
      </w:r>
      <w:r>
        <w:rPr>
          <w:rFonts w:ascii="Calibri" w:hAnsi="Calibri" w:cs="Calibri"/>
          <w:sz w:val="22"/>
          <w:szCs w:val="22"/>
        </w:rPr>
        <w:t xml:space="preserve">at the same level or higher as that of the IPSA position under assessment. </w:t>
      </w:r>
      <w:r w:rsidR="00AE4A4A" w:rsidRPr="00AE4A4A">
        <w:rPr>
          <w:rFonts w:ascii="Calibri" w:hAnsi="Calibri" w:cs="Calibri"/>
          <w:sz w:val="22"/>
          <w:szCs w:val="22"/>
        </w:rPr>
        <w:t xml:space="preserve">The panel should include at least one panel member from outside the hiring unit (which may be within the same duty station/office if it is outside the work unit undertaking the hiring). </w:t>
      </w:r>
      <w:r>
        <w:rPr>
          <w:rFonts w:ascii="Calibri" w:hAnsi="Calibri" w:cs="Calibri"/>
          <w:sz w:val="22"/>
          <w:szCs w:val="22"/>
        </w:rPr>
        <w:t xml:space="preserve">The panel will normally be </w:t>
      </w:r>
      <w:r>
        <w:rPr>
          <w:rFonts w:ascii="Calibri" w:hAnsi="Calibri" w:cs="Calibri"/>
          <w:sz w:val="22"/>
          <w:szCs w:val="22"/>
          <w:lang w:eastAsia="en-GB"/>
        </w:rPr>
        <w:t xml:space="preserve">chaired by </w:t>
      </w:r>
      <w:proofErr w:type="gramStart"/>
      <w:r>
        <w:rPr>
          <w:rFonts w:ascii="Calibri" w:hAnsi="Calibri" w:cs="Calibri"/>
          <w:sz w:val="22"/>
          <w:szCs w:val="22"/>
          <w:lang w:eastAsia="en-GB"/>
        </w:rPr>
        <w:t>a</w:t>
      </w:r>
      <w:proofErr w:type="gramEnd"/>
      <w:r>
        <w:rPr>
          <w:rFonts w:ascii="Calibri" w:hAnsi="Calibri" w:cs="Calibri"/>
          <w:sz w:val="22"/>
          <w:szCs w:val="22"/>
          <w:lang w:eastAsia="en-GB"/>
        </w:rPr>
        <w:t xml:space="preserve"> FTA </w:t>
      </w:r>
      <w:r w:rsidR="00471784">
        <w:rPr>
          <w:rFonts w:ascii="Calibri" w:hAnsi="Calibri" w:cs="Calibri"/>
          <w:sz w:val="22"/>
          <w:szCs w:val="22"/>
          <w:lang w:eastAsia="en-GB"/>
        </w:rPr>
        <w:t>staff member.</w:t>
      </w:r>
      <w:r w:rsidR="00713ED2">
        <w:rPr>
          <w:rFonts w:ascii="Calibri" w:hAnsi="Calibri" w:cs="Calibri"/>
          <w:sz w:val="22"/>
          <w:szCs w:val="22"/>
          <w:lang w:eastAsia="en-GB"/>
        </w:rPr>
        <w:t xml:space="preserve"> </w:t>
      </w:r>
      <w:r w:rsidR="00471784">
        <w:rPr>
          <w:rFonts w:ascii="Calibri" w:hAnsi="Calibri" w:cs="Calibri"/>
          <w:sz w:val="22"/>
          <w:szCs w:val="22"/>
          <w:lang w:eastAsia="en-GB"/>
        </w:rPr>
        <w:t>H</w:t>
      </w:r>
      <w:r>
        <w:rPr>
          <w:rFonts w:ascii="Calibri" w:hAnsi="Calibri" w:cs="Calibri"/>
          <w:sz w:val="22"/>
          <w:szCs w:val="22"/>
          <w:lang w:eastAsia="en-GB"/>
        </w:rPr>
        <w:t xml:space="preserve">owever, when this is not possible, the Head of the Business Unit may authorize the chair of the interview panel to be the PSA holder holding the highest level. Due consideration should be given to diversity and gender considerations, as appropriate for the duty station. </w:t>
      </w:r>
      <w:r>
        <w:rPr>
          <w:rFonts w:ascii="Calibri" w:hAnsi="Calibri" w:cs="Calibri"/>
          <w:sz w:val="22"/>
          <w:szCs w:val="22"/>
          <w:u w:val="single"/>
          <w:lang w:eastAsia="en-GB"/>
        </w:rPr>
        <w:t>The panel provides its recommendation to the Head of the Business Unit for a final decision</w:t>
      </w:r>
      <w:r>
        <w:rPr>
          <w:rFonts w:ascii="Calibri" w:hAnsi="Calibri" w:cs="Calibri"/>
          <w:sz w:val="22"/>
          <w:szCs w:val="22"/>
        </w:rPr>
        <w:t>.</w:t>
      </w:r>
    </w:p>
    <w:p w14:paraId="7B177938" w14:textId="77777777" w:rsidR="00471784" w:rsidRDefault="00471784">
      <w:pPr>
        <w:jc w:val="both"/>
        <w:textAlignment w:val="baseline"/>
        <w:rPr>
          <w:rFonts w:ascii="Calibri" w:hAnsi="Calibri" w:cs="Calibri"/>
          <w:sz w:val="22"/>
          <w:szCs w:val="22"/>
        </w:rPr>
      </w:pPr>
    </w:p>
    <w:p w14:paraId="45EDB886" w14:textId="3D28F6B9" w:rsidR="00471784" w:rsidRDefault="00471784">
      <w:pPr>
        <w:jc w:val="both"/>
        <w:textAlignment w:val="baseline"/>
        <w:rPr>
          <w:rFonts w:ascii="Calibri" w:hAnsi="Calibri" w:cs="Calibri"/>
          <w:sz w:val="22"/>
          <w:szCs w:val="22"/>
        </w:rPr>
      </w:pPr>
      <w:r w:rsidRPr="00471784">
        <w:rPr>
          <w:rFonts w:ascii="Calibri" w:hAnsi="Calibri" w:cs="Calibri"/>
          <w:sz w:val="22"/>
          <w:szCs w:val="22"/>
        </w:rPr>
        <w:t xml:space="preserve">Note: Other recruitment </w:t>
      </w:r>
      <w:r w:rsidR="002815D0" w:rsidRPr="00471784">
        <w:rPr>
          <w:rFonts w:ascii="Calibri" w:hAnsi="Calibri" w:cs="Calibri"/>
          <w:sz w:val="22"/>
          <w:szCs w:val="22"/>
        </w:rPr>
        <w:t>collaborators,</w:t>
      </w:r>
      <w:r w:rsidRPr="00471784">
        <w:rPr>
          <w:rFonts w:ascii="Calibri" w:hAnsi="Calibri" w:cs="Calibri"/>
          <w:sz w:val="22"/>
          <w:szCs w:val="22"/>
        </w:rPr>
        <w:t xml:space="preserve"> including shortlisters and assessment </w:t>
      </w:r>
      <w:proofErr w:type="gramStart"/>
      <w:r w:rsidRPr="00471784">
        <w:rPr>
          <w:rFonts w:ascii="Calibri" w:hAnsi="Calibri" w:cs="Calibri"/>
          <w:sz w:val="22"/>
          <w:szCs w:val="22"/>
        </w:rPr>
        <w:t>scorers</w:t>
      </w:r>
      <w:proofErr w:type="gramEnd"/>
      <w:r w:rsidRPr="00471784">
        <w:rPr>
          <w:rFonts w:ascii="Calibri" w:hAnsi="Calibri" w:cs="Calibri"/>
          <w:sz w:val="22"/>
          <w:szCs w:val="22"/>
        </w:rPr>
        <w:t xml:space="preserve"> should also be at the same level or higher as that of the </w:t>
      </w:r>
      <w:r w:rsidR="00761023">
        <w:rPr>
          <w:rFonts w:ascii="Calibri" w:hAnsi="Calibri" w:cs="Calibri"/>
          <w:sz w:val="22"/>
          <w:szCs w:val="22"/>
        </w:rPr>
        <w:t>I</w:t>
      </w:r>
      <w:r w:rsidRPr="00471784">
        <w:rPr>
          <w:rFonts w:ascii="Calibri" w:hAnsi="Calibri" w:cs="Calibri"/>
          <w:sz w:val="22"/>
          <w:szCs w:val="22"/>
        </w:rPr>
        <w:t>PSA position under assessment. To ensure segregation of roles across the different stages of the recruitment process, each collaborator can only participate in one recruitment stage: shortlisting, assessment marking or the interview panel.</w:t>
      </w:r>
    </w:p>
    <w:p w14:paraId="119016D6" w14:textId="77777777" w:rsidR="00804AF0" w:rsidRDefault="00804AF0">
      <w:pPr>
        <w:jc w:val="both"/>
        <w:textAlignment w:val="baseline"/>
        <w:rPr>
          <w:rFonts w:ascii="Calibri" w:hAnsi="Calibri" w:cs="Calibri"/>
          <w:b/>
          <w:bCs/>
          <w:sz w:val="22"/>
          <w:szCs w:val="22"/>
          <w:u w:val="single"/>
          <w:lang w:eastAsia="en-GB"/>
        </w:rPr>
      </w:pPr>
    </w:p>
    <w:p w14:paraId="5FC8D0A1" w14:textId="77777777" w:rsidR="00804AF0" w:rsidRDefault="009A47D6">
      <w:pPr>
        <w:jc w:val="both"/>
        <w:rPr>
          <w:rFonts w:ascii="Calibri" w:hAnsi="Calibri" w:cs="Calibri"/>
          <w:sz w:val="22"/>
          <w:szCs w:val="22"/>
          <w:lang w:eastAsia="en-GB"/>
        </w:rPr>
      </w:pPr>
      <w:r>
        <w:rPr>
          <w:rFonts w:ascii="Calibri" w:hAnsi="Calibri" w:cs="Calibri"/>
          <w:b/>
          <w:bCs/>
          <w:sz w:val="22"/>
          <w:szCs w:val="22"/>
          <w:u w:val="single"/>
        </w:rPr>
        <w:lastRenderedPageBreak/>
        <w:t xml:space="preserve">Note: </w:t>
      </w:r>
      <w:r>
        <w:rPr>
          <w:rFonts w:ascii="Calibri" w:hAnsi="Calibri" w:cs="Calibri"/>
          <w:sz w:val="22"/>
          <w:szCs w:val="22"/>
        </w:rPr>
        <w:t xml:space="preserve">Notwithstanding that programme delivery increasingly relies upon building a close partnership with governments, participation of national counterparts or government officials on UNDP interview panels </w:t>
      </w:r>
      <w:r>
        <w:rPr>
          <w:rFonts w:ascii="Calibri" w:hAnsi="Calibri" w:cs="Calibri"/>
          <w:b/>
          <w:bCs/>
          <w:i/>
          <w:iCs/>
          <w:sz w:val="22"/>
          <w:szCs w:val="22"/>
        </w:rPr>
        <w:t>is generally discouraged</w:t>
      </w:r>
      <w:r>
        <w:rPr>
          <w:rFonts w:ascii="Calibri" w:hAnsi="Calibri" w:cs="Calibri"/>
          <w:sz w:val="22"/>
          <w:szCs w:val="22"/>
        </w:rPr>
        <w:t xml:space="preserve"> but may be permissible in the capacity of “observer”.  In considering </w:t>
      </w:r>
      <w:r>
        <w:rPr>
          <w:rFonts w:ascii="Calibri" w:hAnsi="Calibri" w:cs="Calibri"/>
          <w:sz w:val="22"/>
          <w:szCs w:val="22"/>
          <w:lang w:eastAsia="en-GB"/>
        </w:rPr>
        <w:t>if a national counterpart or government official will participate in a panel as an observer, Hiring Units must fully consider the principle of independence as articulated in the United Nations Charter, and determine whether or not such participation would compromise the actual, or perceived, independence of UNDP.</w:t>
      </w:r>
    </w:p>
    <w:p w14:paraId="35F895DE" w14:textId="77777777" w:rsidR="00804AF0" w:rsidRDefault="00804AF0">
      <w:pPr>
        <w:jc w:val="both"/>
        <w:textAlignment w:val="baseline"/>
        <w:rPr>
          <w:rFonts w:ascii="Calibri" w:hAnsi="Calibri" w:cs="Calibri"/>
          <w:sz w:val="22"/>
          <w:szCs w:val="22"/>
        </w:rPr>
      </w:pPr>
    </w:p>
    <w:p w14:paraId="1C9A3646" w14:textId="77777777" w:rsidR="00804AF0" w:rsidRDefault="009A47D6">
      <w:pPr>
        <w:jc w:val="both"/>
        <w:textAlignment w:val="baseline"/>
        <w:rPr>
          <w:rFonts w:ascii="Calibri" w:hAnsi="Calibri" w:cs="Calibri"/>
          <w:sz w:val="22"/>
          <w:szCs w:val="22"/>
        </w:rPr>
      </w:pPr>
      <w:r>
        <w:rPr>
          <w:rFonts w:ascii="Calibri" w:hAnsi="Calibri" w:cs="Calibri"/>
          <w:b/>
          <w:sz w:val="22"/>
          <w:szCs w:val="22"/>
        </w:rPr>
        <w:t>B. Technical assessments </w:t>
      </w:r>
    </w:p>
    <w:p w14:paraId="6320DFFD" w14:textId="77777777" w:rsidR="00804AF0" w:rsidRDefault="00804AF0">
      <w:pPr>
        <w:jc w:val="both"/>
        <w:textAlignment w:val="baseline"/>
        <w:rPr>
          <w:rFonts w:ascii="Calibri" w:hAnsi="Calibri" w:cs="Calibri"/>
          <w:sz w:val="22"/>
          <w:szCs w:val="22"/>
        </w:rPr>
      </w:pPr>
    </w:p>
    <w:p w14:paraId="7F3DCE77" w14:textId="77777777" w:rsidR="00804AF0" w:rsidRDefault="009A47D6">
      <w:pPr>
        <w:jc w:val="both"/>
        <w:rPr>
          <w:rFonts w:ascii="Calibri" w:hAnsi="Calibri" w:cs="Calibri"/>
          <w:sz w:val="22"/>
          <w:szCs w:val="22"/>
          <w:lang w:eastAsia="en-GB"/>
        </w:rPr>
      </w:pPr>
      <w:r>
        <w:rPr>
          <w:rFonts w:ascii="Calibri" w:hAnsi="Calibri" w:cs="Calibri"/>
          <w:sz w:val="22"/>
          <w:szCs w:val="22"/>
          <w:lang w:eastAsia="en-GB"/>
        </w:rPr>
        <w:t>It is important to ensure candidates can deliver the technical aspects of the role. The Hiring Unit has several options to confirm this aspect of the candidate’s profile. This includes psychometric and skill-based assessments offered internally or through an external firm; Asynchronous interviews through a provider such as Vid-cruter; A technical phone screen, writing sample or assessment. The Hiring Unit must share a rubric to assist with evaluating the response from the candidate.</w:t>
      </w:r>
    </w:p>
    <w:p w14:paraId="0126981B" w14:textId="77777777" w:rsidR="00804AF0" w:rsidRDefault="00804AF0">
      <w:pPr>
        <w:jc w:val="both"/>
        <w:rPr>
          <w:rFonts w:ascii="Calibri" w:hAnsi="Calibri" w:cs="Calibri"/>
          <w:sz w:val="22"/>
          <w:szCs w:val="22"/>
          <w:lang w:eastAsia="en-GB"/>
        </w:rPr>
      </w:pPr>
    </w:p>
    <w:p w14:paraId="40A5F470" w14:textId="77777777" w:rsidR="00804AF0" w:rsidRDefault="009A47D6">
      <w:pPr>
        <w:jc w:val="both"/>
        <w:textAlignment w:val="baseline"/>
        <w:rPr>
          <w:rFonts w:ascii="Calibri" w:hAnsi="Calibri" w:cs="Calibri"/>
          <w:b/>
          <w:sz w:val="22"/>
          <w:szCs w:val="22"/>
        </w:rPr>
      </w:pPr>
      <w:r>
        <w:rPr>
          <w:rFonts w:ascii="Calibri" w:hAnsi="Calibri" w:cs="Calibri"/>
          <w:b/>
          <w:sz w:val="22"/>
          <w:szCs w:val="22"/>
        </w:rPr>
        <w:t>C. Panel desk reviews</w:t>
      </w:r>
    </w:p>
    <w:p w14:paraId="399F421C" w14:textId="77777777" w:rsidR="00804AF0" w:rsidRDefault="00804AF0">
      <w:pPr>
        <w:jc w:val="both"/>
        <w:textAlignment w:val="baseline"/>
        <w:rPr>
          <w:rFonts w:ascii="Calibri" w:hAnsi="Calibri" w:cs="Calibri"/>
          <w:sz w:val="22"/>
          <w:szCs w:val="22"/>
        </w:rPr>
      </w:pPr>
    </w:p>
    <w:p w14:paraId="2DB7EDCF" w14:textId="77777777" w:rsidR="00804AF0" w:rsidRDefault="009A47D6">
      <w:pPr>
        <w:jc w:val="both"/>
        <w:textAlignment w:val="baseline"/>
        <w:rPr>
          <w:rFonts w:ascii="Calibri" w:hAnsi="Calibri" w:cs="Calibri"/>
          <w:sz w:val="22"/>
          <w:szCs w:val="22"/>
        </w:rPr>
      </w:pPr>
      <w:r>
        <w:rPr>
          <w:rFonts w:ascii="Calibri" w:hAnsi="Calibri" w:cs="Calibri"/>
          <w:sz w:val="22"/>
          <w:szCs w:val="22"/>
        </w:rPr>
        <w:t xml:space="preserve">Candidates can be assessed using full panel desk reviews A full panel desk review, includes in addition to the review of a candidate’s CV, the review of written responses to the competency-based questions. A full panel desk review can be used to assess both regular and short-term IPSAs.  </w:t>
      </w:r>
    </w:p>
    <w:p w14:paraId="042AFC8A" w14:textId="77777777" w:rsidR="00804AF0" w:rsidRDefault="00804AF0">
      <w:pPr>
        <w:jc w:val="both"/>
        <w:textAlignment w:val="baseline"/>
        <w:rPr>
          <w:rFonts w:ascii="Calibri" w:hAnsi="Calibri" w:cs="Calibri"/>
          <w:sz w:val="22"/>
          <w:szCs w:val="22"/>
        </w:rPr>
      </w:pPr>
    </w:p>
    <w:p w14:paraId="0026E18D" w14:textId="77777777" w:rsidR="00804AF0" w:rsidRDefault="009A47D6">
      <w:pPr>
        <w:jc w:val="both"/>
        <w:textAlignment w:val="baseline"/>
        <w:rPr>
          <w:rFonts w:ascii="Calibri" w:hAnsi="Calibri" w:cs="Calibri"/>
          <w:b/>
          <w:sz w:val="22"/>
          <w:szCs w:val="22"/>
        </w:rPr>
      </w:pPr>
      <w:r>
        <w:rPr>
          <w:rFonts w:ascii="Calibri" w:hAnsi="Calibri" w:cs="Calibri"/>
          <w:b/>
          <w:sz w:val="22"/>
          <w:szCs w:val="22"/>
        </w:rPr>
        <w:t>D. Review and assessment of CVs/P11s</w:t>
      </w:r>
    </w:p>
    <w:p w14:paraId="6EA7802A" w14:textId="77777777" w:rsidR="00804AF0" w:rsidRDefault="00804AF0">
      <w:pPr>
        <w:jc w:val="both"/>
        <w:textAlignment w:val="baseline"/>
        <w:rPr>
          <w:rFonts w:ascii="Calibri" w:hAnsi="Calibri" w:cs="Calibri"/>
          <w:sz w:val="22"/>
          <w:szCs w:val="22"/>
        </w:rPr>
      </w:pPr>
    </w:p>
    <w:p w14:paraId="2AECAFF7" w14:textId="77777777" w:rsidR="00804AF0" w:rsidRDefault="009A47D6">
      <w:pPr>
        <w:jc w:val="both"/>
        <w:textAlignment w:val="baseline"/>
        <w:rPr>
          <w:rFonts w:ascii="Calibri" w:hAnsi="Calibri" w:cs="Calibri"/>
          <w:sz w:val="22"/>
          <w:szCs w:val="22"/>
        </w:rPr>
      </w:pPr>
      <w:r>
        <w:rPr>
          <w:rFonts w:ascii="Calibri" w:hAnsi="Calibri" w:cs="Calibri"/>
          <w:sz w:val="22"/>
          <w:szCs w:val="22"/>
        </w:rPr>
        <w:t>An assessment and review of CVs/P11s can be used ONLY to assess short-term IPSAs.    </w:t>
      </w:r>
    </w:p>
    <w:p w14:paraId="55275D63" w14:textId="77777777" w:rsidR="00804AF0" w:rsidRDefault="00804AF0">
      <w:pPr>
        <w:jc w:val="both"/>
        <w:textAlignment w:val="baseline"/>
        <w:rPr>
          <w:rFonts w:ascii="Calibri" w:hAnsi="Calibri" w:cs="Calibri"/>
          <w:sz w:val="22"/>
          <w:szCs w:val="22"/>
        </w:rPr>
      </w:pPr>
    </w:p>
    <w:p w14:paraId="623683D1" w14:textId="77777777" w:rsidR="00804AF0" w:rsidRDefault="00804AF0">
      <w:pPr>
        <w:jc w:val="both"/>
        <w:textAlignment w:val="baseline"/>
        <w:rPr>
          <w:rFonts w:ascii="Calibri" w:hAnsi="Calibri" w:cs="Calibri"/>
          <w:i/>
          <w:sz w:val="22"/>
          <w:szCs w:val="22"/>
          <w:u w:val="single"/>
        </w:rPr>
      </w:pPr>
    </w:p>
    <w:p w14:paraId="606BD57F" w14:textId="77777777" w:rsidR="00804AF0" w:rsidRDefault="009A47D6">
      <w:pPr>
        <w:jc w:val="both"/>
        <w:textAlignment w:val="baseline"/>
        <w:rPr>
          <w:rFonts w:ascii="Calibri" w:hAnsi="Calibri" w:cs="Calibri"/>
          <w:b/>
          <w:sz w:val="22"/>
          <w:szCs w:val="22"/>
          <w:u w:val="single"/>
        </w:rPr>
      </w:pPr>
      <w:r>
        <w:rPr>
          <w:rFonts w:ascii="Calibri" w:hAnsi="Calibri" w:cs="Calibri"/>
          <w:b/>
          <w:sz w:val="22"/>
          <w:szCs w:val="22"/>
          <w:u w:val="single"/>
        </w:rPr>
        <w:t>Preparation of the long-list and short-list </w:t>
      </w:r>
    </w:p>
    <w:p w14:paraId="23EA4A8C" w14:textId="77777777" w:rsidR="00804AF0" w:rsidRDefault="00804AF0">
      <w:pPr>
        <w:jc w:val="both"/>
        <w:textAlignment w:val="baseline"/>
        <w:rPr>
          <w:rFonts w:ascii="Calibri" w:hAnsi="Calibri" w:cs="Calibri"/>
          <w:b/>
          <w:sz w:val="22"/>
          <w:szCs w:val="22"/>
          <w:u w:val="single"/>
        </w:rPr>
      </w:pPr>
    </w:p>
    <w:p w14:paraId="6E3A956E" w14:textId="77777777" w:rsidR="00804AF0" w:rsidRDefault="009A47D6">
      <w:pPr>
        <w:jc w:val="both"/>
        <w:rPr>
          <w:rFonts w:ascii="Calibri" w:hAnsi="Calibri" w:cs="Calibri"/>
          <w:sz w:val="22"/>
          <w:szCs w:val="22"/>
          <w:lang w:eastAsia="en-GB"/>
        </w:rPr>
      </w:pPr>
      <w:r>
        <w:rPr>
          <w:rFonts w:ascii="Calibri" w:hAnsi="Calibri" w:cs="Calibri"/>
          <w:sz w:val="22"/>
          <w:szCs w:val="22"/>
          <w:lang w:eastAsia="en-GB"/>
        </w:rPr>
        <w:t>Only candidates who fully meet the required qualifications for the position, as specified in the vacancy announcement, may be short-listed for the post. However, candidates who are within six months of the minimum relevant experience requirement may be considered in situations where a business case is made. The business reason must be documented and on record for the file.</w:t>
      </w:r>
    </w:p>
    <w:p w14:paraId="58837C1E" w14:textId="77777777" w:rsidR="00804AF0" w:rsidRDefault="00804AF0">
      <w:pPr>
        <w:jc w:val="both"/>
        <w:rPr>
          <w:rFonts w:ascii="Calibri" w:hAnsi="Calibri" w:cs="Calibri"/>
          <w:sz w:val="22"/>
          <w:szCs w:val="22"/>
          <w:lang w:eastAsia="en-GB"/>
        </w:rPr>
      </w:pPr>
    </w:p>
    <w:p w14:paraId="473D7F1D" w14:textId="77777777" w:rsidR="00804AF0" w:rsidRDefault="009A47D6">
      <w:pPr>
        <w:jc w:val="both"/>
        <w:rPr>
          <w:rFonts w:ascii="Calibri" w:hAnsi="Calibri" w:cs="Calibri"/>
          <w:sz w:val="22"/>
          <w:szCs w:val="22"/>
          <w:lang w:eastAsia="en-GB"/>
        </w:rPr>
      </w:pPr>
      <w:r>
        <w:rPr>
          <w:rFonts w:ascii="Calibri" w:hAnsi="Calibri" w:cs="Calibri"/>
          <w:sz w:val="22"/>
          <w:szCs w:val="22"/>
          <w:lang w:eastAsia="en-GB"/>
        </w:rPr>
        <w:t xml:space="preserve">To ensure competitiveness, the shortlist must be comprised of at least two candidates. At least one woman should be included on the short-list. If no female candidate is included on the short-list, the Hiring Unit must document the efforts that have been made to identify qualified female candidates including re-advertisement. Hiring units must ensure that every application to a position is afforded due consideration, and that there is an objective reason provided for including, or not including, candidates on long-lists and short-lists. </w:t>
      </w:r>
    </w:p>
    <w:p w14:paraId="1D424AD0" w14:textId="77777777" w:rsidR="00804AF0" w:rsidRDefault="00804AF0">
      <w:pPr>
        <w:jc w:val="both"/>
        <w:rPr>
          <w:rFonts w:ascii="Calibri" w:hAnsi="Calibri" w:cs="Calibri"/>
          <w:sz w:val="22"/>
          <w:szCs w:val="22"/>
          <w:lang w:eastAsia="en-GB"/>
        </w:rPr>
      </w:pPr>
    </w:p>
    <w:p w14:paraId="133CC7C9" w14:textId="77777777" w:rsidR="00804AF0" w:rsidRDefault="009A47D6">
      <w:pPr>
        <w:jc w:val="both"/>
        <w:rPr>
          <w:rFonts w:ascii="Calibri" w:hAnsi="Calibri" w:cs="Calibri"/>
          <w:sz w:val="22"/>
          <w:szCs w:val="22"/>
          <w:lang w:eastAsia="en-GB"/>
        </w:rPr>
      </w:pPr>
      <w:r>
        <w:rPr>
          <w:rFonts w:ascii="Calibri" w:hAnsi="Calibri" w:cs="Calibri"/>
          <w:sz w:val="22"/>
          <w:szCs w:val="22"/>
          <w:lang w:eastAsia="en-GB"/>
        </w:rPr>
        <w:t>The Head of the Business Unit is responsible and accountable for the quality of the long-list and short-list. </w:t>
      </w:r>
    </w:p>
    <w:p w14:paraId="1DC922AB" w14:textId="77777777" w:rsidR="00804AF0" w:rsidRDefault="009A47D6">
      <w:pPr>
        <w:rPr>
          <w:rFonts w:ascii="Calibri" w:hAnsi="Calibri" w:cs="Calibri"/>
          <w:b/>
          <w:bCs/>
          <w:sz w:val="22"/>
          <w:szCs w:val="22"/>
          <w:u w:val="single"/>
          <w:lang w:eastAsia="en-GB"/>
        </w:rPr>
      </w:pPr>
      <w:bookmarkStart w:id="107" w:name="_Annex_2:_Overview_of_IPSA_benefits"/>
      <w:bookmarkStart w:id="108" w:name="_Annex_3:_Overview_of_IPSA_benefits"/>
      <w:r>
        <w:rPr>
          <w:rFonts w:ascii="Calibri" w:hAnsi="Calibri" w:cs="Calibri"/>
          <w:b/>
          <w:bCs/>
          <w:sz w:val="22"/>
          <w:szCs w:val="22"/>
          <w:u w:val="single"/>
          <w:lang w:eastAsia="en-GB"/>
        </w:rPr>
        <w:br w:type="page"/>
      </w:r>
    </w:p>
    <w:p w14:paraId="4843B9E3" w14:textId="77777777" w:rsidR="00804AF0" w:rsidRDefault="009A47D6">
      <w:pPr>
        <w:pStyle w:val="Heading1"/>
        <w:jc w:val="left"/>
        <w:rPr>
          <w:rFonts w:ascii="Calibri" w:hAnsi="Calibri" w:cs="Calibri"/>
          <w:b/>
          <w:bCs/>
          <w:sz w:val="22"/>
          <w:szCs w:val="22"/>
          <w:u w:val="single"/>
          <w:lang w:eastAsia="en-GB"/>
        </w:rPr>
      </w:pPr>
      <w:bookmarkStart w:id="109" w:name="_Annex_2:_Overview"/>
      <w:bookmarkStart w:id="110" w:name="_Toc161312444"/>
      <w:bookmarkEnd w:id="109"/>
      <w:r>
        <w:rPr>
          <w:rFonts w:ascii="Calibri" w:hAnsi="Calibri" w:cs="Calibri"/>
          <w:b/>
          <w:bCs/>
          <w:sz w:val="22"/>
          <w:szCs w:val="22"/>
          <w:u w:val="single"/>
          <w:lang w:eastAsia="en-GB"/>
        </w:rPr>
        <w:lastRenderedPageBreak/>
        <w:t>Annex 2: Overview of IPSA benefits</w:t>
      </w:r>
      <w:bookmarkEnd w:id="110"/>
      <w:r>
        <w:rPr>
          <w:rFonts w:ascii="Calibri" w:hAnsi="Calibri" w:cs="Calibri"/>
          <w:b/>
          <w:bCs/>
          <w:sz w:val="22"/>
          <w:szCs w:val="22"/>
          <w:u w:val="single"/>
          <w:lang w:eastAsia="en-GB"/>
        </w:rPr>
        <w:t> </w:t>
      </w:r>
    </w:p>
    <w:bookmarkEnd w:id="107"/>
    <w:bookmarkEnd w:id="108"/>
    <w:p w14:paraId="693F030B"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tbl>
      <w:tblPr>
        <w:tblW w:w="7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4"/>
        <w:gridCol w:w="2615"/>
        <w:gridCol w:w="2410"/>
      </w:tblGrid>
      <w:tr w:rsidR="00804AF0" w14:paraId="3000E462" w14:textId="77777777">
        <w:trPr>
          <w:tblHeader/>
        </w:trPr>
        <w:tc>
          <w:tcPr>
            <w:tcW w:w="2764" w:type="dxa"/>
            <w:tcBorders>
              <w:top w:val="single" w:sz="6" w:space="0" w:color="auto"/>
              <w:left w:val="single" w:sz="6" w:space="0" w:color="auto"/>
              <w:bottom w:val="single" w:sz="6" w:space="0" w:color="auto"/>
              <w:right w:val="single" w:sz="6" w:space="0" w:color="auto"/>
            </w:tcBorders>
          </w:tcPr>
          <w:p w14:paraId="3164A513"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tc>
        <w:tc>
          <w:tcPr>
            <w:tcW w:w="2615" w:type="dxa"/>
            <w:tcBorders>
              <w:top w:val="single" w:sz="6" w:space="0" w:color="auto"/>
              <w:left w:val="nil"/>
              <w:bottom w:val="single" w:sz="6" w:space="0" w:color="auto"/>
              <w:right w:val="single" w:sz="6" w:space="0" w:color="auto"/>
            </w:tcBorders>
          </w:tcPr>
          <w:p w14:paraId="7D1D88D7" w14:textId="77777777" w:rsidR="00804AF0" w:rsidRDefault="009A47D6">
            <w:pPr>
              <w:jc w:val="center"/>
              <w:textAlignment w:val="baseline"/>
              <w:rPr>
                <w:rFonts w:ascii="Calibri" w:hAnsi="Calibri" w:cs="Calibri"/>
                <w:sz w:val="22"/>
                <w:szCs w:val="22"/>
                <w:lang w:eastAsia="en-GB"/>
              </w:rPr>
            </w:pPr>
            <w:r>
              <w:rPr>
                <w:rFonts w:ascii="Calibri" w:hAnsi="Calibri" w:cs="Calibri"/>
                <w:b/>
                <w:bCs/>
                <w:sz w:val="22"/>
                <w:szCs w:val="22"/>
                <w:lang w:eastAsia="en-GB"/>
              </w:rPr>
              <w:t>Regular</w:t>
            </w:r>
          </w:p>
        </w:tc>
        <w:tc>
          <w:tcPr>
            <w:tcW w:w="2410" w:type="dxa"/>
            <w:tcBorders>
              <w:top w:val="single" w:sz="6" w:space="0" w:color="auto"/>
              <w:left w:val="nil"/>
              <w:bottom w:val="single" w:sz="6" w:space="0" w:color="auto"/>
              <w:right w:val="single" w:sz="6" w:space="0" w:color="auto"/>
            </w:tcBorders>
          </w:tcPr>
          <w:p w14:paraId="7117901F" w14:textId="77777777" w:rsidR="00804AF0" w:rsidRDefault="009A47D6">
            <w:pPr>
              <w:jc w:val="center"/>
              <w:textAlignment w:val="baseline"/>
              <w:rPr>
                <w:rFonts w:ascii="Calibri" w:hAnsi="Calibri" w:cs="Calibri"/>
                <w:sz w:val="22"/>
                <w:szCs w:val="22"/>
                <w:lang w:eastAsia="en-GB"/>
              </w:rPr>
            </w:pPr>
            <w:r>
              <w:rPr>
                <w:rFonts w:ascii="Calibri" w:hAnsi="Calibri" w:cs="Calibri"/>
                <w:b/>
                <w:bCs/>
                <w:sz w:val="22"/>
                <w:szCs w:val="22"/>
                <w:lang w:eastAsia="en-GB"/>
              </w:rPr>
              <w:t>Retainer/Short-term</w:t>
            </w:r>
          </w:p>
        </w:tc>
      </w:tr>
      <w:tr w:rsidR="00804AF0" w14:paraId="1BF4B8BF" w14:textId="77777777">
        <w:trPr>
          <w:trHeight w:val="680"/>
        </w:trPr>
        <w:tc>
          <w:tcPr>
            <w:tcW w:w="2764" w:type="dxa"/>
            <w:tcBorders>
              <w:top w:val="nil"/>
              <w:left w:val="single" w:sz="6" w:space="0" w:color="auto"/>
              <w:bottom w:val="single" w:sz="6" w:space="0" w:color="auto"/>
              <w:right w:val="single" w:sz="6" w:space="0" w:color="auto"/>
            </w:tcBorders>
            <w:vAlign w:val="center"/>
          </w:tcPr>
          <w:p w14:paraId="2D464577"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Annual Increment</w:t>
            </w:r>
          </w:p>
        </w:tc>
        <w:tc>
          <w:tcPr>
            <w:tcW w:w="2615" w:type="dxa"/>
            <w:tcBorders>
              <w:top w:val="single" w:sz="6" w:space="0" w:color="auto"/>
              <w:left w:val="nil"/>
              <w:bottom w:val="single" w:sz="6" w:space="0" w:color="auto"/>
              <w:right w:val="single" w:sz="6" w:space="0" w:color="auto"/>
            </w:tcBorders>
            <w:vAlign w:val="center"/>
          </w:tcPr>
          <w:p w14:paraId="7BE3B31B"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w:t>
            </w:r>
          </w:p>
        </w:tc>
        <w:tc>
          <w:tcPr>
            <w:tcW w:w="2410" w:type="dxa"/>
            <w:tcBorders>
              <w:top w:val="single" w:sz="6" w:space="0" w:color="auto"/>
              <w:left w:val="nil"/>
              <w:bottom w:val="single" w:sz="6" w:space="0" w:color="auto"/>
              <w:right w:val="single" w:sz="6" w:space="0" w:color="auto"/>
            </w:tcBorders>
            <w:vAlign w:val="center"/>
          </w:tcPr>
          <w:p w14:paraId="695AFA95"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w:t>
            </w:r>
          </w:p>
          <w:p w14:paraId="624C15FF" w14:textId="77777777" w:rsidR="00804AF0" w:rsidRDefault="00804AF0">
            <w:pPr>
              <w:jc w:val="center"/>
              <w:textAlignment w:val="baseline"/>
              <w:rPr>
                <w:rFonts w:ascii="Calibri" w:hAnsi="Calibri" w:cs="Calibri"/>
                <w:sz w:val="22"/>
                <w:szCs w:val="22"/>
                <w:lang w:eastAsia="en-GB"/>
              </w:rPr>
            </w:pPr>
          </w:p>
        </w:tc>
      </w:tr>
      <w:tr w:rsidR="00804AF0" w14:paraId="7AE534DF" w14:textId="77777777">
        <w:trPr>
          <w:trHeight w:val="680"/>
        </w:trPr>
        <w:tc>
          <w:tcPr>
            <w:tcW w:w="2764" w:type="dxa"/>
            <w:tcBorders>
              <w:top w:val="nil"/>
              <w:left w:val="single" w:sz="6" w:space="0" w:color="auto"/>
              <w:bottom w:val="single" w:sz="6" w:space="0" w:color="auto"/>
              <w:right w:val="single" w:sz="6" w:space="0" w:color="auto"/>
            </w:tcBorders>
            <w:vAlign w:val="center"/>
          </w:tcPr>
          <w:p w14:paraId="16603A73"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Pension Fund (in lieu)</w:t>
            </w:r>
          </w:p>
        </w:tc>
        <w:tc>
          <w:tcPr>
            <w:tcW w:w="2615" w:type="dxa"/>
            <w:tcBorders>
              <w:top w:val="single" w:sz="6" w:space="0" w:color="auto"/>
              <w:left w:val="nil"/>
              <w:bottom w:val="single" w:sz="6" w:space="0" w:color="auto"/>
              <w:right w:val="single" w:sz="6" w:space="0" w:color="auto"/>
            </w:tcBorders>
            <w:vAlign w:val="center"/>
          </w:tcPr>
          <w:p w14:paraId="04AF1710"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w:t>
            </w:r>
          </w:p>
        </w:tc>
        <w:tc>
          <w:tcPr>
            <w:tcW w:w="2410" w:type="dxa"/>
            <w:tcBorders>
              <w:top w:val="single" w:sz="6" w:space="0" w:color="auto"/>
              <w:left w:val="nil"/>
              <w:bottom w:val="single" w:sz="6" w:space="0" w:color="auto"/>
              <w:right w:val="single" w:sz="6" w:space="0" w:color="auto"/>
            </w:tcBorders>
            <w:vAlign w:val="center"/>
          </w:tcPr>
          <w:p w14:paraId="4C1466A7"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w:t>
            </w:r>
          </w:p>
          <w:p w14:paraId="45B2E418" w14:textId="77777777" w:rsidR="00804AF0" w:rsidRDefault="00804AF0">
            <w:pPr>
              <w:jc w:val="center"/>
              <w:textAlignment w:val="baseline"/>
              <w:rPr>
                <w:rFonts w:ascii="Calibri" w:hAnsi="Calibri" w:cs="Calibri"/>
                <w:sz w:val="22"/>
                <w:szCs w:val="22"/>
                <w:lang w:eastAsia="en-GB"/>
              </w:rPr>
            </w:pPr>
          </w:p>
        </w:tc>
      </w:tr>
      <w:tr w:rsidR="00804AF0" w14:paraId="0FF43DE1" w14:textId="77777777">
        <w:trPr>
          <w:trHeight w:val="680"/>
        </w:trPr>
        <w:tc>
          <w:tcPr>
            <w:tcW w:w="2764" w:type="dxa"/>
            <w:tcBorders>
              <w:top w:val="nil"/>
              <w:left w:val="single" w:sz="6" w:space="0" w:color="auto"/>
              <w:bottom w:val="single" w:sz="6" w:space="0" w:color="auto"/>
              <w:right w:val="single" w:sz="6" w:space="0" w:color="auto"/>
            </w:tcBorders>
            <w:vAlign w:val="center"/>
          </w:tcPr>
          <w:p w14:paraId="462A4C24"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Medical Insurance</w:t>
            </w:r>
          </w:p>
        </w:tc>
        <w:tc>
          <w:tcPr>
            <w:tcW w:w="2615" w:type="dxa"/>
            <w:tcBorders>
              <w:top w:val="single" w:sz="6" w:space="0" w:color="auto"/>
              <w:left w:val="nil"/>
              <w:bottom w:val="single" w:sz="6" w:space="0" w:color="auto"/>
              <w:right w:val="single" w:sz="6" w:space="0" w:color="auto"/>
            </w:tcBorders>
            <w:vAlign w:val="center"/>
          </w:tcPr>
          <w:p w14:paraId="5FB7E81A"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 (partly subsidized)</w:t>
            </w:r>
          </w:p>
        </w:tc>
        <w:tc>
          <w:tcPr>
            <w:tcW w:w="2410" w:type="dxa"/>
            <w:tcBorders>
              <w:top w:val="single" w:sz="6" w:space="0" w:color="auto"/>
              <w:left w:val="nil"/>
              <w:bottom w:val="single" w:sz="6" w:space="0" w:color="auto"/>
              <w:right w:val="single" w:sz="6" w:space="0" w:color="auto"/>
            </w:tcBorders>
            <w:vAlign w:val="center"/>
          </w:tcPr>
          <w:p w14:paraId="2D502448"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w:t>
            </w:r>
          </w:p>
          <w:p w14:paraId="768CBB24" w14:textId="77777777" w:rsidR="00804AF0" w:rsidRDefault="00804AF0">
            <w:pPr>
              <w:jc w:val="center"/>
              <w:textAlignment w:val="baseline"/>
              <w:rPr>
                <w:rFonts w:ascii="Calibri" w:hAnsi="Calibri" w:cs="Calibri"/>
                <w:sz w:val="22"/>
                <w:szCs w:val="22"/>
                <w:lang w:eastAsia="en-GB"/>
              </w:rPr>
            </w:pPr>
          </w:p>
        </w:tc>
      </w:tr>
      <w:tr w:rsidR="00804AF0" w14:paraId="11F2B6A3" w14:textId="77777777">
        <w:trPr>
          <w:trHeight w:val="680"/>
        </w:trPr>
        <w:tc>
          <w:tcPr>
            <w:tcW w:w="2764" w:type="dxa"/>
            <w:tcBorders>
              <w:top w:val="nil"/>
              <w:left w:val="single" w:sz="6" w:space="0" w:color="auto"/>
              <w:bottom w:val="single" w:sz="6" w:space="0" w:color="auto"/>
              <w:right w:val="single" w:sz="6" w:space="0" w:color="auto"/>
            </w:tcBorders>
            <w:vAlign w:val="center"/>
          </w:tcPr>
          <w:p w14:paraId="27F6A680"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Medical Ins. (depend.)</w:t>
            </w:r>
          </w:p>
        </w:tc>
        <w:tc>
          <w:tcPr>
            <w:tcW w:w="2615" w:type="dxa"/>
            <w:tcBorders>
              <w:top w:val="single" w:sz="6" w:space="0" w:color="auto"/>
              <w:left w:val="nil"/>
              <w:bottom w:val="single" w:sz="6" w:space="0" w:color="auto"/>
              <w:right w:val="single" w:sz="6" w:space="0" w:color="auto"/>
            </w:tcBorders>
            <w:vAlign w:val="center"/>
          </w:tcPr>
          <w:p w14:paraId="3C5E3419"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w:t>
            </w:r>
          </w:p>
        </w:tc>
        <w:tc>
          <w:tcPr>
            <w:tcW w:w="2410" w:type="dxa"/>
            <w:tcBorders>
              <w:top w:val="single" w:sz="6" w:space="0" w:color="auto"/>
              <w:left w:val="nil"/>
              <w:bottom w:val="single" w:sz="6" w:space="0" w:color="auto"/>
              <w:right w:val="single" w:sz="6" w:space="0" w:color="auto"/>
            </w:tcBorders>
            <w:vAlign w:val="center"/>
          </w:tcPr>
          <w:p w14:paraId="05017462"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w:t>
            </w:r>
          </w:p>
          <w:p w14:paraId="23DA8A27" w14:textId="77777777" w:rsidR="00804AF0" w:rsidRDefault="00804AF0">
            <w:pPr>
              <w:jc w:val="center"/>
              <w:textAlignment w:val="baseline"/>
              <w:rPr>
                <w:rFonts w:ascii="Calibri" w:hAnsi="Calibri" w:cs="Calibri"/>
                <w:sz w:val="22"/>
                <w:szCs w:val="22"/>
                <w:lang w:eastAsia="en-GB"/>
              </w:rPr>
            </w:pPr>
          </w:p>
        </w:tc>
      </w:tr>
      <w:tr w:rsidR="00804AF0" w14:paraId="0DA13F89" w14:textId="77777777">
        <w:trPr>
          <w:trHeight w:val="680"/>
        </w:trPr>
        <w:tc>
          <w:tcPr>
            <w:tcW w:w="2764" w:type="dxa"/>
            <w:tcBorders>
              <w:top w:val="nil"/>
              <w:left w:val="single" w:sz="6" w:space="0" w:color="auto"/>
              <w:bottom w:val="single" w:sz="6" w:space="0" w:color="auto"/>
              <w:right w:val="single" w:sz="6" w:space="0" w:color="auto"/>
            </w:tcBorders>
            <w:vAlign w:val="center"/>
          </w:tcPr>
          <w:p w14:paraId="27555519"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MAIP</w:t>
            </w:r>
          </w:p>
        </w:tc>
        <w:tc>
          <w:tcPr>
            <w:tcW w:w="2615" w:type="dxa"/>
            <w:tcBorders>
              <w:top w:val="single" w:sz="6" w:space="0" w:color="auto"/>
              <w:left w:val="nil"/>
              <w:bottom w:val="single" w:sz="6" w:space="0" w:color="auto"/>
              <w:right w:val="single" w:sz="6" w:space="0" w:color="auto"/>
            </w:tcBorders>
            <w:vAlign w:val="center"/>
          </w:tcPr>
          <w:p w14:paraId="0FAE574F"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Yes</w:t>
            </w:r>
          </w:p>
        </w:tc>
        <w:tc>
          <w:tcPr>
            <w:tcW w:w="2410" w:type="dxa"/>
            <w:tcBorders>
              <w:top w:val="single" w:sz="6" w:space="0" w:color="auto"/>
              <w:left w:val="nil"/>
              <w:bottom w:val="single" w:sz="6" w:space="0" w:color="auto"/>
              <w:right w:val="single" w:sz="6" w:space="0" w:color="auto"/>
            </w:tcBorders>
            <w:vAlign w:val="center"/>
          </w:tcPr>
          <w:p w14:paraId="2E582028"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Yes</w:t>
            </w:r>
          </w:p>
          <w:p w14:paraId="05D669B0" w14:textId="77777777" w:rsidR="00804AF0" w:rsidRDefault="00804AF0">
            <w:pPr>
              <w:jc w:val="center"/>
              <w:textAlignment w:val="baseline"/>
              <w:rPr>
                <w:rFonts w:ascii="Calibri" w:hAnsi="Calibri" w:cs="Calibri"/>
                <w:sz w:val="22"/>
                <w:szCs w:val="22"/>
                <w:lang w:eastAsia="en-GB"/>
              </w:rPr>
            </w:pPr>
          </w:p>
        </w:tc>
      </w:tr>
      <w:tr w:rsidR="00804AF0" w14:paraId="0109DB41" w14:textId="77777777">
        <w:trPr>
          <w:trHeight w:val="680"/>
        </w:trPr>
        <w:tc>
          <w:tcPr>
            <w:tcW w:w="2764" w:type="dxa"/>
            <w:tcBorders>
              <w:top w:val="nil"/>
              <w:left w:val="single" w:sz="6" w:space="0" w:color="auto"/>
              <w:bottom w:val="single" w:sz="6" w:space="0" w:color="auto"/>
              <w:right w:val="single" w:sz="6" w:space="0" w:color="auto"/>
            </w:tcBorders>
            <w:vAlign w:val="center"/>
          </w:tcPr>
          <w:p w14:paraId="7E0F1FE4"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GLI, D&amp;D</w:t>
            </w:r>
          </w:p>
        </w:tc>
        <w:tc>
          <w:tcPr>
            <w:tcW w:w="2615" w:type="dxa"/>
            <w:tcBorders>
              <w:top w:val="single" w:sz="6" w:space="0" w:color="auto"/>
              <w:left w:val="nil"/>
              <w:bottom w:val="single" w:sz="6" w:space="0" w:color="auto"/>
              <w:right w:val="single" w:sz="6" w:space="0" w:color="auto"/>
            </w:tcBorders>
            <w:vAlign w:val="center"/>
          </w:tcPr>
          <w:p w14:paraId="254765B7"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Yes</w:t>
            </w:r>
          </w:p>
        </w:tc>
        <w:tc>
          <w:tcPr>
            <w:tcW w:w="2410" w:type="dxa"/>
            <w:tcBorders>
              <w:top w:val="single" w:sz="6" w:space="0" w:color="auto"/>
              <w:left w:val="nil"/>
              <w:bottom w:val="single" w:sz="6" w:space="0" w:color="auto"/>
              <w:right w:val="single" w:sz="6" w:space="0" w:color="auto"/>
            </w:tcBorders>
            <w:vAlign w:val="center"/>
          </w:tcPr>
          <w:p w14:paraId="3F15E8EF"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w:t>
            </w:r>
          </w:p>
          <w:p w14:paraId="4695EF4B" w14:textId="77777777" w:rsidR="00804AF0" w:rsidRDefault="00804AF0">
            <w:pPr>
              <w:jc w:val="center"/>
              <w:textAlignment w:val="baseline"/>
              <w:rPr>
                <w:rFonts w:ascii="Calibri" w:hAnsi="Calibri" w:cs="Calibri"/>
                <w:sz w:val="22"/>
                <w:szCs w:val="22"/>
                <w:lang w:eastAsia="en-GB"/>
              </w:rPr>
            </w:pPr>
          </w:p>
        </w:tc>
      </w:tr>
      <w:tr w:rsidR="00804AF0" w14:paraId="11F030F4" w14:textId="77777777">
        <w:trPr>
          <w:trHeight w:val="680"/>
        </w:trPr>
        <w:tc>
          <w:tcPr>
            <w:tcW w:w="2764" w:type="dxa"/>
            <w:tcBorders>
              <w:top w:val="nil"/>
              <w:left w:val="single" w:sz="6" w:space="0" w:color="auto"/>
              <w:bottom w:val="single" w:sz="6" w:space="0" w:color="auto"/>
              <w:right w:val="single" w:sz="6" w:space="0" w:color="auto"/>
            </w:tcBorders>
            <w:vAlign w:val="center"/>
          </w:tcPr>
          <w:p w14:paraId="722CF945"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Overtime</w:t>
            </w:r>
          </w:p>
        </w:tc>
        <w:tc>
          <w:tcPr>
            <w:tcW w:w="2615" w:type="dxa"/>
            <w:tcBorders>
              <w:top w:val="single" w:sz="6" w:space="0" w:color="auto"/>
              <w:left w:val="nil"/>
              <w:bottom w:val="single" w:sz="6" w:space="0" w:color="auto"/>
              <w:right w:val="single" w:sz="6" w:space="0" w:color="auto"/>
            </w:tcBorders>
            <w:vAlign w:val="center"/>
          </w:tcPr>
          <w:p w14:paraId="4263AFCC"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w:t>
            </w:r>
          </w:p>
        </w:tc>
        <w:tc>
          <w:tcPr>
            <w:tcW w:w="2410" w:type="dxa"/>
            <w:tcBorders>
              <w:top w:val="single" w:sz="6" w:space="0" w:color="auto"/>
              <w:left w:val="nil"/>
              <w:bottom w:val="single" w:sz="6" w:space="0" w:color="auto"/>
              <w:right w:val="single" w:sz="6" w:space="0" w:color="auto"/>
            </w:tcBorders>
            <w:vAlign w:val="center"/>
          </w:tcPr>
          <w:p w14:paraId="055C0180"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w:t>
            </w:r>
          </w:p>
          <w:p w14:paraId="35B23D8E" w14:textId="77777777" w:rsidR="00804AF0" w:rsidRDefault="00804AF0">
            <w:pPr>
              <w:jc w:val="center"/>
              <w:textAlignment w:val="baseline"/>
              <w:rPr>
                <w:rFonts w:ascii="Calibri" w:hAnsi="Calibri" w:cs="Calibri"/>
                <w:sz w:val="22"/>
                <w:szCs w:val="22"/>
                <w:lang w:eastAsia="en-GB"/>
              </w:rPr>
            </w:pPr>
          </w:p>
        </w:tc>
      </w:tr>
      <w:tr w:rsidR="00804AF0" w14:paraId="0ABE0BCE" w14:textId="77777777">
        <w:trPr>
          <w:trHeight w:val="680"/>
        </w:trPr>
        <w:tc>
          <w:tcPr>
            <w:tcW w:w="2764" w:type="dxa"/>
            <w:tcBorders>
              <w:top w:val="nil"/>
              <w:left w:val="single" w:sz="6" w:space="0" w:color="auto"/>
              <w:bottom w:val="single" w:sz="6" w:space="0" w:color="auto"/>
              <w:right w:val="single" w:sz="6" w:space="0" w:color="auto"/>
            </w:tcBorders>
            <w:vAlign w:val="center"/>
          </w:tcPr>
          <w:p w14:paraId="4692B53D"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UN Holidays/Weekends</w:t>
            </w:r>
          </w:p>
        </w:tc>
        <w:tc>
          <w:tcPr>
            <w:tcW w:w="2615" w:type="dxa"/>
            <w:tcBorders>
              <w:top w:val="single" w:sz="6" w:space="0" w:color="auto"/>
              <w:left w:val="nil"/>
              <w:bottom w:val="single" w:sz="6" w:space="0" w:color="auto"/>
              <w:right w:val="single" w:sz="6" w:space="0" w:color="auto"/>
            </w:tcBorders>
            <w:vAlign w:val="center"/>
          </w:tcPr>
          <w:p w14:paraId="053FD2A2"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Yes</w:t>
            </w:r>
          </w:p>
        </w:tc>
        <w:tc>
          <w:tcPr>
            <w:tcW w:w="2410" w:type="dxa"/>
            <w:tcBorders>
              <w:top w:val="single" w:sz="6" w:space="0" w:color="auto"/>
              <w:left w:val="nil"/>
              <w:bottom w:val="single" w:sz="6" w:space="0" w:color="auto"/>
              <w:right w:val="single" w:sz="6" w:space="0" w:color="auto"/>
            </w:tcBorders>
            <w:vAlign w:val="center"/>
          </w:tcPr>
          <w:p w14:paraId="7C8052C9"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w:t>
            </w:r>
          </w:p>
          <w:p w14:paraId="61F4E33A" w14:textId="77777777" w:rsidR="00804AF0" w:rsidRDefault="00804AF0">
            <w:pPr>
              <w:jc w:val="center"/>
              <w:textAlignment w:val="baseline"/>
              <w:rPr>
                <w:rFonts w:ascii="Calibri" w:hAnsi="Calibri" w:cs="Calibri"/>
                <w:sz w:val="22"/>
                <w:szCs w:val="22"/>
                <w:lang w:eastAsia="en-GB"/>
              </w:rPr>
            </w:pPr>
          </w:p>
        </w:tc>
      </w:tr>
      <w:tr w:rsidR="00804AF0" w14:paraId="22C3555D" w14:textId="77777777">
        <w:trPr>
          <w:trHeight w:val="680"/>
        </w:trPr>
        <w:tc>
          <w:tcPr>
            <w:tcW w:w="2764" w:type="dxa"/>
            <w:tcBorders>
              <w:top w:val="nil"/>
              <w:left w:val="single" w:sz="6" w:space="0" w:color="auto"/>
              <w:bottom w:val="single" w:sz="6" w:space="0" w:color="auto"/>
              <w:right w:val="single" w:sz="6" w:space="0" w:color="auto"/>
            </w:tcBorders>
            <w:vAlign w:val="center"/>
          </w:tcPr>
          <w:p w14:paraId="37D7883F"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Sick Leave</w:t>
            </w:r>
          </w:p>
        </w:tc>
        <w:tc>
          <w:tcPr>
            <w:tcW w:w="2615" w:type="dxa"/>
            <w:tcBorders>
              <w:top w:val="single" w:sz="6" w:space="0" w:color="auto"/>
              <w:left w:val="nil"/>
              <w:bottom w:val="single" w:sz="6" w:space="0" w:color="auto"/>
              <w:right w:val="single" w:sz="6" w:space="0" w:color="auto"/>
            </w:tcBorders>
            <w:vAlign w:val="center"/>
          </w:tcPr>
          <w:p w14:paraId="6292AB62"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Yes (&gt;6m), 2 d/m, plus 7/year uncertified</w:t>
            </w:r>
          </w:p>
        </w:tc>
        <w:tc>
          <w:tcPr>
            <w:tcW w:w="2410" w:type="dxa"/>
            <w:tcBorders>
              <w:top w:val="single" w:sz="6" w:space="0" w:color="auto"/>
              <w:left w:val="nil"/>
              <w:bottom w:val="single" w:sz="6" w:space="0" w:color="auto"/>
              <w:right w:val="single" w:sz="6" w:space="0" w:color="auto"/>
            </w:tcBorders>
            <w:vAlign w:val="center"/>
          </w:tcPr>
          <w:p w14:paraId="2FC5A7EB"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w:t>
            </w:r>
          </w:p>
          <w:p w14:paraId="4CC7A9A1" w14:textId="77777777" w:rsidR="00804AF0" w:rsidRDefault="00804AF0">
            <w:pPr>
              <w:jc w:val="center"/>
              <w:textAlignment w:val="baseline"/>
              <w:rPr>
                <w:rFonts w:ascii="Calibri" w:hAnsi="Calibri" w:cs="Calibri"/>
                <w:sz w:val="22"/>
                <w:szCs w:val="22"/>
                <w:lang w:eastAsia="en-GB"/>
              </w:rPr>
            </w:pPr>
          </w:p>
        </w:tc>
      </w:tr>
      <w:tr w:rsidR="00804AF0" w14:paraId="0834235E" w14:textId="77777777">
        <w:trPr>
          <w:trHeight w:val="680"/>
        </w:trPr>
        <w:tc>
          <w:tcPr>
            <w:tcW w:w="2764" w:type="dxa"/>
            <w:tcBorders>
              <w:top w:val="nil"/>
              <w:left w:val="single" w:sz="6" w:space="0" w:color="auto"/>
              <w:bottom w:val="single" w:sz="6" w:space="0" w:color="auto"/>
              <w:right w:val="single" w:sz="6" w:space="0" w:color="auto"/>
            </w:tcBorders>
            <w:vAlign w:val="center"/>
          </w:tcPr>
          <w:p w14:paraId="3AAE9C63"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Annual Leave</w:t>
            </w:r>
          </w:p>
        </w:tc>
        <w:tc>
          <w:tcPr>
            <w:tcW w:w="2615" w:type="dxa"/>
            <w:tcBorders>
              <w:top w:val="single" w:sz="6" w:space="0" w:color="auto"/>
              <w:left w:val="nil"/>
              <w:bottom w:val="single" w:sz="6" w:space="0" w:color="auto"/>
              <w:right w:val="single" w:sz="6" w:space="0" w:color="auto"/>
            </w:tcBorders>
            <w:vAlign w:val="center"/>
          </w:tcPr>
          <w:p w14:paraId="57B2665E"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Yes (&gt;6m), max 2.5 d/m</w:t>
            </w:r>
          </w:p>
        </w:tc>
        <w:tc>
          <w:tcPr>
            <w:tcW w:w="2410" w:type="dxa"/>
            <w:tcBorders>
              <w:top w:val="single" w:sz="6" w:space="0" w:color="auto"/>
              <w:left w:val="nil"/>
              <w:bottom w:val="single" w:sz="6" w:space="0" w:color="auto"/>
              <w:right w:val="single" w:sz="6" w:space="0" w:color="auto"/>
            </w:tcBorders>
            <w:vAlign w:val="center"/>
          </w:tcPr>
          <w:p w14:paraId="720E0D45"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w:t>
            </w:r>
          </w:p>
          <w:p w14:paraId="20200A34" w14:textId="77777777" w:rsidR="00804AF0" w:rsidRDefault="00804AF0">
            <w:pPr>
              <w:jc w:val="center"/>
              <w:textAlignment w:val="baseline"/>
              <w:rPr>
                <w:rFonts w:ascii="Calibri" w:hAnsi="Calibri" w:cs="Calibri"/>
                <w:sz w:val="22"/>
                <w:szCs w:val="22"/>
                <w:lang w:eastAsia="en-GB"/>
              </w:rPr>
            </w:pPr>
          </w:p>
        </w:tc>
      </w:tr>
      <w:tr w:rsidR="00804AF0" w14:paraId="5FCA3433" w14:textId="77777777">
        <w:trPr>
          <w:trHeight w:val="680"/>
        </w:trPr>
        <w:tc>
          <w:tcPr>
            <w:tcW w:w="2764" w:type="dxa"/>
            <w:tcBorders>
              <w:top w:val="nil"/>
              <w:left w:val="single" w:sz="6" w:space="0" w:color="auto"/>
              <w:bottom w:val="single" w:sz="6" w:space="0" w:color="auto"/>
              <w:right w:val="single" w:sz="6" w:space="0" w:color="auto"/>
            </w:tcBorders>
            <w:vAlign w:val="center"/>
          </w:tcPr>
          <w:p w14:paraId="533D82A5"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Maternity</w:t>
            </w:r>
          </w:p>
        </w:tc>
        <w:tc>
          <w:tcPr>
            <w:tcW w:w="2615" w:type="dxa"/>
            <w:tcBorders>
              <w:top w:val="single" w:sz="6" w:space="0" w:color="auto"/>
              <w:left w:val="nil"/>
              <w:bottom w:val="single" w:sz="6" w:space="0" w:color="auto"/>
              <w:right w:val="single" w:sz="6" w:space="0" w:color="auto"/>
            </w:tcBorders>
            <w:vAlign w:val="center"/>
          </w:tcPr>
          <w:p w14:paraId="79C9E84D"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Yes, 16 wks</w:t>
            </w:r>
          </w:p>
        </w:tc>
        <w:tc>
          <w:tcPr>
            <w:tcW w:w="2410" w:type="dxa"/>
            <w:tcBorders>
              <w:top w:val="single" w:sz="6" w:space="0" w:color="auto"/>
              <w:left w:val="nil"/>
              <w:bottom w:val="single" w:sz="6" w:space="0" w:color="auto"/>
              <w:right w:val="single" w:sz="6" w:space="0" w:color="auto"/>
            </w:tcBorders>
            <w:vAlign w:val="center"/>
          </w:tcPr>
          <w:p w14:paraId="51E1D58C"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w:t>
            </w:r>
          </w:p>
        </w:tc>
      </w:tr>
      <w:tr w:rsidR="00804AF0" w14:paraId="03573754" w14:textId="77777777">
        <w:trPr>
          <w:trHeight w:val="680"/>
        </w:trPr>
        <w:tc>
          <w:tcPr>
            <w:tcW w:w="2764" w:type="dxa"/>
            <w:tcBorders>
              <w:top w:val="nil"/>
              <w:left w:val="single" w:sz="6" w:space="0" w:color="auto"/>
              <w:bottom w:val="single" w:sz="6" w:space="0" w:color="auto"/>
              <w:right w:val="single" w:sz="6" w:space="0" w:color="auto"/>
            </w:tcBorders>
            <w:vAlign w:val="center"/>
          </w:tcPr>
          <w:p w14:paraId="6B416849"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Paternity</w:t>
            </w:r>
          </w:p>
        </w:tc>
        <w:tc>
          <w:tcPr>
            <w:tcW w:w="2615" w:type="dxa"/>
            <w:tcBorders>
              <w:top w:val="single" w:sz="6" w:space="0" w:color="auto"/>
              <w:left w:val="nil"/>
              <w:bottom w:val="single" w:sz="6" w:space="0" w:color="auto"/>
              <w:right w:val="single" w:sz="6" w:space="0" w:color="auto"/>
            </w:tcBorders>
            <w:vAlign w:val="center"/>
          </w:tcPr>
          <w:p w14:paraId="474A979A"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Yes , 4 wks</w:t>
            </w:r>
          </w:p>
        </w:tc>
        <w:tc>
          <w:tcPr>
            <w:tcW w:w="2410" w:type="dxa"/>
            <w:tcBorders>
              <w:top w:val="single" w:sz="6" w:space="0" w:color="auto"/>
              <w:left w:val="nil"/>
              <w:bottom w:val="single" w:sz="6" w:space="0" w:color="auto"/>
              <w:right w:val="single" w:sz="6" w:space="0" w:color="auto"/>
            </w:tcBorders>
            <w:vAlign w:val="center"/>
          </w:tcPr>
          <w:p w14:paraId="13A6DC1E"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w:t>
            </w:r>
          </w:p>
        </w:tc>
      </w:tr>
      <w:tr w:rsidR="00804AF0" w14:paraId="21969BBA" w14:textId="77777777">
        <w:trPr>
          <w:trHeight w:val="680"/>
        </w:trPr>
        <w:tc>
          <w:tcPr>
            <w:tcW w:w="2764" w:type="dxa"/>
            <w:tcBorders>
              <w:top w:val="nil"/>
              <w:left w:val="single" w:sz="6" w:space="0" w:color="auto"/>
              <w:bottom w:val="single" w:sz="6" w:space="0" w:color="auto"/>
              <w:right w:val="single" w:sz="6" w:space="0" w:color="auto"/>
            </w:tcBorders>
            <w:vAlign w:val="center"/>
          </w:tcPr>
          <w:p w14:paraId="43F24F7B"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Hardship Leave</w:t>
            </w:r>
          </w:p>
        </w:tc>
        <w:tc>
          <w:tcPr>
            <w:tcW w:w="2615" w:type="dxa"/>
            <w:tcBorders>
              <w:top w:val="single" w:sz="6" w:space="0" w:color="auto"/>
              <w:left w:val="nil"/>
              <w:bottom w:val="single" w:sz="6" w:space="0" w:color="auto"/>
              <w:right w:val="single" w:sz="6" w:space="0" w:color="auto"/>
            </w:tcBorders>
            <w:vAlign w:val="center"/>
          </w:tcPr>
          <w:p w14:paraId="41E003D7"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Yes (&gt;6m), 2 days/m</w:t>
            </w:r>
          </w:p>
          <w:p w14:paraId="4A0026FF"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 travel)</w:t>
            </w:r>
          </w:p>
        </w:tc>
        <w:tc>
          <w:tcPr>
            <w:tcW w:w="2410" w:type="dxa"/>
            <w:tcBorders>
              <w:top w:val="single" w:sz="6" w:space="0" w:color="auto"/>
              <w:left w:val="nil"/>
              <w:bottom w:val="single" w:sz="6" w:space="0" w:color="auto"/>
              <w:right w:val="single" w:sz="6" w:space="0" w:color="auto"/>
            </w:tcBorders>
            <w:vAlign w:val="center"/>
          </w:tcPr>
          <w:p w14:paraId="02E4E0F4"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w:t>
            </w:r>
          </w:p>
        </w:tc>
      </w:tr>
    </w:tbl>
    <w:p w14:paraId="29E0F30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35D951AE"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6D1F41C5" w14:textId="77777777" w:rsidR="00804AF0" w:rsidRDefault="009A47D6">
      <w:pPr>
        <w:rPr>
          <w:rFonts w:ascii="Calibri" w:hAnsi="Calibri" w:cs="Calibri"/>
          <w:b/>
          <w:bCs/>
          <w:sz w:val="22"/>
          <w:szCs w:val="22"/>
          <w:u w:val="single"/>
          <w:lang w:eastAsia="en-GB"/>
        </w:rPr>
      </w:pPr>
      <w:bookmarkStart w:id="111" w:name="_Annex_3:_Definition"/>
      <w:bookmarkStart w:id="112" w:name="_Annex_4:_Definition_of_functions_of_inh"/>
      <w:bookmarkStart w:id="113" w:name="_Annex_3:_Definition_of_functions_of_inh"/>
      <w:bookmarkEnd w:id="111"/>
      <w:r>
        <w:rPr>
          <w:rFonts w:ascii="Calibri" w:hAnsi="Calibri" w:cs="Calibri"/>
          <w:b/>
          <w:bCs/>
          <w:sz w:val="22"/>
          <w:szCs w:val="22"/>
          <w:u w:val="single"/>
          <w:lang w:eastAsia="en-GB"/>
        </w:rPr>
        <w:br w:type="page"/>
      </w:r>
    </w:p>
    <w:p w14:paraId="632B204B" w14:textId="77777777" w:rsidR="00804AF0" w:rsidRDefault="009A47D6">
      <w:pPr>
        <w:pStyle w:val="Heading1"/>
        <w:jc w:val="left"/>
        <w:rPr>
          <w:rFonts w:ascii="Calibri" w:hAnsi="Calibri" w:cs="Calibri"/>
          <w:b/>
          <w:bCs/>
          <w:sz w:val="22"/>
          <w:szCs w:val="22"/>
          <w:u w:val="single"/>
          <w:lang w:eastAsia="en-GB"/>
        </w:rPr>
      </w:pPr>
      <w:bookmarkStart w:id="114" w:name="_Annex_3:_Definition_1"/>
      <w:bookmarkStart w:id="115" w:name="_Toc161312445"/>
      <w:bookmarkEnd w:id="114"/>
      <w:r>
        <w:rPr>
          <w:rFonts w:ascii="Calibri" w:hAnsi="Calibri" w:cs="Calibri"/>
          <w:b/>
          <w:bCs/>
          <w:sz w:val="22"/>
          <w:szCs w:val="22"/>
          <w:u w:val="single"/>
          <w:lang w:eastAsia="en-GB"/>
        </w:rPr>
        <w:lastRenderedPageBreak/>
        <w:t>Annex 3: Definition of functions of inherent and continuous nature</w:t>
      </w:r>
      <w:bookmarkEnd w:id="115"/>
      <w:r>
        <w:rPr>
          <w:rFonts w:ascii="Calibri" w:hAnsi="Calibri" w:cs="Calibri"/>
          <w:b/>
          <w:bCs/>
          <w:sz w:val="22"/>
          <w:szCs w:val="22"/>
          <w:u w:val="single"/>
          <w:lang w:eastAsia="en-GB"/>
        </w:rPr>
        <w:t> </w:t>
      </w:r>
    </w:p>
    <w:bookmarkEnd w:id="112"/>
    <w:bookmarkEnd w:id="113"/>
    <w:p w14:paraId="0882D5A9"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E4B63E7" w14:textId="77777777" w:rsidR="00804AF0" w:rsidRDefault="009A47D6">
      <w:pPr>
        <w:jc w:val="both"/>
        <w:textAlignment w:val="baseline"/>
        <w:rPr>
          <w:rFonts w:ascii="Calibri" w:hAnsi="Calibri" w:cs="Calibri"/>
          <w:sz w:val="22"/>
          <w:szCs w:val="22"/>
          <w:lang w:eastAsia="en-GB"/>
        </w:rPr>
      </w:pPr>
      <w:bookmarkStart w:id="116" w:name="_Hlk56975668"/>
      <w:r>
        <w:rPr>
          <w:rFonts w:ascii="Calibri" w:hAnsi="Calibri" w:cs="Calibri"/>
          <w:i/>
          <w:iCs/>
          <w:sz w:val="22"/>
          <w:szCs w:val="22"/>
          <w:u w:val="single"/>
          <w:lang w:eastAsia="en-GB"/>
        </w:rPr>
        <w:t>Definition of functions of Inherent Nature:</w:t>
      </w:r>
      <w:r>
        <w:rPr>
          <w:rFonts w:ascii="Calibri" w:hAnsi="Calibri" w:cs="Calibri"/>
          <w:sz w:val="22"/>
          <w:szCs w:val="22"/>
          <w:lang w:eastAsia="en-GB"/>
        </w:rPr>
        <w:t> </w:t>
      </w:r>
    </w:p>
    <w:p w14:paraId="4D444E8A" w14:textId="77777777" w:rsidR="00804AF0" w:rsidRDefault="00804AF0">
      <w:pPr>
        <w:shd w:val="clear" w:color="auto" w:fill="FFFFFF"/>
        <w:jc w:val="both"/>
        <w:textAlignment w:val="baseline"/>
        <w:rPr>
          <w:rFonts w:ascii="Calibri" w:hAnsi="Calibri" w:cs="Calibri"/>
          <w:sz w:val="22"/>
          <w:szCs w:val="22"/>
          <w:lang w:eastAsia="en-GB"/>
        </w:rPr>
      </w:pPr>
    </w:p>
    <w:p w14:paraId="5085D1C2" w14:textId="77777777" w:rsidR="00804AF0" w:rsidRDefault="009A47D6">
      <w:pPr>
        <w:shd w:val="clear" w:color="auto" w:fill="FFFFFF"/>
        <w:jc w:val="both"/>
        <w:textAlignment w:val="baseline"/>
        <w:rPr>
          <w:rFonts w:ascii="Calibri" w:hAnsi="Calibri" w:cs="Calibri"/>
          <w:sz w:val="22"/>
          <w:szCs w:val="22"/>
          <w:lang w:eastAsia="en-GB"/>
        </w:rPr>
      </w:pPr>
      <w:r>
        <w:rPr>
          <w:rFonts w:ascii="Calibri" w:hAnsi="Calibri" w:cs="Calibri"/>
          <w:sz w:val="22"/>
          <w:szCs w:val="22"/>
          <w:lang w:eastAsia="en-GB"/>
        </w:rPr>
        <w:t>Activities of an </w:t>
      </w:r>
      <w:r>
        <w:rPr>
          <w:rFonts w:ascii="Calibri" w:hAnsi="Calibri" w:cs="Calibri"/>
          <w:b/>
          <w:bCs/>
          <w:sz w:val="22"/>
          <w:szCs w:val="22"/>
          <w:u w:val="single"/>
          <w:lang w:eastAsia="en-GB"/>
        </w:rPr>
        <w:t>inherent nature </w:t>
      </w:r>
      <w:r>
        <w:rPr>
          <w:rFonts w:ascii="Calibri" w:hAnsi="Calibri" w:cs="Calibri"/>
          <w:sz w:val="22"/>
          <w:szCs w:val="22"/>
          <w:lang w:eastAsia="en-GB"/>
        </w:rPr>
        <w:t>to the UN are those which require the exercise of substantial discretion in applying UN authority and/or in making decisions for the UN. The activities normally fall into two categories: a) the exercise of high-level authority or b) the establishment of procedures and processes related to the oversight of monetary transactions or entitlements. An inherently UN activity involves: </w:t>
      </w:r>
    </w:p>
    <w:p w14:paraId="38CCE036" w14:textId="77777777" w:rsidR="00804AF0" w:rsidRDefault="009A47D6">
      <w:pPr>
        <w:shd w:val="clear" w:color="auto" w:fill="FFFFFF"/>
        <w:ind w:left="720"/>
        <w:jc w:val="both"/>
        <w:textAlignment w:val="baseline"/>
        <w:rPr>
          <w:rFonts w:ascii="Calibri" w:hAnsi="Calibri" w:cs="Calibri"/>
          <w:sz w:val="22"/>
          <w:szCs w:val="22"/>
          <w:lang w:eastAsia="en-GB"/>
        </w:rPr>
      </w:pPr>
      <w:r>
        <w:rPr>
          <w:rFonts w:ascii="Calibri" w:hAnsi="Calibri" w:cs="Calibri"/>
          <w:sz w:val="22"/>
          <w:szCs w:val="22"/>
          <w:lang w:eastAsia="en-GB"/>
        </w:rPr>
        <w:t> </w:t>
      </w:r>
    </w:p>
    <w:p w14:paraId="26C23E34" w14:textId="12FE37AD" w:rsidR="00804AF0" w:rsidRDefault="009A47D6">
      <w:pPr>
        <w:shd w:val="clear" w:color="auto" w:fill="FFFFFF"/>
        <w:ind w:left="720" w:hanging="360"/>
        <w:jc w:val="both"/>
        <w:textAlignment w:val="baseline"/>
        <w:rPr>
          <w:rFonts w:ascii="Calibri" w:hAnsi="Calibri" w:cs="Calibri"/>
          <w:sz w:val="22"/>
          <w:szCs w:val="22"/>
          <w:lang w:eastAsia="en-GB"/>
        </w:rPr>
      </w:pPr>
      <w:r>
        <w:rPr>
          <w:rFonts w:ascii="Calibri" w:hAnsi="Calibri" w:cs="Calibri"/>
          <w:sz w:val="22"/>
          <w:szCs w:val="22"/>
          <w:lang w:eastAsia="en-GB"/>
        </w:rPr>
        <w:t xml:space="preserve">a. </w:t>
      </w:r>
      <w:r>
        <w:rPr>
          <w:rFonts w:ascii="Calibri" w:hAnsi="Calibri" w:cs="Calibri"/>
          <w:sz w:val="22"/>
          <w:szCs w:val="22"/>
          <w:lang w:eastAsia="en-GB"/>
        </w:rPr>
        <w:tab/>
      </w:r>
      <w:r w:rsidR="00D46637">
        <w:rPr>
          <w:rFonts w:ascii="Calibri" w:hAnsi="Calibri" w:cs="Calibri"/>
          <w:sz w:val="22"/>
          <w:szCs w:val="22"/>
          <w:lang w:eastAsia="en-GB"/>
        </w:rPr>
        <w:t>Binding UNDP</w:t>
      </w:r>
      <w:r>
        <w:rPr>
          <w:rFonts w:ascii="Calibri" w:hAnsi="Calibri" w:cs="Calibri"/>
          <w:sz w:val="22"/>
          <w:szCs w:val="22"/>
          <w:lang w:eastAsia="en-GB"/>
        </w:rPr>
        <w:t> to take </w:t>
      </w:r>
      <w:r w:rsidR="00D46637">
        <w:rPr>
          <w:rFonts w:ascii="Calibri" w:hAnsi="Calibri" w:cs="Calibri"/>
          <w:sz w:val="22"/>
          <w:szCs w:val="22"/>
          <w:lang w:eastAsia="en-GB"/>
        </w:rPr>
        <w:t>or not to take some action by contract, public</w:t>
      </w:r>
      <w:r>
        <w:rPr>
          <w:rFonts w:ascii="Calibri" w:hAnsi="Calibri" w:cs="Calibri"/>
          <w:sz w:val="22"/>
          <w:szCs w:val="22"/>
          <w:lang w:eastAsia="en-GB"/>
        </w:rPr>
        <w:t xml:space="preserve"> pronouncement or otherwise; </w:t>
      </w:r>
    </w:p>
    <w:p w14:paraId="04D9086B" w14:textId="77777777" w:rsidR="00804AF0" w:rsidRDefault="00804AF0">
      <w:pPr>
        <w:shd w:val="clear" w:color="auto" w:fill="FFFFFF"/>
        <w:ind w:left="720" w:hanging="360"/>
        <w:jc w:val="both"/>
        <w:textAlignment w:val="baseline"/>
        <w:rPr>
          <w:rFonts w:ascii="Calibri" w:hAnsi="Calibri" w:cs="Calibri"/>
          <w:sz w:val="22"/>
          <w:szCs w:val="22"/>
          <w:lang w:eastAsia="en-GB"/>
        </w:rPr>
      </w:pPr>
    </w:p>
    <w:p w14:paraId="152494D7" w14:textId="77777777" w:rsidR="00804AF0" w:rsidRDefault="009A47D6">
      <w:pPr>
        <w:numPr>
          <w:ilvl w:val="0"/>
          <w:numId w:val="40"/>
        </w:numPr>
        <w:shd w:val="clear" w:color="auto" w:fill="FFFFFF"/>
        <w:jc w:val="both"/>
        <w:textAlignment w:val="baseline"/>
        <w:rPr>
          <w:rFonts w:ascii="Calibri" w:hAnsi="Calibri" w:cs="Calibri"/>
          <w:sz w:val="22"/>
          <w:szCs w:val="22"/>
          <w:lang w:eastAsia="en-GB"/>
        </w:rPr>
      </w:pPr>
      <w:r>
        <w:rPr>
          <w:rFonts w:ascii="Calibri" w:hAnsi="Calibri" w:cs="Calibri"/>
          <w:sz w:val="22"/>
          <w:szCs w:val="22"/>
          <w:lang w:eastAsia="en-GB"/>
        </w:rPr>
        <w:t>Determining, protecting, and advancing the interests of the United Nations, by diplomatic means or political means or otherwise; </w:t>
      </w:r>
    </w:p>
    <w:p w14:paraId="376EB6C6" w14:textId="77777777" w:rsidR="00804AF0" w:rsidRDefault="00804AF0">
      <w:pPr>
        <w:shd w:val="clear" w:color="auto" w:fill="FFFFFF"/>
        <w:ind w:left="720"/>
        <w:jc w:val="both"/>
        <w:textAlignment w:val="baseline"/>
        <w:rPr>
          <w:rFonts w:ascii="Calibri" w:hAnsi="Calibri" w:cs="Calibri"/>
          <w:sz w:val="22"/>
          <w:szCs w:val="22"/>
          <w:lang w:eastAsia="en-GB"/>
        </w:rPr>
      </w:pPr>
    </w:p>
    <w:p w14:paraId="2D66AC63" w14:textId="77777777" w:rsidR="00804AF0" w:rsidRDefault="009A47D6">
      <w:pPr>
        <w:numPr>
          <w:ilvl w:val="0"/>
          <w:numId w:val="40"/>
        </w:numPr>
        <w:shd w:val="clear" w:color="auto" w:fill="FFFFFF"/>
        <w:jc w:val="both"/>
        <w:textAlignment w:val="baseline"/>
        <w:rPr>
          <w:rFonts w:ascii="Calibri" w:hAnsi="Calibri" w:cs="Calibri"/>
          <w:sz w:val="22"/>
          <w:szCs w:val="22"/>
          <w:lang w:eastAsia="en-GB"/>
        </w:rPr>
      </w:pPr>
      <w:r>
        <w:rPr>
          <w:rFonts w:ascii="Calibri" w:hAnsi="Calibri" w:cs="Calibri"/>
          <w:sz w:val="22"/>
          <w:szCs w:val="22"/>
          <w:lang w:eastAsia="en-GB"/>
        </w:rPr>
        <w:t xml:space="preserve">Significantly affecting the safety and security or property of </w:t>
      </w:r>
      <w:proofErr w:type="gramStart"/>
      <w:r>
        <w:rPr>
          <w:rFonts w:ascii="Calibri" w:hAnsi="Calibri" w:cs="Calibri"/>
          <w:sz w:val="22"/>
          <w:szCs w:val="22"/>
          <w:lang w:eastAsia="en-GB"/>
        </w:rPr>
        <w:t>persons</w:t>
      </w:r>
      <w:proofErr w:type="gramEnd"/>
      <w:r>
        <w:rPr>
          <w:rFonts w:ascii="Calibri" w:hAnsi="Calibri" w:cs="Calibri"/>
          <w:sz w:val="22"/>
          <w:szCs w:val="22"/>
          <w:lang w:eastAsia="en-GB"/>
        </w:rPr>
        <w:t>;</w:t>
      </w:r>
    </w:p>
    <w:p w14:paraId="56F01F5D" w14:textId="77777777" w:rsidR="00804AF0" w:rsidRDefault="00804AF0">
      <w:pPr>
        <w:shd w:val="clear" w:color="auto" w:fill="FFFFFF"/>
        <w:ind w:left="720"/>
        <w:jc w:val="both"/>
        <w:textAlignment w:val="baseline"/>
        <w:rPr>
          <w:rFonts w:ascii="Calibri" w:hAnsi="Calibri" w:cs="Calibri"/>
          <w:sz w:val="22"/>
          <w:szCs w:val="22"/>
          <w:lang w:eastAsia="en-GB"/>
        </w:rPr>
      </w:pPr>
    </w:p>
    <w:p w14:paraId="54F024FA" w14:textId="77777777" w:rsidR="00804AF0" w:rsidRDefault="009A47D6">
      <w:pPr>
        <w:numPr>
          <w:ilvl w:val="0"/>
          <w:numId w:val="40"/>
        </w:numPr>
        <w:shd w:val="clear" w:color="auto" w:fill="FFFFFF"/>
        <w:jc w:val="both"/>
        <w:textAlignment w:val="baseline"/>
        <w:rPr>
          <w:rFonts w:ascii="Calibri" w:hAnsi="Calibri" w:cs="Calibri"/>
          <w:sz w:val="22"/>
          <w:szCs w:val="22"/>
          <w:lang w:eastAsia="en-GB"/>
        </w:rPr>
      </w:pPr>
      <w:r>
        <w:rPr>
          <w:rFonts w:ascii="Calibri" w:hAnsi="Calibri" w:cs="Calibri"/>
          <w:sz w:val="22"/>
          <w:szCs w:val="22"/>
          <w:lang w:eastAsia="en-GB"/>
        </w:rPr>
        <w:t xml:space="preserve">Exerting ultimate control over the acquisition, use, or disposition of United Nations property (real or personal, tangible or intangible); </w:t>
      </w:r>
    </w:p>
    <w:p w14:paraId="1BC75DC5" w14:textId="77777777" w:rsidR="00804AF0" w:rsidRDefault="00804AF0">
      <w:pPr>
        <w:shd w:val="clear" w:color="auto" w:fill="FFFFFF"/>
        <w:ind w:left="720"/>
        <w:jc w:val="both"/>
        <w:textAlignment w:val="baseline"/>
        <w:rPr>
          <w:rFonts w:ascii="Calibri" w:hAnsi="Calibri" w:cs="Calibri"/>
          <w:sz w:val="22"/>
          <w:szCs w:val="22"/>
          <w:lang w:eastAsia="en-GB"/>
        </w:rPr>
      </w:pPr>
    </w:p>
    <w:p w14:paraId="4A6504F7" w14:textId="77777777" w:rsidR="00804AF0" w:rsidRDefault="009A47D6">
      <w:pPr>
        <w:numPr>
          <w:ilvl w:val="0"/>
          <w:numId w:val="40"/>
        </w:numPr>
        <w:shd w:val="clear" w:color="auto" w:fill="FFFFFF"/>
        <w:jc w:val="both"/>
        <w:textAlignment w:val="baseline"/>
        <w:rPr>
          <w:rFonts w:ascii="Calibri" w:hAnsi="Calibri" w:cs="Calibri"/>
          <w:sz w:val="22"/>
          <w:szCs w:val="22"/>
          <w:lang w:eastAsia="en-GB"/>
        </w:rPr>
      </w:pPr>
      <w:r>
        <w:rPr>
          <w:rFonts w:ascii="Calibri" w:hAnsi="Calibri" w:cs="Calibri"/>
          <w:sz w:val="22"/>
          <w:szCs w:val="22"/>
          <w:lang w:eastAsia="en-GB"/>
        </w:rPr>
        <w:t xml:space="preserve">Establishing policies or procedures for the collection, control, or disbursement of funds; </w:t>
      </w:r>
    </w:p>
    <w:p w14:paraId="207C4CA0" w14:textId="77777777" w:rsidR="00804AF0" w:rsidRDefault="00804AF0">
      <w:pPr>
        <w:shd w:val="clear" w:color="auto" w:fill="FFFFFF"/>
        <w:ind w:left="720"/>
        <w:jc w:val="both"/>
        <w:textAlignment w:val="baseline"/>
        <w:rPr>
          <w:rFonts w:ascii="Calibri" w:hAnsi="Calibri" w:cs="Calibri"/>
          <w:sz w:val="22"/>
          <w:szCs w:val="22"/>
          <w:lang w:eastAsia="en-GB"/>
        </w:rPr>
      </w:pPr>
    </w:p>
    <w:p w14:paraId="5B94683F" w14:textId="77777777" w:rsidR="00804AF0" w:rsidRDefault="009A47D6">
      <w:pPr>
        <w:numPr>
          <w:ilvl w:val="0"/>
          <w:numId w:val="40"/>
        </w:numPr>
        <w:shd w:val="clear" w:color="auto" w:fill="FFFFFF"/>
        <w:jc w:val="both"/>
        <w:textAlignment w:val="baseline"/>
        <w:rPr>
          <w:rFonts w:ascii="Calibri" w:hAnsi="Calibri" w:cs="Calibri"/>
          <w:sz w:val="22"/>
          <w:szCs w:val="22"/>
          <w:lang w:eastAsia="en-GB"/>
        </w:rPr>
      </w:pPr>
      <w:r>
        <w:rPr>
          <w:rFonts w:ascii="Calibri" w:hAnsi="Calibri" w:cs="Calibri"/>
          <w:sz w:val="22"/>
          <w:szCs w:val="22"/>
          <w:lang w:eastAsia="en-GB"/>
        </w:rPr>
        <w:t>Acting as internal control custodian of the organization. The list below contains an example of such functions that must be held by staff, as specified in UNDP’s internal control framework: </w:t>
      </w:r>
    </w:p>
    <w:p w14:paraId="677015B9" w14:textId="77777777" w:rsidR="00804AF0" w:rsidRDefault="009A47D6">
      <w:pPr>
        <w:shd w:val="clear" w:color="auto" w:fill="FFFFFF"/>
        <w:ind w:left="720"/>
        <w:jc w:val="both"/>
        <w:textAlignment w:val="baseline"/>
        <w:rPr>
          <w:rFonts w:ascii="Calibri" w:hAnsi="Calibri" w:cs="Calibri"/>
          <w:sz w:val="22"/>
          <w:szCs w:val="22"/>
          <w:lang w:eastAsia="en-GB"/>
        </w:rPr>
      </w:pPr>
      <w:r>
        <w:rPr>
          <w:rFonts w:ascii="Calibri" w:hAnsi="Calibri" w:cs="Calibri"/>
          <w:sz w:val="22"/>
          <w:szCs w:val="22"/>
          <w:lang w:eastAsia="en-GB"/>
        </w:rPr>
        <w:t> </w:t>
      </w:r>
    </w:p>
    <w:p w14:paraId="51FE3611" w14:textId="77777777" w:rsidR="00804AF0" w:rsidRDefault="009A47D6">
      <w:pPr>
        <w:shd w:val="clear" w:color="auto" w:fill="FFFFFF"/>
        <w:ind w:left="1800"/>
        <w:jc w:val="both"/>
        <w:textAlignment w:val="baseline"/>
        <w:rPr>
          <w:rFonts w:ascii="Calibri" w:hAnsi="Calibri" w:cs="Calibri"/>
          <w:sz w:val="22"/>
          <w:szCs w:val="22"/>
          <w:lang w:eastAsia="en-GB"/>
        </w:rPr>
      </w:pPr>
      <w:r>
        <w:rPr>
          <w:rFonts w:ascii="Calibri" w:hAnsi="Calibri" w:cs="Calibri"/>
          <w:sz w:val="22"/>
          <w:szCs w:val="22"/>
          <w:lang w:eastAsia="en-GB"/>
        </w:rPr>
        <w:t>2nd Authority  -  Approving  Managers  and  Global  Payroll Administrator </w:t>
      </w:r>
    </w:p>
    <w:p w14:paraId="206D1E8B" w14:textId="77777777" w:rsidR="00804AF0" w:rsidRDefault="009A47D6">
      <w:pPr>
        <w:shd w:val="clear" w:color="auto" w:fill="FFFFFF"/>
        <w:ind w:left="1800"/>
        <w:jc w:val="both"/>
        <w:textAlignment w:val="baseline"/>
        <w:rPr>
          <w:rFonts w:ascii="Calibri" w:hAnsi="Calibri" w:cs="Calibri"/>
          <w:sz w:val="22"/>
          <w:szCs w:val="22"/>
          <w:lang w:eastAsia="en-GB"/>
        </w:rPr>
      </w:pPr>
      <w:r>
        <w:rPr>
          <w:rFonts w:ascii="Calibri" w:hAnsi="Calibri" w:cs="Calibri"/>
          <w:sz w:val="22"/>
          <w:szCs w:val="22"/>
          <w:lang w:eastAsia="en-GB"/>
        </w:rPr>
        <w:t>3rd Authority  -  Disbursing  Officer and  Disbursing  Officer - Payroll </w:t>
      </w:r>
    </w:p>
    <w:p w14:paraId="15397159" w14:textId="77777777" w:rsidR="00804AF0" w:rsidRDefault="009A47D6">
      <w:pPr>
        <w:shd w:val="clear" w:color="auto" w:fill="FFFFFF"/>
        <w:ind w:left="1800"/>
        <w:jc w:val="both"/>
        <w:textAlignment w:val="baseline"/>
        <w:rPr>
          <w:rFonts w:ascii="Calibri" w:hAnsi="Calibri" w:cs="Calibri"/>
          <w:sz w:val="22"/>
          <w:szCs w:val="22"/>
          <w:lang w:eastAsia="en-GB"/>
        </w:rPr>
      </w:pPr>
      <w:r>
        <w:rPr>
          <w:rFonts w:ascii="Calibri" w:hAnsi="Calibri" w:cs="Calibri"/>
          <w:sz w:val="22"/>
          <w:szCs w:val="22"/>
          <w:lang w:eastAsia="en-GB"/>
        </w:rPr>
        <w:t>HR Administrator and Position Administrator </w:t>
      </w:r>
    </w:p>
    <w:p w14:paraId="57BE154F" w14:textId="77777777" w:rsidR="00804AF0" w:rsidRDefault="009A47D6">
      <w:pPr>
        <w:shd w:val="clear" w:color="auto" w:fill="FFFFFF"/>
        <w:ind w:left="1800"/>
        <w:jc w:val="both"/>
        <w:textAlignment w:val="baseline"/>
        <w:rPr>
          <w:rFonts w:ascii="Calibri" w:hAnsi="Calibri" w:cs="Calibri"/>
          <w:sz w:val="22"/>
          <w:szCs w:val="22"/>
          <w:lang w:eastAsia="en-GB"/>
        </w:rPr>
      </w:pPr>
      <w:r>
        <w:rPr>
          <w:rFonts w:ascii="Calibri" w:hAnsi="Calibri" w:cs="Calibri"/>
          <w:sz w:val="22"/>
          <w:szCs w:val="22"/>
          <w:lang w:eastAsia="en-GB"/>
        </w:rPr>
        <w:t>Bank Account Signatory </w:t>
      </w:r>
    </w:p>
    <w:p w14:paraId="32445775" w14:textId="77777777" w:rsidR="00804AF0" w:rsidRDefault="009A47D6">
      <w:pPr>
        <w:shd w:val="clear" w:color="auto" w:fill="FFFFFF"/>
        <w:ind w:left="1800"/>
        <w:jc w:val="both"/>
        <w:textAlignment w:val="baseline"/>
        <w:rPr>
          <w:rFonts w:ascii="Calibri" w:hAnsi="Calibri" w:cs="Calibri"/>
          <w:sz w:val="22"/>
          <w:szCs w:val="22"/>
          <w:lang w:eastAsia="en-GB"/>
        </w:rPr>
      </w:pPr>
      <w:r>
        <w:rPr>
          <w:rFonts w:ascii="Calibri" w:hAnsi="Calibri" w:cs="Calibri"/>
          <w:sz w:val="22"/>
          <w:szCs w:val="22"/>
          <w:lang w:eastAsia="en-GB"/>
        </w:rPr>
        <w:t>Trust Fund Manager </w:t>
      </w:r>
    </w:p>
    <w:p w14:paraId="02DC0298" w14:textId="77777777" w:rsidR="00804AF0" w:rsidRDefault="009A47D6">
      <w:pPr>
        <w:shd w:val="clear" w:color="auto" w:fill="FFFFFF"/>
        <w:ind w:left="1800"/>
        <w:jc w:val="both"/>
        <w:textAlignment w:val="baseline"/>
        <w:rPr>
          <w:rFonts w:ascii="Calibri" w:hAnsi="Calibri" w:cs="Calibri"/>
          <w:sz w:val="22"/>
          <w:szCs w:val="22"/>
          <w:lang w:eastAsia="en-GB"/>
        </w:rPr>
      </w:pPr>
      <w:r>
        <w:rPr>
          <w:rFonts w:ascii="Calibri" w:hAnsi="Calibri" w:cs="Calibri"/>
          <w:sz w:val="22"/>
          <w:szCs w:val="22"/>
          <w:lang w:eastAsia="en-GB"/>
        </w:rPr>
        <w:t>Bank reconciliation Approver </w:t>
      </w:r>
    </w:p>
    <w:p w14:paraId="4D5C2196" w14:textId="77777777" w:rsidR="00804AF0" w:rsidRDefault="009A47D6">
      <w:pPr>
        <w:shd w:val="clear" w:color="auto" w:fill="FFFFFF"/>
        <w:ind w:left="1800"/>
        <w:jc w:val="both"/>
        <w:textAlignment w:val="baseline"/>
        <w:rPr>
          <w:rFonts w:ascii="Calibri" w:hAnsi="Calibri" w:cs="Calibri"/>
          <w:sz w:val="22"/>
          <w:szCs w:val="22"/>
          <w:lang w:eastAsia="en-GB"/>
        </w:rPr>
      </w:pPr>
      <w:r>
        <w:rPr>
          <w:rFonts w:ascii="Calibri" w:hAnsi="Calibri" w:cs="Calibri"/>
          <w:sz w:val="22"/>
          <w:szCs w:val="22"/>
          <w:lang w:eastAsia="en-GB"/>
        </w:rPr>
        <w:t>Safe custodian </w:t>
      </w:r>
    </w:p>
    <w:p w14:paraId="62816351" w14:textId="77777777" w:rsidR="00804AF0" w:rsidRDefault="009A47D6">
      <w:pPr>
        <w:shd w:val="clear" w:color="auto" w:fill="FFFFFF"/>
        <w:ind w:left="1800"/>
        <w:jc w:val="both"/>
        <w:textAlignment w:val="baseline"/>
        <w:rPr>
          <w:rFonts w:ascii="Calibri" w:hAnsi="Calibri" w:cs="Calibri"/>
          <w:sz w:val="22"/>
          <w:szCs w:val="22"/>
          <w:lang w:eastAsia="en-GB"/>
        </w:rPr>
      </w:pPr>
      <w:r>
        <w:rPr>
          <w:rFonts w:ascii="Calibri" w:hAnsi="Calibri" w:cs="Calibri"/>
          <w:sz w:val="22"/>
          <w:szCs w:val="22"/>
          <w:lang w:eastAsia="en-GB"/>
        </w:rPr>
        <w:t>Supplemental roles of: Vendor Approvers, Override match exceptions, Fund manager and Retirement of assets </w:t>
      </w:r>
    </w:p>
    <w:p w14:paraId="18CBF385" w14:textId="77777777" w:rsidR="00804AF0" w:rsidRDefault="00804AF0">
      <w:pPr>
        <w:pStyle w:val="ListParagraph"/>
        <w:shd w:val="clear" w:color="auto" w:fill="FFFFFF"/>
        <w:ind w:left="2880"/>
        <w:jc w:val="both"/>
        <w:textAlignment w:val="baseline"/>
        <w:rPr>
          <w:rFonts w:ascii="Calibri" w:eastAsia="Times New Roman" w:hAnsi="Calibri" w:cs="Calibri"/>
          <w:sz w:val="22"/>
          <w:szCs w:val="22"/>
          <w:lang w:eastAsia="en-GB"/>
        </w:rPr>
      </w:pPr>
    </w:p>
    <w:p w14:paraId="6349E7AB" w14:textId="77777777" w:rsidR="00804AF0" w:rsidRDefault="009A47D6">
      <w:pPr>
        <w:shd w:val="clear" w:color="auto" w:fill="FFFFFF"/>
        <w:jc w:val="both"/>
        <w:textAlignment w:val="baseline"/>
        <w:rPr>
          <w:rFonts w:ascii="Calibri" w:hAnsi="Calibri" w:cs="Calibri"/>
          <w:sz w:val="22"/>
          <w:szCs w:val="22"/>
          <w:lang w:eastAsia="en-GB"/>
        </w:rPr>
      </w:pPr>
      <w:r>
        <w:rPr>
          <w:rFonts w:ascii="Calibri" w:hAnsi="Calibri" w:cs="Calibri"/>
          <w:sz w:val="22"/>
          <w:szCs w:val="22"/>
          <w:lang w:eastAsia="en-GB"/>
        </w:rPr>
        <w:t>As such, administering or managing a selection process in accordance with the UNDP standard policies and established processes is not considered an “inherent function”. However, deciding what rules to put into the corporate manuals and policies or making exceptions to such policies, in the interests of the UN is an “inherent function”; </w:t>
      </w:r>
    </w:p>
    <w:p w14:paraId="2549675C" w14:textId="77777777" w:rsidR="00804AF0" w:rsidRDefault="009A47D6">
      <w:pPr>
        <w:shd w:val="clear" w:color="auto" w:fill="FFFFFF"/>
        <w:jc w:val="both"/>
        <w:textAlignment w:val="baseline"/>
        <w:rPr>
          <w:rFonts w:ascii="Calibri" w:hAnsi="Calibri" w:cs="Calibri"/>
          <w:sz w:val="22"/>
          <w:szCs w:val="22"/>
          <w:lang w:eastAsia="en-GB"/>
        </w:rPr>
      </w:pPr>
      <w:r>
        <w:rPr>
          <w:rFonts w:ascii="Calibri" w:hAnsi="Calibri" w:cs="Calibri"/>
          <w:color w:val="000000"/>
          <w:sz w:val="22"/>
          <w:szCs w:val="22"/>
          <w:lang w:eastAsia="en-GB"/>
        </w:rPr>
        <w:t> </w:t>
      </w:r>
    </w:p>
    <w:p w14:paraId="0C0EFEE7" w14:textId="77777777" w:rsidR="00804AF0" w:rsidRDefault="009A47D6">
      <w:pPr>
        <w:shd w:val="clear" w:color="auto" w:fill="FFFFFF"/>
        <w:jc w:val="both"/>
        <w:textAlignment w:val="baseline"/>
        <w:rPr>
          <w:rFonts w:ascii="Calibri" w:hAnsi="Calibri" w:cs="Calibri"/>
          <w:sz w:val="22"/>
          <w:szCs w:val="22"/>
          <w:lang w:eastAsia="en-GB"/>
        </w:rPr>
      </w:pPr>
      <w:r>
        <w:rPr>
          <w:rFonts w:ascii="Calibri" w:hAnsi="Calibri" w:cs="Calibri"/>
          <w:sz w:val="22"/>
          <w:szCs w:val="22"/>
          <w:lang w:eastAsia="en-GB"/>
        </w:rPr>
        <w:t>Representing the organization, such as negotiating and deciding with governments or external partners, or deciding on which business line to focus, is considered an “inherent function”. </w:t>
      </w:r>
      <w:r>
        <w:rPr>
          <w:rFonts w:ascii="Calibri" w:hAnsi="Calibri" w:cs="Calibri"/>
          <w:sz w:val="22"/>
          <w:szCs w:val="22"/>
          <w:shd w:val="clear" w:color="auto" w:fill="FFFFFF"/>
          <w:lang w:eastAsia="en-GB"/>
        </w:rPr>
        <w:t>When in doubt, BMS/OHR shall consult with BMS/OFM to determine what is considered an inherent function.  </w:t>
      </w:r>
      <w:r>
        <w:rPr>
          <w:rFonts w:ascii="Calibri" w:hAnsi="Calibri" w:cs="Calibri"/>
          <w:sz w:val="22"/>
          <w:szCs w:val="22"/>
          <w:lang w:eastAsia="en-GB"/>
        </w:rPr>
        <w:t> </w:t>
      </w:r>
    </w:p>
    <w:p w14:paraId="3655AC86" w14:textId="77777777" w:rsidR="00804AF0" w:rsidRDefault="009A47D6">
      <w:pPr>
        <w:shd w:val="clear" w:color="auto" w:fill="FFFFFF"/>
        <w:jc w:val="both"/>
        <w:textAlignment w:val="baseline"/>
        <w:rPr>
          <w:rFonts w:ascii="Calibri" w:hAnsi="Calibri" w:cs="Calibri"/>
          <w:color w:val="404040"/>
          <w:sz w:val="22"/>
          <w:szCs w:val="22"/>
          <w:lang w:eastAsia="en-GB"/>
        </w:rPr>
      </w:pPr>
      <w:r>
        <w:rPr>
          <w:rFonts w:ascii="Calibri" w:hAnsi="Calibri" w:cs="Calibri"/>
          <w:color w:val="404040"/>
          <w:sz w:val="22"/>
          <w:szCs w:val="22"/>
          <w:lang w:eastAsia="en-GB"/>
        </w:rPr>
        <w:t> </w:t>
      </w:r>
    </w:p>
    <w:p w14:paraId="47E367D9" w14:textId="77777777" w:rsidR="009B7BAC" w:rsidRDefault="009B7BAC">
      <w:pPr>
        <w:shd w:val="clear" w:color="auto" w:fill="FFFFFF"/>
        <w:jc w:val="both"/>
        <w:textAlignment w:val="baseline"/>
        <w:rPr>
          <w:rFonts w:ascii="Calibri" w:hAnsi="Calibri" w:cs="Calibri"/>
          <w:sz w:val="22"/>
          <w:szCs w:val="22"/>
          <w:lang w:eastAsia="en-GB"/>
        </w:rPr>
      </w:pPr>
    </w:p>
    <w:p w14:paraId="0FC86AE6" w14:textId="77777777" w:rsidR="00804AF0" w:rsidRDefault="009A47D6">
      <w:pPr>
        <w:shd w:val="clear" w:color="auto" w:fill="FFFFFF"/>
        <w:jc w:val="both"/>
        <w:textAlignment w:val="baseline"/>
        <w:rPr>
          <w:rFonts w:ascii="Calibri" w:hAnsi="Calibri" w:cs="Calibri"/>
          <w:sz w:val="22"/>
          <w:szCs w:val="22"/>
          <w:lang w:eastAsia="en-GB"/>
        </w:rPr>
      </w:pPr>
      <w:r>
        <w:rPr>
          <w:rFonts w:ascii="Calibri" w:hAnsi="Calibri" w:cs="Calibri"/>
          <w:i/>
          <w:iCs/>
          <w:sz w:val="22"/>
          <w:szCs w:val="22"/>
          <w:u w:val="single"/>
          <w:lang w:eastAsia="en-GB"/>
        </w:rPr>
        <w:lastRenderedPageBreak/>
        <w:t>Definition of functions of a continuous nature:</w:t>
      </w:r>
      <w:r>
        <w:rPr>
          <w:rFonts w:ascii="Calibri" w:hAnsi="Calibri" w:cs="Calibri"/>
          <w:sz w:val="22"/>
          <w:szCs w:val="22"/>
          <w:lang w:eastAsia="en-GB"/>
        </w:rPr>
        <w:t> </w:t>
      </w:r>
    </w:p>
    <w:p w14:paraId="16B9A158" w14:textId="77777777" w:rsidR="00804AF0" w:rsidRDefault="009A47D6">
      <w:pPr>
        <w:shd w:val="clear" w:color="auto" w:fill="FFFFFF"/>
        <w:jc w:val="both"/>
        <w:textAlignment w:val="baseline"/>
        <w:rPr>
          <w:rFonts w:ascii="Calibri" w:hAnsi="Calibri" w:cs="Calibri"/>
          <w:sz w:val="22"/>
          <w:szCs w:val="22"/>
          <w:lang w:eastAsia="en-GB"/>
        </w:rPr>
      </w:pPr>
      <w:r>
        <w:rPr>
          <w:rFonts w:ascii="Calibri" w:hAnsi="Calibri" w:cs="Calibri"/>
          <w:sz w:val="22"/>
          <w:szCs w:val="22"/>
          <w:lang w:eastAsia="en-GB"/>
        </w:rPr>
        <w:t> </w:t>
      </w:r>
    </w:p>
    <w:p w14:paraId="6A6F71C0" w14:textId="77777777" w:rsidR="00804AF0" w:rsidRDefault="009A47D6">
      <w:pPr>
        <w:shd w:val="clear" w:color="auto" w:fill="FFFFFF"/>
        <w:jc w:val="both"/>
        <w:textAlignment w:val="baseline"/>
        <w:rPr>
          <w:rFonts w:ascii="Calibri" w:hAnsi="Calibri" w:cs="Calibri"/>
          <w:sz w:val="22"/>
          <w:szCs w:val="22"/>
          <w:lang w:eastAsia="en-GB"/>
        </w:rPr>
      </w:pPr>
      <w:r>
        <w:rPr>
          <w:rFonts w:ascii="Calibri" w:hAnsi="Calibri" w:cs="Calibri"/>
          <w:sz w:val="22"/>
          <w:szCs w:val="22"/>
          <w:shd w:val="clear" w:color="auto" w:fill="FFFFFF"/>
          <w:lang w:eastAsia="en-GB"/>
        </w:rPr>
        <w:t>The functions are of </w:t>
      </w:r>
      <w:r>
        <w:rPr>
          <w:rFonts w:ascii="Calibri" w:hAnsi="Calibri" w:cs="Calibri"/>
          <w:b/>
          <w:bCs/>
          <w:sz w:val="22"/>
          <w:szCs w:val="22"/>
          <w:u w:val="single"/>
          <w:shd w:val="clear" w:color="auto" w:fill="FFFFFF"/>
          <w:lang w:eastAsia="en-GB"/>
        </w:rPr>
        <w:t>continuous nature</w:t>
      </w:r>
      <w:r>
        <w:rPr>
          <w:rFonts w:ascii="Calibri" w:hAnsi="Calibri" w:cs="Calibri"/>
          <w:sz w:val="22"/>
          <w:szCs w:val="22"/>
          <w:shd w:val="clear" w:color="auto" w:fill="FFFFFF"/>
          <w:lang w:eastAsia="en-GB"/>
        </w:rPr>
        <w:t> </w:t>
      </w:r>
      <w:r>
        <w:rPr>
          <w:rFonts w:ascii="Calibri" w:hAnsi="Calibri" w:cs="Calibri"/>
          <w:sz w:val="22"/>
          <w:szCs w:val="22"/>
          <w:lang w:eastAsia="en-GB"/>
        </w:rPr>
        <w:t>when the position is primarily core funded (&gt;50%), and  </w:t>
      </w:r>
    </w:p>
    <w:p w14:paraId="506BC936" w14:textId="77777777" w:rsidR="00804AF0" w:rsidRDefault="009A47D6">
      <w:pPr>
        <w:shd w:val="clear" w:color="auto" w:fill="FFFFFF"/>
        <w:jc w:val="both"/>
        <w:textAlignment w:val="baseline"/>
        <w:rPr>
          <w:rFonts w:ascii="Calibri" w:hAnsi="Calibri" w:cs="Calibri"/>
          <w:sz w:val="22"/>
          <w:szCs w:val="22"/>
          <w:lang w:eastAsia="en-GB"/>
        </w:rPr>
      </w:pPr>
      <w:r>
        <w:rPr>
          <w:rFonts w:ascii="Calibri" w:hAnsi="Calibri" w:cs="Calibri"/>
          <w:sz w:val="22"/>
          <w:szCs w:val="22"/>
          <w:lang w:eastAsia="en-GB"/>
        </w:rPr>
        <w:t>  </w:t>
      </w:r>
    </w:p>
    <w:p w14:paraId="5212FD20" w14:textId="77777777" w:rsidR="00804AF0" w:rsidRDefault="009A47D6">
      <w:pPr>
        <w:numPr>
          <w:ilvl w:val="0"/>
          <w:numId w:val="41"/>
        </w:numPr>
        <w:shd w:val="clear" w:color="auto" w:fill="FFFFFF"/>
        <w:jc w:val="both"/>
        <w:textAlignment w:val="baseline"/>
        <w:rPr>
          <w:rFonts w:ascii="Calibri" w:hAnsi="Calibri" w:cs="Calibri"/>
          <w:sz w:val="22"/>
          <w:szCs w:val="22"/>
          <w:lang w:eastAsia="en-GB"/>
        </w:rPr>
      </w:pPr>
      <w:r>
        <w:rPr>
          <w:rFonts w:ascii="Calibri" w:hAnsi="Calibri" w:cs="Calibri"/>
          <w:sz w:val="22"/>
          <w:szCs w:val="22"/>
          <w:lang w:eastAsia="en-GB"/>
        </w:rPr>
        <w:t>The functions performed under the position are not meant to indirectly support a specific, limited in time, kind of initiative/project, such as a specific business development engagement, study visit, consultancy, specific training, etc.</w:t>
      </w:r>
    </w:p>
    <w:p w14:paraId="3D858CAB" w14:textId="77777777" w:rsidR="00804AF0" w:rsidRDefault="009A47D6">
      <w:pPr>
        <w:shd w:val="clear" w:color="auto" w:fill="FFFFFF"/>
        <w:ind w:left="360"/>
        <w:jc w:val="both"/>
        <w:textAlignment w:val="baseline"/>
        <w:rPr>
          <w:rFonts w:ascii="Calibri" w:hAnsi="Calibri" w:cs="Calibri"/>
          <w:sz w:val="22"/>
          <w:szCs w:val="22"/>
          <w:lang w:eastAsia="en-GB"/>
        </w:rPr>
      </w:pPr>
      <w:r>
        <w:rPr>
          <w:rFonts w:ascii="Calibri" w:hAnsi="Calibri" w:cs="Calibri"/>
          <w:sz w:val="22"/>
          <w:szCs w:val="22"/>
          <w:lang w:eastAsia="en-GB"/>
        </w:rPr>
        <w:t> </w:t>
      </w:r>
    </w:p>
    <w:p w14:paraId="47724002" w14:textId="77777777" w:rsidR="00804AF0" w:rsidRDefault="009A47D6">
      <w:pPr>
        <w:numPr>
          <w:ilvl w:val="0"/>
          <w:numId w:val="41"/>
        </w:numPr>
        <w:shd w:val="clear" w:color="auto" w:fill="FFFFFF"/>
        <w:jc w:val="both"/>
        <w:textAlignment w:val="baseline"/>
        <w:rPr>
          <w:rFonts w:ascii="Calibri" w:hAnsi="Calibri" w:cs="Calibri"/>
          <w:sz w:val="22"/>
          <w:szCs w:val="22"/>
          <w:lang w:eastAsia="en-GB"/>
        </w:rPr>
      </w:pPr>
      <w:r>
        <w:rPr>
          <w:rFonts w:ascii="Calibri" w:hAnsi="Calibri" w:cs="Calibri"/>
          <w:sz w:val="22"/>
          <w:szCs w:val="22"/>
          <w:lang w:eastAsia="en-GB"/>
        </w:rPr>
        <w:t>The position covered by the IPSA is not a temporary replacement of a UNDP post where the staff member incumbent is on an extended leave, such as maternity, paternity, special leave, etc. </w:t>
      </w:r>
    </w:p>
    <w:bookmarkEnd w:id="116"/>
    <w:p w14:paraId="050E55EF" w14:textId="77777777" w:rsidR="00804AF0" w:rsidRDefault="00804AF0">
      <w:pPr>
        <w:jc w:val="both"/>
        <w:textAlignment w:val="baseline"/>
        <w:rPr>
          <w:rFonts w:ascii="Calibri" w:hAnsi="Calibri" w:cs="Calibri"/>
          <w:b/>
          <w:bCs/>
          <w:sz w:val="22"/>
          <w:szCs w:val="22"/>
          <w:u w:val="single"/>
          <w:lang w:eastAsia="en-GB"/>
        </w:rPr>
      </w:pPr>
    </w:p>
    <w:p w14:paraId="12037710" w14:textId="77777777" w:rsidR="00804AF0" w:rsidRDefault="009A47D6">
      <w:pPr>
        <w:rPr>
          <w:rFonts w:ascii="Calibri" w:hAnsi="Calibri" w:cs="Calibri"/>
          <w:b/>
          <w:bCs/>
          <w:sz w:val="22"/>
          <w:szCs w:val="22"/>
          <w:u w:val="single"/>
          <w:lang w:eastAsia="en-GB"/>
        </w:rPr>
      </w:pPr>
      <w:bookmarkStart w:id="117" w:name="_Annex_4:_IPSA"/>
      <w:bookmarkStart w:id="118" w:name="_Annex_5:_IPSA_Pay_Ranges_and_Identifyin"/>
      <w:bookmarkEnd w:id="117"/>
      <w:r>
        <w:rPr>
          <w:rFonts w:ascii="Calibri" w:hAnsi="Calibri" w:cs="Calibri"/>
          <w:b/>
          <w:bCs/>
          <w:sz w:val="22"/>
          <w:szCs w:val="22"/>
          <w:u w:val="single"/>
          <w:lang w:eastAsia="en-GB"/>
        </w:rPr>
        <w:br w:type="page"/>
      </w:r>
    </w:p>
    <w:p w14:paraId="29FB4DFF" w14:textId="52B759E3" w:rsidR="00804AF0" w:rsidRDefault="009A47D6">
      <w:pPr>
        <w:pStyle w:val="Heading1"/>
        <w:jc w:val="left"/>
        <w:rPr>
          <w:rFonts w:ascii="Calibri" w:hAnsi="Calibri" w:cs="Calibri"/>
          <w:b/>
          <w:bCs/>
          <w:sz w:val="22"/>
          <w:szCs w:val="22"/>
          <w:u w:val="single"/>
          <w:lang w:eastAsia="en-GB"/>
        </w:rPr>
      </w:pPr>
      <w:bookmarkStart w:id="119" w:name="_Annex_4:_IPSA_1"/>
      <w:bookmarkStart w:id="120" w:name="_Toc161312446"/>
      <w:bookmarkEnd w:id="119"/>
      <w:r>
        <w:rPr>
          <w:rFonts w:ascii="Calibri" w:hAnsi="Calibri" w:cs="Calibri"/>
          <w:b/>
          <w:bCs/>
          <w:sz w:val="22"/>
          <w:szCs w:val="22"/>
          <w:u w:val="single"/>
          <w:lang w:eastAsia="en-GB"/>
        </w:rPr>
        <w:lastRenderedPageBreak/>
        <w:t xml:space="preserve">Annex 4: IPSA </w:t>
      </w:r>
      <w:r w:rsidR="00292140">
        <w:rPr>
          <w:rFonts w:ascii="Calibri" w:hAnsi="Calibri" w:cs="Calibri"/>
          <w:b/>
          <w:bCs/>
          <w:sz w:val="22"/>
          <w:szCs w:val="22"/>
          <w:u w:val="single"/>
          <w:lang w:eastAsia="en-GB"/>
        </w:rPr>
        <w:t>p</w:t>
      </w:r>
      <w:r>
        <w:rPr>
          <w:rFonts w:ascii="Calibri" w:hAnsi="Calibri" w:cs="Calibri"/>
          <w:b/>
          <w:bCs/>
          <w:sz w:val="22"/>
          <w:szCs w:val="22"/>
          <w:u w:val="single"/>
          <w:lang w:eastAsia="en-GB"/>
        </w:rPr>
        <w:t xml:space="preserve">ay </w:t>
      </w:r>
      <w:r w:rsidR="00292140">
        <w:rPr>
          <w:rFonts w:ascii="Calibri" w:hAnsi="Calibri" w:cs="Calibri"/>
          <w:b/>
          <w:bCs/>
          <w:sz w:val="22"/>
          <w:szCs w:val="22"/>
          <w:u w:val="single"/>
          <w:lang w:eastAsia="en-GB"/>
        </w:rPr>
        <w:t>r</w:t>
      </w:r>
      <w:r>
        <w:rPr>
          <w:rFonts w:ascii="Calibri" w:hAnsi="Calibri" w:cs="Calibri"/>
          <w:b/>
          <w:bCs/>
          <w:sz w:val="22"/>
          <w:szCs w:val="22"/>
          <w:u w:val="single"/>
          <w:lang w:eastAsia="en-GB"/>
        </w:rPr>
        <w:t xml:space="preserve">anges and </w:t>
      </w:r>
      <w:r w:rsidR="00292140">
        <w:rPr>
          <w:rFonts w:ascii="Calibri" w:hAnsi="Calibri" w:cs="Calibri"/>
          <w:b/>
          <w:bCs/>
          <w:sz w:val="22"/>
          <w:szCs w:val="22"/>
          <w:u w:val="single"/>
          <w:lang w:eastAsia="en-GB"/>
        </w:rPr>
        <w:t>i</w:t>
      </w:r>
      <w:r>
        <w:rPr>
          <w:rFonts w:ascii="Calibri" w:hAnsi="Calibri" w:cs="Calibri"/>
          <w:b/>
          <w:bCs/>
          <w:sz w:val="22"/>
          <w:szCs w:val="22"/>
          <w:u w:val="single"/>
          <w:lang w:eastAsia="en-GB"/>
        </w:rPr>
        <w:t>dentifying the right level</w:t>
      </w:r>
      <w:bookmarkEnd w:id="120"/>
      <w:r>
        <w:rPr>
          <w:rFonts w:ascii="Calibri" w:hAnsi="Calibri" w:cs="Calibri"/>
          <w:b/>
          <w:bCs/>
          <w:sz w:val="22"/>
          <w:szCs w:val="22"/>
          <w:u w:val="single"/>
          <w:lang w:eastAsia="en-GB"/>
        </w:rPr>
        <w:t> </w:t>
      </w:r>
    </w:p>
    <w:bookmarkEnd w:id="118"/>
    <w:p w14:paraId="28EBF76B" w14:textId="77777777" w:rsidR="00804AF0" w:rsidRDefault="00804AF0">
      <w:pPr>
        <w:jc w:val="both"/>
        <w:textAlignment w:val="baseline"/>
        <w:rPr>
          <w:rFonts w:ascii="Calibri" w:hAnsi="Calibri" w:cs="Calibri"/>
          <w:sz w:val="22"/>
          <w:szCs w:val="22"/>
          <w:lang w:eastAsia="en-GB"/>
        </w:rPr>
      </w:pPr>
    </w:p>
    <w:p w14:paraId="7F7F9E28" w14:textId="77777777" w:rsidR="00804AF0" w:rsidRDefault="009A47D6">
      <w:pPr>
        <w:textAlignment w:val="baseline"/>
        <w:rPr>
          <w:rFonts w:ascii="Calibri" w:hAnsi="Calibri" w:cs="Calibri"/>
          <w:sz w:val="22"/>
          <w:szCs w:val="22"/>
          <w:lang w:eastAsia="en-GB"/>
        </w:rPr>
      </w:pPr>
      <w:r>
        <w:rPr>
          <w:rFonts w:ascii="Calibri" w:hAnsi="Calibri" w:cs="Calibri"/>
          <w:i/>
          <w:iCs/>
          <w:sz w:val="22"/>
          <w:szCs w:val="22"/>
          <w:u w:val="single"/>
          <w:lang w:eastAsia="en-GB"/>
        </w:rPr>
        <w:t>Identifying the right level as per functions:</w:t>
      </w:r>
      <w:r>
        <w:rPr>
          <w:rFonts w:ascii="Calibri" w:hAnsi="Calibri" w:cs="Calibri"/>
          <w:sz w:val="22"/>
          <w:szCs w:val="22"/>
          <w:lang w:eastAsia="en-GB"/>
        </w:rPr>
        <w:t> </w:t>
      </w:r>
    </w:p>
    <w:p w14:paraId="5DE36003" w14:textId="77777777" w:rsidR="00804AF0" w:rsidRDefault="00804AF0">
      <w:pPr>
        <w:textAlignment w:val="baseline"/>
        <w:rPr>
          <w:rFonts w:ascii="Calibri" w:hAnsi="Calibri" w:cs="Calibri"/>
          <w:sz w:val="22"/>
          <w:szCs w:val="22"/>
          <w:lang w:eastAsia="en-GB"/>
        </w:rPr>
      </w:pPr>
    </w:p>
    <w:p w14:paraId="76E73A1D"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IB1 (P1-P2):</w:t>
      </w:r>
      <w:r>
        <w:rPr>
          <w:rFonts w:ascii="Calibri" w:hAnsi="Calibri" w:cs="Calibri"/>
          <w:sz w:val="22"/>
          <w:szCs w:val="22"/>
          <w:lang w:eastAsia="en-GB"/>
        </w:rPr>
        <w:t> Basic knowledge, more theoretical than practical and less managerial capacity, basic analysis; capacity to apply unpaid concepts. Basic professional competence, expectations to grow the individual from conceptual understanding to applied knowledge.  </w:t>
      </w:r>
    </w:p>
    <w:p w14:paraId="1FAD6160" w14:textId="77777777" w:rsidR="00804AF0" w:rsidRDefault="00804AF0">
      <w:pPr>
        <w:jc w:val="both"/>
        <w:textAlignment w:val="baseline"/>
        <w:rPr>
          <w:rFonts w:ascii="Calibri" w:hAnsi="Calibri" w:cs="Calibri"/>
          <w:sz w:val="22"/>
          <w:szCs w:val="22"/>
          <w:lang w:eastAsia="en-GB"/>
        </w:rPr>
      </w:pPr>
    </w:p>
    <w:p w14:paraId="597D56A5"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IB2 (P3-P4):</w:t>
      </w:r>
      <w:r>
        <w:rPr>
          <w:rFonts w:ascii="Calibri" w:hAnsi="Calibri" w:cs="Calibri"/>
          <w:sz w:val="22"/>
          <w:szCs w:val="22"/>
          <w:lang w:eastAsia="en-GB"/>
        </w:rPr>
        <w:t> Solid understanding of the technicality of the position requirements; initiating new understandings and application of knowledge into policies or programmes in a specific subject area or field of work. This may range from solid professional (theory and practice) who anchors a substantive team to a specialist who is recognized for conceptual applied mastery, innovates new approaches, can work with specialized substantive teams.  </w:t>
      </w:r>
    </w:p>
    <w:p w14:paraId="3871EFAD" w14:textId="77777777" w:rsidR="00804AF0" w:rsidRDefault="00804AF0">
      <w:pPr>
        <w:jc w:val="both"/>
        <w:textAlignment w:val="baseline"/>
        <w:rPr>
          <w:rFonts w:ascii="Calibri" w:hAnsi="Calibri" w:cs="Calibri"/>
          <w:sz w:val="22"/>
          <w:szCs w:val="22"/>
          <w:lang w:eastAsia="en-GB"/>
        </w:rPr>
      </w:pPr>
    </w:p>
    <w:p w14:paraId="0604A3BB"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IB3 (P5- D1/P6 Expert Roles):</w:t>
      </w:r>
      <w:r>
        <w:rPr>
          <w:rFonts w:ascii="Calibri" w:hAnsi="Calibri" w:cs="Calibri"/>
          <w:sz w:val="22"/>
          <w:szCs w:val="22"/>
          <w:lang w:eastAsia="en-GB"/>
        </w:rPr>
        <w:t> Integration of substantive specialization to provide a comprehensive platform for service; delivery of world-renowned expertise recognized by the peer community; expanding and extending capacities and services into new fields. Advanced programme renowned expert, integrates substantive specializations, devises ground-breaking initiatives.</w:t>
      </w:r>
    </w:p>
    <w:p w14:paraId="7B09F547"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48139569"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IB4 (D1/P6-D2/P7)- mostly highly technical senior roles, sometimes Expert roles at D2 level: </w:t>
      </w:r>
      <w:r>
        <w:rPr>
          <w:rFonts w:ascii="Calibri" w:hAnsi="Calibri" w:cs="Calibri"/>
          <w:sz w:val="22"/>
          <w:szCs w:val="22"/>
          <w:lang w:eastAsia="en-GB"/>
        </w:rPr>
        <w:t>Politically and substantively prescient.  World-class senior-level expert. </w:t>
      </w:r>
    </w:p>
    <w:p w14:paraId="3257B749" w14:textId="77777777" w:rsidR="00804AF0" w:rsidRDefault="00804AF0">
      <w:pPr>
        <w:jc w:val="both"/>
        <w:textAlignment w:val="baseline"/>
        <w:rPr>
          <w:rFonts w:ascii="Calibri" w:hAnsi="Calibri" w:cs="Calibri"/>
          <w:sz w:val="22"/>
          <w:szCs w:val="22"/>
          <w:lang w:eastAsia="en-GB"/>
        </w:rPr>
      </w:pPr>
    </w:p>
    <w:p w14:paraId="6A1F32B3" w14:textId="77777777" w:rsidR="00804AF0" w:rsidRDefault="00804AF0">
      <w:pPr>
        <w:jc w:val="both"/>
        <w:textAlignment w:val="baseline"/>
        <w:rPr>
          <w:rFonts w:ascii="Calibri" w:hAnsi="Calibri" w:cs="Calibri"/>
          <w:sz w:val="22"/>
          <w:szCs w:val="22"/>
          <w:lang w:eastAsia="en-GB"/>
        </w:rPr>
      </w:pPr>
    </w:p>
    <w:p w14:paraId="49E8EC4C" w14:textId="77777777" w:rsidR="00804AF0" w:rsidRDefault="009A47D6">
      <w:pPr>
        <w:jc w:val="both"/>
        <w:textAlignment w:val="baseline"/>
        <w:rPr>
          <w:rFonts w:ascii="Calibri" w:hAnsi="Calibri" w:cs="Calibri"/>
          <w:sz w:val="22"/>
          <w:szCs w:val="22"/>
          <w:lang w:eastAsia="en-GB"/>
        </w:rPr>
      </w:pPr>
      <w:r>
        <w:rPr>
          <w:rFonts w:ascii="Calibri" w:hAnsi="Calibri" w:cs="Calibri"/>
          <w:i/>
          <w:iCs/>
          <w:sz w:val="22"/>
          <w:szCs w:val="22"/>
          <w:u w:val="single"/>
          <w:lang w:eastAsia="en-GB"/>
        </w:rPr>
        <w:t>Pay ranges:</w:t>
      </w:r>
      <w:r>
        <w:rPr>
          <w:rFonts w:ascii="Calibri" w:hAnsi="Calibri" w:cs="Calibri"/>
          <w:sz w:val="22"/>
          <w:szCs w:val="22"/>
          <w:lang w:eastAsia="en-GB"/>
        </w:rPr>
        <w:t> </w:t>
      </w:r>
    </w:p>
    <w:p w14:paraId="07BDEF56"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The pay ranges for international PSAs applicable globally to all IPSAs are set as follows, in US Dollars:</w:t>
      </w:r>
    </w:p>
    <w:p w14:paraId="1C9373E9"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1134"/>
        <w:gridCol w:w="1985"/>
        <w:gridCol w:w="1843"/>
        <w:gridCol w:w="1788"/>
      </w:tblGrid>
      <w:tr w:rsidR="00804AF0" w14:paraId="63FB7F0A" w14:textId="77777777">
        <w:tc>
          <w:tcPr>
            <w:tcW w:w="2260" w:type="dxa"/>
            <w:tcBorders>
              <w:top w:val="single" w:sz="6" w:space="0" w:color="auto"/>
              <w:left w:val="single" w:sz="6" w:space="0" w:color="auto"/>
              <w:bottom w:val="single" w:sz="6" w:space="0" w:color="auto"/>
              <w:right w:val="single" w:sz="6" w:space="0" w:color="auto"/>
            </w:tcBorders>
          </w:tcPr>
          <w:p w14:paraId="5FD277ED"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u w:val="single"/>
                <w:lang w:eastAsia="en-GB"/>
              </w:rPr>
              <w:t>Level</w:t>
            </w:r>
            <w:r>
              <w:rPr>
                <w:rFonts w:ascii="Calibri" w:hAnsi="Calibri" w:cs="Calibri"/>
                <w:sz w:val="22"/>
                <w:szCs w:val="22"/>
                <w:lang w:eastAsia="en-GB"/>
              </w:rPr>
              <w:t> </w:t>
            </w:r>
          </w:p>
        </w:tc>
        <w:tc>
          <w:tcPr>
            <w:tcW w:w="1134" w:type="dxa"/>
            <w:tcBorders>
              <w:top w:val="single" w:sz="6" w:space="0" w:color="auto"/>
              <w:left w:val="nil"/>
              <w:bottom w:val="single" w:sz="6" w:space="0" w:color="auto"/>
              <w:right w:val="single" w:sz="6" w:space="0" w:color="auto"/>
            </w:tcBorders>
            <w:vAlign w:val="center"/>
          </w:tcPr>
          <w:p w14:paraId="284FA779" w14:textId="77777777" w:rsidR="00804AF0" w:rsidRDefault="009A47D6">
            <w:pPr>
              <w:jc w:val="center"/>
              <w:textAlignment w:val="baseline"/>
              <w:rPr>
                <w:rFonts w:ascii="Calibri" w:hAnsi="Calibri" w:cs="Calibri"/>
                <w:sz w:val="22"/>
                <w:szCs w:val="22"/>
                <w:lang w:eastAsia="en-GB"/>
              </w:rPr>
            </w:pPr>
            <w:r>
              <w:rPr>
                <w:rFonts w:ascii="Calibri" w:hAnsi="Calibri" w:cs="Calibri"/>
                <w:b/>
                <w:bCs/>
                <w:sz w:val="22"/>
                <w:szCs w:val="22"/>
                <w:lang w:eastAsia="en-GB"/>
              </w:rPr>
              <w:t>Band</w:t>
            </w:r>
          </w:p>
        </w:tc>
        <w:tc>
          <w:tcPr>
            <w:tcW w:w="1985" w:type="dxa"/>
            <w:tcBorders>
              <w:top w:val="single" w:sz="6" w:space="0" w:color="auto"/>
              <w:left w:val="nil"/>
              <w:bottom w:val="single" w:sz="6" w:space="0" w:color="auto"/>
              <w:right w:val="single" w:sz="6" w:space="0" w:color="auto"/>
            </w:tcBorders>
            <w:vAlign w:val="center"/>
          </w:tcPr>
          <w:p w14:paraId="12D8A7C6" w14:textId="77777777" w:rsidR="00804AF0" w:rsidRDefault="009A47D6">
            <w:pPr>
              <w:jc w:val="center"/>
              <w:textAlignment w:val="baseline"/>
              <w:rPr>
                <w:rFonts w:ascii="Calibri" w:hAnsi="Calibri" w:cs="Calibri"/>
                <w:sz w:val="22"/>
                <w:szCs w:val="22"/>
                <w:lang w:eastAsia="en-GB"/>
              </w:rPr>
            </w:pPr>
            <w:r>
              <w:rPr>
                <w:rFonts w:ascii="Calibri" w:hAnsi="Calibri" w:cs="Calibri"/>
                <w:b/>
                <w:bCs/>
                <w:sz w:val="22"/>
                <w:szCs w:val="22"/>
                <w:u w:val="single"/>
                <w:lang w:eastAsia="en-GB"/>
              </w:rPr>
              <w:t>Min. Basic Pay</w:t>
            </w:r>
          </w:p>
        </w:tc>
        <w:tc>
          <w:tcPr>
            <w:tcW w:w="1843" w:type="dxa"/>
            <w:tcBorders>
              <w:top w:val="single" w:sz="6" w:space="0" w:color="auto"/>
              <w:left w:val="nil"/>
              <w:bottom w:val="single" w:sz="6" w:space="0" w:color="auto"/>
              <w:right w:val="single" w:sz="6" w:space="0" w:color="auto"/>
            </w:tcBorders>
            <w:vAlign w:val="center"/>
          </w:tcPr>
          <w:p w14:paraId="1CA9101A" w14:textId="77777777" w:rsidR="00804AF0" w:rsidRDefault="009A47D6">
            <w:pPr>
              <w:jc w:val="center"/>
              <w:textAlignment w:val="baseline"/>
              <w:rPr>
                <w:rFonts w:ascii="Calibri" w:hAnsi="Calibri" w:cs="Calibri"/>
                <w:b/>
                <w:bCs/>
                <w:sz w:val="22"/>
                <w:szCs w:val="22"/>
                <w:u w:val="single"/>
                <w:lang w:eastAsia="en-GB"/>
              </w:rPr>
            </w:pPr>
            <w:r>
              <w:rPr>
                <w:rFonts w:ascii="Calibri" w:hAnsi="Calibri" w:cs="Calibri"/>
                <w:b/>
                <w:bCs/>
                <w:sz w:val="22"/>
                <w:szCs w:val="22"/>
                <w:u w:val="single"/>
                <w:lang w:eastAsia="en-GB"/>
              </w:rPr>
              <w:t>Mid-point</w:t>
            </w:r>
          </w:p>
          <w:p w14:paraId="1CDB7FA0" w14:textId="77777777" w:rsidR="00804AF0" w:rsidRDefault="00804AF0">
            <w:pPr>
              <w:jc w:val="center"/>
              <w:textAlignment w:val="baseline"/>
              <w:rPr>
                <w:rFonts w:ascii="Calibri" w:hAnsi="Calibri" w:cs="Calibri"/>
                <w:sz w:val="22"/>
                <w:szCs w:val="22"/>
                <w:lang w:eastAsia="en-GB"/>
              </w:rPr>
            </w:pPr>
          </w:p>
        </w:tc>
        <w:tc>
          <w:tcPr>
            <w:tcW w:w="1788" w:type="dxa"/>
            <w:tcBorders>
              <w:top w:val="single" w:sz="6" w:space="0" w:color="auto"/>
              <w:left w:val="nil"/>
              <w:bottom w:val="single" w:sz="6" w:space="0" w:color="auto"/>
              <w:right w:val="single" w:sz="6" w:space="0" w:color="auto"/>
            </w:tcBorders>
            <w:vAlign w:val="center"/>
          </w:tcPr>
          <w:p w14:paraId="2BBBF039" w14:textId="77777777" w:rsidR="00804AF0" w:rsidRDefault="009A47D6">
            <w:pPr>
              <w:jc w:val="center"/>
              <w:textAlignment w:val="baseline"/>
              <w:rPr>
                <w:rFonts w:ascii="Calibri" w:hAnsi="Calibri" w:cs="Calibri"/>
                <w:b/>
                <w:bCs/>
                <w:sz w:val="22"/>
                <w:szCs w:val="22"/>
                <w:u w:val="single"/>
                <w:lang w:eastAsia="en-GB"/>
              </w:rPr>
            </w:pPr>
            <w:r>
              <w:rPr>
                <w:rFonts w:ascii="Calibri" w:hAnsi="Calibri" w:cs="Calibri"/>
                <w:b/>
                <w:bCs/>
                <w:sz w:val="22"/>
                <w:szCs w:val="22"/>
                <w:u w:val="single"/>
                <w:lang w:eastAsia="en-GB"/>
              </w:rPr>
              <w:t>Max. Basic Pay</w:t>
            </w:r>
          </w:p>
        </w:tc>
      </w:tr>
      <w:tr w:rsidR="00804AF0" w14:paraId="1C0155E4" w14:textId="77777777">
        <w:tc>
          <w:tcPr>
            <w:tcW w:w="2260" w:type="dxa"/>
            <w:tcBorders>
              <w:top w:val="nil"/>
              <w:left w:val="single" w:sz="6" w:space="0" w:color="auto"/>
              <w:bottom w:val="single" w:sz="6" w:space="0" w:color="auto"/>
              <w:right w:val="single" w:sz="6" w:space="0" w:color="auto"/>
            </w:tcBorders>
          </w:tcPr>
          <w:p w14:paraId="424595A6"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IPSA 8 </w:t>
            </w:r>
          </w:p>
        </w:tc>
        <w:tc>
          <w:tcPr>
            <w:tcW w:w="1134" w:type="dxa"/>
            <w:vMerge w:val="restart"/>
            <w:tcBorders>
              <w:top w:val="nil"/>
              <w:left w:val="nil"/>
              <w:bottom w:val="single" w:sz="6" w:space="0" w:color="auto"/>
              <w:right w:val="single" w:sz="6" w:space="0" w:color="auto"/>
            </w:tcBorders>
            <w:vAlign w:val="center"/>
          </w:tcPr>
          <w:p w14:paraId="028AD42E"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IB1</w:t>
            </w:r>
          </w:p>
        </w:tc>
        <w:tc>
          <w:tcPr>
            <w:tcW w:w="1985" w:type="dxa"/>
            <w:vMerge w:val="restart"/>
            <w:tcBorders>
              <w:top w:val="nil"/>
              <w:left w:val="nil"/>
              <w:bottom w:val="single" w:sz="6" w:space="0" w:color="auto"/>
              <w:right w:val="single" w:sz="6" w:space="0" w:color="auto"/>
            </w:tcBorders>
            <w:vAlign w:val="center"/>
          </w:tcPr>
          <w:p w14:paraId="22FA9825"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3,500</w:t>
            </w:r>
          </w:p>
        </w:tc>
        <w:tc>
          <w:tcPr>
            <w:tcW w:w="1843" w:type="dxa"/>
            <w:vMerge w:val="restart"/>
            <w:tcBorders>
              <w:top w:val="nil"/>
              <w:left w:val="nil"/>
              <w:bottom w:val="single" w:sz="6" w:space="0" w:color="auto"/>
              <w:right w:val="single" w:sz="6" w:space="0" w:color="auto"/>
            </w:tcBorders>
            <w:vAlign w:val="center"/>
          </w:tcPr>
          <w:p w14:paraId="02AB7619"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4,250</w:t>
            </w:r>
          </w:p>
        </w:tc>
        <w:tc>
          <w:tcPr>
            <w:tcW w:w="1788" w:type="dxa"/>
            <w:vMerge w:val="restart"/>
            <w:tcBorders>
              <w:top w:val="nil"/>
              <w:left w:val="nil"/>
              <w:bottom w:val="single" w:sz="6" w:space="0" w:color="auto"/>
              <w:right w:val="single" w:sz="6" w:space="0" w:color="auto"/>
            </w:tcBorders>
            <w:vAlign w:val="center"/>
          </w:tcPr>
          <w:p w14:paraId="06DE5F79"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5,000</w:t>
            </w:r>
          </w:p>
        </w:tc>
      </w:tr>
      <w:tr w:rsidR="00804AF0" w14:paraId="5C145CF9" w14:textId="77777777">
        <w:tc>
          <w:tcPr>
            <w:tcW w:w="2260" w:type="dxa"/>
            <w:tcBorders>
              <w:top w:val="nil"/>
              <w:left w:val="single" w:sz="6" w:space="0" w:color="auto"/>
              <w:bottom w:val="single" w:sz="6" w:space="0" w:color="auto"/>
              <w:right w:val="single" w:sz="6" w:space="0" w:color="auto"/>
            </w:tcBorders>
          </w:tcPr>
          <w:p w14:paraId="7A48C762"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IPSA 9 </w:t>
            </w:r>
          </w:p>
        </w:tc>
        <w:tc>
          <w:tcPr>
            <w:tcW w:w="1134" w:type="dxa"/>
            <w:vMerge/>
            <w:tcBorders>
              <w:top w:val="nil"/>
              <w:left w:val="nil"/>
              <w:bottom w:val="single" w:sz="6" w:space="0" w:color="auto"/>
              <w:right w:val="single" w:sz="6" w:space="0" w:color="auto"/>
            </w:tcBorders>
            <w:vAlign w:val="center"/>
          </w:tcPr>
          <w:p w14:paraId="5515FB11" w14:textId="77777777" w:rsidR="00804AF0" w:rsidRDefault="00804AF0">
            <w:pPr>
              <w:jc w:val="center"/>
              <w:rPr>
                <w:rFonts w:ascii="Calibri" w:hAnsi="Calibri" w:cs="Calibri"/>
                <w:sz w:val="22"/>
                <w:szCs w:val="22"/>
                <w:lang w:eastAsia="en-GB"/>
              </w:rPr>
            </w:pPr>
          </w:p>
        </w:tc>
        <w:tc>
          <w:tcPr>
            <w:tcW w:w="1985" w:type="dxa"/>
            <w:vMerge/>
            <w:tcBorders>
              <w:top w:val="nil"/>
              <w:left w:val="nil"/>
              <w:bottom w:val="single" w:sz="6" w:space="0" w:color="auto"/>
              <w:right w:val="single" w:sz="6" w:space="0" w:color="auto"/>
            </w:tcBorders>
            <w:vAlign w:val="center"/>
          </w:tcPr>
          <w:p w14:paraId="474D922B" w14:textId="77777777" w:rsidR="00804AF0" w:rsidRDefault="00804AF0">
            <w:pPr>
              <w:jc w:val="center"/>
              <w:rPr>
                <w:rFonts w:ascii="Calibri" w:hAnsi="Calibri" w:cs="Calibri"/>
                <w:sz w:val="22"/>
                <w:szCs w:val="22"/>
                <w:lang w:eastAsia="en-GB"/>
              </w:rPr>
            </w:pPr>
          </w:p>
        </w:tc>
        <w:tc>
          <w:tcPr>
            <w:tcW w:w="1843" w:type="dxa"/>
            <w:vMerge/>
            <w:tcBorders>
              <w:top w:val="nil"/>
              <w:left w:val="nil"/>
              <w:bottom w:val="single" w:sz="6" w:space="0" w:color="auto"/>
              <w:right w:val="single" w:sz="6" w:space="0" w:color="auto"/>
            </w:tcBorders>
            <w:vAlign w:val="center"/>
          </w:tcPr>
          <w:p w14:paraId="05ED510B" w14:textId="77777777" w:rsidR="00804AF0" w:rsidRDefault="00804AF0">
            <w:pPr>
              <w:jc w:val="center"/>
              <w:rPr>
                <w:rFonts w:ascii="Calibri" w:hAnsi="Calibri" w:cs="Calibri"/>
                <w:sz w:val="22"/>
                <w:szCs w:val="22"/>
                <w:lang w:eastAsia="en-GB"/>
              </w:rPr>
            </w:pPr>
          </w:p>
        </w:tc>
        <w:tc>
          <w:tcPr>
            <w:tcW w:w="1788" w:type="dxa"/>
            <w:vMerge/>
            <w:tcBorders>
              <w:top w:val="nil"/>
              <w:left w:val="nil"/>
              <w:bottom w:val="single" w:sz="6" w:space="0" w:color="auto"/>
              <w:right w:val="single" w:sz="6" w:space="0" w:color="auto"/>
            </w:tcBorders>
            <w:vAlign w:val="center"/>
          </w:tcPr>
          <w:p w14:paraId="7C4AC92A" w14:textId="77777777" w:rsidR="00804AF0" w:rsidRDefault="00804AF0">
            <w:pPr>
              <w:jc w:val="center"/>
              <w:rPr>
                <w:rFonts w:ascii="Calibri" w:hAnsi="Calibri" w:cs="Calibri"/>
                <w:sz w:val="22"/>
                <w:szCs w:val="22"/>
                <w:lang w:eastAsia="en-GB"/>
              </w:rPr>
            </w:pPr>
          </w:p>
        </w:tc>
      </w:tr>
      <w:tr w:rsidR="00804AF0" w14:paraId="5BD2A360" w14:textId="77777777">
        <w:tc>
          <w:tcPr>
            <w:tcW w:w="2260" w:type="dxa"/>
            <w:tcBorders>
              <w:top w:val="nil"/>
              <w:left w:val="single" w:sz="6" w:space="0" w:color="auto"/>
              <w:bottom w:val="single" w:sz="6" w:space="0" w:color="auto"/>
              <w:right w:val="single" w:sz="6" w:space="0" w:color="auto"/>
            </w:tcBorders>
          </w:tcPr>
          <w:p w14:paraId="143F9B18"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IPSA 10 </w:t>
            </w:r>
          </w:p>
        </w:tc>
        <w:tc>
          <w:tcPr>
            <w:tcW w:w="1134" w:type="dxa"/>
            <w:vMerge w:val="restart"/>
            <w:tcBorders>
              <w:top w:val="nil"/>
              <w:left w:val="nil"/>
              <w:bottom w:val="single" w:sz="6" w:space="0" w:color="auto"/>
              <w:right w:val="single" w:sz="6" w:space="0" w:color="auto"/>
            </w:tcBorders>
            <w:vAlign w:val="center"/>
          </w:tcPr>
          <w:p w14:paraId="672DAB01"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IB2</w:t>
            </w:r>
          </w:p>
        </w:tc>
        <w:tc>
          <w:tcPr>
            <w:tcW w:w="1985" w:type="dxa"/>
            <w:vMerge w:val="restart"/>
            <w:tcBorders>
              <w:top w:val="nil"/>
              <w:left w:val="nil"/>
              <w:bottom w:val="single" w:sz="6" w:space="0" w:color="auto"/>
              <w:right w:val="single" w:sz="6" w:space="0" w:color="auto"/>
            </w:tcBorders>
            <w:vAlign w:val="center"/>
          </w:tcPr>
          <w:p w14:paraId="5E06238C"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5,500</w:t>
            </w:r>
          </w:p>
        </w:tc>
        <w:tc>
          <w:tcPr>
            <w:tcW w:w="1843" w:type="dxa"/>
            <w:vMerge w:val="restart"/>
            <w:tcBorders>
              <w:top w:val="nil"/>
              <w:left w:val="nil"/>
              <w:bottom w:val="single" w:sz="6" w:space="0" w:color="auto"/>
              <w:right w:val="single" w:sz="6" w:space="0" w:color="auto"/>
            </w:tcBorders>
            <w:vAlign w:val="center"/>
          </w:tcPr>
          <w:p w14:paraId="2C8E9810"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6,500</w:t>
            </w:r>
          </w:p>
        </w:tc>
        <w:tc>
          <w:tcPr>
            <w:tcW w:w="1788" w:type="dxa"/>
            <w:vMerge w:val="restart"/>
            <w:tcBorders>
              <w:top w:val="nil"/>
              <w:left w:val="nil"/>
              <w:bottom w:val="single" w:sz="6" w:space="0" w:color="auto"/>
              <w:right w:val="single" w:sz="6" w:space="0" w:color="auto"/>
            </w:tcBorders>
            <w:vAlign w:val="center"/>
          </w:tcPr>
          <w:p w14:paraId="756C6E5C"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7,500</w:t>
            </w:r>
          </w:p>
        </w:tc>
      </w:tr>
      <w:tr w:rsidR="00804AF0" w14:paraId="3C774A74" w14:textId="77777777">
        <w:tc>
          <w:tcPr>
            <w:tcW w:w="2260" w:type="dxa"/>
            <w:tcBorders>
              <w:top w:val="nil"/>
              <w:left w:val="single" w:sz="6" w:space="0" w:color="auto"/>
              <w:bottom w:val="single" w:sz="6" w:space="0" w:color="auto"/>
              <w:right w:val="single" w:sz="6" w:space="0" w:color="auto"/>
            </w:tcBorders>
          </w:tcPr>
          <w:p w14:paraId="3AD27FB4"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IPSA 11 </w:t>
            </w:r>
          </w:p>
        </w:tc>
        <w:tc>
          <w:tcPr>
            <w:tcW w:w="1134" w:type="dxa"/>
            <w:vMerge/>
            <w:tcBorders>
              <w:top w:val="nil"/>
              <w:left w:val="nil"/>
              <w:bottom w:val="single" w:sz="6" w:space="0" w:color="auto"/>
              <w:right w:val="single" w:sz="6" w:space="0" w:color="auto"/>
            </w:tcBorders>
            <w:vAlign w:val="center"/>
          </w:tcPr>
          <w:p w14:paraId="3879F076" w14:textId="77777777" w:rsidR="00804AF0" w:rsidRDefault="00804AF0">
            <w:pPr>
              <w:jc w:val="center"/>
              <w:rPr>
                <w:rFonts w:ascii="Calibri" w:hAnsi="Calibri" w:cs="Calibri"/>
                <w:sz w:val="22"/>
                <w:szCs w:val="22"/>
                <w:lang w:eastAsia="en-GB"/>
              </w:rPr>
            </w:pPr>
          </w:p>
        </w:tc>
        <w:tc>
          <w:tcPr>
            <w:tcW w:w="1985" w:type="dxa"/>
            <w:vMerge/>
            <w:tcBorders>
              <w:top w:val="nil"/>
              <w:left w:val="nil"/>
              <w:bottom w:val="single" w:sz="6" w:space="0" w:color="auto"/>
              <w:right w:val="single" w:sz="6" w:space="0" w:color="auto"/>
            </w:tcBorders>
            <w:vAlign w:val="center"/>
          </w:tcPr>
          <w:p w14:paraId="390AB110" w14:textId="77777777" w:rsidR="00804AF0" w:rsidRDefault="00804AF0">
            <w:pPr>
              <w:jc w:val="center"/>
              <w:rPr>
                <w:rFonts w:ascii="Calibri" w:hAnsi="Calibri" w:cs="Calibri"/>
                <w:sz w:val="22"/>
                <w:szCs w:val="22"/>
                <w:lang w:eastAsia="en-GB"/>
              </w:rPr>
            </w:pPr>
          </w:p>
        </w:tc>
        <w:tc>
          <w:tcPr>
            <w:tcW w:w="1843" w:type="dxa"/>
            <w:vMerge/>
            <w:tcBorders>
              <w:top w:val="nil"/>
              <w:left w:val="nil"/>
              <w:bottom w:val="single" w:sz="6" w:space="0" w:color="auto"/>
              <w:right w:val="single" w:sz="6" w:space="0" w:color="auto"/>
            </w:tcBorders>
            <w:vAlign w:val="center"/>
          </w:tcPr>
          <w:p w14:paraId="6A37969D" w14:textId="77777777" w:rsidR="00804AF0" w:rsidRDefault="00804AF0">
            <w:pPr>
              <w:jc w:val="center"/>
              <w:rPr>
                <w:rFonts w:ascii="Calibri" w:hAnsi="Calibri" w:cs="Calibri"/>
                <w:sz w:val="22"/>
                <w:szCs w:val="22"/>
                <w:lang w:eastAsia="en-GB"/>
              </w:rPr>
            </w:pPr>
          </w:p>
        </w:tc>
        <w:tc>
          <w:tcPr>
            <w:tcW w:w="1788" w:type="dxa"/>
            <w:vMerge/>
            <w:tcBorders>
              <w:top w:val="nil"/>
              <w:left w:val="nil"/>
              <w:bottom w:val="single" w:sz="6" w:space="0" w:color="auto"/>
              <w:right w:val="single" w:sz="6" w:space="0" w:color="auto"/>
            </w:tcBorders>
            <w:vAlign w:val="center"/>
          </w:tcPr>
          <w:p w14:paraId="719A0323" w14:textId="77777777" w:rsidR="00804AF0" w:rsidRDefault="00804AF0">
            <w:pPr>
              <w:jc w:val="center"/>
              <w:rPr>
                <w:rFonts w:ascii="Calibri" w:hAnsi="Calibri" w:cs="Calibri"/>
                <w:sz w:val="22"/>
                <w:szCs w:val="22"/>
                <w:lang w:eastAsia="en-GB"/>
              </w:rPr>
            </w:pPr>
          </w:p>
        </w:tc>
      </w:tr>
      <w:tr w:rsidR="00804AF0" w14:paraId="71C60A5F" w14:textId="77777777">
        <w:tc>
          <w:tcPr>
            <w:tcW w:w="2260" w:type="dxa"/>
            <w:tcBorders>
              <w:top w:val="nil"/>
              <w:left w:val="single" w:sz="6" w:space="0" w:color="auto"/>
              <w:bottom w:val="single" w:sz="6" w:space="0" w:color="auto"/>
              <w:right w:val="single" w:sz="6" w:space="0" w:color="auto"/>
            </w:tcBorders>
          </w:tcPr>
          <w:p w14:paraId="47701DFB"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IPSA 12 </w:t>
            </w:r>
          </w:p>
        </w:tc>
        <w:tc>
          <w:tcPr>
            <w:tcW w:w="1134" w:type="dxa"/>
            <w:vMerge w:val="restart"/>
            <w:tcBorders>
              <w:top w:val="nil"/>
              <w:left w:val="nil"/>
              <w:bottom w:val="single" w:sz="6" w:space="0" w:color="auto"/>
              <w:right w:val="single" w:sz="6" w:space="0" w:color="auto"/>
            </w:tcBorders>
            <w:vAlign w:val="center"/>
          </w:tcPr>
          <w:p w14:paraId="333AF7DB"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IB3</w:t>
            </w:r>
          </w:p>
        </w:tc>
        <w:tc>
          <w:tcPr>
            <w:tcW w:w="1985" w:type="dxa"/>
            <w:vMerge w:val="restart"/>
            <w:tcBorders>
              <w:top w:val="nil"/>
              <w:left w:val="nil"/>
              <w:bottom w:val="single" w:sz="6" w:space="0" w:color="auto"/>
              <w:right w:val="single" w:sz="6" w:space="0" w:color="auto"/>
            </w:tcBorders>
            <w:vAlign w:val="center"/>
          </w:tcPr>
          <w:p w14:paraId="784365F2"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8,000</w:t>
            </w:r>
          </w:p>
        </w:tc>
        <w:tc>
          <w:tcPr>
            <w:tcW w:w="1843" w:type="dxa"/>
            <w:vMerge w:val="restart"/>
            <w:tcBorders>
              <w:top w:val="nil"/>
              <w:left w:val="nil"/>
              <w:bottom w:val="single" w:sz="6" w:space="0" w:color="auto"/>
              <w:right w:val="single" w:sz="6" w:space="0" w:color="auto"/>
            </w:tcBorders>
            <w:vAlign w:val="center"/>
          </w:tcPr>
          <w:p w14:paraId="4CAAE981"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9,100</w:t>
            </w:r>
          </w:p>
        </w:tc>
        <w:tc>
          <w:tcPr>
            <w:tcW w:w="1788" w:type="dxa"/>
            <w:vMerge w:val="restart"/>
            <w:tcBorders>
              <w:top w:val="nil"/>
              <w:left w:val="nil"/>
              <w:bottom w:val="single" w:sz="6" w:space="0" w:color="auto"/>
              <w:right w:val="single" w:sz="6" w:space="0" w:color="auto"/>
            </w:tcBorders>
            <w:vAlign w:val="center"/>
          </w:tcPr>
          <w:p w14:paraId="53CCC59D"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10,200</w:t>
            </w:r>
          </w:p>
        </w:tc>
      </w:tr>
      <w:tr w:rsidR="00804AF0" w14:paraId="042FF100" w14:textId="77777777">
        <w:tc>
          <w:tcPr>
            <w:tcW w:w="2260" w:type="dxa"/>
            <w:tcBorders>
              <w:top w:val="nil"/>
              <w:left w:val="single" w:sz="6" w:space="0" w:color="auto"/>
              <w:bottom w:val="single" w:sz="6" w:space="0" w:color="auto"/>
              <w:right w:val="single" w:sz="6" w:space="0" w:color="auto"/>
            </w:tcBorders>
          </w:tcPr>
          <w:p w14:paraId="5588E5C2"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IPSA 13 expert </w:t>
            </w:r>
          </w:p>
        </w:tc>
        <w:tc>
          <w:tcPr>
            <w:tcW w:w="1134" w:type="dxa"/>
            <w:vMerge/>
            <w:tcBorders>
              <w:top w:val="nil"/>
              <w:left w:val="nil"/>
              <w:bottom w:val="single" w:sz="6" w:space="0" w:color="auto"/>
              <w:right w:val="single" w:sz="6" w:space="0" w:color="auto"/>
            </w:tcBorders>
            <w:vAlign w:val="center"/>
          </w:tcPr>
          <w:p w14:paraId="7FE31811" w14:textId="77777777" w:rsidR="00804AF0" w:rsidRDefault="00804AF0">
            <w:pPr>
              <w:jc w:val="center"/>
              <w:rPr>
                <w:rFonts w:ascii="Calibri" w:hAnsi="Calibri" w:cs="Calibri"/>
                <w:sz w:val="22"/>
                <w:szCs w:val="22"/>
                <w:lang w:eastAsia="en-GB"/>
              </w:rPr>
            </w:pPr>
          </w:p>
        </w:tc>
        <w:tc>
          <w:tcPr>
            <w:tcW w:w="1985" w:type="dxa"/>
            <w:vMerge/>
            <w:tcBorders>
              <w:top w:val="nil"/>
              <w:left w:val="nil"/>
              <w:bottom w:val="single" w:sz="6" w:space="0" w:color="auto"/>
              <w:right w:val="single" w:sz="6" w:space="0" w:color="auto"/>
            </w:tcBorders>
            <w:vAlign w:val="center"/>
          </w:tcPr>
          <w:p w14:paraId="461F4726" w14:textId="77777777" w:rsidR="00804AF0" w:rsidRDefault="00804AF0">
            <w:pPr>
              <w:jc w:val="center"/>
              <w:rPr>
                <w:rFonts w:ascii="Calibri" w:hAnsi="Calibri" w:cs="Calibri"/>
                <w:sz w:val="22"/>
                <w:szCs w:val="22"/>
                <w:lang w:eastAsia="en-GB"/>
              </w:rPr>
            </w:pPr>
          </w:p>
        </w:tc>
        <w:tc>
          <w:tcPr>
            <w:tcW w:w="1843" w:type="dxa"/>
            <w:vMerge/>
            <w:tcBorders>
              <w:top w:val="nil"/>
              <w:left w:val="nil"/>
              <w:bottom w:val="single" w:sz="6" w:space="0" w:color="auto"/>
              <w:right w:val="single" w:sz="6" w:space="0" w:color="auto"/>
            </w:tcBorders>
            <w:vAlign w:val="center"/>
          </w:tcPr>
          <w:p w14:paraId="38F96A20" w14:textId="77777777" w:rsidR="00804AF0" w:rsidRDefault="00804AF0">
            <w:pPr>
              <w:jc w:val="center"/>
              <w:rPr>
                <w:rFonts w:ascii="Calibri" w:hAnsi="Calibri" w:cs="Calibri"/>
                <w:sz w:val="22"/>
                <w:szCs w:val="22"/>
                <w:lang w:eastAsia="en-GB"/>
              </w:rPr>
            </w:pPr>
          </w:p>
        </w:tc>
        <w:tc>
          <w:tcPr>
            <w:tcW w:w="1788" w:type="dxa"/>
            <w:vMerge/>
            <w:tcBorders>
              <w:top w:val="nil"/>
              <w:left w:val="nil"/>
              <w:bottom w:val="single" w:sz="6" w:space="0" w:color="auto"/>
              <w:right w:val="single" w:sz="6" w:space="0" w:color="auto"/>
            </w:tcBorders>
            <w:vAlign w:val="center"/>
          </w:tcPr>
          <w:p w14:paraId="536927FD" w14:textId="77777777" w:rsidR="00804AF0" w:rsidRDefault="00804AF0">
            <w:pPr>
              <w:jc w:val="center"/>
              <w:rPr>
                <w:rFonts w:ascii="Calibri" w:hAnsi="Calibri" w:cs="Calibri"/>
                <w:sz w:val="22"/>
                <w:szCs w:val="22"/>
                <w:lang w:eastAsia="en-GB"/>
              </w:rPr>
            </w:pPr>
          </w:p>
        </w:tc>
      </w:tr>
      <w:tr w:rsidR="00804AF0" w14:paraId="686246EC" w14:textId="77777777">
        <w:tc>
          <w:tcPr>
            <w:tcW w:w="2260" w:type="dxa"/>
            <w:tcBorders>
              <w:top w:val="nil"/>
              <w:left w:val="single" w:sz="6" w:space="0" w:color="auto"/>
              <w:bottom w:val="single" w:sz="6" w:space="0" w:color="auto"/>
              <w:right w:val="single" w:sz="6" w:space="0" w:color="auto"/>
            </w:tcBorders>
          </w:tcPr>
          <w:p w14:paraId="3E3D498B"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IPSA 13 lead. </w:t>
            </w:r>
          </w:p>
          <w:p w14:paraId="503B2A58"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IPSA14 exp./lead </w:t>
            </w:r>
          </w:p>
        </w:tc>
        <w:tc>
          <w:tcPr>
            <w:tcW w:w="1134" w:type="dxa"/>
            <w:tcBorders>
              <w:top w:val="nil"/>
              <w:left w:val="nil"/>
              <w:bottom w:val="single" w:sz="6" w:space="0" w:color="auto"/>
              <w:right w:val="single" w:sz="6" w:space="0" w:color="auto"/>
            </w:tcBorders>
            <w:vAlign w:val="center"/>
          </w:tcPr>
          <w:p w14:paraId="08D44B70"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IB4</w:t>
            </w:r>
          </w:p>
        </w:tc>
        <w:tc>
          <w:tcPr>
            <w:tcW w:w="1985" w:type="dxa"/>
            <w:tcBorders>
              <w:top w:val="nil"/>
              <w:left w:val="nil"/>
              <w:bottom w:val="single" w:sz="6" w:space="0" w:color="auto"/>
              <w:right w:val="single" w:sz="6" w:space="0" w:color="auto"/>
            </w:tcBorders>
            <w:vAlign w:val="center"/>
          </w:tcPr>
          <w:p w14:paraId="535EB684"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10,200</w:t>
            </w:r>
          </w:p>
        </w:tc>
        <w:tc>
          <w:tcPr>
            <w:tcW w:w="1843" w:type="dxa"/>
            <w:tcBorders>
              <w:top w:val="nil"/>
              <w:left w:val="nil"/>
              <w:bottom w:val="single" w:sz="6" w:space="0" w:color="auto"/>
              <w:right w:val="single" w:sz="6" w:space="0" w:color="auto"/>
            </w:tcBorders>
            <w:vAlign w:val="center"/>
          </w:tcPr>
          <w:p w14:paraId="738CD3F2"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11,350</w:t>
            </w:r>
          </w:p>
        </w:tc>
        <w:tc>
          <w:tcPr>
            <w:tcW w:w="1788" w:type="dxa"/>
            <w:tcBorders>
              <w:top w:val="nil"/>
              <w:left w:val="nil"/>
              <w:bottom w:val="single" w:sz="6" w:space="0" w:color="auto"/>
              <w:right w:val="single" w:sz="6" w:space="0" w:color="auto"/>
            </w:tcBorders>
            <w:vAlign w:val="center"/>
          </w:tcPr>
          <w:p w14:paraId="7CABDDA0"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12,500</w:t>
            </w:r>
          </w:p>
        </w:tc>
      </w:tr>
    </w:tbl>
    <w:p w14:paraId="1D47B90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63932873"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Exceptions to paying individuals beyond the set maximum may be approved in very exceptional cases by the Director of the Bureau of Management Services, following a recommendation by the relevant Bureau Director/</w:t>
      </w:r>
      <w:r>
        <w:rPr>
          <w:rFonts w:ascii="Calibri" w:hAnsi="Calibri" w:cs="Calibri"/>
          <w:sz w:val="22"/>
          <w:szCs w:val="22"/>
        </w:rPr>
        <w:t xml:space="preserve">UNV or UNCDF Executive Coordinator, or </w:t>
      </w:r>
      <w:r>
        <w:rPr>
          <w:rFonts w:ascii="Calibri" w:hAnsi="Calibri" w:cs="Calibri"/>
          <w:sz w:val="22"/>
          <w:szCs w:val="22"/>
          <w:lang w:eastAsia="en-GB"/>
        </w:rPr>
        <w:t>UNOSSC Director. </w:t>
      </w:r>
    </w:p>
    <w:p w14:paraId="1F839FDE"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798C431" w14:textId="77777777" w:rsidR="00804AF0" w:rsidRDefault="009A47D6">
      <w:pPr>
        <w:jc w:val="both"/>
        <w:textAlignment w:val="baseline"/>
        <w:rPr>
          <w:rFonts w:ascii="Calibri" w:hAnsi="Calibri" w:cs="Calibri"/>
          <w:sz w:val="22"/>
          <w:szCs w:val="22"/>
          <w:lang w:eastAsia="en-GB"/>
        </w:rPr>
      </w:pPr>
      <w:r>
        <w:rPr>
          <w:rFonts w:ascii="Calibri" w:hAnsi="Calibri" w:cs="Calibri"/>
          <w:i/>
          <w:iCs/>
          <w:sz w:val="22"/>
          <w:szCs w:val="22"/>
          <w:u w:val="single"/>
          <w:lang w:eastAsia="en-GB"/>
        </w:rPr>
        <w:t>Retainer IPSAs:</w:t>
      </w:r>
      <w:r>
        <w:rPr>
          <w:rFonts w:ascii="Calibri" w:hAnsi="Calibri" w:cs="Calibri"/>
          <w:sz w:val="22"/>
          <w:szCs w:val="22"/>
          <w:lang w:eastAsia="en-GB"/>
        </w:rPr>
        <w:t> </w:t>
      </w:r>
    </w:p>
    <w:p w14:paraId="5AAB5CA6" w14:textId="77777777" w:rsidR="00804AF0" w:rsidRDefault="00804AF0">
      <w:pPr>
        <w:jc w:val="both"/>
        <w:textAlignment w:val="baseline"/>
        <w:rPr>
          <w:rFonts w:ascii="Calibri" w:hAnsi="Calibri" w:cs="Calibri"/>
          <w:sz w:val="22"/>
          <w:szCs w:val="22"/>
          <w:lang w:eastAsia="en-GB"/>
        </w:rPr>
      </w:pPr>
    </w:p>
    <w:p w14:paraId="7B0E25C4"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The remuneration is calculated based on the regular IPSA remuneration, and the following formula would apply: </w:t>
      </w:r>
    </w:p>
    <w:p w14:paraId="68CBCBC2" w14:textId="77777777" w:rsidR="00804AF0" w:rsidRDefault="00804AF0">
      <w:pPr>
        <w:jc w:val="both"/>
        <w:textAlignment w:val="baseline"/>
        <w:rPr>
          <w:rFonts w:ascii="Calibri" w:hAnsi="Calibri" w:cs="Calibri"/>
          <w:sz w:val="22"/>
          <w:szCs w:val="22"/>
          <w:lang w:eastAsia="en-GB"/>
        </w:rPr>
      </w:pPr>
    </w:p>
    <w:p w14:paraId="6D54BF8B" w14:textId="77777777" w:rsidR="00804AF0" w:rsidRDefault="009A47D6">
      <w:pPr>
        <w:jc w:val="both"/>
        <w:textAlignment w:val="baseline"/>
        <w:rPr>
          <w:rFonts w:ascii="Calibri" w:hAnsi="Calibri" w:cs="Calibri"/>
          <w:sz w:val="22"/>
          <w:szCs w:val="22"/>
          <w:lang w:eastAsia="en-GB"/>
        </w:rPr>
      </w:pPr>
      <w:proofErr w:type="gramStart"/>
      <w:r>
        <w:rPr>
          <w:rFonts w:ascii="Calibri" w:hAnsi="Calibri" w:cs="Calibri"/>
          <w:sz w:val="22"/>
          <w:szCs w:val="22"/>
          <w:u w:val="single"/>
          <w:lang w:eastAsia="en-GB"/>
        </w:rPr>
        <w:t>Daily-based</w:t>
      </w:r>
      <w:proofErr w:type="gramEnd"/>
      <w:r>
        <w:rPr>
          <w:rFonts w:ascii="Calibri" w:hAnsi="Calibri" w:cs="Calibri"/>
          <w:sz w:val="22"/>
          <w:szCs w:val="22"/>
          <w:u w:val="single"/>
          <w:lang w:eastAsia="en-GB"/>
        </w:rPr>
        <w:t xml:space="preserve"> pay</w:t>
      </w:r>
      <w:r>
        <w:rPr>
          <w:rFonts w:ascii="Calibri" w:hAnsi="Calibri" w:cs="Calibri"/>
          <w:sz w:val="22"/>
          <w:szCs w:val="22"/>
          <w:lang w:eastAsia="en-GB"/>
        </w:rPr>
        <w:t>: The monthly remuneration divided by 21.75 </w:t>
      </w:r>
    </w:p>
    <w:p w14:paraId="6745312D"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u w:val="single"/>
          <w:lang w:eastAsia="en-GB"/>
        </w:rPr>
        <w:t>Hourly-based pay:</w:t>
      </w:r>
      <w:r>
        <w:rPr>
          <w:rFonts w:ascii="Calibri" w:hAnsi="Calibri" w:cs="Calibri"/>
          <w:sz w:val="22"/>
          <w:szCs w:val="22"/>
          <w:lang w:eastAsia="en-GB"/>
        </w:rPr>
        <w:t xml:space="preserve"> The daily remuneration divided by 8 </w:t>
      </w:r>
    </w:p>
    <w:p w14:paraId="647C8AF3"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u w:val="single"/>
          <w:lang w:eastAsia="en-GB"/>
        </w:rPr>
        <w:t>Monthly-based pay</w:t>
      </w:r>
      <w:r>
        <w:rPr>
          <w:rFonts w:ascii="Calibri" w:hAnsi="Calibri" w:cs="Calibri"/>
          <w:sz w:val="22"/>
          <w:szCs w:val="22"/>
          <w:lang w:eastAsia="en-GB"/>
        </w:rPr>
        <w:t>: As per the regular pay ranges in the chart above  </w:t>
      </w:r>
    </w:p>
    <w:p w14:paraId="18EB72E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u w:val="single"/>
          <w:lang w:eastAsia="en-GB"/>
        </w:rPr>
        <w:t>Output-based, converted to periodic pay</w:t>
      </w:r>
      <w:r>
        <w:rPr>
          <w:rFonts w:ascii="Calibri" w:hAnsi="Calibri" w:cs="Calibri"/>
          <w:sz w:val="22"/>
          <w:szCs w:val="22"/>
          <w:lang w:eastAsia="en-GB"/>
        </w:rPr>
        <w:t>: Estimated duration to produce the output is used to determine the remuneration, then divided by the expected number of days to set the daily remuneration. </w:t>
      </w:r>
    </w:p>
    <w:p w14:paraId="1BA4E875"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20769BBC" w14:textId="77777777" w:rsidR="00804AF0" w:rsidRDefault="009A47D6">
      <w:pPr>
        <w:rPr>
          <w:rFonts w:ascii="Calibri" w:hAnsi="Calibri" w:cs="Calibri"/>
          <w:b/>
          <w:bCs/>
          <w:sz w:val="22"/>
          <w:szCs w:val="22"/>
          <w:u w:val="single"/>
          <w:lang w:eastAsia="en-GB"/>
        </w:rPr>
      </w:pPr>
      <w:bookmarkStart w:id="121" w:name="_Annex_5:_Performance"/>
      <w:bookmarkStart w:id="122" w:name="_Annex_6:_Performance_Evaluation"/>
      <w:bookmarkEnd w:id="121"/>
      <w:r>
        <w:rPr>
          <w:rFonts w:ascii="Calibri" w:hAnsi="Calibri" w:cs="Calibri"/>
          <w:b/>
          <w:bCs/>
          <w:sz w:val="22"/>
          <w:szCs w:val="22"/>
          <w:u w:val="single"/>
          <w:lang w:eastAsia="en-GB"/>
        </w:rPr>
        <w:br w:type="page"/>
      </w:r>
    </w:p>
    <w:p w14:paraId="01413CDD" w14:textId="77777777" w:rsidR="00804AF0" w:rsidRDefault="009A47D6">
      <w:pPr>
        <w:pStyle w:val="Heading1"/>
        <w:jc w:val="left"/>
        <w:rPr>
          <w:rFonts w:ascii="Calibri" w:hAnsi="Calibri" w:cs="Calibri"/>
          <w:b/>
          <w:bCs/>
          <w:sz w:val="22"/>
          <w:szCs w:val="22"/>
          <w:u w:val="single"/>
          <w:lang w:eastAsia="en-GB"/>
        </w:rPr>
      </w:pPr>
      <w:bookmarkStart w:id="123" w:name="_Annex_5:_Performance_1"/>
      <w:bookmarkStart w:id="124" w:name="_Toc161312447"/>
      <w:bookmarkEnd w:id="123"/>
      <w:r>
        <w:rPr>
          <w:rFonts w:ascii="Calibri" w:hAnsi="Calibri" w:cs="Calibri"/>
          <w:b/>
          <w:bCs/>
          <w:sz w:val="22"/>
          <w:szCs w:val="22"/>
          <w:u w:val="single"/>
          <w:lang w:eastAsia="en-GB"/>
        </w:rPr>
        <w:lastRenderedPageBreak/>
        <w:t>Annex 5: Performance Evaluation</w:t>
      </w:r>
      <w:bookmarkEnd w:id="124"/>
    </w:p>
    <w:bookmarkEnd w:id="122"/>
    <w:p w14:paraId="3EC89B4A" w14:textId="77777777" w:rsidR="00804AF0" w:rsidRDefault="00804AF0">
      <w:pPr>
        <w:jc w:val="both"/>
        <w:textAlignment w:val="baseline"/>
        <w:rPr>
          <w:rFonts w:ascii="Calibri" w:hAnsi="Calibri" w:cs="Calibri"/>
          <w:b/>
          <w:bCs/>
          <w:sz w:val="22"/>
          <w:szCs w:val="22"/>
          <w:u w:val="single"/>
          <w:lang w:eastAsia="en-GB"/>
        </w:rPr>
      </w:pPr>
    </w:p>
    <w:p w14:paraId="30FA37C8"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u w:val="single"/>
          <w:lang w:eastAsia="en-GB"/>
        </w:rPr>
        <w:t>Short-Term IPSA: </w:t>
      </w:r>
      <w:r>
        <w:rPr>
          <w:rFonts w:ascii="Calibri" w:hAnsi="Calibri" w:cs="Calibri"/>
          <w:sz w:val="22"/>
          <w:szCs w:val="22"/>
          <w:lang w:eastAsia="en-GB"/>
        </w:rPr>
        <w:t> </w:t>
      </w:r>
    </w:p>
    <w:p w14:paraId="0A3AC70E"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xml:space="preserve">For short-term IPSAs, only section I </w:t>
      </w:r>
      <w:bookmarkStart w:id="125" w:name="_Hlk134625183"/>
      <w:r>
        <w:rPr>
          <w:rFonts w:ascii="Calibri" w:hAnsi="Calibri" w:cs="Calibri"/>
          <w:sz w:val="22"/>
          <w:szCs w:val="22"/>
          <w:lang w:eastAsia="en-GB"/>
        </w:rPr>
        <w:t xml:space="preserve">of the </w:t>
      </w:r>
      <w:bookmarkStart w:id="126" w:name="_Hlk134629149"/>
      <w:r>
        <w:fldChar w:fldCharType="begin"/>
      </w:r>
      <w:r>
        <w:instrText xml:space="preserve"> HYPERLINK "https://popp.undp.org/node/726" </w:instrText>
      </w:r>
      <w:r>
        <w:fldChar w:fldCharType="separate"/>
      </w:r>
      <w:r>
        <w:rPr>
          <w:rStyle w:val="Hyperlink"/>
          <w:rFonts w:ascii="Calibri" w:hAnsi="Calibri" w:cs="Calibri"/>
          <w:sz w:val="22"/>
          <w:szCs w:val="22"/>
          <w:lang w:eastAsia="en-GB"/>
        </w:rPr>
        <w:t>IPSA Annual Performance Review template</w:t>
      </w:r>
      <w:r>
        <w:rPr>
          <w:rStyle w:val="Hyperlink"/>
          <w:rFonts w:ascii="Calibri" w:hAnsi="Calibri" w:cs="Calibri"/>
          <w:sz w:val="22"/>
          <w:szCs w:val="22"/>
          <w:lang w:eastAsia="en-GB"/>
        </w:rPr>
        <w:fldChar w:fldCharType="end"/>
      </w:r>
      <w:r>
        <w:rPr>
          <w:rStyle w:val="Hyperlink"/>
          <w:rFonts w:ascii="Calibri" w:hAnsi="Calibri" w:cs="Calibri"/>
          <w:sz w:val="22"/>
          <w:szCs w:val="22"/>
          <w:lang w:eastAsia="en-GB"/>
        </w:rPr>
        <w:t xml:space="preserve"> </w:t>
      </w:r>
      <w:r>
        <w:rPr>
          <w:rFonts w:ascii="Calibri" w:hAnsi="Calibri" w:cs="Calibri"/>
          <w:sz w:val="22"/>
          <w:szCs w:val="22"/>
          <w:lang w:eastAsia="en-GB"/>
        </w:rPr>
        <w:t>needs to be completed. </w:t>
      </w:r>
      <w:bookmarkEnd w:id="125"/>
    </w:p>
    <w:bookmarkEnd w:id="126"/>
    <w:p w14:paraId="0BF31DEF" w14:textId="77777777" w:rsidR="00804AF0" w:rsidRDefault="00804AF0">
      <w:pPr>
        <w:jc w:val="both"/>
        <w:textAlignment w:val="baseline"/>
        <w:rPr>
          <w:rFonts w:ascii="Calibri" w:hAnsi="Calibri" w:cs="Calibri"/>
          <w:b/>
          <w:bCs/>
          <w:sz w:val="22"/>
          <w:szCs w:val="22"/>
          <w:u w:val="single"/>
          <w:lang w:eastAsia="en-GB"/>
        </w:rPr>
      </w:pPr>
    </w:p>
    <w:p w14:paraId="08D015F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u w:val="single"/>
          <w:lang w:eastAsia="en-GB"/>
        </w:rPr>
        <w:t>Regular IPSA:</w:t>
      </w:r>
      <w:r>
        <w:rPr>
          <w:rFonts w:ascii="Calibri" w:hAnsi="Calibri" w:cs="Calibri"/>
          <w:sz w:val="22"/>
          <w:szCs w:val="22"/>
          <w:lang w:eastAsia="en-GB"/>
        </w:rPr>
        <w:t> </w:t>
      </w:r>
    </w:p>
    <w:p w14:paraId="31E885A5" w14:textId="77777777" w:rsidR="00804AF0" w:rsidRDefault="00804AF0">
      <w:pPr>
        <w:jc w:val="both"/>
        <w:textAlignment w:val="baseline"/>
        <w:rPr>
          <w:rFonts w:ascii="Calibri" w:hAnsi="Calibri" w:cs="Calibri"/>
          <w:sz w:val="22"/>
          <w:szCs w:val="22"/>
          <w:lang w:eastAsia="en-GB"/>
        </w:rPr>
      </w:pPr>
    </w:p>
    <w:p w14:paraId="405BD2A6" w14:textId="438347E4"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xml:space="preserve">For regular IPSAs, the evaluation must be completed </w:t>
      </w:r>
      <w:r>
        <w:rPr>
          <w:rFonts w:ascii="Calibri" w:hAnsi="Calibri" w:cs="Calibri"/>
          <w:sz w:val="22"/>
          <w:szCs w:val="22"/>
        </w:rPr>
        <w:t xml:space="preserve">using the online </w:t>
      </w:r>
      <w:hyperlink r:id="rId17" w:history="1">
        <w:r>
          <w:rPr>
            <w:rStyle w:val="Hyperlink"/>
            <w:rFonts w:ascii="Calibri" w:hAnsi="Calibri" w:cs="Calibri"/>
            <w:sz w:val="22"/>
            <w:szCs w:val="22"/>
          </w:rPr>
          <w:t>PMD platform</w:t>
        </w:r>
      </w:hyperlink>
      <w:r>
        <w:rPr>
          <w:rFonts w:ascii="Calibri" w:hAnsi="Calibri" w:cs="Calibri"/>
          <w:sz w:val="22"/>
          <w:szCs w:val="22"/>
        </w:rPr>
        <w:t>. I</w:t>
      </w:r>
      <w:r>
        <w:rPr>
          <w:rFonts w:ascii="Calibri" w:hAnsi="Calibri" w:cs="Calibri"/>
          <w:sz w:val="22"/>
          <w:szCs w:val="22"/>
          <w:lang w:eastAsia="en-GB"/>
        </w:rPr>
        <w:t>f the platform is not available, the supervisor can use the form below. Please note that the entire evaluation form needs to be completed. </w:t>
      </w:r>
    </w:p>
    <w:p w14:paraId="1DACFDA1"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08ABC5E" w14:textId="77777777" w:rsidR="00804AF0" w:rsidRDefault="009A47D6">
      <w:pPr>
        <w:pStyle w:val="ListParagraph"/>
        <w:numPr>
          <w:ilvl w:val="0"/>
          <w:numId w:val="42"/>
        </w:numPr>
        <w:jc w:val="both"/>
        <w:textAlignment w:val="baseline"/>
        <w:rPr>
          <w:rFonts w:ascii="Calibri" w:hAnsi="Calibri" w:cs="Calibri"/>
          <w:sz w:val="22"/>
          <w:szCs w:val="22"/>
          <w:lang w:eastAsia="en-GB"/>
        </w:rPr>
      </w:pPr>
      <w:r>
        <w:rPr>
          <w:rFonts w:ascii="Calibri" w:hAnsi="Calibri" w:cs="Calibri"/>
          <w:sz w:val="22"/>
          <w:szCs w:val="22"/>
          <w:lang w:eastAsia="en-GB"/>
        </w:rPr>
        <w:t xml:space="preserve">The </w:t>
      </w:r>
      <w:hyperlink r:id="rId18" w:history="1">
        <w:r>
          <w:rPr>
            <w:rFonts w:ascii="Calibri" w:hAnsi="Calibri" w:cs="Calibri"/>
            <w:sz w:val="22"/>
            <w:szCs w:val="22"/>
            <w:lang w:eastAsia="en-GB"/>
          </w:rPr>
          <w:t>IPSA Annual Performance review</w:t>
        </w:r>
      </w:hyperlink>
      <w:r>
        <w:rPr>
          <w:rFonts w:ascii="Calibri" w:hAnsi="Calibri" w:cs="Calibri"/>
          <w:sz w:val="22"/>
          <w:szCs w:val="22"/>
          <w:lang w:eastAsia="en-GB"/>
        </w:rPr>
        <w:t xml:space="preserve"> must be completed by the supervisor in line with the regular performance management cycles as set out by the administration, and applying the same cycle consistently across all personnel (calendar year). The simplified performance management process is initiated at the start of the year with clearly set goals to achieve as per the work plan of the unit and the individual, as well as learning and development plans of the individual, and agreed on by the supervisor. The performance assessment is conducted within the regular set schedule at the start of the following year and conducted against the set goals. The assessment by the supervisor is completed after: </w:t>
      </w:r>
    </w:p>
    <w:p w14:paraId="35692270" w14:textId="77777777" w:rsidR="00804AF0" w:rsidRDefault="009A47D6">
      <w:pPr>
        <w:ind w:left="360"/>
        <w:jc w:val="both"/>
        <w:textAlignment w:val="baseline"/>
        <w:rPr>
          <w:rFonts w:ascii="Calibri" w:hAnsi="Calibri" w:cs="Calibri"/>
          <w:sz w:val="22"/>
          <w:szCs w:val="22"/>
          <w:lang w:eastAsia="en-GB"/>
        </w:rPr>
      </w:pPr>
      <w:r>
        <w:rPr>
          <w:rFonts w:ascii="Calibri" w:hAnsi="Calibri" w:cs="Calibri"/>
          <w:sz w:val="22"/>
          <w:szCs w:val="22"/>
          <w:lang w:eastAsia="en-GB"/>
        </w:rPr>
        <w:t> </w:t>
      </w:r>
    </w:p>
    <w:p w14:paraId="1D5AF6AF" w14:textId="77777777" w:rsidR="00804AF0" w:rsidRDefault="009A47D6">
      <w:pPr>
        <w:numPr>
          <w:ilvl w:val="0"/>
          <w:numId w:val="43"/>
        </w:numPr>
        <w:tabs>
          <w:tab w:val="clear" w:pos="720"/>
          <w:tab w:val="left" w:pos="-1800"/>
        </w:tabs>
        <w:ind w:left="1440" w:firstLine="0"/>
        <w:jc w:val="both"/>
        <w:textAlignment w:val="baseline"/>
        <w:rPr>
          <w:rFonts w:ascii="Calibri" w:hAnsi="Calibri" w:cs="Calibri"/>
          <w:sz w:val="22"/>
          <w:szCs w:val="22"/>
          <w:lang w:eastAsia="en-GB"/>
        </w:rPr>
      </w:pPr>
      <w:r>
        <w:rPr>
          <w:rFonts w:ascii="Calibri" w:hAnsi="Calibri" w:cs="Calibri"/>
          <w:sz w:val="22"/>
          <w:szCs w:val="22"/>
          <w:lang w:eastAsia="en-GB"/>
        </w:rPr>
        <w:t xml:space="preserve"> a short written self-assessment is provided by the IPSA holder including on their special accomplishments; and</w:t>
      </w:r>
    </w:p>
    <w:p w14:paraId="45B662CD" w14:textId="77777777" w:rsidR="00804AF0" w:rsidRDefault="009A47D6">
      <w:pPr>
        <w:ind w:left="1440"/>
        <w:jc w:val="both"/>
        <w:textAlignment w:val="baseline"/>
        <w:rPr>
          <w:rFonts w:ascii="Calibri" w:hAnsi="Calibri" w:cs="Calibri"/>
          <w:sz w:val="22"/>
          <w:szCs w:val="22"/>
          <w:lang w:eastAsia="en-GB"/>
        </w:rPr>
      </w:pPr>
      <w:r>
        <w:rPr>
          <w:rFonts w:ascii="Calibri" w:hAnsi="Calibri" w:cs="Calibri"/>
          <w:sz w:val="22"/>
          <w:szCs w:val="22"/>
          <w:lang w:eastAsia="en-GB"/>
        </w:rPr>
        <w:t> </w:t>
      </w:r>
    </w:p>
    <w:p w14:paraId="00F93A67" w14:textId="77777777" w:rsidR="00804AF0" w:rsidRDefault="009A47D6">
      <w:pPr>
        <w:numPr>
          <w:ilvl w:val="0"/>
          <w:numId w:val="44"/>
        </w:numPr>
        <w:ind w:left="1440" w:firstLine="0"/>
        <w:jc w:val="both"/>
        <w:textAlignment w:val="baseline"/>
        <w:rPr>
          <w:rFonts w:ascii="Calibri" w:hAnsi="Calibri" w:cs="Calibri"/>
          <w:sz w:val="22"/>
          <w:szCs w:val="22"/>
          <w:lang w:eastAsia="en-GB"/>
        </w:rPr>
      </w:pPr>
      <w:r>
        <w:rPr>
          <w:rFonts w:ascii="Calibri" w:hAnsi="Calibri" w:cs="Calibri"/>
          <w:sz w:val="22"/>
          <w:szCs w:val="22"/>
          <w:lang w:eastAsia="en-GB"/>
        </w:rPr>
        <w:t xml:space="preserve"> a Performance review session with the individual IPSA holder with a view to discuss performance during the reporting period. </w:t>
      </w:r>
    </w:p>
    <w:p w14:paraId="7442326B" w14:textId="77777777" w:rsidR="00804AF0" w:rsidRDefault="009A47D6">
      <w:pPr>
        <w:ind w:left="1800"/>
        <w:jc w:val="both"/>
        <w:textAlignment w:val="baseline"/>
        <w:rPr>
          <w:rFonts w:ascii="Calibri" w:hAnsi="Calibri" w:cs="Calibri"/>
          <w:sz w:val="22"/>
          <w:szCs w:val="22"/>
          <w:lang w:eastAsia="en-GB"/>
        </w:rPr>
      </w:pPr>
      <w:r>
        <w:rPr>
          <w:rFonts w:ascii="Calibri" w:hAnsi="Calibri" w:cs="Calibri"/>
          <w:sz w:val="22"/>
          <w:szCs w:val="22"/>
          <w:lang w:eastAsia="en-GB"/>
        </w:rPr>
        <w:t> </w:t>
      </w:r>
    </w:p>
    <w:p w14:paraId="2A952B22" w14:textId="77777777" w:rsidR="00804AF0" w:rsidRDefault="009A47D6">
      <w:pPr>
        <w:pStyle w:val="ListParagraph"/>
        <w:numPr>
          <w:ilvl w:val="0"/>
          <w:numId w:val="42"/>
        </w:numPr>
        <w:jc w:val="both"/>
        <w:textAlignment w:val="baseline"/>
        <w:rPr>
          <w:rFonts w:ascii="Calibri" w:hAnsi="Calibri" w:cs="Calibri"/>
          <w:sz w:val="22"/>
          <w:szCs w:val="22"/>
          <w:lang w:eastAsia="en-GB"/>
        </w:rPr>
      </w:pPr>
      <w:r>
        <w:rPr>
          <w:rFonts w:ascii="Calibri" w:hAnsi="Calibri" w:cs="Calibri"/>
          <w:sz w:val="22"/>
          <w:szCs w:val="22"/>
          <w:lang w:eastAsia="en-GB"/>
        </w:rPr>
        <w:t xml:space="preserve">The performance assessment must include details regarding performance during the review period, as applicable, any mention of service provided above or below expected standards or in addition to those activities established in the TOR. If the PMD platform is not available, the </w:t>
      </w:r>
      <w:hyperlink r:id="rId19" w:history="1">
        <w:r>
          <w:rPr>
            <w:rStyle w:val="Hyperlink"/>
            <w:rFonts w:ascii="Calibri" w:hAnsi="Calibri" w:cs="Calibri"/>
            <w:sz w:val="22"/>
            <w:szCs w:val="22"/>
            <w:lang w:eastAsia="en-GB"/>
          </w:rPr>
          <w:t>IPSA Annual Performance Review template</w:t>
        </w:r>
      </w:hyperlink>
      <w:r>
        <w:rPr>
          <w:rFonts w:ascii="Calibri" w:hAnsi="Calibri" w:cs="Calibri"/>
          <w:sz w:val="22"/>
          <w:szCs w:val="22"/>
          <w:lang w:eastAsia="en-GB"/>
        </w:rPr>
        <w:t xml:space="preserve"> should be used for evaluating regular IPSAs.</w:t>
      </w:r>
    </w:p>
    <w:p w14:paraId="37A48AE6" w14:textId="77777777" w:rsidR="00804AF0" w:rsidRDefault="00804AF0">
      <w:pPr>
        <w:ind w:left="1080"/>
        <w:jc w:val="both"/>
        <w:textAlignment w:val="baseline"/>
        <w:rPr>
          <w:rFonts w:ascii="Calibri" w:hAnsi="Calibri" w:cs="Calibri"/>
          <w:sz w:val="22"/>
          <w:szCs w:val="22"/>
          <w:lang w:eastAsia="en-GB"/>
        </w:rPr>
      </w:pPr>
    </w:p>
    <w:p w14:paraId="3E716156" w14:textId="77777777" w:rsidR="00804AF0" w:rsidRDefault="00804AF0">
      <w:pPr>
        <w:jc w:val="both"/>
        <w:textAlignment w:val="baseline"/>
        <w:rPr>
          <w:rFonts w:ascii="Calibri" w:hAnsi="Calibri" w:cs="Calibri"/>
          <w:sz w:val="22"/>
          <w:szCs w:val="22"/>
          <w:lang w:eastAsia="en-GB"/>
        </w:rPr>
      </w:pPr>
    </w:p>
    <w:p w14:paraId="1EAFFA88" w14:textId="77777777" w:rsidR="00804AF0" w:rsidRDefault="009A47D6">
      <w:pPr>
        <w:rPr>
          <w:rFonts w:ascii="Calibri" w:hAnsi="Calibri" w:cs="Calibri"/>
          <w:b/>
          <w:bCs/>
          <w:sz w:val="22"/>
          <w:szCs w:val="22"/>
          <w:u w:val="single"/>
          <w:lang w:eastAsia="en-GB"/>
        </w:rPr>
      </w:pPr>
      <w:bookmarkStart w:id="127" w:name="_Annex_6:_To"/>
      <w:bookmarkEnd w:id="127"/>
      <w:r>
        <w:rPr>
          <w:rFonts w:ascii="Calibri" w:hAnsi="Calibri" w:cs="Calibri"/>
          <w:b/>
          <w:bCs/>
          <w:sz w:val="22"/>
          <w:szCs w:val="22"/>
          <w:u w:val="single"/>
          <w:lang w:eastAsia="en-GB"/>
        </w:rPr>
        <w:br w:type="page"/>
      </w:r>
    </w:p>
    <w:p w14:paraId="602B0886" w14:textId="77777777" w:rsidR="00804AF0" w:rsidRDefault="009A47D6">
      <w:pPr>
        <w:pStyle w:val="Heading1"/>
        <w:ind w:left="0"/>
        <w:jc w:val="left"/>
        <w:rPr>
          <w:rFonts w:ascii="Calibri" w:hAnsi="Calibri" w:cs="Calibri"/>
          <w:b/>
          <w:bCs/>
          <w:sz w:val="22"/>
          <w:szCs w:val="22"/>
          <w:u w:val="single"/>
          <w:lang w:eastAsia="en-GB"/>
        </w:rPr>
      </w:pPr>
      <w:bookmarkStart w:id="128" w:name="_Annex_6:_To_1"/>
      <w:bookmarkStart w:id="129" w:name="_Toc161312448"/>
      <w:bookmarkEnd w:id="128"/>
      <w:r>
        <w:rPr>
          <w:rFonts w:ascii="Calibri" w:hAnsi="Calibri" w:cs="Calibri"/>
          <w:b/>
          <w:bCs/>
          <w:sz w:val="22"/>
          <w:szCs w:val="22"/>
          <w:u w:val="single"/>
          <w:lang w:eastAsia="en-GB"/>
        </w:rPr>
        <w:lastRenderedPageBreak/>
        <w:t>Annex 6: To be included in IPSA file, where applicable – Checklist</w:t>
      </w:r>
      <w:bookmarkEnd w:id="129"/>
      <w:r>
        <w:rPr>
          <w:rFonts w:ascii="Calibri" w:hAnsi="Calibri" w:cs="Calibri"/>
          <w:b/>
          <w:bCs/>
          <w:sz w:val="22"/>
          <w:szCs w:val="22"/>
          <w:u w:val="single"/>
          <w:lang w:eastAsia="en-GB"/>
        </w:rPr>
        <w:t> </w:t>
      </w:r>
    </w:p>
    <w:p w14:paraId="6DF2E3B4"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A16673B" w14:textId="77777777" w:rsidR="00804AF0" w:rsidRDefault="009A47D6">
      <w:pPr>
        <w:jc w:val="both"/>
        <w:textAlignment w:val="baseline"/>
        <w:rPr>
          <w:rFonts w:ascii="Calibri" w:hAnsi="Calibri" w:cs="Calibri"/>
          <w:sz w:val="22"/>
          <w:szCs w:val="22"/>
          <w:lang w:eastAsia="en-GB"/>
        </w:rPr>
      </w:pPr>
      <w:r>
        <w:rPr>
          <w:rFonts w:ascii="Calibri" w:hAnsi="Calibri" w:cs="Calibri"/>
          <w:color w:val="000000"/>
          <w:sz w:val="22"/>
          <w:szCs w:val="22"/>
          <w:lang w:eastAsia="en-GB"/>
        </w:rPr>
        <w:t>Check list of documentation for the IPSA holder  </w:t>
      </w:r>
    </w:p>
    <w:p w14:paraId="6882F934"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Evidence of approved budget  </w:t>
      </w:r>
    </w:p>
    <w:p w14:paraId="039F37A1" w14:textId="4D0EECB3"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hyperlink r:id="rId20" w:history="1">
        <w:r>
          <w:rPr>
            <w:rStyle w:val="Hyperlink"/>
            <w:rFonts w:ascii="Calibri" w:eastAsia="Times New Roman" w:hAnsi="Calibri" w:cs="Calibri"/>
            <w:sz w:val="22"/>
            <w:szCs w:val="22"/>
            <w:lang w:eastAsia="en-GB"/>
          </w:rPr>
          <w:t>Terms of Reference  </w:t>
        </w:r>
      </w:hyperlink>
    </w:p>
    <w:p w14:paraId="0E25D902"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Certification of appropriateness of functions for use of an IPSA  </w:t>
      </w:r>
    </w:p>
    <w:p w14:paraId="5D02DA12" w14:textId="77A3C6AB"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hyperlink r:id="rId21" w:history="1">
        <w:r>
          <w:rPr>
            <w:rStyle w:val="Hyperlink"/>
            <w:rFonts w:ascii="Calibri" w:eastAsia="Times New Roman" w:hAnsi="Calibri" w:cs="Calibri"/>
            <w:sz w:val="22"/>
            <w:szCs w:val="22"/>
            <w:lang w:eastAsia="en-GB"/>
          </w:rPr>
          <w:t>Confirmation of remuneration level (e.g. costing sheet)</w:t>
        </w:r>
      </w:hyperlink>
      <w:r>
        <w:rPr>
          <w:rFonts w:ascii="Calibri" w:eastAsia="Times New Roman" w:hAnsi="Calibri" w:cs="Calibri"/>
          <w:color w:val="000000"/>
          <w:sz w:val="22"/>
          <w:szCs w:val="22"/>
          <w:lang w:eastAsia="en-GB"/>
        </w:rPr>
        <w:t>  </w:t>
      </w:r>
    </w:p>
    <w:p w14:paraId="5174D528"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Minutes of the Ad-hoc panel with relevant supporting engagement documents  </w:t>
      </w:r>
    </w:p>
    <w:p w14:paraId="0A223999" w14:textId="5E9F04F4"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hyperlink r:id="rId22" w:history="1">
        <w:r>
          <w:rPr>
            <w:rStyle w:val="Hyperlink"/>
            <w:rFonts w:ascii="Calibri" w:eastAsia="Times New Roman" w:hAnsi="Calibri" w:cs="Calibri"/>
            <w:sz w:val="22"/>
            <w:szCs w:val="22"/>
            <w:lang w:eastAsia="en-GB"/>
          </w:rPr>
          <w:t>Reference check report  </w:t>
        </w:r>
      </w:hyperlink>
    </w:p>
    <w:p w14:paraId="5E0862CB"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Letter of IPSA offer – signed by the individual  </w:t>
      </w:r>
    </w:p>
    <w:p w14:paraId="02C2F924" w14:textId="6F21669A"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hyperlink r:id="rId23" w:history="1">
        <w:r>
          <w:rPr>
            <w:rStyle w:val="Hyperlink"/>
            <w:rFonts w:ascii="Calibri" w:eastAsia="Times New Roman" w:hAnsi="Calibri" w:cs="Calibri"/>
            <w:sz w:val="22"/>
            <w:szCs w:val="22"/>
            <w:lang w:eastAsia="en-GB"/>
          </w:rPr>
          <w:t>Medical certification from recognized Physician  </w:t>
        </w:r>
      </w:hyperlink>
    </w:p>
    <w:p w14:paraId="0CDC8311"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Copies of professional qualifications in line with IPSA level  </w:t>
      </w:r>
    </w:p>
    <w:p w14:paraId="029CE45F" w14:textId="7F8BC10F"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hyperlink r:id="rId24" w:history="1">
        <w:r>
          <w:rPr>
            <w:rStyle w:val="Hyperlink"/>
            <w:rFonts w:ascii="Calibri" w:eastAsia="Times New Roman" w:hAnsi="Calibri" w:cs="Calibri"/>
            <w:sz w:val="22"/>
            <w:szCs w:val="22"/>
            <w:lang w:eastAsia="en-GB"/>
          </w:rPr>
          <w:t>Signed IPSA form with acknowledgement of conditions of service  </w:t>
        </w:r>
      </w:hyperlink>
    </w:p>
    <w:p w14:paraId="57F1B5AA"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Proof of medical coverage  </w:t>
      </w:r>
    </w:p>
    <w:p w14:paraId="6ED32F4D"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Application for CIGNA medical coverage  </w:t>
      </w:r>
    </w:p>
    <w:p w14:paraId="36CA802E"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Application for Death and Disability coverage  </w:t>
      </w:r>
    </w:p>
    <w:p w14:paraId="11A42B12"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Signed acknowledgement that IPSA holder has received all documents and information related to social security and MAIP coverage  </w:t>
      </w:r>
    </w:p>
    <w:p w14:paraId="62151A84"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Amendments/Extensions to IPSA-with signed acceptance  </w:t>
      </w:r>
    </w:p>
    <w:p w14:paraId="5EA73702"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Birth Certificate of IPSA holder and designated beneficiary  </w:t>
      </w:r>
    </w:p>
    <w:p w14:paraId="4FF627A2" w14:textId="76BDE2D4"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hyperlink r:id="rId25" w:history="1">
        <w:r>
          <w:rPr>
            <w:rStyle w:val="Hyperlink"/>
            <w:rFonts w:ascii="Calibri" w:eastAsia="Times New Roman" w:hAnsi="Calibri" w:cs="Calibri"/>
            <w:sz w:val="22"/>
            <w:szCs w:val="22"/>
            <w:lang w:eastAsia="en-GB"/>
          </w:rPr>
          <w:t>Bank details authorization for direct deposit of remuneration (or vendor form) </w:t>
        </w:r>
      </w:hyperlink>
    </w:p>
    <w:p w14:paraId="315B5EE0"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hyperlink r:id="rId26" w:history="1">
        <w:r>
          <w:rPr>
            <w:rStyle w:val="Hyperlink"/>
            <w:rFonts w:ascii="Calibri" w:eastAsia="Times New Roman" w:hAnsi="Calibri" w:cs="Calibri"/>
            <w:sz w:val="22"/>
            <w:szCs w:val="22"/>
            <w:lang w:eastAsia="en-GB"/>
          </w:rPr>
          <w:t>Service Evaluation</w:t>
        </w:r>
      </w:hyperlink>
      <w:r>
        <w:rPr>
          <w:rFonts w:ascii="Calibri" w:eastAsia="Times New Roman" w:hAnsi="Calibri" w:cs="Calibri"/>
          <w:color w:val="000000"/>
          <w:sz w:val="22"/>
          <w:szCs w:val="22"/>
          <w:lang w:eastAsia="en-GB"/>
        </w:rPr>
        <w:t>/IPSA Extension Form  </w:t>
      </w:r>
    </w:p>
    <w:p w14:paraId="195375DE"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Minutes of the selection, where applicable  </w:t>
      </w:r>
    </w:p>
    <w:p w14:paraId="31DD8BDC"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Termination notification, where applicable</w:t>
      </w:r>
    </w:p>
    <w:p w14:paraId="1B4B31F8" w14:textId="77777777" w:rsidR="00804AF0" w:rsidRDefault="00804AF0">
      <w:pPr>
        <w:pStyle w:val="ListParagraph"/>
        <w:ind w:left="1800"/>
        <w:jc w:val="both"/>
        <w:textAlignment w:val="baseline"/>
        <w:rPr>
          <w:rFonts w:ascii="Calibri" w:eastAsia="Times New Roman" w:hAnsi="Calibri" w:cs="Calibri"/>
          <w:sz w:val="22"/>
          <w:szCs w:val="22"/>
          <w:lang w:eastAsia="en-GB"/>
        </w:rPr>
      </w:pPr>
    </w:p>
    <w:p w14:paraId="2EC8AFAA" w14:textId="77777777" w:rsidR="00804AF0" w:rsidRDefault="00804AF0">
      <w:pPr>
        <w:jc w:val="both"/>
        <w:textAlignment w:val="baseline"/>
        <w:rPr>
          <w:rFonts w:ascii="Calibri" w:hAnsi="Calibri" w:cs="Calibri"/>
          <w:sz w:val="22"/>
          <w:szCs w:val="22"/>
          <w:lang w:eastAsia="en-GB"/>
        </w:rPr>
      </w:pPr>
    </w:p>
    <w:p w14:paraId="6407EBEA" w14:textId="77777777" w:rsidR="00804AF0" w:rsidRDefault="009A47D6">
      <w:pPr>
        <w:rPr>
          <w:rFonts w:ascii="Calibri" w:hAnsi="Calibri" w:cs="Calibri"/>
          <w:b/>
          <w:bCs/>
          <w:sz w:val="22"/>
          <w:szCs w:val="22"/>
          <w:u w:val="single"/>
          <w:lang w:eastAsia="en-GB"/>
        </w:rPr>
      </w:pPr>
      <w:bookmarkStart w:id="130" w:name="_Annex_7_–"/>
      <w:bookmarkStart w:id="131" w:name="OLE_LINK4"/>
      <w:bookmarkEnd w:id="130"/>
      <w:r>
        <w:rPr>
          <w:rFonts w:ascii="Calibri" w:hAnsi="Calibri" w:cs="Calibri"/>
          <w:b/>
          <w:bCs/>
          <w:sz w:val="22"/>
          <w:szCs w:val="22"/>
          <w:u w:val="single"/>
          <w:lang w:eastAsia="en-GB"/>
        </w:rPr>
        <w:br w:type="page"/>
      </w:r>
    </w:p>
    <w:p w14:paraId="1EF26413" w14:textId="5B9C779D" w:rsidR="00804AF0" w:rsidRDefault="009A47D6">
      <w:pPr>
        <w:pStyle w:val="Heading1"/>
        <w:jc w:val="left"/>
        <w:rPr>
          <w:rFonts w:ascii="Calibri" w:hAnsi="Calibri" w:cs="Calibri"/>
          <w:b/>
          <w:bCs/>
          <w:sz w:val="22"/>
          <w:szCs w:val="22"/>
          <w:u w:val="single"/>
          <w:lang w:eastAsia="en-GB"/>
        </w:rPr>
      </w:pPr>
      <w:bookmarkStart w:id="132" w:name="_Annex_7_:"/>
      <w:bookmarkStart w:id="133" w:name="_Toc161312449"/>
      <w:bookmarkEnd w:id="132"/>
      <w:r>
        <w:rPr>
          <w:rFonts w:ascii="Calibri" w:hAnsi="Calibri" w:cs="Calibri"/>
          <w:b/>
          <w:bCs/>
          <w:sz w:val="22"/>
          <w:szCs w:val="22"/>
          <w:u w:val="single"/>
          <w:lang w:eastAsia="en-GB"/>
        </w:rPr>
        <w:lastRenderedPageBreak/>
        <w:t>Annex 7: Equipment &amp; Supplies</w:t>
      </w:r>
      <w:bookmarkEnd w:id="133"/>
      <w:r>
        <w:rPr>
          <w:rFonts w:ascii="Calibri" w:hAnsi="Calibri" w:cs="Calibri"/>
          <w:b/>
          <w:bCs/>
          <w:sz w:val="22"/>
          <w:szCs w:val="22"/>
          <w:u w:val="single"/>
          <w:lang w:eastAsia="en-GB"/>
        </w:rPr>
        <w:t> </w:t>
      </w:r>
    </w:p>
    <w:bookmarkEnd w:id="131"/>
    <w:p w14:paraId="53F5EE3D" w14:textId="77777777" w:rsidR="00804AF0" w:rsidRDefault="00804AF0">
      <w:pPr>
        <w:jc w:val="both"/>
        <w:textAlignment w:val="baseline"/>
        <w:rPr>
          <w:rFonts w:ascii="Calibri" w:hAnsi="Calibri" w:cs="Calibri"/>
          <w:sz w:val="22"/>
          <w:szCs w:val="22"/>
          <w:u w:val="single"/>
          <w:lang w:eastAsia="en-GB"/>
        </w:rPr>
      </w:pPr>
    </w:p>
    <w:p w14:paraId="1CC182FD" w14:textId="17CA0228"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Any equipment or supplies that may be furnished by UNDP to the IPSA holder for the performance of the IPSA holder’s obligations  under  the  IPSA remains the property of  UNDP,  and  any  such equipment or supplies must be returned to UNDP at the conclusion of the IPSA or before if no longer needed by the IPSA holder. Such equipment, when returned to UNDP, must be in the same condition as when delivered to the IPSA holder, subject to normal wear and tear, and the IPSA holder will be liable to compensate UNDP for any damage or degradation of the equipment that is beyond normal wear and tear.   </w:t>
      </w:r>
    </w:p>
    <w:p w14:paraId="46CADBCE" w14:textId="77777777" w:rsidR="00804AF0" w:rsidRDefault="00804AF0">
      <w:pPr>
        <w:jc w:val="both"/>
        <w:textAlignment w:val="baseline"/>
        <w:rPr>
          <w:rFonts w:ascii="Calibri" w:hAnsi="Calibri" w:cs="Calibri"/>
          <w:sz w:val="22"/>
          <w:szCs w:val="22"/>
          <w:lang w:eastAsia="en-GB"/>
        </w:rPr>
      </w:pPr>
    </w:p>
    <w:p w14:paraId="6F5F5B01" w14:textId="77777777" w:rsidR="00804AF0" w:rsidRDefault="00804AF0">
      <w:pPr>
        <w:jc w:val="both"/>
        <w:textAlignment w:val="baseline"/>
        <w:rPr>
          <w:rFonts w:ascii="Calibri" w:hAnsi="Calibri" w:cs="Calibri"/>
          <w:sz w:val="22"/>
          <w:szCs w:val="22"/>
          <w:lang w:eastAsia="en-GB"/>
        </w:rPr>
      </w:pPr>
    </w:p>
    <w:p w14:paraId="38332827" w14:textId="77777777" w:rsidR="00804AF0" w:rsidRDefault="009A47D6">
      <w:pPr>
        <w:rPr>
          <w:rFonts w:ascii="Calibri" w:hAnsi="Calibri" w:cs="Calibri"/>
          <w:b/>
          <w:bCs/>
          <w:sz w:val="22"/>
          <w:szCs w:val="22"/>
          <w:u w:val="single"/>
          <w:lang w:eastAsia="en-GB"/>
        </w:rPr>
      </w:pPr>
      <w:r>
        <w:rPr>
          <w:rFonts w:ascii="Calibri" w:hAnsi="Calibri" w:cs="Calibri"/>
          <w:b/>
          <w:bCs/>
          <w:sz w:val="22"/>
          <w:szCs w:val="22"/>
          <w:u w:val="single"/>
          <w:lang w:eastAsia="en-GB"/>
        </w:rPr>
        <w:br w:type="page"/>
      </w:r>
    </w:p>
    <w:p w14:paraId="1D984480" w14:textId="0B12643F" w:rsidR="00804AF0" w:rsidRDefault="009A47D6">
      <w:pPr>
        <w:pStyle w:val="Heading1"/>
        <w:jc w:val="left"/>
        <w:rPr>
          <w:rFonts w:ascii="Calibri" w:hAnsi="Calibri" w:cs="Calibri"/>
          <w:b/>
          <w:bCs/>
          <w:sz w:val="22"/>
          <w:szCs w:val="22"/>
          <w:u w:val="single"/>
          <w:lang w:eastAsia="en-GB"/>
        </w:rPr>
      </w:pPr>
      <w:bookmarkStart w:id="134" w:name="_Annex_8_:"/>
      <w:bookmarkStart w:id="135" w:name="_Toc161312450"/>
      <w:bookmarkEnd w:id="134"/>
      <w:r>
        <w:rPr>
          <w:rFonts w:ascii="Calibri" w:hAnsi="Calibri" w:cs="Calibri"/>
          <w:b/>
          <w:bCs/>
          <w:sz w:val="22"/>
          <w:szCs w:val="22"/>
          <w:u w:val="single"/>
          <w:lang w:eastAsia="en-GB"/>
        </w:rPr>
        <w:lastRenderedPageBreak/>
        <w:t>Annex 8: Transitional measures</w:t>
      </w:r>
      <w:bookmarkEnd w:id="135"/>
    </w:p>
    <w:p w14:paraId="75889E4A" w14:textId="77777777" w:rsidR="00804AF0" w:rsidRDefault="00804AF0">
      <w:pPr>
        <w:pStyle w:val="ListParagraph"/>
        <w:jc w:val="both"/>
        <w:textAlignment w:val="baseline"/>
        <w:rPr>
          <w:rFonts w:ascii="Calibri" w:hAnsi="Calibri" w:cs="Calibri"/>
          <w:b/>
          <w:bCs/>
          <w:sz w:val="22"/>
          <w:szCs w:val="22"/>
          <w:lang w:eastAsia="en-GB"/>
        </w:rPr>
      </w:pPr>
    </w:p>
    <w:p w14:paraId="152D7B24"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xml:space="preserve">From the date of entry into force of this policy on 15th February 2021, all new international, non-staff hires against tasks which are not </w:t>
      </w:r>
      <w:proofErr w:type="gramStart"/>
      <w:r>
        <w:rPr>
          <w:rFonts w:ascii="Calibri" w:hAnsi="Calibri" w:cs="Calibri"/>
          <w:sz w:val="22"/>
          <w:szCs w:val="22"/>
          <w:lang w:eastAsia="en-GB"/>
        </w:rPr>
        <w:t>lump-sum</w:t>
      </w:r>
      <w:proofErr w:type="gramEnd"/>
      <w:r>
        <w:rPr>
          <w:rFonts w:ascii="Calibri" w:hAnsi="Calibri" w:cs="Calibri"/>
          <w:sz w:val="22"/>
          <w:szCs w:val="22"/>
          <w:lang w:eastAsia="en-GB"/>
        </w:rPr>
        <w:t xml:space="preserve"> based will be on IPSA, and the remuneration calculation will follow the formula introduced by this policy. </w:t>
      </w:r>
    </w:p>
    <w:p w14:paraId="0CD9CA1B" w14:textId="77777777" w:rsidR="00804AF0" w:rsidRDefault="00804AF0">
      <w:pPr>
        <w:jc w:val="both"/>
        <w:textAlignment w:val="baseline"/>
        <w:rPr>
          <w:rFonts w:ascii="Calibri" w:hAnsi="Calibri" w:cs="Calibri"/>
          <w:sz w:val="22"/>
          <w:szCs w:val="22"/>
          <w:lang w:eastAsia="en-GB"/>
        </w:rPr>
      </w:pPr>
    </w:p>
    <w:p w14:paraId="1A2B1FDD" w14:textId="77777777" w:rsidR="00804AF0" w:rsidRDefault="009A47D6">
      <w:pPr>
        <w:jc w:val="both"/>
        <w:textAlignment w:val="baseline"/>
        <w:rPr>
          <w:rFonts w:ascii="Calibri" w:hAnsi="Calibri" w:cs="Calibri"/>
          <w:sz w:val="22"/>
          <w:szCs w:val="22"/>
          <w:lang w:eastAsia="en-GB"/>
        </w:rPr>
      </w:pPr>
      <w:bookmarkStart w:id="136" w:name="_Hlk56979839"/>
      <w:r>
        <w:rPr>
          <w:rFonts w:ascii="Calibri" w:hAnsi="Calibri" w:cs="Calibri"/>
          <w:sz w:val="22"/>
          <w:szCs w:val="22"/>
          <w:lang w:eastAsia="en-GB"/>
        </w:rPr>
        <w:t>Also, from 15th February 2021, the use of the IC agreement will be limited to lump sum-based activities only. All other activities for which the services of an individual contractor are not based on a lump sum against specific deliverables will be undertaken </w:t>
      </w:r>
      <w:proofErr w:type="gramStart"/>
      <w:r>
        <w:rPr>
          <w:rFonts w:ascii="Calibri" w:hAnsi="Calibri" w:cs="Calibri"/>
          <w:sz w:val="22"/>
          <w:szCs w:val="22"/>
          <w:lang w:eastAsia="en-GB"/>
        </w:rPr>
        <w:t>on the basis of</w:t>
      </w:r>
      <w:proofErr w:type="gramEnd"/>
      <w:r>
        <w:rPr>
          <w:rFonts w:ascii="Calibri" w:hAnsi="Calibri" w:cs="Calibri"/>
          <w:sz w:val="22"/>
          <w:szCs w:val="22"/>
          <w:lang w:eastAsia="en-GB"/>
        </w:rPr>
        <w:t xml:space="preserve"> an IPSA. It is therefore envisaged that </w:t>
      </w:r>
      <w:proofErr w:type="gramStart"/>
      <w:r>
        <w:rPr>
          <w:rFonts w:ascii="Calibri" w:hAnsi="Calibri" w:cs="Calibri"/>
          <w:sz w:val="22"/>
          <w:szCs w:val="22"/>
          <w:lang w:eastAsia="en-GB"/>
        </w:rPr>
        <w:t>a number of</w:t>
      </w:r>
      <w:proofErr w:type="gramEnd"/>
      <w:r>
        <w:rPr>
          <w:rFonts w:ascii="Calibri" w:hAnsi="Calibri" w:cs="Calibri"/>
          <w:sz w:val="22"/>
          <w:szCs w:val="22"/>
          <w:lang w:eastAsia="en-GB"/>
        </w:rPr>
        <w:t xml:space="preserve"> ICs who fall under this category will be transitioned to IPSA </w:t>
      </w:r>
      <w:bookmarkStart w:id="137" w:name="_Hlk57177042"/>
      <w:r>
        <w:rPr>
          <w:rFonts w:ascii="Calibri" w:hAnsi="Calibri" w:cs="Calibri"/>
          <w:sz w:val="22"/>
          <w:szCs w:val="22"/>
          <w:lang w:eastAsia="en-GB"/>
        </w:rPr>
        <w:t xml:space="preserve">upon expiry of their existing contracts or before 1st January 2022, whichever is earlier. For example, should an IC with activities that are not lump-sum-based have an expiration date of 31 March 2021, an extension to that should be through a conversion to an IPSA as of 1 April 2021. Current IC agreements which are not </w:t>
      </w:r>
      <w:proofErr w:type="gramStart"/>
      <w:r>
        <w:rPr>
          <w:rFonts w:ascii="Calibri" w:hAnsi="Calibri" w:cs="Calibri"/>
          <w:sz w:val="22"/>
          <w:szCs w:val="22"/>
          <w:lang w:eastAsia="en-GB"/>
        </w:rPr>
        <w:t>lump-sum</w:t>
      </w:r>
      <w:proofErr w:type="gramEnd"/>
      <w:r>
        <w:rPr>
          <w:rFonts w:ascii="Calibri" w:hAnsi="Calibri" w:cs="Calibri"/>
          <w:sz w:val="22"/>
          <w:szCs w:val="22"/>
          <w:lang w:eastAsia="en-GB"/>
        </w:rPr>
        <w:t xml:space="preserve"> based may be extended on ICs any time before 15th of February for periods that may not exceed 31 December 2021.</w:t>
      </w:r>
      <w:bookmarkEnd w:id="137"/>
    </w:p>
    <w:bookmarkEnd w:id="136"/>
    <w:p w14:paraId="037221A7" w14:textId="77777777" w:rsidR="00804AF0" w:rsidRDefault="00804AF0">
      <w:pPr>
        <w:jc w:val="both"/>
        <w:textAlignment w:val="baseline"/>
        <w:rPr>
          <w:rFonts w:ascii="Calibri" w:hAnsi="Calibri" w:cs="Calibri"/>
          <w:sz w:val="22"/>
          <w:szCs w:val="22"/>
          <w:lang w:eastAsia="en-GB"/>
        </w:rPr>
      </w:pPr>
    </w:p>
    <w:p w14:paraId="4C81B844"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During the transition period throughout 2021, the conversion of ICs to IPSAs shall not require a new selection process if under the same TORs and are classified and paid at similar levels. When transitioned, the new remuneration formula of the IPSA shall apply, and the newly introduced benefits for the IPSA, where applicable, will apply as of their respective IPSA effective starting date. </w:t>
      </w:r>
    </w:p>
    <w:p w14:paraId="2786F62D" w14:textId="77777777" w:rsidR="00804AF0" w:rsidRDefault="00804AF0">
      <w:pPr>
        <w:jc w:val="both"/>
        <w:textAlignment w:val="baseline"/>
        <w:rPr>
          <w:rFonts w:ascii="Calibri" w:hAnsi="Calibri" w:cs="Calibri"/>
          <w:sz w:val="22"/>
          <w:szCs w:val="22"/>
          <w:lang w:eastAsia="en-GB"/>
        </w:rPr>
      </w:pPr>
    </w:p>
    <w:p w14:paraId="7F9EDE48"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The effective date of entry into force of this Policy is 15th February 2021. </w:t>
      </w:r>
    </w:p>
    <w:p w14:paraId="0CC26A5E" w14:textId="77777777" w:rsidR="00804AF0" w:rsidRDefault="00804AF0">
      <w:pPr>
        <w:jc w:val="both"/>
        <w:textAlignment w:val="baseline"/>
        <w:rPr>
          <w:rFonts w:ascii="Calibri" w:hAnsi="Calibri" w:cs="Calibri"/>
          <w:sz w:val="22"/>
          <w:szCs w:val="22"/>
          <w:lang w:eastAsia="en-GB"/>
        </w:rPr>
      </w:pPr>
    </w:p>
    <w:p w14:paraId="19775584" w14:textId="77777777" w:rsidR="00804AF0" w:rsidRDefault="00804AF0">
      <w:pPr>
        <w:rPr>
          <w:rFonts w:ascii="Calibri" w:hAnsi="Calibri" w:cs="Calibri"/>
          <w:sz w:val="22"/>
          <w:szCs w:val="22"/>
        </w:rPr>
      </w:pPr>
    </w:p>
    <w:p w14:paraId="121879BB" w14:textId="77777777" w:rsidR="00804AF0" w:rsidRDefault="00804AF0"/>
    <w:sectPr w:rsidR="00804AF0">
      <w:headerReference w:type="default" r:id="rId27"/>
      <w:footerReference w:type="default" r:id="rId28"/>
      <w:headerReference w:type="first" r:id="rId29"/>
      <w:footerReference w:type="first" r:id="rId30"/>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DF891" w14:textId="77777777" w:rsidR="00E86A18" w:rsidRDefault="00E86A18">
      <w:r>
        <w:separator/>
      </w:r>
    </w:p>
  </w:endnote>
  <w:endnote w:type="continuationSeparator" w:id="0">
    <w:p w14:paraId="25ABD973" w14:textId="77777777" w:rsidR="00E86A18" w:rsidRDefault="00E86A18">
      <w:r>
        <w:continuationSeparator/>
      </w:r>
    </w:p>
  </w:endnote>
  <w:endnote w:type="continuationNotice" w:id="1">
    <w:p w14:paraId="44D9F203" w14:textId="77777777" w:rsidR="00E86A18" w:rsidRDefault="00E86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CE4B" w14:textId="50563CA0" w:rsidR="00804AF0" w:rsidRDefault="009A47D6">
    <w:pPr>
      <w:pStyle w:val="Footer"/>
      <w:rPr>
        <w:rFonts w:ascii="Calibri" w:hAnsi="Calibri"/>
        <w:sz w:val="22"/>
        <w:szCs w:val="22"/>
      </w:rPr>
    </w:pPr>
    <w:r>
      <w:rPr>
        <w:rFonts w:ascii="Calibri" w:hAnsi="Calibri"/>
        <w:sz w:val="22"/>
        <w:szCs w:val="22"/>
      </w:rPr>
      <w:t xml:space="preserve">Page </w:t>
    </w:r>
    <w:r>
      <w:rPr>
        <w:rFonts w:ascii="Calibri" w:hAnsi="Calibri"/>
        <w:b/>
        <w:sz w:val="22"/>
        <w:szCs w:val="22"/>
      </w:rPr>
      <w:fldChar w:fldCharType="begin"/>
    </w:r>
    <w:r>
      <w:rPr>
        <w:rFonts w:ascii="Calibri" w:hAnsi="Calibri"/>
        <w:b/>
        <w:sz w:val="22"/>
        <w:szCs w:val="22"/>
      </w:rPr>
      <w:instrText xml:space="preserve"> PAGE  \* Arabic  \* MERGEFORMAT </w:instrText>
    </w:r>
    <w:r>
      <w:rPr>
        <w:rFonts w:ascii="Calibri" w:hAnsi="Calibri"/>
        <w:b/>
        <w:sz w:val="22"/>
        <w:szCs w:val="22"/>
      </w:rPr>
      <w:fldChar w:fldCharType="separate"/>
    </w:r>
    <w:r>
      <w:rPr>
        <w:rFonts w:ascii="Calibri" w:hAnsi="Calibri"/>
        <w:b/>
        <w:sz w:val="22"/>
        <w:szCs w:val="22"/>
      </w:rPr>
      <w:t>1</w:t>
    </w:r>
    <w:r>
      <w:rPr>
        <w:rFonts w:ascii="Calibri" w:hAnsi="Calibri"/>
        <w:b/>
        <w:sz w:val="22"/>
        <w:szCs w:val="22"/>
      </w:rPr>
      <w:fldChar w:fldCharType="end"/>
    </w:r>
    <w:r>
      <w:rPr>
        <w:rFonts w:ascii="Calibri" w:hAnsi="Calibri"/>
        <w:sz w:val="22"/>
        <w:szCs w:val="22"/>
      </w:rPr>
      <w:t xml:space="preserve"> of </w:t>
    </w:r>
    <w:r>
      <w:rPr>
        <w:rFonts w:ascii="Calibri" w:hAnsi="Calibri"/>
        <w:b/>
        <w:sz w:val="22"/>
        <w:szCs w:val="22"/>
      </w:rPr>
      <w:fldChar w:fldCharType="begin"/>
    </w:r>
    <w:r>
      <w:rPr>
        <w:rFonts w:ascii="Calibri" w:hAnsi="Calibri"/>
        <w:b/>
        <w:sz w:val="22"/>
        <w:szCs w:val="22"/>
      </w:rPr>
      <w:instrText xml:space="preserve"> NUMPAGES  \* Arabic  \* MERGEFORMAT </w:instrText>
    </w:r>
    <w:r>
      <w:rPr>
        <w:rFonts w:ascii="Calibri" w:hAnsi="Calibri"/>
        <w:b/>
        <w:sz w:val="22"/>
        <w:szCs w:val="22"/>
      </w:rPr>
      <w:fldChar w:fldCharType="separate"/>
    </w:r>
    <w:r>
      <w:rPr>
        <w:rFonts w:ascii="Calibri" w:hAnsi="Calibri"/>
        <w:b/>
        <w:sz w:val="22"/>
        <w:szCs w:val="22"/>
      </w:rPr>
      <w:t>1</w:t>
    </w:r>
    <w:r>
      <w:rPr>
        <w:rFonts w:ascii="Calibri" w:hAnsi="Calibri"/>
        <w:b/>
        <w:sz w:val="22"/>
        <w:szCs w:val="22"/>
      </w:rPr>
      <w:fldChar w:fldCharType="end"/>
    </w:r>
    <w:r>
      <w:rPr>
        <w:rFonts w:ascii="Calibri" w:hAnsi="Calibri"/>
        <w:sz w:val="22"/>
        <w:szCs w:val="22"/>
      </w:rPr>
      <w:tab/>
      <w:t>Effective Date: 15/01/2023</w:t>
    </w:r>
    <w:r>
      <w:rPr>
        <w:rFonts w:ascii="Calibri" w:hAnsi="Calibri"/>
        <w:sz w:val="22"/>
        <w:szCs w:val="22"/>
      </w:rPr>
      <w:tab/>
      <w:t xml:space="preserve">Version #: </w:t>
    </w:r>
    <w:r w:rsidR="007B6FA2">
      <w:rPr>
        <w:rFonts w:ascii="Calibri" w:hAnsi="Calibri"/>
        <w:sz w:val="22"/>
        <w:szCs w:val="22"/>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725D" w14:textId="77777777" w:rsidR="00804AF0" w:rsidRDefault="00804AF0">
    <w:pPr>
      <w:pStyle w:val="Footer"/>
      <w:rPr>
        <w:rFonts w:ascii="Calibri" w:hAnsi="Calibri"/>
        <w:sz w:val="22"/>
        <w:szCs w:val="22"/>
      </w:rPr>
    </w:pPr>
  </w:p>
  <w:p w14:paraId="7EF93A84" w14:textId="77777777" w:rsidR="00804AF0" w:rsidRDefault="009A47D6">
    <w:pPr>
      <w:pStyle w:val="Footer"/>
      <w:rPr>
        <w:rFonts w:ascii="Calibri" w:hAnsi="Calibri"/>
        <w:sz w:val="22"/>
        <w:szCs w:val="22"/>
      </w:rPr>
    </w:pPr>
    <w:r>
      <w:rPr>
        <w:rFonts w:ascii="Calibri" w:hAnsi="Calibri"/>
        <w:sz w:val="22"/>
        <w:szCs w:val="22"/>
      </w:rPr>
      <w:t xml:space="preserve">Page </w:t>
    </w:r>
    <w:r>
      <w:rPr>
        <w:rFonts w:ascii="Calibri" w:hAnsi="Calibri"/>
        <w:b/>
        <w:sz w:val="22"/>
        <w:szCs w:val="22"/>
      </w:rPr>
      <w:fldChar w:fldCharType="begin"/>
    </w:r>
    <w:r>
      <w:rPr>
        <w:rFonts w:ascii="Calibri" w:hAnsi="Calibri"/>
        <w:b/>
        <w:sz w:val="22"/>
        <w:szCs w:val="22"/>
      </w:rPr>
      <w:instrText xml:space="preserve"> PAGE  \* Arabic  \* MERGEFORMAT </w:instrText>
    </w:r>
    <w:r>
      <w:rPr>
        <w:rFonts w:ascii="Calibri" w:hAnsi="Calibri"/>
        <w:b/>
        <w:sz w:val="22"/>
        <w:szCs w:val="22"/>
      </w:rPr>
      <w:fldChar w:fldCharType="separate"/>
    </w:r>
    <w:r>
      <w:rPr>
        <w:rFonts w:ascii="Calibri" w:hAnsi="Calibri"/>
        <w:b/>
        <w:sz w:val="22"/>
        <w:szCs w:val="22"/>
      </w:rPr>
      <w:t>1</w:t>
    </w:r>
    <w:r>
      <w:rPr>
        <w:rFonts w:ascii="Calibri" w:hAnsi="Calibri"/>
        <w:b/>
        <w:sz w:val="22"/>
        <w:szCs w:val="22"/>
      </w:rPr>
      <w:fldChar w:fldCharType="end"/>
    </w:r>
    <w:r>
      <w:rPr>
        <w:rFonts w:ascii="Calibri" w:hAnsi="Calibri"/>
        <w:sz w:val="22"/>
        <w:szCs w:val="22"/>
      </w:rPr>
      <w:t xml:space="preserve"> of </w:t>
    </w:r>
    <w:r>
      <w:rPr>
        <w:rFonts w:ascii="Calibri" w:hAnsi="Calibri"/>
        <w:b/>
        <w:sz w:val="22"/>
        <w:szCs w:val="22"/>
      </w:rPr>
      <w:fldChar w:fldCharType="begin"/>
    </w:r>
    <w:r>
      <w:rPr>
        <w:rFonts w:ascii="Calibri" w:hAnsi="Calibri"/>
        <w:b/>
        <w:sz w:val="22"/>
        <w:szCs w:val="22"/>
      </w:rPr>
      <w:instrText xml:space="preserve"> NUMPAGES  \* Arabic  \* MERGEFORMAT </w:instrText>
    </w:r>
    <w:r>
      <w:rPr>
        <w:rFonts w:ascii="Calibri" w:hAnsi="Calibri"/>
        <w:b/>
        <w:sz w:val="22"/>
        <w:szCs w:val="22"/>
      </w:rPr>
      <w:fldChar w:fldCharType="separate"/>
    </w:r>
    <w:r>
      <w:rPr>
        <w:rFonts w:ascii="Calibri" w:hAnsi="Calibri"/>
        <w:b/>
        <w:sz w:val="22"/>
        <w:szCs w:val="22"/>
      </w:rPr>
      <w:t>5</w:t>
    </w:r>
    <w:r>
      <w:rPr>
        <w:rFonts w:ascii="Calibri" w:hAnsi="Calibri"/>
        <w:b/>
        <w:sz w:val="22"/>
        <w:szCs w:val="22"/>
      </w:rPr>
      <w:fldChar w:fldCharType="end"/>
    </w:r>
    <w:r>
      <w:rPr>
        <w:rFonts w:ascii="Calibri" w:hAnsi="Calibri"/>
        <w:sz w:val="22"/>
        <w:szCs w:val="22"/>
      </w:rPr>
      <w:tab/>
      <w:t>Effective Date: 15/01/2023</w:t>
    </w:r>
    <w:r>
      <w:rPr>
        <w:rFonts w:ascii="Calibri" w:hAnsi="Calibri"/>
        <w:sz w:val="22"/>
        <w:szCs w:val="22"/>
      </w:rPr>
      <w:tab/>
      <w:t>Version #: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3E0BD" w14:textId="77777777" w:rsidR="00E86A18" w:rsidRDefault="00E86A18">
      <w:r>
        <w:separator/>
      </w:r>
    </w:p>
  </w:footnote>
  <w:footnote w:type="continuationSeparator" w:id="0">
    <w:p w14:paraId="664428E6" w14:textId="77777777" w:rsidR="00E86A18" w:rsidRDefault="00E86A18">
      <w:r>
        <w:continuationSeparator/>
      </w:r>
    </w:p>
  </w:footnote>
  <w:footnote w:type="continuationNotice" w:id="1">
    <w:p w14:paraId="7C03A84F" w14:textId="77777777" w:rsidR="00E86A18" w:rsidRDefault="00E86A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A270" w14:textId="77777777" w:rsidR="00804AF0" w:rsidRDefault="009A47D6">
    <w:pPr>
      <w:pStyle w:val="Header"/>
      <w:tabs>
        <w:tab w:val="left" w:pos="3420"/>
        <w:tab w:val="right" w:pos="8640"/>
      </w:tabs>
    </w:pPr>
    <w:r>
      <w:tab/>
    </w:r>
    <w:r>
      <w:tab/>
    </w:r>
    <w:r>
      <w:tab/>
    </w:r>
    <w:r>
      <w:rPr>
        <w:noProof/>
      </w:rPr>
      <w:drawing>
        <wp:inline distT="0" distB="0" distL="114300" distR="114300" wp14:anchorId="3DB2D01F" wp14:editId="0FE70E0E">
          <wp:extent cx="304800" cy="5943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1"/>
                  <a:srcRect b="15446"/>
                  <a:stretch>
                    <a:fillRect/>
                  </a:stretch>
                </pic:blipFill>
                <pic:spPr>
                  <a:xfrm>
                    <a:off x="0" y="0"/>
                    <a:ext cx="304800" cy="594360"/>
                  </a:xfrm>
                  <a:prstGeom prst="rect">
                    <a:avLst/>
                  </a:prstGeom>
                  <a:noFill/>
                  <a:ln>
                    <a:noFill/>
                  </a:ln>
                </pic:spPr>
              </pic:pic>
            </a:graphicData>
          </a:graphic>
        </wp:inline>
      </w:drawing>
    </w:r>
  </w:p>
  <w:p w14:paraId="40795BB5" w14:textId="77777777" w:rsidR="00804AF0" w:rsidRDefault="00804AF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1DC7" w14:textId="77777777" w:rsidR="00804AF0" w:rsidRDefault="009A47D6">
    <w:pPr>
      <w:pStyle w:val="Header"/>
      <w:jc w:val="right"/>
    </w:pPr>
    <w:r>
      <w:rPr>
        <w:noProof/>
      </w:rPr>
      <w:drawing>
        <wp:inline distT="0" distB="0" distL="114300" distR="114300" wp14:anchorId="2E12EBEE" wp14:editId="26F1CFD2">
          <wp:extent cx="304800" cy="702945"/>
          <wp:effectExtent l="0" t="0" r="0" b="1333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1"/>
                  <a:stretch>
                    <a:fillRect/>
                  </a:stretch>
                </pic:blipFill>
                <pic:spPr>
                  <a:xfrm>
                    <a:off x="0" y="0"/>
                    <a:ext cx="304800" cy="702945"/>
                  </a:xfrm>
                  <a:prstGeom prst="rect">
                    <a:avLst/>
                  </a:prstGeom>
                  <a:noFill/>
                  <a:ln>
                    <a:noFill/>
                  </a:ln>
                </pic:spPr>
              </pic:pic>
            </a:graphicData>
          </a:graphic>
        </wp:inline>
      </w:drawing>
    </w:r>
  </w:p>
  <w:p w14:paraId="1703312A" w14:textId="77777777" w:rsidR="00804AF0" w:rsidRDefault="00804A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766EC2"/>
    <w:multiLevelType w:val="multilevel"/>
    <w:tmpl w:val="89766EC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91510D88"/>
    <w:multiLevelType w:val="multilevel"/>
    <w:tmpl w:val="91510D88"/>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2" w15:restartNumberingAfterBreak="0">
    <w:nsid w:val="9B078187"/>
    <w:multiLevelType w:val="multilevel"/>
    <w:tmpl w:val="9B078187"/>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3" w15:restartNumberingAfterBreak="0">
    <w:nsid w:val="9B5F61D0"/>
    <w:multiLevelType w:val="multilevel"/>
    <w:tmpl w:val="9B5F61D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A2079BE7"/>
    <w:multiLevelType w:val="multilevel"/>
    <w:tmpl w:val="A2079BE7"/>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5" w15:restartNumberingAfterBreak="0">
    <w:nsid w:val="B13FBDF9"/>
    <w:multiLevelType w:val="multilevel"/>
    <w:tmpl w:val="B13FBDF9"/>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6" w15:restartNumberingAfterBreak="0">
    <w:nsid w:val="B1D586E1"/>
    <w:multiLevelType w:val="multilevel"/>
    <w:tmpl w:val="B1D586E1"/>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7" w15:restartNumberingAfterBreak="0">
    <w:nsid w:val="B9E5B884"/>
    <w:multiLevelType w:val="multilevel"/>
    <w:tmpl w:val="B9E5B884"/>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8" w15:restartNumberingAfterBreak="0">
    <w:nsid w:val="C6971E4A"/>
    <w:multiLevelType w:val="multilevel"/>
    <w:tmpl w:val="C6971E4A"/>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9" w15:restartNumberingAfterBreak="0">
    <w:nsid w:val="DBE7F6E3"/>
    <w:multiLevelType w:val="multilevel"/>
    <w:tmpl w:val="DBE7F6E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E2076940"/>
    <w:multiLevelType w:val="multilevel"/>
    <w:tmpl w:val="E2076940"/>
    <w:lvl w:ilvl="0">
      <w:start w:val="1"/>
      <w:numFmt w:val="upperRoman"/>
      <w:lvlText w:val="%1."/>
      <w:lvlJc w:val="righ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1" w15:restartNumberingAfterBreak="0">
    <w:nsid w:val="EE4BBD97"/>
    <w:multiLevelType w:val="multilevel"/>
    <w:tmpl w:val="EE4BBD97"/>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12" w15:restartNumberingAfterBreak="0">
    <w:nsid w:val="EFE4E8CA"/>
    <w:multiLevelType w:val="multilevel"/>
    <w:tmpl w:val="EFE4E8CA"/>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13" w15:restartNumberingAfterBreak="0">
    <w:nsid w:val="008D5A05"/>
    <w:multiLevelType w:val="multilevel"/>
    <w:tmpl w:val="008D5A05"/>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14" w15:restartNumberingAfterBreak="0">
    <w:nsid w:val="038B6EFA"/>
    <w:multiLevelType w:val="multilevel"/>
    <w:tmpl w:val="038B6EF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74770D6"/>
    <w:multiLevelType w:val="multilevel"/>
    <w:tmpl w:val="074770D6"/>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4D7C11"/>
    <w:multiLevelType w:val="multilevel"/>
    <w:tmpl w:val="104D7C11"/>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17" w15:restartNumberingAfterBreak="0">
    <w:nsid w:val="120617ED"/>
    <w:multiLevelType w:val="multilevel"/>
    <w:tmpl w:val="120617ED"/>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18" w15:restartNumberingAfterBreak="0">
    <w:nsid w:val="17CF0A17"/>
    <w:multiLevelType w:val="multilevel"/>
    <w:tmpl w:val="17CF0A17"/>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1A350F45"/>
    <w:multiLevelType w:val="multilevel"/>
    <w:tmpl w:val="1A350F45"/>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20" w15:restartNumberingAfterBreak="0">
    <w:nsid w:val="218FBECA"/>
    <w:multiLevelType w:val="multilevel"/>
    <w:tmpl w:val="218FBEC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22BB39E7"/>
    <w:multiLevelType w:val="multilevel"/>
    <w:tmpl w:val="22BB39E7"/>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22" w15:restartNumberingAfterBreak="0">
    <w:nsid w:val="24F34A1D"/>
    <w:multiLevelType w:val="multilevel"/>
    <w:tmpl w:val="24F34A1D"/>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267334BF"/>
    <w:multiLevelType w:val="multilevel"/>
    <w:tmpl w:val="267334B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26F41043"/>
    <w:multiLevelType w:val="multilevel"/>
    <w:tmpl w:val="26F4104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7425858"/>
    <w:multiLevelType w:val="multilevel"/>
    <w:tmpl w:val="27425858"/>
    <w:lvl w:ilvl="0">
      <w:start w:val="1"/>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27F60F06"/>
    <w:multiLevelType w:val="multilevel"/>
    <w:tmpl w:val="27F60F06"/>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27" w15:restartNumberingAfterBreak="0">
    <w:nsid w:val="30D772B1"/>
    <w:multiLevelType w:val="multilevel"/>
    <w:tmpl w:val="30D772B1"/>
    <w:lvl w:ilvl="0">
      <w:start w:val="1"/>
      <w:numFmt w:val="upp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8" w15:restartNumberingAfterBreak="0">
    <w:nsid w:val="32C14932"/>
    <w:multiLevelType w:val="multilevel"/>
    <w:tmpl w:val="32C14932"/>
    <w:lvl w:ilvl="0">
      <w:start w:val="1"/>
      <w:numFmt w:val="bullet"/>
      <w:pStyle w:val="BulletedLis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15:restartNumberingAfterBreak="0">
    <w:nsid w:val="339938FF"/>
    <w:multiLevelType w:val="multilevel"/>
    <w:tmpl w:val="339938FF"/>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3618660A"/>
    <w:multiLevelType w:val="multilevel"/>
    <w:tmpl w:val="3618660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1" w15:restartNumberingAfterBreak="0">
    <w:nsid w:val="45516815"/>
    <w:multiLevelType w:val="multilevel"/>
    <w:tmpl w:val="45516815"/>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49B8683E"/>
    <w:multiLevelType w:val="multilevel"/>
    <w:tmpl w:val="49B8683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4CD88648"/>
    <w:multiLevelType w:val="multilevel"/>
    <w:tmpl w:val="4CD88648"/>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48C96B2"/>
    <w:multiLevelType w:val="singleLevel"/>
    <w:tmpl w:val="548C96B2"/>
    <w:lvl w:ilvl="0">
      <w:start w:val="1"/>
      <w:numFmt w:val="decimal"/>
      <w:lvlText w:val="%1."/>
      <w:lvlJc w:val="left"/>
      <w:pPr>
        <w:ind w:left="425" w:hanging="425"/>
      </w:pPr>
      <w:rPr>
        <w:rFonts w:hint="default"/>
        <w:b w:val="0"/>
        <w:bCs w:val="0"/>
      </w:rPr>
    </w:lvl>
  </w:abstractNum>
  <w:abstractNum w:abstractNumId="35" w15:restartNumberingAfterBreak="0">
    <w:nsid w:val="57B70063"/>
    <w:multiLevelType w:val="multilevel"/>
    <w:tmpl w:val="57B70063"/>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36" w15:restartNumberingAfterBreak="0">
    <w:nsid w:val="5A3578EA"/>
    <w:multiLevelType w:val="multilevel"/>
    <w:tmpl w:val="5A3578E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2E4F8E2"/>
    <w:multiLevelType w:val="multilevel"/>
    <w:tmpl w:val="62E4F8E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6CE2BEA"/>
    <w:multiLevelType w:val="multilevel"/>
    <w:tmpl w:val="66CE2BEA"/>
    <w:lvl w:ilvl="0">
      <w:start w:val="1"/>
      <w:numFmt w:val="lowerRoman"/>
      <w:lvlText w:val="%1."/>
      <w:lvlJc w:val="left"/>
      <w:pPr>
        <w:tabs>
          <w:tab w:val="left" w:pos="720"/>
        </w:tabs>
        <w:ind w:left="720" w:hanging="360"/>
      </w:pPr>
      <w:rPr>
        <w:rFonts w:ascii="Calibri" w:eastAsia="Times New Roman" w:hAnsi="Calibri" w:cs="Calibri"/>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67876B4C"/>
    <w:multiLevelType w:val="multilevel"/>
    <w:tmpl w:val="67876B4C"/>
    <w:lvl w:ilvl="0">
      <w:start w:val="2"/>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40" w15:restartNumberingAfterBreak="0">
    <w:nsid w:val="6DD26715"/>
    <w:multiLevelType w:val="multilevel"/>
    <w:tmpl w:val="6DD26715"/>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6EEAB894"/>
    <w:multiLevelType w:val="multilevel"/>
    <w:tmpl w:val="6EEAB894"/>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7FBEF93"/>
    <w:multiLevelType w:val="multilevel"/>
    <w:tmpl w:val="77FBEF93"/>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43" w15:restartNumberingAfterBreak="0">
    <w:nsid w:val="7F41269C"/>
    <w:multiLevelType w:val="multilevel"/>
    <w:tmpl w:val="7F41269C"/>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44" w15:restartNumberingAfterBreak="0">
    <w:nsid w:val="7F89E752"/>
    <w:multiLevelType w:val="multilevel"/>
    <w:tmpl w:val="7F89E75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04812243">
    <w:abstractNumId w:val="28"/>
  </w:num>
  <w:num w:numId="2" w16cid:durableId="1936131177">
    <w:abstractNumId w:val="10"/>
  </w:num>
  <w:num w:numId="3" w16cid:durableId="287859078">
    <w:abstractNumId w:val="36"/>
  </w:num>
  <w:num w:numId="4" w16cid:durableId="1114054187">
    <w:abstractNumId w:val="34"/>
  </w:num>
  <w:num w:numId="5" w16cid:durableId="1173837223">
    <w:abstractNumId w:val="9"/>
  </w:num>
  <w:num w:numId="6" w16cid:durableId="183324645">
    <w:abstractNumId w:val="14"/>
  </w:num>
  <w:num w:numId="7" w16cid:durableId="1926648953">
    <w:abstractNumId w:val="37"/>
  </w:num>
  <w:num w:numId="8" w16cid:durableId="750464806">
    <w:abstractNumId w:val="31"/>
  </w:num>
  <w:num w:numId="9" w16cid:durableId="1579947471">
    <w:abstractNumId w:val="15"/>
  </w:num>
  <w:num w:numId="10" w16cid:durableId="1030303951">
    <w:abstractNumId w:val="20"/>
  </w:num>
  <w:num w:numId="11" w16cid:durableId="1553811097">
    <w:abstractNumId w:val="23"/>
  </w:num>
  <w:num w:numId="12" w16cid:durableId="1681395474">
    <w:abstractNumId w:val="18"/>
  </w:num>
  <w:num w:numId="13" w16cid:durableId="525682298">
    <w:abstractNumId w:val="29"/>
  </w:num>
  <w:num w:numId="14" w16cid:durableId="219174759">
    <w:abstractNumId w:val="0"/>
  </w:num>
  <w:num w:numId="15" w16cid:durableId="1021396378">
    <w:abstractNumId w:val="38"/>
  </w:num>
  <w:num w:numId="16" w16cid:durableId="820004713">
    <w:abstractNumId w:val="33"/>
  </w:num>
  <w:num w:numId="17" w16cid:durableId="1601376793">
    <w:abstractNumId w:val="40"/>
  </w:num>
  <w:num w:numId="18" w16cid:durableId="1519927876">
    <w:abstractNumId w:val="22"/>
  </w:num>
  <w:num w:numId="19" w16cid:durableId="1484927253">
    <w:abstractNumId w:val="44"/>
  </w:num>
  <w:num w:numId="20" w16cid:durableId="1051149204">
    <w:abstractNumId w:val="32"/>
  </w:num>
  <w:num w:numId="21" w16cid:durableId="439104193">
    <w:abstractNumId w:val="41"/>
  </w:num>
  <w:num w:numId="22" w16cid:durableId="310135476">
    <w:abstractNumId w:val="3"/>
  </w:num>
  <w:num w:numId="23" w16cid:durableId="1505628897">
    <w:abstractNumId w:val="42"/>
  </w:num>
  <w:num w:numId="24" w16cid:durableId="1515614274">
    <w:abstractNumId w:val="5"/>
  </w:num>
  <w:num w:numId="25" w16cid:durableId="1687438395">
    <w:abstractNumId w:val="7"/>
  </w:num>
  <w:num w:numId="26" w16cid:durableId="1154495512">
    <w:abstractNumId w:val="8"/>
  </w:num>
  <w:num w:numId="27" w16cid:durableId="1954358177">
    <w:abstractNumId w:val="6"/>
  </w:num>
  <w:num w:numId="28" w16cid:durableId="2111001114">
    <w:abstractNumId w:val="25"/>
  </w:num>
  <w:num w:numId="29" w16cid:durableId="2078043284">
    <w:abstractNumId w:val="12"/>
  </w:num>
  <w:num w:numId="30" w16cid:durableId="1505046605">
    <w:abstractNumId w:val="1"/>
  </w:num>
  <w:num w:numId="31" w16cid:durableId="856501531">
    <w:abstractNumId w:val="4"/>
  </w:num>
  <w:num w:numId="32" w16cid:durableId="1662929978">
    <w:abstractNumId w:val="2"/>
  </w:num>
  <w:num w:numId="33" w16cid:durableId="1351836868">
    <w:abstractNumId w:val="21"/>
  </w:num>
  <w:num w:numId="34" w16cid:durableId="1134182034">
    <w:abstractNumId w:val="35"/>
  </w:num>
  <w:num w:numId="35" w16cid:durableId="497426692">
    <w:abstractNumId w:val="26"/>
  </w:num>
  <w:num w:numId="36" w16cid:durableId="1086534672">
    <w:abstractNumId w:val="43"/>
  </w:num>
  <w:num w:numId="37" w16cid:durableId="400449645">
    <w:abstractNumId w:val="13"/>
  </w:num>
  <w:num w:numId="38" w16cid:durableId="1714773193">
    <w:abstractNumId w:val="19"/>
  </w:num>
  <w:num w:numId="39" w16cid:durableId="1558272853">
    <w:abstractNumId w:val="11"/>
  </w:num>
  <w:num w:numId="40" w16cid:durableId="1095631619">
    <w:abstractNumId w:val="17"/>
  </w:num>
  <w:num w:numId="41" w16cid:durableId="316150581">
    <w:abstractNumId w:val="24"/>
  </w:num>
  <w:num w:numId="42" w16cid:durableId="2072539788">
    <w:abstractNumId w:val="27"/>
  </w:num>
  <w:num w:numId="43" w16cid:durableId="2122920561">
    <w:abstractNumId w:val="16"/>
  </w:num>
  <w:num w:numId="44" w16cid:durableId="533614138">
    <w:abstractNumId w:val="39"/>
  </w:num>
  <w:num w:numId="45" w16cid:durableId="184274329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characterSpacingControl w:val="doNotCompress"/>
  <w:footnotePr>
    <w:footnote w:id="-1"/>
    <w:footnote w:id="0"/>
    <w:footnote w:id="1"/>
  </w:footnotePr>
  <w:endnotePr>
    <w:endnote w:id="-1"/>
    <w:endnote w:id="0"/>
    <w:endnote w:id="1"/>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W2MDI2tDQ0NrAwMrVQ0lEKTi0uzszPAykwrAUAyNC9RywAAAA="/>
  </w:docVars>
  <w:rsids>
    <w:rsidRoot w:val="006A295A"/>
    <w:rsid w:val="00010EB5"/>
    <w:rsid w:val="000120BB"/>
    <w:rsid w:val="00022E58"/>
    <w:rsid w:val="00023C04"/>
    <w:rsid w:val="00030286"/>
    <w:rsid w:val="00034076"/>
    <w:rsid w:val="00046540"/>
    <w:rsid w:val="00052072"/>
    <w:rsid w:val="0005529A"/>
    <w:rsid w:val="00057139"/>
    <w:rsid w:val="000657DE"/>
    <w:rsid w:val="0006617B"/>
    <w:rsid w:val="00066C36"/>
    <w:rsid w:val="00070F17"/>
    <w:rsid w:val="00071401"/>
    <w:rsid w:val="000717BE"/>
    <w:rsid w:val="0007215E"/>
    <w:rsid w:val="00077DAE"/>
    <w:rsid w:val="00080F58"/>
    <w:rsid w:val="00087399"/>
    <w:rsid w:val="00093DD2"/>
    <w:rsid w:val="000A158C"/>
    <w:rsid w:val="000B6527"/>
    <w:rsid w:val="000B7377"/>
    <w:rsid w:val="000C0D5B"/>
    <w:rsid w:val="000C1AC3"/>
    <w:rsid w:val="000C29DA"/>
    <w:rsid w:val="000D0AD2"/>
    <w:rsid w:val="000E6465"/>
    <w:rsid w:val="000E73F7"/>
    <w:rsid w:val="001046BC"/>
    <w:rsid w:val="0010593D"/>
    <w:rsid w:val="00112DA1"/>
    <w:rsid w:val="00114AF8"/>
    <w:rsid w:val="00114C91"/>
    <w:rsid w:val="00115D41"/>
    <w:rsid w:val="00125DC3"/>
    <w:rsid w:val="00134A3A"/>
    <w:rsid w:val="00136E54"/>
    <w:rsid w:val="00142977"/>
    <w:rsid w:val="001469CA"/>
    <w:rsid w:val="00155A49"/>
    <w:rsid w:val="00160BC9"/>
    <w:rsid w:val="00163989"/>
    <w:rsid w:val="00163A7D"/>
    <w:rsid w:val="00165A30"/>
    <w:rsid w:val="00167E0F"/>
    <w:rsid w:val="00170B53"/>
    <w:rsid w:val="00171714"/>
    <w:rsid w:val="001721EA"/>
    <w:rsid w:val="00172E72"/>
    <w:rsid w:val="001743B4"/>
    <w:rsid w:val="00176321"/>
    <w:rsid w:val="001769F5"/>
    <w:rsid w:val="00177175"/>
    <w:rsid w:val="00181EC5"/>
    <w:rsid w:val="00183D50"/>
    <w:rsid w:val="00186248"/>
    <w:rsid w:val="00192536"/>
    <w:rsid w:val="001A32B8"/>
    <w:rsid w:val="001B3029"/>
    <w:rsid w:val="001B463D"/>
    <w:rsid w:val="001C1137"/>
    <w:rsid w:val="001C3E54"/>
    <w:rsid w:val="001C455B"/>
    <w:rsid w:val="001C50D7"/>
    <w:rsid w:val="001C7148"/>
    <w:rsid w:val="001D1A3A"/>
    <w:rsid w:val="001D1B37"/>
    <w:rsid w:val="001D4424"/>
    <w:rsid w:val="001E3835"/>
    <w:rsid w:val="001E4A29"/>
    <w:rsid w:val="001E4B8F"/>
    <w:rsid w:val="001E677A"/>
    <w:rsid w:val="001E708B"/>
    <w:rsid w:val="001E759C"/>
    <w:rsid w:val="001E7DCE"/>
    <w:rsid w:val="001F0BE9"/>
    <w:rsid w:val="001F1675"/>
    <w:rsid w:val="001F506D"/>
    <w:rsid w:val="001F6445"/>
    <w:rsid w:val="002046C5"/>
    <w:rsid w:val="0020614B"/>
    <w:rsid w:val="0020638C"/>
    <w:rsid w:val="00207B98"/>
    <w:rsid w:val="0021534E"/>
    <w:rsid w:val="002233B1"/>
    <w:rsid w:val="00225161"/>
    <w:rsid w:val="00227910"/>
    <w:rsid w:val="00231002"/>
    <w:rsid w:val="002326C7"/>
    <w:rsid w:val="00232A7A"/>
    <w:rsid w:val="002410BE"/>
    <w:rsid w:val="00242E2D"/>
    <w:rsid w:val="00250388"/>
    <w:rsid w:val="00262C6D"/>
    <w:rsid w:val="00265B94"/>
    <w:rsid w:val="002701FD"/>
    <w:rsid w:val="00270498"/>
    <w:rsid w:val="00274531"/>
    <w:rsid w:val="0027527F"/>
    <w:rsid w:val="002754E9"/>
    <w:rsid w:val="002815D0"/>
    <w:rsid w:val="0028237E"/>
    <w:rsid w:val="00283F94"/>
    <w:rsid w:val="00285D35"/>
    <w:rsid w:val="00290CC6"/>
    <w:rsid w:val="00291380"/>
    <w:rsid w:val="00292140"/>
    <w:rsid w:val="002949FE"/>
    <w:rsid w:val="00295AE7"/>
    <w:rsid w:val="002A14B0"/>
    <w:rsid w:val="002A15C7"/>
    <w:rsid w:val="002B11EC"/>
    <w:rsid w:val="002B1970"/>
    <w:rsid w:val="002B1FB6"/>
    <w:rsid w:val="002B5C83"/>
    <w:rsid w:val="002C2EF8"/>
    <w:rsid w:val="002D7EAF"/>
    <w:rsid w:val="002E2778"/>
    <w:rsid w:val="002E46A6"/>
    <w:rsid w:val="002E5216"/>
    <w:rsid w:val="002F2173"/>
    <w:rsid w:val="00300BC6"/>
    <w:rsid w:val="003011E2"/>
    <w:rsid w:val="00303C38"/>
    <w:rsid w:val="00331498"/>
    <w:rsid w:val="003317F3"/>
    <w:rsid w:val="00332B54"/>
    <w:rsid w:val="00332CE9"/>
    <w:rsid w:val="003349C0"/>
    <w:rsid w:val="0034222D"/>
    <w:rsid w:val="003534DD"/>
    <w:rsid w:val="003568FB"/>
    <w:rsid w:val="00361BF7"/>
    <w:rsid w:val="00364BB6"/>
    <w:rsid w:val="0036664E"/>
    <w:rsid w:val="00366E21"/>
    <w:rsid w:val="003756A2"/>
    <w:rsid w:val="00377E46"/>
    <w:rsid w:val="00377F95"/>
    <w:rsid w:val="0038069F"/>
    <w:rsid w:val="00383C9B"/>
    <w:rsid w:val="003849F7"/>
    <w:rsid w:val="003906AC"/>
    <w:rsid w:val="00393623"/>
    <w:rsid w:val="003966EB"/>
    <w:rsid w:val="003A575F"/>
    <w:rsid w:val="003B281E"/>
    <w:rsid w:val="003B6192"/>
    <w:rsid w:val="003C151C"/>
    <w:rsid w:val="003D19C7"/>
    <w:rsid w:val="003E3152"/>
    <w:rsid w:val="003E64D1"/>
    <w:rsid w:val="003F0AF5"/>
    <w:rsid w:val="003F1857"/>
    <w:rsid w:val="003F76B6"/>
    <w:rsid w:val="00400042"/>
    <w:rsid w:val="0040275E"/>
    <w:rsid w:val="0040593F"/>
    <w:rsid w:val="004213F5"/>
    <w:rsid w:val="004218DB"/>
    <w:rsid w:val="00423B8E"/>
    <w:rsid w:val="00425744"/>
    <w:rsid w:val="00425C8A"/>
    <w:rsid w:val="004345B5"/>
    <w:rsid w:val="0044147F"/>
    <w:rsid w:val="00444E57"/>
    <w:rsid w:val="00445CF8"/>
    <w:rsid w:val="00447701"/>
    <w:rsid w:val="00450A05"/>
    <w:rsid w:val="004517BE"/>
    <w:rsid w:val="004625C4"/>
    <w:rsid w:val="004639F2"/>
    <w:rsid w:val="00467B57"/>
    <w:rsid w:val="00471784"/>
    <w:rsid w:val="004750BC"/>
    <w:rsid w:val="004761CC"/>
    <w:rsid w:val="00480984"/>
    <w:rsid w:val="00487732"/>
    <w:rsid w:val="00497FD1"/>
    <w:rsid w:val="004B1AD1"/>
    <w:rsid w:val="004B775E"/>
    <w:rsid w:val="004B7DEB"/>
    <w:rsid w:val="004C0912"/>
    <w:rsid w:val="004C2066"/>
    <w:rsid w:val="004D200F"/>
    <w:rsid w:val="004E5DF7"/>
    <w:rsid w:val="004E5F3B"/>
    <w:rsid w:val="004E7FB0"/>
    <w:rsid w:val="004F48B2"/>
    <w:rsid w:val="00502019"/>
    <w:rsid w:val="00510B05"/>
    <w:rsid w:val="00516C3E"/>
    <w:rsid w:val="00520008"/>
    <w:rsid w:val="005204FF"/>
    <w:rsid w:val="0052702F"/>
    <w:rsid w:val="00536466"/>
    <w:rsid w:val="0054066B"/>
    <w:rsid w:val="00541DC0"/>
    <w:rsid w:val="00550F61"/>
    <w:rsid w:val="0055471B"/>
    <w:rsid w:val="00561AE4"/>
    <w:rsid w:val="00563888"/>
    <w:rsid w:val="00564056"/>
    <w:rsid w:val="00564902"/>
    <w:rsid w:val="00565534"/>
    <w:rsid w:val="00565B0F"/>
    <w:rsid w:val="00566A09"/>
    <w:rsid w:val="00575F41"/>
    <w:rsid w:val="005768C2"/>
    <w:rsid w:val="005806FC"/>
    <w:rsid w:val="005822CC"/>
    <w:rsid w:val="00583C2E"/>
    <w:rsid w:val="00585AEF"/>
    <w:rsid w:val="00587CCA"/>
    <w:rsid w:val="005938FD"/>
    <w:rsid w:val="005A1DF4"/>
    <w:rsid w:val="005A3339"/>
    <w:rsid w:val="005A766A"/>
    <w:rsid w:val="005B2C74"/>
    <w:rsid w:val="005B3DBD"/>
    <w:rsid w:val="005B4582"/>
    <w:rsid w:val="005B48A2"/>
    <w:rsid w:val="005B79B5"/>
    <w:rsid w:val="005C07F7"/>
    <w:rsid w:val="005C3C2C"/>
    <w:rsid w:val="005C3CB1"/>
    <w:rsid w:val="005C4836"/>
    <w:rsid w:val="005C50B9"/>
    <w:rsid w:val="005C6C01"/>
    <w:rsid w:val="005D00AA"/>
    <w:rsid w:val="005D6CE8"/>
    <w:rsid w:val="005F3029"/>
    <w:rsid w:val="005F5F45"/>
    <w:rsid w:val="005F5FE8"/>
    <w:rsid w:val="005F7A31"/>
    <w:rsid w:val="006058DD"/>
    <w:rsid w:val="00613891"/>
    <w:rsid w:val="006179D1"/>
    <w:rsid w:val="00620527"/>
    <w:rsid w:val="00622171"/>
    <w:rsid w:val="00622BF0"/>
    <w:rsid w:val="006238A4"/>
    <w:rsid w:val="006271E2"/>
    <w:rsid w:val="00636895"/>
    <w:rsid w:val="00636B8E"/>
    <w:rsid w:val="006410AB"/>
    <w:rsid w:val="006411DD"/>
    <w:rsid w:val="006416E4"/>
    <w:rsid w:val="006471E7"/>
    <w:rsid w:val="00650051"/>
    <w:rsid w:val="00655889"/>
    <w:rsid w:val="00660331"/>
    <w:rsid w:val="00672837"/>
    <w:rsid w:val="00675992"/>
    <w:rsid w:val="00684AD6"/>
    <w:rsid w:val="00685E79"/>
    <w:rsid w:val="00694A2E"/>
    <w:rsid w:val="0069724A"/>
    <w:rsid w:val="006976E9"/>
    <w:rsid w:val="006978A6"/>
    <w:rsid w:val="006A0A39"/>
    <w:rsid w:val="006A295A"/>
    <w:rsid w:val="006A33C0"/>
    <w:rsid w:val="006A6364"/>
    <w:rsid w:val="006A6D67"/>
    <w:rsid w:val="006A7479"/>
    <w:rsid w:val="006B0893"/>
    <w:rsid w:val="006B124D"/>
    <w:rsid w:val="006B6625"/>
    <w:rsid w:val="006C08CD"/>
    <w:rsid w:val="006C2D5C"/>
    <w:rsid w:val="006C5464"/>
    <w:rsid w:val="006C693C"/>
    <w:rsid w:val="006C6D74"/>
    <w:rsid w:val="006D12FF"/>
    <w:rsid w:val="006E0A9D"/>
    <w:rsid w:val="006E30F5"/>
    <w:rsid w:val="006E4674"/>
    <w:rsid w:val="006E59C6"/>
    <w:rsid w:val="006E7E06"/>
    <w:rsid w:val="006F0BD3"/>
    <w:rsid w:val="006F15C3"/>
    <w:rsid w:val="006F225D"/>
    <w:rsid w:val="00701D97"/>
    <w:rsid w:val="0070217D"/>
    <w:rsid w:val="00712703"/>
    <w:rsid w:val="00712A5B"/>
    <w:rsid w:val="00713ED2"/>
    <w:rsid w:val="00714CAC"/>
    <w:rsid w:val="007315BB"/>
    <w:rsid w:val="00733BE0"/>
    <w:rsid w:val="00740074"/>
    <w:rsid w:val="00745235"/>
    <w:rsid w:val="007467A3"/>
    <w:rsid w:val="00747549"/>
    <w:rsid w:val="00760D3F"/>
    <w:rsid w:val="00761023"/>
    <w:rsid w:val="00761AC6"/>
    <w:rsid w:val="007647E8"/>
    <w:rsid w:val="00772840"/>
    <w:rsid w:val="007731F3"/>
    <w:rsid w:val="007738D3"/>
    <w:rsid w:val="007771E2"/>
    <w:rsid w:val="00780AD9"/>
    <w:rsid w:val="00781D05"/>
    <w:rsid w:val="0078327E"/>
    <w:rsid w:val="00783B5E"/>
    <w:rsid w:val="00783C0F"/>
    <w:rsid w:val="00784806"/>
    <w:rsid w:val="0078627A"/>
    <w:rsid w:val="00786A10"/>
    <w:rsid w:val="00790A24"/>
    <w:rsid w:val="00795BF2"/>
    <w:rsid w:val="007A51E0"/>
    <w:rsid w:val="007A6589"/>
    <w:rsid w:val="007B10B6"/>
    <w:rsid w:val="007B2556"/>
    <w:rsid w:val="007B4408"/>
    <w:rsid w:val="007B6FA2"/>
    <w:rsid w:val="007C1DF2"/>
    <w:rsid w:val="007C73C6"/>
    <w:rsid w:val="007C7A80"/>
    <w:rsid w:val="007E00F1"/>
    <w:rsid w:val="007E2644"/>
    <w:rsid w:val="007E2BB4"/>
    <w:rsid w:val="007E3624"/>
    <w:rsid w:val="007E5FC7"/>
    <w:rsid w:val="007F3058"/>
    <w:rsid w:val="007F3369"/>
    <w:rsid w:val="008024B6"/>
    <w:rsid w:val="00802626"/>
    <w:rsid w:val="00802861"/>
    <w:rsid w:val="00804AF0"/>
    <w:rsid w:val="00804C55"/>
    <w:rsid w:val="0081081E"/>
    <w:rsid w:val="0082035D"/>
    <w:rsid w:val="008247FA"/>
    <w:rsid w:val="008502B1"/>
    <w:rsid w:val="008521A1"/>
    <w:rsid w:val="008603D8"/>
    <w:rsid w:val="00861069"/>
    <w:rsid w:val="008635F2"/>
    <w:rsid w:val="008652AF"/>
    <w:rsid w:val="00877812"/>
    <w:rsid w:val="00883C57"/>
    <w:rsid w:val="008937CB"/>
    <w:rsid w:val="0089690D"/>
    <w:rsid w:val="00897CE4"/>
    <w:rsid w:val="008A0EDA"/>
    <w:rsid w:val="008A593D"/>
    <w:rsid w:val="008B156E"/>
    <w:rsid w:val="008C181D"/>
    <w:rsid w:val="008D2900"/>
    <w:rsid w:val="008D301D"/>
    <w:rsid w:val="008D5AC8"/>
    <w:rsid w:val="008E2681"/>
    <w:rsid w:val="008E45CC"/>
    <w:rsid w:val="008E52BB"/>
    <w:rsid w:val="008E587B"/>
    <w:rsid w:val="008F27A5"/>
    <w:rsid w:val="00904429"/>
    <w:rsid w:val="0090695D"/>
    <w:rsid w:val="00913139"/>
    <w:rsid w:val="00914541"/>
    <w:rsid w:val="00922835"/>
    <w:rsid w:val="009257F6"/>
    <w:rsid w:val="00936B87"/>
    <w:rsid w:val="0094199A"/>
    <w:rsid w:val="00943C6A"/>
    <w:rsid w:val="00946E96"/>
    <w:rsid w:val="0095255E"/>
    <w:rsid w:val="00952A99"/>
    <w:rsid w:val="009542B7"/>
    <w:rsid w:val="00954C4C"/>
    <w:rsid w:val="00956154"/>
    <w:rsid w:val="0096338C"/>
    <w:rsid w:val="009634EF"/>
    <w:rsid w:val="00965AA3"/>
    <w:rsid w:val="00967367"/>
    <w:rsid w:val="0097048D"/>
    <w:rsid w:val="00971030"/>
    <w:rsid w:val="00971AC0"/>
    <w:rsid w:val="00974D85"/>
    <w:rsid w:val="00977BFC"/>
    <w:rsid w:val="00981431"/>
    <w:rsid w:val="00983BBA"/>
    <w:rsid w:val="00991C1F"/>
    <w:rsid w:val="00993505"/>
    <w:rsid w:val="009A3A04"/>
    <w:rsid w:val="009A47D6"/>
    <w:rsid w:val="009A6016"/>
    <w:rsid w:val="009B1709"/>
    <w:rsid w:val="009B18F0"/>
    <w:rsid w:val="009B5E4A"/>
    <w:rsid w:val="009B7BAC"/>
    <w:rsid w:val="009C0A72"/>
    <w:rsid w:val="009C11E6"/>
    <w:rsid w:val="009C3CAE"/>
    <w:rsid w:val="009D518D"/>
    <w:rsid w:val="009D610C"/>
    <w:rsid w:val="009D682F"/>
    <w:rsid w:val="009D6F2D"/>
    <w:rsid w:val="009E0B08"/>
    <w:rsid w:val="009F1AC1"/>
    <w:rsid w:val="009F36D8"/>
    <w:rsid w:val="009F67D8"/>
    <w:rsid w:val="00A037AB"/>
    <w:rsid w:val="00A037F9"/>
    <w:rsid w:val="00A107E4"/>
    <w:rsid w:val="00A14D36"/>
    <w:rsid w:val="00A23B8A"/>
    <w:rsid w:val="00A24DA0"/>
    <w:rsid w:val="00A25E02"/>
    <w:rsid w:val="00A322E6"/>
    <w:rsid w:val="00A328FB"/>
    <w:rsid w:val="00A33E69"/>
    <w:rsid w:val="00A36014"/>
    <w:rsid w:val="00A37DF6"/>
    <w:rsid w:val="00A40100"/>
    <w:rsid w:val="00A55258"/>
    <w:rsid w:val="00A64FA2"/>
    <w:rsid w:val="00A65DAD"/>
    <w:rsid w:val="00A73345"/>
    <w:rsid w:val="00A74393"/>
    <w:rsid w:val="00A74E39"/>
    <w:rsid w:val="00A8077F"/>
    <w:rsid w:val="00A80FAE"/>
    <w:rsid w:val="00A85A6C"/>
    <w:rsid w:val="00A94E3C"/>
    <w:rsid w:val="00AA1DA9"/>
    <w:rsid w:val="00AA1F89"/>
    <w:rsid w:val="00AA57D4"/>
    <w:rsid w:val="00AB5D2F"/>
    <w:rsid w:val="00AD4160"/>
    <w:rsid w:val="00AE27CB"/>
    <w:rsid w:val="00AE384A"/>
    <w:rsid w:val="00AE4A4A"/>
    <w:rsid w:val="00AF61D2"/>
    <w:rsid w:val="00AF71BB"/>
    <w:rsid w:val="00B00AF6"/>
    <w:rsid w:val="00B02C75"/>
    <w:rsid w:val="00B06437"/>
    <w:rsid w:val="00B07399"/>
    <w:rsid w:val="00B22E88"/>
    <w:rsid w:val="00B24900"/>
    <w:rsid w:val="00B25319"/>
    <w:rsid w:val="00B25859"/>
    <w:rsid w:val="00B25B8C"/>
    <w:rsid w:val="00B35655"/>
    <w:rsid w:val="00B530E6"/>
    <w:rsid w:val="00B53BB9"/>
    <w:rsid w:val="00B72534"/>
    <w:rsid w:val="00B73E2B"/>
    <w:rsid w:val="00B7701A"/>
    <w:rsid w:val="00B7744F"/>
    <w:rsid w:val="00B83F70"/>
    <w:rsid w:val="00B851A0"/>
    <w:rsid w:val="00B969A3"/>
    <w:rsid w:val="00B97313"/>
    <w:rsid w:val="00BA3507"/>
    <w:rsid w:val="00BA3DFC"/>
    <w:rsid w:val="00BA656B"/>
    <w:rsid w:val="00BB1B5D"/>
    <w:rsid w:val="00BC0250"/>
    <w:rsid w:val="00BC0A41"/>
    <w:rsid w:val="00BD2469"/>
    <w:rsid w:val="00BD7E23"/>
    <w:rsid w:val="00BE1901"/>
    <w:rsid w:val="00BE24A9"/>
    <w:rsid w:val="00BE3E4E"/>
    <w:rsid w:val="00BE427E"/>
    <w:rsid w:val="00BF5027"/>
    <w:rsid w:val="00BF5D43"/>
    <w:rsid w:val="00BF6509"/>
    <w:rsid w:val="00BF7CCF"/>
    <w:rsid w:val="00C072A2"/>
    <w:rsid w:val="00C122DC"/>
    <w:rsid w:val="00C14395"/>
    <w:rsid w:val="00C174A3"/>
    <w:rsid w:val="00C177E3"/>
    <w:rsid w:val="00C17B69"/>
    <w:rsid w:val="00C2292B"/>
    <w:rsid w:val="00C245D5"/>
    <w:rsid w:val="00C24E5A"/>
    <w:rsid w:val="00C2526E"/>
    <w:rsid w:val="00C26A7F"/>
    <w:rsid w:val="00C26B71"/>
    <w:rsid w:val="00C328F5"/>
    <w:rsid w:val="00C3315E"/>
    <w:rsid w:val="00C3401E"/>
    <w:rsid w:val="00C37F18"/>
    <w:rsid w:val="00C4389A"/>
    <w:rsid w:val="00C458AC"/>
    <w:rsid w:val="00C460A9"/>
    <w:rsid w:val="00C561A3"/>
    <w:rsid w:val="00C64BC7"/>
    <w:rsid w:val="00C7591E"/>
    <w:rsid w:val="00C8208C"/>
    <w:rsid w:val="00C83205"/>
    <w:rsid w:val="00C849A7"/>
    <w:rsid w:val="00C861F9"/>
    <w:rsid w:val="00C873E1"/>
    <w:rsid w:val="00C87BA6"/>
    <w:rsid w:val="00C921FB"/>
    <w:rsid w:val="00C9252D"/>
    <w:rsid w:val="00CA0A52"/>
    <w:rsid w:val="00CA651C"/>
    <w:rsid w:val="00CB583C"/>
    <w:rsid w:val="00CB5AD5"/>
    <w:rsid w:val="00CB605C"/>
    <w:rsid w:val="00CC097F"/>
    <w:rsid w:val="00CD6566"/>
    <w:rsid w:val="00CD6A9C"/>
    <w:rsid w:val="00CE1D77"/>
    <w:rsid w:val="00CE3CA6"/>
    <w:rsid w:val="00CF3DED"/>
    <w:rsid w:val="00CF7076"/>
    <w:rsid w:val="00D03003"/>
    <w:rsid w:val="00D12DD9"/>
    <w:rsid w:val="00D130C4"/>
    <w:rsid w:val="00D14D4C"/>
    <w:rsid w:val="00D22F0B"/>
    <w:rsid w:val="00D255C2"/>
    <w:rsid w:val="00D319E6"/>
    <w:rsid w:val="00D37DA2"/>
    <w:rsid w:val="00D40C92"/>
    <w:rsid w:val="00D4298B"/>
    <w:rsid w:val="00D458EF"/>
    <w:rsid w:val="00D46637"/>
    <w:rsid w:val="00D47118"/>
    <w:rsid w:val="00D474CF"/>
    <w:rsid w:val="00D50566"/>
    <w:rsid w:val="00D659D0"/>
    <w:rsid w:val="00D6741F"/>
    <w:rsid w:val="00D7205E"/>
    <w:rsid w:val="00D74C95"/>
    <w:rsid w:val="00D74F7F"/>
    <w:rsid w:val="00D8081D"/>
    <w:rsid w:val="00D83392"/>
    <w:rsid w:val="00D83838"/>
    <w:rsid w:val="00D85783"/>
    <w:rsid w:val="00D85CA0"/>
    <w:rsid w:val="00D85F61"/>
    <w:rsid w:val="00D87FAD"/>
    <w:rsid w:val="00D905FA"/>
    <w:rsid w:val="00D913C4"/>
    <w:rsid w:val="00D957DD"/>
    <w:rsid w:val="00DA35D2"/>
    <w:rsid w:val="00DA47DA"/>
    <w:rsid w:val="00DA5488"/>
    <w:rsid w:val="00DB1BBD"/>
    <w:rsid w:val="00DB7C92"/>
    <w:rsid w:val="00DD2528"/>
    <w:rsid w:val="00DD4CA3"/>
    <w:rsid w:val="00DD5909"/>
    <w:rsid w:val="00DE0E71"/>
    <w:rsid w:val="00DE445D"/>
    <w:rsid w:val="00DF330D"/>
    <w:rsid w:val="00DF4E0F"/>
    <w:rsid w:val="00E030C6"/>
    <w:rsid w:val="00E07A68"/>
    <w:rsid w:val="00E07CA2"/>
    <w:rsid w:val="00E1127F"/>
    <w:rsid w:val="00E1290B"/>
    <w:rsid w:val="00E144F4"/>
    <w:rsid w:val="00E23276"/>
    <w:rsid w:val="00E3217E"/>
    <w:rsid w:val="00E43141"/>
    <w:rsid w:val="00E516D2"/>
    <w:rsid w:val="00E51F67"/>
    <w:rsid w:val="00E52F68"/>
    <w:rsid w:val="00E5323B"/>
    <w:rsid w:val="00E54C5D"/>
    <w:rsid w:val="00E574F6"/>
    <w:rsid w:val="00E65C3A"/>
    <w:rsid w:val="00E66333"/>
    <w:rsid w:val="00E74333"/>
    <w:rsid w:val="00E81508"/>
    <w:rsid w:val="00E81D74"/>
    <w:rsid w:val="00E86A18"/>
    <w:rsid w:val="00E87877"/>
    <w:rsid w:val="00E87E12"/>
    <w:rsid w:val="00E93261"/>
    <w:rsid w:val="00E9424E"/>
    <w:rsid w:val="00E97187"/>
    <w:rsid w:val="00EC1B0F"/>
    <w:rsid w:val="00EC1BFE"/>
    <w:rsid w:val="00EC50A3"/>
    <w:rsid w:val="00EC6344"/>
    <w:rsid w:val="00ED11DE"/>
    <w:rsid w:val="00ED5882"/>
    <w:rsid w:val="00EE2B1C"/>
    <w:rsid w:val="00EE47CF"/>
    <w:rsid w:val="00EE7B9A"/>
    <w:rsid w:val="00EF0CAC"/>
    <w:rsid w:val="00EF551B"/>
    <w:rsid w:val="00EF6A39"/>
    <w:rsid w:val="00EF70D6"/>
    <w:rsid w:val="00F04B82"/>
    <w:rsid w:val="00F06313"/>
    <w:rsid w:val="00F102D1"/>
    <w:rsid w:val="00F15EE9"/>
    <w:rsid w:val="00F16787"/>
    <w:rsid w:val="00F2055F"/>
    <w:rsid w:val="00F27C59"/>
    <w:rsid w:val="00F41F60"/>
    <w:rsid w:val="00F466AB"/>
    <w:rsid w:val="00F472AC"/>
    <w:rsid w:val="00F47310"/>
    <w:rsid w:val="00F47388"/>
    <w:rsid w:val="00F51291"/>
    <w:rsid w:val="00F52937"/>
    <w:rsid w:val="00F56943"/>
    <w:rsid w:val="00F61891"/>
    <w:rsid w:val="00F6715B"/>
    <w:rsid w:val="00F732E2"/>
    <w:rsid w:val="00F73C96"/>
    <w:rsid w:val="00F76F74"/>
    <w:rsid w:val="00F80B8E"/>
    <w:rsid w:val="00F820D3"/>
    <w:rsid w:val="00F82736"/>
    <w:rsid w:val="00F82AF9"/>
    <w:rsid w:val="00F84FF0"/>
    <w:rsid w:val="00F87C63"/>
    <w:rsid w:val="00F948AE"/>
    <w:rsid w:val="00F95E70"/>
    <w:rsid w:val="00F97E3B"/>
    <w:rsid w:val="00FC6492"/>
    <w:rsid w:val="00FC7CF7"/>
    <w:rsid w:val="00FD0A2F"/>
    <w:rsid w:val="00FE0939"/>
    <w:rsid w:val="00FE1A0A"/>
    <w:rsid w:val="00FE78B0"/>
    <w:rsid w:val="00FF3899"/>
    <w:rsid w:val="00FF3C53"/>
    <w:rsid w:val="00FF41FE"/>
    <w:rsid w:val="00FF44F1"/>
    <w:rsid w:val="00FF5D33"/>
    <w:rsid w:val="00FF76E4"/>
    <w:rsid w:val="016072AF"/>
    <w:rsid w:val="020925B8"/>
    <w:rsid w:val="02D1729F"/>
    <w:rsid w:val="04043713"/>
    <w:rsid w:val="055F25EE"/>
    <w:rsid w:val="083579C3"/>
    <w:rsid w:val="0CC67C78"/>
    <w:rsid w:val="0DB97A45"/>
    <w:rsid w:val="0E4B5E5D"/>
    <w:rsid w:val="11CC0579"/>
    <w:rsid w:val="15355F42"/>
    <w:rsid w:val="154D2C97"/>
    <w:rsid w:val="1BD83FB4"/>
    <w:rsid w:val="263B75CA"/>
    <w:rsid w:val="27B817E0"/>
    <w:rsid w:val="28A1438C"/>
    <w:rsid w:val="2A62271D"/>
    <w:rsid w:val="30BE1091"/>
    <w:rsid w:val="340B19E8"/>
    <w:rsid w:val="34171BC6"/>
    <w:rsid w:val="398702CA"/>
    <w:rsid w:val="39FB1E66"/>
    <w:rsid w:val="3CF772CF"/>
    <w:rsid w:val="3D544396"/>
    <w:rsid w:val="3FD124CF"/>
    <w:rsid w:val="424402BA"/>
    <w:rsid w:val="439629ED"/>
    <w:rsid w:val="440D2D81"/>
    <w:rsid w:val="443C5186"/>
    <w:rsid w:val="45871F95"/>
    <w:rsid w:val="46F064EB"/>
    <w:rsid w:val="48EE0783"/>
    <w:rsid w:val="4D5F6476"/>
    <w:rsid w:val="512B5897"/>
    <w:rsid w:val="54161DFB"/>
    <w:rsid w:val="552C10A0"/>
    <w:rsid w:val="553A6DB1"/>
    <w:rsid w:val="568A3A61"/>
    <w:rsid w:val="5690758D"/>
    <w:rsid w:val="574C2248"/>
    <w:rsid w:val="57D52A60"/>
    <w:rsid w:val="58F93D73"/>
    <w:rsid w:val="5BFB6756"/>
    <w:rsid w:val="5C805F45"/>
    <w:rsid w:val="5D095155"/>
    <w:rsid w:val="5F227822"/>
    <w:rsid w:val="65CA6A8B"/>
    <w:rsid w:val="66C54162"/>
    <w:rsid w:val="679705A0"/>
    <w:rsid w:val="684A197A"/>
    <w:rsid w:val="69B74A07"/>
    <w:rsid w:val="6C391CC2"/>
    <w:rsid w:val="6C4F5FC2"/>
    <w:rsid w:val="72B83258"/>
    <w:rsid w:val="744B09C1"/>
    <w:rsid w:val="74C83AD0"/>
    <w:rsid w:val="75AC5DCB"/>
    <w:rsid w:val="76D32109"/>
    <w:rsid w:val="78CB0669"/>
    <w:rsid w:val="79F37723"/>
    <w:rsid w:val="7DCC3271"/>
    <w:rsid w:val="7E6D2B56"/>
    <w:rsid w:val="7EB64B61"/>
    <w:rsid w:val="7EBA645D"/>
    <w:rsid w:val="7EE9378C"/>
    <w:rsid w:val="7EED1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F51C3"/>
  <w15:docId w15:val="{62FF3620-1A04-404A-B045-1AA36619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qFormat/>
    <w:pPr>
      <w:keepNext/>
      <w:ind w:left="-720"/>
      <w:jc w:val="center"/>
      <w:outlineLvl w:val="0"/>
    </w:pPr>
    <w:rPr>
      <w:sz w:val="40"/>
    </w:rPr>
  </w:style>
  <w:style w:type="paragraph" w:styleId="Heading4">
    <w:name w:val="heading 4"/>
    <w:basedOn w:val="Normal"/>
    <w:next w:val="Normal"/>
    <w:link w:val="Heading4Char"/>
    <w:uiPriority w:val="9"/>
    <w:unhideWhenUsed/>
    <w:qFormat/>
    <w:pPr>
      <w:keepNext/>
      <w:keepLines/>
      <w:spacing w:before="200"/>
      <w:outlineLvl w:val="3"/>
    </w:pPr>
    <w:rPr>
      <w:rFonts w:ascii="Calibri" w:eastAsia="MS Gothic" w:hAnsi="Calibr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Lucida Grande" w:hAnsi="Lucida Grande" w:cs="Lucida Grande"/>
      <w:sz w:val="18"/>
      <w:szCs w:val="18"/>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character" w:styleId="FollowedHyperlink">
    <w:name w:val="FollowedHyperlink"/>
    <w:qFormat/>
    <w:rPr>
      <w:color w:val="3366FF"/>
      <w:u w:val="none"/>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rPr>
      <w:sz w:val="20"/>
      <w:szCs w:val="20"/>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uiPriority w:val="99"/>
    <w:qFormat/>
    <w:rPr>
      <w:color w:val="3366FF"/>
      <w:u w:val="none"/>
    </w:rPr>
  </w:style>
  <w:style w:type="paragraph" w:styleId="TOC1">
    <w:name w:val="toc 1"/>
    <w:basedOn w:val="Normal"/>
    <w:next w:val="Normal"/>
    <w:uiPriority w:val="39"/>
    <w:unhideWhenUsed/>
    <w:pPr>
      <w:spacing w:after="100"/>
    </w:pPr>
  </w:style>
  <w:style w:type="character" w:customStyle="1" w:styleId="Heading1Char">
    <w:name w:val="Heading 1 Char"/>
    <w:basedOn w:val="DefaultParagraphFont"/>
    <w:link w:val="Heading1"/>
    <w:qFormat/>
    <w:rPr>
      <w:rFonts w:ascii="Times New Roman" w:eastAsia="Times New Roman" w:hAnsi="Times New Roman" w:cs="Times New Roman"/>
      <w:sz w:val="40"/>
    </w:rPr>
  </w:style>
  <w:style w:type="character" w:customStyle="1" w:styleId="Heading4Char">
    <w:name w:val="Heading 4 Char"/>
    <w:basedOn w:val="DefaultParagraphFont"/>
    <w:link w:val="Heading4"/>
    <w:uiPriority w:val="9"/>
    <w:semiHidden/>
    <w:qFormat/>
    <w:rPr>
      <w:rFonts w:ascii="Calibri" w:eastAsia="MS Gothic" w:hAnsi="Calibri" w:cs="Times New Roman"/>
      <w:b/>
      <w:bCs/>
      <w:i/>
      <w:iCs/>
      <w:color w:val="4F81BD"/>
    </w:rPr>
  </w:style>
  <w:style w:type="character" w:customStyle="1" w:styleId="BalloonTextChar">
    <w:name w:val="Balloon Text Char"/>
    <w:basedOn w:val="DefaultParagraphFont"/>
    <w:link w:val="BalloonText"/>
    <w:uiPriority w:val="99"/>
    <w:semiHidden/>
    <w:qFormat/>
    <w:rPr>
      <w:rFonts w:ascii="Lucida Grande" w:eastAsia="Times New Roman" w:hAnsi="Lucida Grande" w:cs="Lucida Grande"/>
      <w:sz w:val="18"/>
      <w:szCs w:val="18"/>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paragraph" w:customStyle="1" w:styleId="Tabletext">
    <w:name w:val="Table text"/>
    <w:basedOn w:val="Normal"/>
    <w:qFormat/>
    <w:rPr>
      <w:rFonts w:ascii="Arial" w:hAnsi="Arial"/>
      <w:sz w:val="22"/>
      <w:szCs w:val="20"/>
      <w:lang w:val="en-GB"/>
    </w:rPr>
  </w:style>
  <w:style w:type="paragraph" w:customStyle="1" w:styleId="FrontPageTitle">
    <w:name w:val="Front Page Title"/>
    <w:basedOn w:val="Normal"/>
    <w:qFormat/>
    <w:pPr>
      <w:spacing w:before="180"/>
      <w:jc w:val="right"/>
    </w:pPr>
    <w:rPr>
      <w:rFonts w:cs="Arial"/>
      <w:b/>
      <w:bCs/>
      <w:sz w:val="40"/>
    </w:rPr>
  </w:style>
  <w:style w:type="paragraph" w:customStyle="1" w:styleId="FrontPageSubtitle">
    <w:name w:val="Front Page Subtitle"/>
    <w:basedOn w:val="FrontPageTitle"/>
    <w:qFormat/>
    <w:rPr>
      <w:sz w:val="32"/>
    </w:rPr>
  </w:style>
  <w:style w:type="character" w:customStyle="1" w:styleId="ms-rtethemeforecolor-2-01">
    <w:name w:val="ms-rtethemeforecolor-2-01"/>
    <w:qFormat/>
    <w:rPr>
      <w:color w:val="000000"/>
    </w:rPr>
  </w:style>
  <w:style w:type="paragraph" w:styleId="ListParagraph">
    <w:name w:val="List Paragraph"/>
    <w:basedOn w:val="Normal"/>
    <w:link w:val="ListParagraphChar"/>
    <w:uiPriority w:val="34"/>
    <w:qFormat/>
    <w:pPr>
      <w:contextualSpacing/>
    </w:pPr>
    <w:rPr>
      <w:rFonts w:ascii="Cambria" w:eastAsia="MS Mincho" w:hAnsi="Cambria"/>
    </w:rPr>
  </w:style>
  <w:style w:type="character" w:customStyle="1" w:styleId="ListParagraphChar">
    <w:name w:val="List Paragraph Char"/>
    <w:link w:val="ListParagraph"/>
    <w:uiPriority w:val="34"/>
    <w:qFormat/>
    <w:locked/>
  </w:style>
  <w:style w:type="paragraph" w:styleId="NoSpacing">
    <w:name w:val="No Spacing"/>
    <w:basedOn w:val="Normal"/>
    <w:uiPriority w:val="1"/>
    <w:qFormat/>
    <w:rPr>
      <w:rFonts w:ascii="Cambria" w:eastAsia="MS Mincho" w:hAnsi="Cambria"/>
    </w:rPr>
  </w:style>
  <w:style w:type="paragraph" w:customStyle="1" w:styleId="BulletedList">
    <w:name w:val="BulletedList"/>
    <w:basedOn w:val="NoSpacing"/>
    <w:qFormat/>
    <w:pPr>
      <w:numPr>
        <w:numId w:val="1"/>
      </w:numPr>
    </w:pPr>
  </w:style>
  <w:style w:type="paragraph" w:customStyle="1" w:styleId="Boldoneline">
    <w:name w:val="Boldoneline"/>
    <w:basedOn w:val="NoSpacing"/>
    <w:qFormat/>
    <w:pPr>
      <w:spacing w:before="360"/>
    </w:pPr>
    <w:rPr>
      <w:b/>
    </w:rPr>
  </w:style>
  <w:style w:type="character" w:styleId="PlaceholderText">
    <w:name w:val="Placeholder Text"/>
    <w:basedOn w:val="DefaultParagraphFont"/>
    <w:uiPriority w:val="99"/>
    <w:semiHidden/>
    <w:qFormat/>
    <w:rPr>
      <w:color w:val="808080"/>
    </w:rPr>
  </w:style>
  <w:style w:type="paragraph" w:customStyle="1" w:styleId="Revision1">
    <w:name w:val="Revision1"/>
    <w:uiPriority w:val="99"/>
    <w:semiHidden/>
    <w:qFormat/>
    <w:rPr>
      <w:rFonts w:ascii="Times New Roman" w:eastAsia="Times New Roman" w:hAnsi="Times New Roman"/>
      <w:sz w:val="24"/>
      <w:szCs w:val="24"/>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msonormal0">
    <w:name w:val="msonormal"/>
    <w:basedOn w:val="Normal"/>
    <w:qFormat/>
    <w:pPr>
      <w:spacing w:before="100" w:beforeAutospacing="1" w:after="100" w:afterAutospacing="1"/>
    </w:pPr>
    <w:rPr>
      <w:lang w:val="en-GB" w:eastAsia="en-GB"/>
    </w:rPr>
  </w:style>
  <w:style w:type="paragraph" w:customStyle="1" w:styleId="paragraph">
    <w:name w:val="paragraph"/>
    <w:basedOn w:val="Normal"/>
    <w:qFormat/>
    <w:pPr>
      <w:spacing w:before="100" w:beforeAutospacing="1" w:after="100" w:afterAutospacing="1"/>
    </w:pPr>
    <w:rPr>
      <w:lang w:val="en-GB" w:eastAsia="en-GB"/>
    </w:rPr>
  </w:style>
  <w:style w:type="character" w:customStyle="1" w:styleId="textrun">
    <w:name w:val="textrun"/>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outlineelement">
    <w:name w:val="outlineelement"/>
    <w:basedOn w:val="Normal"/>
    <w:qFormat/>
    <w:pPr>
      <w:spacing w:before="100" w:beforeAutospacing="1" w:after="100" w:afterAutospacing="1"/>
    </w:pPr>
    <w:rPr>
      <w:lang w:val="en-GB" w:eastAsia="en-GB"/>
    </w:rPr>
  </w:style>
  <w:style w:type="character" w:customStyle="1" w:styleId="superscript">
    <w:name w:val="superscript"/>
    <w:basedOn w:val="DefaultParagraphFont"/>
    <w:qFormat/>
  </w:style>
  <w:style w:type="character" w:customStyle="1" w:styleId="wacimagecontainer">
    <w:name w:val="wacimagecontainer"/>
    <w:basedOn w:val="DefaultParagraphFont"/>
    <w:qFormat/>
  </w:style>
  <w:style w:type="character" w:customStyle="1" w:styleId="fieldrange">
    <w:name w:val="fieldrange"/>
    <w:basedOn w:val="DefaultParagraphFont"/>
    <w:qFormat/>
  </w:style>
  <w:style w:type="character" w:customStyle="1" w:styleId="UnresolvedMention2">
    <w:name w:val="Unresolved Mention2"/>
    <w:basedOn w:val="DefaultParagraphFont"/>
    <w:uiPriority w:val="99"/>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eastAsia="Cambria" w:hAnsi="Times New Roman"/>
      <w:color w:val="000000"/>
      <w:sz w:val="24"/>
      <w:szCs w:val="24"/>
    </w:rPr>
  </w:style>
  <w:style w:type="character" w:customStyle="1" w:styleId="x1a">
    <w:name w:val="x1a"/>
    <w:basedOn w:val="DefaultParagraphFont"/>
    <w:qFormat/>
  </w:style>
  <w:style w:type="character" w:customStyle="1" w:styleId="appsboldfont">
    <w:name w:val="appsboldfont"/>
    <w:basedOn w:val="DefaultParagraphFont"/>
    <w:qFormat/>
  </w:style>
  <w:style w:type="paragraph" w:customStyle="1" w:styleId="TOCHeading1">
    <w:name w:val="TOC Heading1"/>
    <w:basedOn w:val="Heading1"/>
    <w:next w:val="Normal"/>
    <w:uiPriority w:val="39"/>
    <w:unhideWhenUsed/>
    <w:qFormat/>
    <w:pPr>
      <w:keepLines/>
      <w:spacing w:before="240" w:line="259" w:lineRule="auto"/>
      <w:ind w:left="0"/>
      <w:jc w:val="left"/>
      <w:outlineLvl w:val="9"/>
    </w:pPr>
    <w:rPr>
      <w:rFonts w:ascii="Calibri" w:eastAsia="MS Gothic" w:hAnsi="Calibri"/>
      <w:color w:val="366091"/>
      <w:sz w:val="32"/>
      <w:szCs w:val="32"/>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UnresolvedMention4">
    <w:name w:val="Unresolved Mention4"/>
    <w:basedOn w:val="DefaultParagraphFont"/>
    <w:uiPriority w:val="99"/>
    <w:unhideWhenUsed/>
    <w:rPr>
      <w:color w:val="605E5C"/>
      <w:shd w:val="clear" w:color="auto" w:fill="E1DFDD"/>
    </w:rPr>
  </w:style>
  <w:style w:type="paragraph" w:customStyle="1" w:styleId="Revision2">
    <w:name w:val="Revision2"/>
    <w:uiPriority w:val="99"/>
    <w:semiHidden/>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BB1B5D"/>
    <w:rPr>
      <w:color w:val="605E5C"/>
      <w:shd w:val="clear" w:color="auto" w:fill="E1DFDD"/>
    </w:rPr>
  </w:style>
  <w:style w:type="paragraph" w:styleId="Revision">
    <w:name w:val="Revision"/>
    <w:hidden/>
    <w:uiPriority w:val="99"/>
    <w:unhideWhenUsed/>
    <w:rsid w:val="00AE4A4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20https://info.undp.org/gssu/SiteAssets/PSA/IPSA/Human%20Resources%20Practitioners/3-Forms%20and%20Templates/Certificate_of_Good_Health.doc" TargetMode="External"/><Relationship Id="rId13" Type="http://schemas.openxmlformats.org/officeDocument/2006/relationships/hyperlink" Target="https://estm.fa.em2.oraclecloud.com/hcmUI/faces/FndOverview?fnd=%3B%3B%3B%3Bfalse%3B256%3B%3B%3B&amp;fndGlobalItemNodeId=itemNode_manager_resources_CareerandPerformance&amp;_afrLoop=51988636887518897&amp;_afrWindowMode=0&amp;_afrWindowId=il1sewf7g&amp;_adf.ctrl-state=15xm4069zv_108&amp;_afrFS=16&amp;_afrMT=screen&amp;_afrMFW=1756&amp;_afrMFH=880&amp;_afrMFDW=2195&amp;_afrMFDH=1235&amp;_afrMFC=8&amp;_afrMFCI=0&amp;_afrMFM=0&amp;_afrMFR=210&amp;_afrMFG=0&amp;_afrMFS=0&amp;_afrMFO=0" TargetMode="External"/><Relationship Id="rId18" Type="http://schemas.openxmlformats.org/officeDocument/2006/relationships/hyperlink" Target="https://popp.undp.org/node/726" TargetMode="External"/><Relationship Id="rId26" Type="http://schemas.openxmlformats.org/officeDocument/2006/relationships/hyperlink" Target="https://popp.undp.org/node/726" TargetMode="External"/><Relationship Id="rId3" Type="http://schemas.openxmlformats.org/officeDocument/2006/relationships/settings" Target="settings.xml"/><Relationship Id="rId21" Type="http://schemas.openxmlformats.org/officeDocument/2006/relationships/hyperlink" Target="https://undp.sharepoint.com/:x:/r/teams/OHR-Portal/Shared%20Documents/PSA/PSA_Remuneration_setting_Tool.xlsx?d=w2524519f19b2477e827dd17bb45c0e50&amp;csf=1&amp;web=1&amp;e=mmEUfz" TargetMode="External"/><Relationship Id="rId7" Type="http://schemas.openxmlformats.org/officeDocument/2006/relationships/hyperlink" Target="%20https://info.undp.org/gssu/SiteAssets/PSA/IPSA/Human%20Resources%20Practitioners/3-Forms%20and%20Templates/Guide%20in%20Writing%20a%20TOR%20for%20IPSA.docx" TargetMode="External"/><Relationship Id="rId12" Type="http://schemas.openxmlformats.org/officeDocument/2006/relationships/hyperlink" Target="mailto:reportmisconduct@undp.org" TargetMode="External"/><Relationship Id="rId17" Type="http://schemas.openxmlformats.org/officeDocument/2006/relationships/hyperlink" Target="https://estm.fa.em2.oraclecloud.com/hcmUI/faces/FndOverview?fnd=%3B%3B%3B%3Bfalse%3B256%3B%3B%3B&amp;fndGlobalItemNodeId=itemNode_manager_resources_CareerandPerformance&amp;_afrLoop=51988636887518897&amp;_afrWindowMode=0&amp;_afrWindowId=il1sewf7g&amp;_adf.ctrl-state=15xm4069zv_108&amp;_afrFS=16&amp;_afrMT=screen&amp;_afrMFW=1756&amp;_afrMFH=880&amp;_afrMFDW=2195&amp;_afrMFDH=1235&amp;_afrMFC=8&amp;_afrMFCI=0&amp;_afrMFM=0&amp;_afrMFR=210&amp;_afrMFG=0&amp;_afrMFS=0&amp;_afrMFO=0" TargetMode="External"/><Relationship Id="rId25" Type="http://schemas.openxmlformats.org/officeDocument/2006/relationships/hyperlink" Target="https://undp.sharepoint.com/:w:/r/teams/GSSC/Shared%20Documents/HR/PSA/IPSA/Forms%20and%20Template/Vendor-Person_profile_update.doc?d=wb438bbc6de764c2e80031449a0616152&amp;csf=1&amp;web=1&amp;e=Dbw3I1" TargetMode="External"/><Relationship Id="rId2" Type="http://schemas.openxmlformats.org/officeDocument/2006/relationships/styles" Target="styles.xml"/><Relationship Id="rId16" Type="http://schemas.openxmlformats.org/officeDocument/2006/relationships/hyperlink" Target="https://hr.partneragencies.org/" TargetMode="External"/><Relationship Id="rId20" Type="http://schemas.openxmlformats.org/officeDocument/2006/relationships/hyperlink" Target="https://undp.sharepoint.com/:w:/r/teams/GSSC/Shared%20Documents/HR/PSA/IPSA/Forms%20and%20Template/Guide%20in%20Writing%20a%20TOR%20for%20IPSA.docx?d=w341018457f93459695abef4e1a03c5e5&amp;csf=1&amp;web=1&amp;e=bwmemB"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rassment.support@undp.org" TargetMode="External"/><Relationship Id="rId24" Type="http://schemas.openxmlformats.org/officeDocument/2006/relationships/hyperlink" Target="https://undp.sharepoint.com/:w:/r/teams/GSSC/Shared%20Documents/HR/PSA/IPSA/Forms%20and%20Template/PSA%20Face%20Sheet%20and%20GTC%20(Regular)_Revised.docx?d=w5c7721ca75c14825b7633733e22f5d62&amp;csf=1&amp;web=1&amp;e=WrR0Ha"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ndp.sharepoint.com/:w:/r/teams/GSSC/_layouts/15/Doc.aspx?sourcedoc=%7B3E1D49A6-AEF0-494A-847A-4BF5096DDAFF%7D&amp;file=PSA%20Face%20Sheet%20and%20GTC%20(Regular)_Revised.docx&amp;action=default&amp;mobileredirect=true" TargetMode="External"/><Relationship Id="rId23" Type="http://schemas.openxmlformats.org/officeDocument/2006/relationships/hyperlink" Target="https://undp.sharepoint.com/:w:/r/teams/GSSC/Shared%20Documents/HR/PSA/IPSA/Forms%20and%20Template/Certificate_of_Good_Health.doc?d=w007d76c856c24a3397e1ba43eb85216d&amp;csf=1&amp;web=1&amp;e=yRDlkX" TargetMode="External"/><Relationship Id="rId28" Type="http://schemas.openxmlformats.org/officeDocument/2006/relationships/footer" Target="footer1.xml"/><Relationship Id="rId10" Type="http://schemas.openxmlformats.org/officeDocument/2006/relationships/hyperlink" Target="https://info.undp.org/gssu/SiteAssets/PSA/IPSA/Human%20Resources%20Practitioners/4-IPSA%20Contract%20Template%20and%20GTC/PSA%20face%20sheet.docx" TargetMode="External"/><Relationship Id="rId19" Type="http://schemas.openxmlformats.org/officeDocument/2006/relationships/hyperlink" Target="https://popp.undp.org/node/72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fo.undp.org/gssu/SiteAssets/PSA/IPSA/Human%20Resources%20Practitioners/5-Useful%20Tools/PSA_Remuneration_setting_Tool.xlsx" TargetMode="External"/><Relationship Id="rId14" Type="http://schemas.openxmlformats.org/officeDocument/2006/relationships/hyperlink" Target="https://undp.sharepoint.com/:w:/r/teams/GSSC/Shared%20Documents/HR/PSA/IPSA/Forms%20and%20Template%20(1)/Annual%20Performance%20Review%20(by%20Supervisors)_Short-term.docx?d=wabb6a59d6ec0433abfdd4428d5c76aa4&amp;csf=1&amp;web=1&amp;e=6Fwa9M" TargetMode="External"/><Relationship Id="rId22" Type="http://schemas.openxmlformats.org/officeDocument/2006/relationships/hyperlink" Target="https://undp.sharepoint.com/:w:/r/teams/GSSC/Shared%20Documents/HR/PSA/IPSA/Forms%20and%20Template/PSA%20Reference%20Check%20Form.docx?d=wd27c64d734e34077acd3b217a65ee641&amp;csf=1&amp;web=1&amp;e=iW5CSG" TargetMode="External"/><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45</Pages>
  <Words>15790</Words>
  <Characters>90007</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Esperanza M Garcia</dc:creator>
  <cp:lastModifiedBy>Emiliana Zhivkova</cp:lastModifiedBy>
  <cp:revision>5</cp:revision>
  <cp:lastPrinted>2022-04-27T22:08:00Z</cp:lastPrinted>
  <dcterms:created xsi:type="dcterms:W3CDTF">2025-09-16T21:35:00Z</dcterms:created>
  <dcterms:modified xsi:type="dcterms:W3CDTF">2025-09-16T21:38:00Z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dd5f9cb9-cd31-4941-bc4e-d4e975f1e23c</vt:lpwstr>
  </property>
  <property fmtid="{D5CDD505-2E9C-101B-9397-08002B2CF9AE}" pid="3" name="BusinessUnit">
    <vt:lpwstr>349;#Human Resources Management|1f57ad6b-760b-4b5a-be19-36e6fe76fd85</vt:lpwstr>
  </property>
  <property fmtid="{D5CDD505-2E9C-101B-9397-08002B2CF9AE}" pid="4" name="POPPBusinessProcess">
    <vt:lpwstr/>
  </property>
  <property fmtid="{D5CDD505-2E9C-101B-9397-08002B2CF9AE}" pid="5" name="l0e6ef0c43e74560bd7f3acd1f5e8571">
    <vt:lpwstr>Human Resources Management|1f57ad6b-760b-4b5a-be19-36e6fe76fd85</vt:lpwstr>
  </property>
  <property fmtid="{D5CDD505-2E9C-101B-9397-08002B2CF9AE}" pid="6" name="UNDP_POPP_BUSINESSUNIT">
    <vt:lpwstr>349;#Human Resources Management|1f57ad6b-760b-4b5a-be19-36e6fe76fd85</vt:lpwstr>
  </property>
  <property fmtid="{D5CDD505-2E9C-101B-9397-08002B2CF9AE}" pid="7" name="UNDPCountry">
    <vt:lpwstr/>
  </property>
  <property fmtid="{D5CDD505-2E9C-101B-9397-08002B2CF9AE}" pid="8" name="UndpDocTypeMM">
    <vt:lpwstr/>
  </property>
  <property fmtid="{D5CDD505-2E9C-101B-9397-08002B2CF9AE}" pid="9" name="UNDPDocumentCategory">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FocusAreas">
    <vt:lpwstr/>
  </property>
  <property fmtid="{D5CDD505-2E9C-101B-9397-08002B2CF9AE}" pid="14" name="UNDP_POPP_BUSINESSPROCESS_HIDDEN">
    <vt:lpwstr/>
  </property>
  <property fmtid="{D5CDD505-2E9C-101B-9397-08002B2CF9AE}" pid="15" name="DLCPolicyLabelValue">
    <vt:lpwstr>Effective Date: {Effective Date}                                                Version #: {POPPRefItemVersion}</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English</vt:lpwstr>
  </property>
  <property fmtid="{D5CDD505-2E9C-101B-9397-08002B2CF9AE}" pid="19" name="UNDP_POPP_FILEVERSION">
    <vt:r8>1024</vt:r8>
  </property>
  <property fmtid="{D5CDD505-2E9C-101B-9397-08002B2CF9AE}" pid="20" name="UNDP_POPP_REFITEM_VERSION">
    <vt:r8>2</vt:r8>
  </property>
  <property fmtid="{D5CDD505-2E9C-101B-9397-08002B2CF9AE}" pid="21" name="ContentTypeId">
    <vt:lpwstr>0x01010061FF32BFFC2B4E50A3A86F4682D7D367007687F3382310C0489D2A99E053BA6D39</vt:lpwstr>
  </property>
  <property fmtid="{D5CDD505-2E9C-101B-9397-08002B2CF9AE}" pid="22" name="UndpDocStatus">
    <vt:lpwstr>Draft</vt:lpwstr>
  </property>
  <property fmtid="{D5CDD505-2E9C-101B-9397-08002B2CF9AE}" pid="23" name="UndpClassificationLevel">
    <vt:lpwstr>Internal Use Only</vt:lpwstr>
  </property>
  <property fmtid="{D5CDD505-2E9C-101B-9397-08002B2CF9AE}" pid="24" name="UndpIsTemplate">
    <vt:lpwstr>No</vt:lpwstr>
  </property>
  <property fmtid="{D5CDD505-2E9C-101B-9397-08002B2CF9AE}" pid="25" name="KSOProductBuildVer">
    <vt:lpwstr>1033-11.2.0.11537</vt:lpwstr>
  </property>
  <property fmtid="{D5CDD505-2E9C-101B-9397-08002B2CF9AE}" pid="26" name="ICV">
    <vt:lpwstr>86CC71A0633148A0836AE03F110E96CC</vt:lpwstr>
  </property>
</Properties>
</file>