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E00EE" w14:textId="77777777" w:rsidR="00804AF0" w:rsidRDefault="009A47D6">
      <w:pPr>
        <w:pStyle w:val="TOCHeading1"/>
        <w:jc w:val="center"/>
        <w:rPr>
          <w:rFonts w:cs="Calibri"/>
          <w:b/>
          <w:bCs/>
        </w:rPr>
      </w:pPr>
      <w:r>
        <w:rPr>
          <w:rFonts w:cs="Calibri"/>
          <w:b/>
          <w:bCs/>
        </w:rPr>
        <w:t>International Personnel Services Agreement (IPSA)</w:t>
      </w:r>
    </w:p>
    <w:p w14:paraId="31D69C94" w14:textId="77777777" w:rsidR="00804AF0" w:rsidRDefault="00804AF0"/>
    <w:p w14:paraId="0A1634E8" w14:textId="7FFFE14E" w:rsidR="00D46637" w:rsidRPr="00D46637" w:rsidRDefault="009A47D6">
      <w:pPr>
        <w:pStyle w:val="TOC1"/>
        <w:tabs>
          <w:tab w:val="left" w:pos="440"/>
          <w:tab w:val="right" w:leader="dot" w:pos="8630"/>
        </w:tabs>
        <w:rPr>
          <w:rFonts w:asciiTheme="minorHAnsi" w:eastAsiaTheme="minorEastAsia" w:hAnsiTheme="minorHAnsi" w:cstheme="minorHAnsi"/>
          <w:noProof/>
          <w:kern w:val="2"/>
          <w14:ligatures w14:val="standardContextual"/>
        </w:rPr>
      </w:pPr>
      <w:r w:rsidRPr="00D46637">
        <w:rPr>
          <w:rFonts w:asciiTheme="minorHAnsi" w:hAnsiTheme="minorHAnsi" w:cstheme="minorHAnsi"/>
        </w:rPr>
        <w:fldChar w:fldCharType="begin"/>
      </w:r>
      <w:r w:rsidRPr="00D46637">
        <w:rPr>
          <w:rFonts w:asciiTheme="minorHAnsi" w:hAnsiTheme="minorHAnsi" w:cstheme="minorHAnsi"/>
        </w:rPr>
        <w:instrText xml:space="preserve"> TOC \o "1-3" \h \z \u </w:instrText>
      </w:r>
      <w:r w:rsidRPr="00D46637">
        <w:rPr>
          <w:rFonts w:asciiTheme="minorHAnsi" w:hAnsiTheme="minorHAnsi" w:cstheme="minorHAnsi"/>
        </w:rPr>
        <w:fldChar w:fldCharType="separate"/>
      </w:r>
      <w:hyperlink w:anchor="_Toc161312409" w:history="1">
        <w:r w:rsidR="00D46637" w:rsidRPr="00D46637">
          <w:rPr>
            <w:rStyle w:val="Hyperlink"/>
            <w:rFonts w:asciiTheme="minorHAnsi" w:hAnsiTheme="minorHAnsi" w:cstheme="minorHAnsi"/>
            <w:noProof/>
            <w:lang w:eastAsia="en-GB"/>
          </w:rPr>
          <w:t>I.</w:t>
        </w:r>
        <w:r w:rsidR="00D46637" w:rsidRPr="00D46637">
          <w:rPr>
            <w:rFonts w:asciiTheme="minorHAnsi" w:eastAsiaTheme="minorEastAsia" w:hAnsiTheme="minorHAnsi" w:cstheme="minorHAnsi"/>
            <w:noProof/>
            <w:kern w:val="2"/>
            <w14:ligatures w14:val="standardContextual"/>
          </w:rPr>
          <w:tab/>
        </w:r>
        <w:r w:rsidR="00D46637" w:rsidRPr="00D46637">
          <w:rPr>
            <w:rStyle w:val="Hyperlink"/>
            <w:rFonts w:asciiTheme="minorHAnsi" w:hAnsiTheme="minorHAnsi" w:cstheme="minorHAnsi"/>
            <w:noProof/>
            <w:lang w:eastAsia="en-GB"/>
          </w:rPr>
          <w:t>Introduction and Background</w:t>
        </w:r>
        <w:r w:rsidR="00D46637" w:rsidRPr="00D46637">
          <w:rPr>
            <w:rFonts w:asciiTheme="minorHAnsi" w:hAnsiTheme="minorHAnsi" w:cstheme="minorHAnsi"/>
            <w:noProof/>
            <w:webHidden/>
          </w:rPr>
          <w:tab/>
        </w:r>
        <w:r w:rsidR="00D46637" w:rsidRPr="00D46637">
          <w:rPr>
            <w:rFonts w:asciiTheme="minorHAnsi" w:hAnsiTheme="minorHAnsi" w:cstheme="minorHAnsi"/>
            <w:noProof/>
            <w:webHidden/>
          </w:rPr>
          <w:fldChar w:fldCharType="begin"/>
        </w:r>
        <w:r w:rsidR="00D46637" w:rsidRPr="00D46637">
          <w:rPr>
            <w:rFonts w:asciiTheme="minorHAnsi" w:hAnsiTheme="minorHAnsi" w:cstheme="minorHAnsi"/>
            <w:noProof/>
            <w:webHidden/>
          </w:rPr>
          <w:instrText xml:space="preserve"> PAGEREF _Toc161312409 \h </w:instrText>
        </w:r>
        <w:r w:rsidR="00D46637" w:rsidRPr="00D46637">
          <w:rPr>
            <w:rFonts w:asciiTheme="minorHAnsi" w:hAnsiTheme="minorHAnsi" w:cstheme="minorHAnsi"/>
            <w:noProof/>
            <w:webHidden/>
          </w:rPr>
        </w:r>
        <w:r w:rsidR="00D46637" w:rsidRPr="00D46637">
          <w:rPr>
            <w:rFonts w:asciiTheme="minorHAnsi" w:hAnsiTheme="minorHAnsi" w:cstheme="minorHAnsi"/>
            <w:noProof/>
            <w:webHidden/>
          </w:rPr>
          <w:fldChar w:fldCharType="separate"/>
        </w:r>
        <w:r w:rsidR="003B281E">
          <w:rPr>
            <w:rFonts w:asciiTheme="minorHAnsi" w:hAnsiTheme="minorHAnsi" w:cstheme="minorHAnsi"/>
            <w:noProof/>
            <w:webHidden/>
          </w:rPr>
          <w:t>3</w:t>
        </w:r>
        <w:r w:rsidR="00D46637" w:rsidRPr="00D46637">
          <w:rPr>
            <w:rFonts w:asciiTheme="minorHAnsi" w:hAnsiTheme="minorHAnsi" w:cstheme="minorHAnsi"/>
            <w:noProof/>
            <w:webHidden/>
          </w:rPr>
          <w:fldChar w:fldCharType="end"/>
        </w:r>
      </w:hyperlink>
    </w:p>
    <w:p w14:paraId="10F85E15" w14:textId="4D16D088" w:rsidR="00D46637" w:rsidRPr="00D46637" w:rsidRDefault="00D46637" w:rsidP="00D46637">
      <w:pPr>
        <w:pStyle w:val="TOC1"/>
        <w:tabs>
          <w:tab w:val="left" w:pos="440"/>
          <w:tab w:val="right" w:leader="dot" w:pos="8630"/>
        </w:tabs>
        <w:rPr>
          <w:rFonts w:asciiTheme="minorHAnsi" w:eastAsiaTheme="minorEastAsia" w:hAnsiTheme="minorHAnsi" w:cstheme="minorHAnsi"/>
          <w:noProof/>
          <w:kern w:val="2"/>
          <w14:ligatures w14:val="standardContextual"/>
        </w:rPr>
      </w:pPr>
      <w:hyperlink w:anchor="_Toc161312410" w:history="1">
        <w:r w:rsidRPr="00D46637">
          <w:rPr>
            <w:rStyle w:val="Hyperlink"/>
            <w:rFonts w:asciiTheme="minorHAnsi" w:hAnsiTheme="minorHAnsi" w:cstheme="minorHAnsi"/>
            <w:noProof/>
            <w:lang w:eastAsia="en-GB"/>
          </w:rPr>
          <w:t>II.</w:t>
        </w:r>
        <w:r w:rsidRPr="00D46637">
          <w:rPr>
            <w:rFonts w:asciiTheme="minorHAnsi" w:eastAsiaTheme="minorEastAsia" w:hAnsiTheme="minorHAnsi" w:cstheme="minorHAnsi"/>
            <w:noProof/>
            <w:kern w:val="2"/>
            <w14:ligatures w14:val="standardContextual"/>
          </w:rPr>
          <w:tab/>
        </w:r>
        <w:r w:rsidRPr="00D46637">
          <w:rPr>
            <w:rStyle w:val="Hyperlink"/>
            <w:rFonts w:asciiTheme="minorHAnsi" w:hAnsiTheme="minorHAnsi" w:cstheme="minorHAnsi"/>
            <w:noProof/>
            <w:lang w:eastAsia="en-GB"/>
          </w:rPr>
          <w:t>Use of IPSA</w:t>
        </w:r>
        <w:r w:rsidRPr="00D46637">
          <w:rPr>
            <w:rFonts w:asciiTheme="minorHAnsi" w:hAnsiTheme="minorHAnsi" w:cstheme="minorHAnsi"/>
            <w:noProof/>
            <w:webHidden/>
          </w:rPr>
          <w:tab/>
        </w:r>
        <w:r w:rsidRPr="00D46637">
          <w:rPr>
            <w:rFonts w:asciiTheme="minorHAnsi" w:hAnsiTheme="minorHAnsi" w:cstheme="minorHAnsi"/>
            <w:noProof/>
            <w:webHidden/>
          </w:rPr>
          <w:fldChar w:fldCharType="begin"/>
        </w:r>
        <w:r w:rsidRPr="00D46637">
          <w:rPr>
            <w:rFonts w:asciiTheme="minorHAnsi" w:hAnsiTheme="minorHAnsi" w:cstheme="minorHAnsi"/>
            <w:noProof/>
            <w:webHidden/>
          </w:rPr>
          <w:instrText xml:space="preserve"> PAGEREF _Toc161312410 \h </w:instrText>
        </w:r>
        <w:r w:rsidRPr="00D46637">
          <w:rPr>
            <w:rFonts w:asciiTheme="minorHAnsi" w:hAnsiTheme="minorHAnsi" w:cstheme="minorHAnsi"/>
            <w:noProof/>
            <w:webHidden/>
          </w:rPr>
        </w:r>
        <w:r w:rsidRPr="00D46637">
          <w:rPr>
            <w:rFonts w:asciiTheme="minorHAnsi" w:hAnsiTheme="minorHAnsi" w:cstheme="minorHAnsi"/>
            <w:noProof/>
            <w:webHidden/>
          </w:rPr>
          <w:fldChar w:fldCharType="separate"/>
        </w:r>
        <w:r w:rsidR="003B281E">
          <w:rPr>
            <w:rFonts w:asciiTheme="minorHAnsi" w:hAnsiTheme="minorHAnsi" w:cstheme="minorHAnsi"/>
            <w:noProof/>
            <w:webHidden/>
          </w:rPr>
          <w:t>4</w:t>
        </w:r>
        <w:r w:rsidRPr="00D46637">
          <w:rPr>
            <w:rFonts w:asciiTheme="minorHAnsi" w:hAnsiTheme="minorHAnsi" w:cstheme="minorHAnsi"/>
            <w:noProof/>
            <w:webHidden/>
          </w:rPr>
          <w:fldChar w:fldCharType="end"/>
        </w:r>
      </w:hyperlink>
    </w:p>
    <w:p w14:paraId="233E0F24" w14:textId="7939A951" w:rsidR="00D46637" w:rsidRPr="00D46637" w:rsidRDefault="00D46637" w:rsidP="00D46637">
      <w:pPr>
        <w:pStyle w:val="TOC1"/>
        <w:tabs>
          <w:tab w:val="left" w:pos="450"/>
          <w:tab w:val="right" w:leader="dot" w:pos="8630"/>
        </w:tabs>
        <w:rPr>
          <w:rFonts w:asciiTheme="minorHAnsi" w:eastAsiaTheme="minorEastAsia" w:hAnsiTheme="minorHAnsi" w:cstheme="minorHAnsi"/>
          <w:noProof/>
          <w:kern w:val="2"/>
          <w14:ligatures w14:val="standardContextual"/>
        </w:rPr>
      </w:pPr>
      <w:hyperlink w:anchor="_Toc161312411" w:history="1">
        <w:r w:rsidRPr="00D46637">
          <w:rPr>
            <w:rStyle w:val="Hyperlink"/>
            <w:rFonts w:asciiTheme="minorHAnsi" w:hAnsiTheme="minorHAnsi" w:cstheme="minorHAnsi"/>
            <w:noProof/>
            <w:lang w:eastAsia="en-GB"/>
          </w:rPr>
          <w:t>III.</w:t>
        </w:r>
        <w:r w:rsidRPr="00D46637">
          <w:rPr>
            <w:rFonts w:asciiTheme="minorHAnsi" w:eastAsiaTheme="minorEastAsia" w:hAnsiTheme="minorHAnsi" w:cstheme="minorHAnsi"/>
            <w:noProof/>
            <w:kern w:val="2"/>
            <w14:ligatures w14:val="standardContextual"/>
          </w:rPr>
          <w:tab/>
        </w:r>
        <w:r w:rsidRPr="00D46637">
          <w:rPr>
            <w:rStyle w:val="Hyperlink"/>
            <w:rFonts w:asciiTheme="minorHAnsi" w:hAnsiTheme="minorHAnsi" w:cstheme="minorHAnsi"/>
            <w:noProof/>
            <w:lang w:eastAsia="en-GB"/>
          </w:rPr>
          <w:t>Legal Status of the IPSA holder</w:t>
        </w:r>
        <w:r w:rsidRPr="00D46637">
          <w:rPr>
            <w:rFonts w:asciiTheme="minorHAnsi" w:hAnsiTheme="minorHAnsi" w:cstheme="minorHAnsi"/>
            <w:noProof/>
            <w:webHidden/>
          </w:rPr>
          <w:tab/>
        </w:r>
        <w:r w:rsidRPr="00D46637">
          <w:rPr>
            <w:rFonts w:asciiTheme="minorHAnsi" w:hAnsiTheme="minorHAnsi" w:cstheme="minorHAnsi"/>
            <w:noProof/>
            <w:webHidden/>
          </w:rPr>
          <w:fldChar w:fldCharType="begin"/>
        </w:r>
        <w:r w:rsidRPr="00D46637">
          <w:rPr>
            <w:rFonts w:asciiTheme="minorHAnsi" w:hAnsiTheme="minorHAnsi" w:cstheme="minorHAnsi"/>
            <w:noProof/>
            <w:webHidden/>
          </w:rPr>
          <w:instrText xml:space="preserve"> PAGEREF _Toc161312411 \h </w:instrText>
        </w:r>
        <w:r w:rsidRPr="00D46637">
          <w:rPr>
            <w:rFonts w:asciiTheme="minorHAnsi" w:hAnsiTheme="minorHAnsi" w:cstheme="minorHAnsi"/>
            <w:noProof/>
            <w:webHidden/>
          </w:rPr>
        </w:r>
        <w:r w:rsidRPr="00D46637">
          <w:rPr>
            <w:rFonts w:asciiTheme="minorHAnsi" w:hAnsiTheme="minorHAnsi" w:cstheme="minorHAnsi"/>
            <w:noProof/>
            <w:webHidden/>
          </w:rPr>
          <w:fldChar w:fldCharType="separate"/>
        </w:r>
        <w:r w:rsidR="003B281E">
          <w:rPr>
            <w:rFonts w:asciiTheme="minorHAnsi" w:hAnsiTheme="minorHAnsi" w:cstheme="minorHAnsi"/>
            <w:noProof/>
            <w:webHidden/>
          </w:rPr>
          <w:t>5</w:t>
        </w:r>
        <w:r w:rsidRPr="00D46637">
          <w:rPr>
            <w:rFonts w:asciiTheme="minorHAnsi" w:hAnsiTheme="minorHAnsi" w:cstheme="minorHAnsi"/>
            <w:noProof/>
            <w:webHidden/>
          </w:rPr>
          <w:fldChar w:fldCharType="end"/>
        </w:r>
      </w:hyperlink>
    </w:p>
    <w:p w14:paraId="1ED7A4CF" w14:textId="60DEEB88" w:rsidR="00D46637" w:rsidRPr="00D46637" w:rsidRDefault="00D46637" w:rsidP="00D46637">
      <w:pPr>
        <w:pStyle w:val="TOC1"/>
        <w:tabs>
          <w:tab w:val="left" w:pos="450"/>
          <w:tab w:val="right" w:leader="dot" w:pos="8630"/>
        </w:tabs>
        <w:rPr>
          <w:rFonts w:asciiTheme="minorHAnsi" w:eastAsiaTheme="minorEastAsia" w:hAnsiTheme="minorHAnsi" w:cstheme="minorHAnsi"/>
          <w:noProof/>
          <w:kern w:val="2"/>
          <w14:ligatures w14:val="standardContextual"/>
        </w:rPr>
      </w:pPr>
      <w:hyperlink w:anchor="_Toc161312412" w:history="1">
        <w:r w:rsidRPr="00D46637">
          <w:rPr>
            <w:rStyle w:val="Hyperlink"/>
            <w:rFonts w:asciiTheme="minorHAnsi" w:hAnsiTheme="minorHAnsi" w:cstheme="minorHAnsi"/>
            <w:noProof/>
            <w:lang w:eastAsia="en-GB"/>
          </w:rPr>
          <w:t>IV.</w:t>
        </w:r>
        <w:r w:rsidRPr="00D46637">
          <w:rPr>
            <w:rFonts w:asciiTheme="minorHAnsi" w:eastAsiaTheme="minorEastAsia" w:hAnsiTheme="minorHAnsi" w:cstheme="minorHAnsi"/>
            <w:noProof/>
            <w:kern w:val="2"/>
            <w14:ligatures w14:val="standardContextual"/>
          </w:rPr>
          <w:tab/>
        </w:r>
        <w:r w:rsidRPr="00D46637">
          <w:rPr>
            <w:rStyle w:val="Hyperlink"/>
            <w:rFonts w:asciiTheme="minorHAnsi" w:hAnsiTheme="minorHAnsi" w:cstheme="minorHAnsi"/>
            <w:noProof/>
            <w:lang w:eastAsia="en-GB"/>
          </w:rPr>
          <w:t>General Rights and Obligations of the IPSA holders</w:t>
        </w:r>
        <w:r w:rsidRPr="00D46637">
          <w:rPr>
            <w:rFonts w:asciiTheme="minorHAnsi" w:hAnsiTheme="minorHAnsi" w:cstheme="minorHAnsi"/>
            <w:noProof/>
            <w:webHidden/>
          </w:rPr>
          <w:tab/>
        </w:r>
        <w:r w:rsidRPr="00D46637">
          <w:rPr>
            <w:rFonts w:asciiTheme="minorHAnsi" w:hAnsiTheme="minorHAnsi" w:cstheme="minorHAnsi"/>
            <w:noProof/>
            <w:webHidden/>
          </w:rPr>
          <w:fldChar w:fldCharType="begin"/>
        </w:r>
        <w:r w:rsidRPr="00D46637">
          <w:rPr>
            <w:rFonts w:asciiTheme="minorHAnsi" w:hAnsiTheme="minorHAnsi" w:cstheme="minorHAnsi"/>
            <w:noProof/>
            <w:webHidden/>
          </w:rPr>
          <w:instrText xml:space="preserve"> PAGEREF _Toc161312412 \h </w:instrText>
        </w:r>
        <w:r w:rsidRPr="00D46637">
          <w:rPr>
            <w:rFonts w:asciiTheme="minorHAnsi" w:hAnsiTheme="minorHAnsi" w:cstheme="minorHAnsi"/>
            <w:noProof/>
            <w:webHidden/>
          </w:rPr>
        </w:r>
        <w:r w:rsidRPr="00D46637">
          <w:rPr>
            <w:rFonts w:asciiTheme="minorHAnsi" w:hAnsiTheme="minorHAnsi" w:cstheme="minorHAnsi"/>
            <w:noProof/>
            <w:webHidden/>
          </w:rPr>
          <w:fldChar w:fldCharType="separate"/>
        </w:r>
        <w:r w:rsidR="003B281E">
          <w:rPr>
            <w:rFonts w:asciiTheme="minorHAnsi" w:hAnsiTheme="minorHAnsi" w:cstheme="minorHAnsi"/>
            <w:noProof/>
            <w:webHidden/>
          </w:rPr>
          <w:t>5</w:t>
        </w:r>
        <w:r w:rsidRPr="00D46637">
          <w:rPr>
            <w:rFonts w:asciiTheme="minorHAnsi" w:hAnsiTheme="minorHAnsi" w:cstheme="minorHAnsi"/>
            <w:noProof/>
            <w:webHidden/>
          </w:rPr>
          <w:fldChar w:fldCharType="end"/>
        </w:r>
      </w:hyperlink>
    </w:p>
    <w:p w14:paraId="51DA4CAD" w14:textId="589EC7DD" w:rsidR="00D46637" w:rsidRPr="00D46637" w:rsidRDefault="00D46637">
      <w:pPr>
        <w:pStyle w:val="TOC1"/>
        <w:tabs>
          <w:tab w:val="left" w:pos="440"/>
          <w:tab w:val="right" w:leader="dot" w:pos="8630"/>
        </w:tabs>
        <w:rPr>
          <w:rFonts w:asciiTheme="minorHAnsi" w:eastAsiaTheme="minorEastAsia" w:hAnsiTheme="minorHAnsi" w:cstheme="minorHAnsi"/>
          <w:noProof/>
          <w:kern w:val="2"/>
          <w14:ligatures w14:val="standardContextual"/>
        </w:rPr>
      </w:pPr>
      <w:hyperlink w:anchor="_Toc161312413" w:history="1">
        <w:r w:rsidRPr="00D46637">
          <w:rPr>
            <w:rStyle w:val="Hyperlink"/>
            <w:rFonts w:asciiTheme="minorHAnsi" w:hAnsiTheme="minorHAnsi" w:cstheme="minorHAnsi"/>
            <w:noProof/>
            <w:lang w:eastAsia="en-GB"/>
          </w:rPr>
          <w:t>V.</w:t>
        </w:r>
        <w:r w:rsidRPr="00D46637">
          <w:rPr>
            <w:rFonts w:asciiTheme="minorHAnsi" w:eastAsiaTheme="minorEastAsia" w:hAnsiTheme="minorHAnsi" w:cstheme="minorHAnsi"/>
            <w:noProof/>
            <w:kern w:val="2"/>
            <w14:ligatures w14:val="standardContextual"/>
          </w:rPr>
          <w:tab/>
        </w:r>
        <w:r w:rsidRPr="00D46637">
          <w:rPr>
            <w:rStyle w:val="Hyperlink"/>
            <w:rFonts w:asciiTheme="minorHAnsi" w:hAnsiTheme="minorHAnsi" w:cstheme="minorHAnsi"/>
            <w:noProof/>
            <w:lang w:eastAsia="en-GB"/>
          </w:rPr>
          <w:t>Standards of Conduct</w:t>
        </w:r>
        <w:r w:rsidRPr="00D46637">
          <w:rPr>
            <w:rFonts w:asciiTheme="minorHAnsi" w:hAnsiTheme="minorHAnsi" w:cstheme="minorHAnsi"/>
            <w:noProof/>
            <w:webHidden/>
          </w:rPr>
          <w:tab/>
        </w:r>
        <w:r w:rsidRPr="00D46637">
          <w:rPr>
            <w:rFonts w:asciiTheme="minorHAnsi" w:hAnsiTheme="minorHAnsi" w:cstheme="minorHAnsi"/>
            <w:noProof/>
            <w:webHidden/>
          </w:rPr>
          <w:fldChar w:fldCharType="begin"/>
        </w:r>
        <w:r w:rsidRPr="00D46637">
          <w:rPr>
            <w:rFonts w:asciiTheme="minorHAnsi" w:hAnsiTheme="minorHAnsi" w:cstheme="minorHAnsi"/>
            <w:noProof/>
            <w:webHidden/>
          </w:rPr>
          <w:instrText xml:space="preserve"> PAGEREF _Toc161312413 \h </w:instrText>
        </w:r>
        <w:r w:rsidRPr="00D46637">
          <w:rPr>
            <w:rFonts w:asciiTheme="minorHAnsi" w:hAnsiTheme="minorHAnsi" w:cstheme="minorHAnsi"/>
            <w:noProof/>
            <w:webHidden/>
          </w:rPr>
        </w:r>
        <w:r w:rsidRPr="00D46637">
          <w:rPr>
            <w:rFonts w:asciiTheme="minorHAnsi" w:hAnsiTheme="minorHAnsi" w:cstheme="minorHAnsi"/>
            <w:noProof/>
            <w:webHidden/>
          </w:rPr>
          <w:fldChar w:fldCharType="separate"/>
        </w:r>
        <w:r w:rsidR="003B281E">
          <w:rPr>
            <w:rFonts w:asciiTheme="minorHAnsi" w:hAnsiTheme="minorHAnsi" w:cstheme="minorHAnsi"/>
            <w:noProof/>
            <w:webHidden/>
          </w:rPr>
          <w:t>7</w:t>
        </w:r>
        <w:r w:rsidRPr="00D46637">
          <w:rPr>
            <w:rFonts w:asciiTheme="minorHAnsi" w:hAnsiTheme="minorHAnsi" w:cstheme="minorHAnsi"/>
            <w:noProof/>
            <w:webHidden/>
          </w:rPr>
          <w:fldChar w:fldCharType="end"/>
        </w:r>
      </w:hyperlink>
    </w:p>
    <w:p w14:paraId="3EBC5A85" w14:textId="6211031D" w:rsidR="00D46637" w:rsidRPr="00D46637" w:rsidRDefault="00D46637" w:rsidP="00D46637">
      <w:pPr>
        <w:pStyle w:val="TOC1"/>
        <w:tabs>
          <w:tab w:val="left" w:pos="450"/>
          <w:tab w:val="right" w:leader="dot" w:pos="8630"/>
        </w:tabs>
        <w:rPr>
          <w:rFonts w:asciiTheme="minorHAnsi" w:eastAsiaTheme="minorEastAsia" w:hAnsiTheme="minorHAnsi" w:cstheme="minorHAnsi"/>
          <w:noProof/>
          <w:kern w:val="2"/>
          <w14:ligatures w14:val="standardContextual"/>
        </w:rPr>
      </w:pPr>
      <w:hyperlink w:anchor="_Toc161312414" w:history="1">
        <w:r w:rsidRPr="00D46637">
          <w:rPr>
            <w:rStyle w:val="Hyperlink"/>
            <w:rFonts w:asciiTheme="minorHAnsi" w:hAnsiTheme="minorHAnsi" w:cstheme="minorHAnsi"/>
            <w:noProof/>
            <w:lang w:eastAsia="en-GB"/>
          </w:rPr>
          <w:t>VI.</w:t>
        </w:r>
        <w:r w:rsidRPr="00D46637">
          <w:rPr>
            <w:rFonts w:asciiTheme="minorHAnsi" w:eastAsiaTheme="minorEastAsia" w:hAnsiTheme="minorHAnsi" w:cstheme="minorHAnsi"/>
            <w:noProof/>
            <w:kern w:val="2"/>
            <w14:ligatures w14:val="standardContextual"/>
          </w:rPr>
          <w:tab/>
        </w:r>
        <w:r w:rsidRPr="00D46637">
          <w:rPr>
            <w:rStyle w:val="Hyperlink"/>
            <w:rFonts w:asciiTheme="minorHAnsi" w:hAnsiTheme="minorHAnsi" w:cstheme="minorHAnsi"/>
            <w:noProof/>
            <w:lang w:eastAsia="en-GB"/>
          </w:rPr>
          <w:t>Title Rights</w:t>
        </w:r>
        <w:r w:rsidRPr="00D46637">
          <w:rPr>
            <w:rFonts w:asciiTheme="minorHAnsi" w:hAnsiTheme="minorHAnsi" w:cstheme="minorHAnsi"/>
            <w:noProof/>
            <w:webHidden/>
          </w:rPr>
          <w:tab/>
        </w:r>
        <w:r w:rsidRPr="00D46637">
          <w:rPr>
            <w:rFonts w:asciiTheme="minorHAnsi" w:hAnsiTheme="minorHAnsi" w:cstheme="minorHAnsi"/>
            <w:noProof/>
            <w:webHidden/>
          </w:rPr>
          <w:fldChar w:fldCharType="begin"/>
        </w:r>
        <w:r w:rsidRPr="00D46637">
          <w:rPr>
            <w:rFonts w:asciiTheme="minorHAnsi" w:hAnsiTheme="minorHAnsi" w:cstheme="minorHAnsi"/>
            <w:noProof/>
            <w:webHidden/>
          </w:rPr>
          <w:instrText xml:space="preserve"> PAGEREF _Toc161312414 \h </w:instrText>
        </w:r>
        <w:r w:rsidRPr="00D46637">
          <w:rPr>
            <w:rFonts w:asciiTheme="minorHAnsi" w:hAnsiTheme="minorHAnsi" w:cstheme="minorHAnsi"/>
            <w:noProof/>
            <w:webHidden/>
          </w:rPr>
        </w:r>
        <w:r w:rsidRPr="00D46637">
          <w:rPr>
            <w:rFonts w:asciiTheme="minorHAnsi" w:hAnsiTheme="minorHAnsi" w:cstheme="minorHAnsi"/>
            <w:noProof/>
            <w:webHidden/>
          </w:rPr>
          <w:fldChar w:fldCharType="separate"/>
        </w:r>
        <w:r w:rsidR="003B281E">
          <w:rPr>
            <w:rFonts w:asciiTheme="minorHAnsi" w:hAnsiTheme="minorHAnsi" w:cstheme="minorHAnsi"/>
            <w:noProof/>
            <w:webHidden/>
          </w:rPr>
          <w:t>8</w:t>
        </w:r>
        <w:r w:rsidRPr="00D46637">
          <w:rPr>
            <w:rFonts w:asciiTheme="minorHAnsi" w:hAnsiTheme="minorHAnsi" w:cstheme="minorHAnsi"/>
            <w:noProof/>
            <w:webHidden/>
          </w:rPr>
          <w:fldChar w:fldCharType="end"/>
        </w:r>
      </w:hyperlink>
    </w:p>
    <w:p w14:paraId="5AE979B4" w14:textId="1C978A1C" w:rsidR="00D46637" w:rsidRPr="00D46637" w:rsidRDefault="00D46637" w:rsidP="00D46637">
      <w:pPr>
        <w:pStyle w:val="TOC1"/>
        <w:tabs>
          <w:tab w:val="left" w:pos="450"/>
          <w:tab w:val="right" w:leader="dot" w:pos="8630"/>
        </w:tabs>
        <w:rPr>
          <w:rFonts w:asciiTheme="minorHAnsi" w:eastAsiaTheme="minorEastAsia" w:hAnsiTheme="minorHAnsi" w:cstheme="minorHAnsi"/>
          <w:noProof/>
          <w:kern w:val="2"/>
          <w14:ligatures w14:val="standardContextual"/>
        </w:rPr>
      </w:pPr>
      <w:hyperlink w:anchor="_Toc161312415" w:history="1">
        <w:r w:rsidRPr="00D46637">
          <w:rPr>
            <w:rStyle w:val="Hyperlink"/>
            <w:rFonts w:asciiTheme="minorHAnsi" w:hAnsiTheme="minorHAnsi" w:cstheme="minorHAnsi"/>
            <w:noProof/>
            <w:lang w:eastAsia="en-GB"/>
          </w:rPr>
          <w:t>VII.</w:t>
        </w:r>
        <w:r w:rsidRPr="00D46637">
          <w:rPr>
            <w:rFonts w:asciiTheme="minorHAnsi" w:eastAsiaTheme="minorEastAsia" w:hAnsiTheme="minorHAnsi" w:cstheme="minorHAnsi"/>
            <w:noProof/>
            <w:kern w:val="2"/>
            <w14:ligatures w14:val="standardContextual"/>
          </w:rPr>
          <w:tab/>
        </w:r>
        <w:r w:rsidRPr="00D46637">
          <w:rPr>
            <w:rStyle w:val="Hyperlink"/>
            <w:rFonts w:asciiTheme="minorHAnsi" w:hAnsiTheme="minorHAnsi" w:cstheme="minorHAnsi"/>
            <w:noProof/>
            <w:lang w:eastAsia="en-GB"/>
          </w:rPr>
          <w:t>Nature of relationship between UNDP and the IPSA holder</w:t>
        </w:r>
        <w:r w:rsidRPr="00D46637">
          <w:rPr>
            <w:rFonts w:asciiTheme="minorHAnsi" w:hAnsiTheme="minorHAnsi" w:cstheme="minorHAnsi"/>
            <w:noProof/>
            <w:webHidden/>
          </w:rPr>
          <w:tab/>
        </w:r>
        <w:r w:rsidRPr="00D46637">
          <w:rPr>
            <w:rFonts w:asciiTheme="minorHAnsi" w:hAnsiTheme="minorHAnsi" w:cstheme="minorHAnsi"/>
            <w:noProof/>
            <w:webHidden/>
          </w:rPr>
          <w:fldChar w:fldCharType="begin"/>
        </w:r>
        <w:r w:rsidRPr="00D46637">
          <w:rPr>
            <w:rFonts w:asciiTheme="minorHAnsi" w:hAnsiTheme="minorHAnsi" w:cstheme="minorHAnsi"/>
            <w:noProof/>
            <w:webHidden/>
          </w:rPr>
          <w:instrText xml:space="preserve"> PAGEREF _Toc161312415 \h </w:instrText>
        </w:r>
        <w:r w:rsidRPr="00D46637">
          <w:rPr>
            <w:rFonts w:asciiTheme="minorHAnsi" w:hAnsiTheme="minorHAnsi" w:cstheme="minorHAnsi"/>
            <w:noProof/>
            <w:webHidden/>
          </w:rPr>
        </w:r>
        <w:r w:rsidRPr="00D46637">
          <w:rPr>
            <w:rFonts w:asciiTheme="minorHAnsi" w:hAnsiTheme="minorHAnsi" w:cstheme="minorHAnsi"/>
            <w:noProof/>
            <w:webHidden/>
          </w:rPr>
          <w:fldChar w:fldCharType="separate"/>
        </w:r>
        <w:r w:rsidR="003B281E">
          <w:rPr>
            <w:rFonts w:asciiTheme="minorHAnsi" w:hAnsiTheme="minorHAnsi" w:cstheme="minorHAnsi"/>
            <w:noProof/>
            <w:webHidden/>
          </w:rPr>
          <w:t>8</w:t>
        </w:r>
        <w:r w:rsidRPr="00D46637">
          <w:rPr>
            <w:rFonts w:asciiTheme="minorHAnsi" w:hAnsiTheme="minorHAnsi" w:cstheme="minorHAnsi"/>
            <w:noProof/>
            <w:webHidden/>
          </w:rPr>
          <w:fldChar w:fldCharType="end"/>
        </w:r>
      </w:hyperlink>
    </w:p>
    <w:p w14:paraId="49EEE2FB" w14:textId="40B2F207" w:rsidR="00D46637" w:rsidRPr="00D46637" w:rsidRDefault="00D46637" w:rsidP="00D46637">
      <w:pPr>
        <w:pStyle w:val="TOC1"/>
        <w:tabs>
          <w:tab w:val="left" w:pos="450"/>
          <w:tab w:val="right" w:leader="dot" w:pos="8630"/>
        </w:tabs>
        <w:rPr>
          <w:rFonts w:asciiTheme="minorHAnsi" w:eastAsiaTheme="minorEastAsia" w:hAnsiTheme="minorHAnsi" w:cstheme="minorHAnsi"/>
          <w:noProof/>
          <w:kern w:val="2"/>
          <w14:ligatures w14:val="standardContextual"/>
        </w:rPr>
      </w:pPr>
      <w:hyperlink w:anchor="_Toc161312416" w:history="1">
        <w:r w:rsidRPr="00D46637">
          <w:rPr>
            <w:rStyle w:val="Hyperlink"/>
            <w:rFonts w:asciiTheme="minorHAnsi" w:hAnsiTheme="minorHAnsi" w:cstheme="minorHAnsi"/>
            <w:noProof/>
            <w:lang w:eastAsia="en-GB"/>
          </w:rPr>
          <w:t>VIII.</w:t>
        </w:r>
        <w:r w:rsidRPr="00D46637">
          <w:rPr>
            <w:rFonts w:asciiTheme="minorHAnsi" w:eastAsiaTheme="minorEastAsia" w:hAnsiTheme="minorHAnsi" w:cstheme="minorHAnsi"/>
            <w:noProof/>
            <w:kern w:val="2"/>
            <w14:ligatures w14:val="standardContextual"/>
          </w:rPr>
          <w:tab/>
        </w:r>
        <w:r w:rsidRPr="00D46637">
          <w:rPr>
            <w:rStyle w:val="Hyperlink"/>
            <w:rFonts w:asciiTheme="minorHAnsi" w:hAnsiTheme="minorHAnsi" w:cstheme="minorHAnsi"/>
            <w:noProof/>
            <w:lang w:eastAsia="en-GB"/>
          </w:rPr>
          <w:t>Duration of an IPSA</w:t>
        </w:r>
        <w:r w:rsidRPr="00D46637">
          <w:rPr>
            <w:rFonts w:asciiTheme="minorHAnsi" w:hAnsiTheme="minorHAnsi" w:cstheme="minorHAnsi"/>
            <w:noProof/>
            <w:webHidden/>
          </w:rPr>
          <w:tab/>
        </w:r>
        <w:r w:rsidRPr="00D46637">
          <w:rPr>
            <w:rFonts w:asciiTheme="minorHAnsi" w:hAnsiTheme="minorHAnsi" w:cstheme="minorHAnsi"/>
            <w:noProof/>
            <w:webHidden/>
          </w:rPr>
          <w:fldChar w:fldCharType="begin"/>
        </w:r>
        <w:r w:rsidRPr="00D46637">
          <w:rPr>
            <w:rFonts w:asciiTheme="minorHAnsi" w:hAnsiTheme="minorHAnsi" w:cstheme="minorHAnsi"/>
            <w:noProof/>
            <w:webHidden/>
          </w:rPr>
          <w:instrText xml:space="preserve"> PAGEREF _Toc161312416 \h </w:instrText>
        </w:r>
        <w:r w:rsidRPr="00D46637">
          <w:rPr>
            <w:rFonts w:asciiTheme="minorHAnsi" w:hAnsiTheme="minorHAnsi" w:cstheme="minorHAnsi"/>
            <w:noProof/>
            <w:webHidden/>
          </w:rPr>
        </w:r>
        <w:r w:rsidRPr="00D46637">
          <w:rPr>
            <w:rFonts w:asciiTheme="minorHAnsi" w:hAnsiTheme="minorHAnsi" w:cstheme="minorHAnsi"/>
            <w:noProof/>
            <w:webHidden/>
          </w:rPr>
          <w:fldChar w:fldCharType="separate"/>
        </w:r>
        <w:r w:rsidR="003B281E">
          <w:rPr>
            <w:rFonts w:asciiTheme="minorHAnsi" w:hAnsiTheme="minorHAnsi" w:cstheme="minorHAnsi"/>
            <w:noProof/>
            <w:webHidden/>
          </w:rPr>
          <w:t>9</w:t>
        </w:r>
        <w:r w:rsidRPr="00D46637">
          <w:rPr>
            <w:rFonts w:asciiTheme="minorHAnsi" w:hAnsiTheme="minorHAnsi" w:cstheme="minorHAnsi"/>
            <w:noProof/>
            <w:webHidden/>
          </w:rPr>
          <w:fldChar w:fldCharType="end"/>
        </w:r>
      </w:hyperlink>
    </w:p>
    <w:p w14:paraId="6C8682EF" w14:textId="7E87A19B" w:rsidR="00D46637" w:rsidRPr="00D46637" w:rsidRDefault="00D46637" w:rsidP="00D46637">
      <w:pPr>
        <w:pStyle w:val="TOC1"/>
        <w:tabs>
          <w:tab w:val="left" w:pos="450"/>
          <w:tab w:val="right" w:leader="dot" w:pos="8630"/>
        </w:tabs>
        <w:rPr>
          <w:rFonts w:asciiTheme="minorHAnsi" w:eastAsiaTheme="minorEastAsia" w:hAnsiTheme="minorHAnsi" w:cstheme="minorHAnsi"/>
          <w:noProof/>
          <w:kern w:val="2"/>
          <w14:ligatures w14:val="standardContextual"/>
        </w:rPr>
      </w:pPr>
      <w:hyperlink w:anchor="_Toc161312417" w:history="1">
        <w:r w:rsidRPr="00D46637">
          <w:rPr>
            <w:rStyle w:val="Hyperlink"/>
            <w:rFonts w:asciiTheme="minorHAnsi" w:hAnsiTheme="minorHAnsi" w:cstheme="minorHAnsi"/>
            <w:noProof/>
            <w:lang w:eastAsia="en-GB"/>
          </w:rPr>
          <w:t>IX.</w:t>
        </w:r>
        <w:r w:rsidRPr="00D46637">
          <w:rPr>
            <w:rFonts w:asciiTheme="minorHAnsi" w:eastAsiaTheme="minorEastAsia" w:hAnsiTheme="minorHAnsi" w:cstheme="minorHAnsi"/>
            <w:noProof/>
            <w:kern w:val="2"/>
            <w14:ligatures w14:val="standardContextual"/>
          </w:rPr>
          <w:tab/>
        </w:r>
        <w:r w:rsidRPr="00D46637">
          <w:rPr>
            <w:rStyle w:val="Hyperlink"/>
            <w:rFonts w:asciiTheme="minorHAnsi" w:hAnsiTheme="minorHAnsi" w:cstheme="minorHAnsi"/>
            <w:noProof/>
            <w:lang w:eastAsia="en-GB"/>
          </w:rPr>
          <w:t>Functions: Specialist Functions</w:t>
        </w:r>
        <w:r w:rsidRPr="00D46637">
          <w:rPr>
            <w:rFonts w:asciiTheme="minorHAnsi" w:hAnsiTheme="minorHAnsi" w:cstheme="minorHAnsi"/>
            <w:noProof/>
            <w:webHidden/>
          </w:rPr>
          <w:tab/>
        </w:r>
        <w:r w:rsidRPr="00D46637">
          <w:rPr>
            <w:rFonts w:asciiTheme="minorHAnsi" w:hAnsiTheme="minorHAnsi" w:cstheme="minorHAnsi"/>
            <w:noProof/>
            <w:webHidden/>
          </w:rPr>
          <w:fldChar w:fldCharType="begin"/>
        </w:r>
        <w:r w:rsidRPr="00D46637">
          <w:rPr>
            <w:rFonts w:asciiTheme="minorHAnsi" w:hAnsiTheme="minorHAnsi" w:cstheme="minorHAnsi"/>
            <w:noProof/>
            <w:webHidden/>
          </w:rPr>
          <w:instrText xml:space="preserve"> PAGEREF _Toc161312417 \h </w:instrText>
        </w:r>
        <w:r w:rsidRPr="00D46637">
          <w:rPr>
            <w:rFonts w:asciiTheme="minorHAnsi" w:hAnsiTheme="minorHAnsi" w:cstheme="minorHAnsi"/>
            <w:noProof/>
            <w:webHidden/>
          </w:rPr>
        </w:r>
        <w:r w:rsidRPr="00D46637">
          <w:rPr>
            <w:rFonts w:asciiTheme="minorHAnsi" w:hAnsiTheme="minorHAnsi" w:cstheme="minorHAnsi"/>
            <w:noProof/>
            <w:webHidden/>
          </w:rPr>
          <w:fldChar w:fldCharType="separate"/>
        </w:r>
        <w:r w:rsidR="003B281E">
          <w:rPr>
            <w:rFonts w:asciiTheme="minorHAnsi" w:hAnsiTheme="minorHAnsi" w:cstheme="minorHAnsi"/>
            <w:noProof/>
            <w:webHidden/>
          </w:rPr>
          <w:t>9</w:t>
        </w:r>
        <w:r w:rsidRPr="00D46637">
          <w:rPr>
            <w:rFonts w:asciiTheme="minorHAnsi" w:hAnsiTheme="minorHAnsi" w:cstheme="minorHAnsi"/>
            <w:noProof/>
            <w:webHidden/>
          </w:rPr>
          <w:fldChar w:fldCharType="end"/>
        </w:r>
      </w:hyperlink>
    </w:p>
    <w:p w14:paraId="7F59FD29" w14:textId="7AA0F75B" w:rsidR="00D46637" w:rsidRPr="00D46637" w:rsidRDefault="00D46637">
      <w:pPr>
        <w:pStyle w:val="TOC1"/>
        <w:tabs>
          <w:tab w:val="left" w:pos="440"/>
          <w:tab w:val="right" w:leader="dot" w:pos="8630"/>
        </w:tabs>
        <w:rPr>
          <w:rFonts w:asciiTheme="minorHAnsi" w:eastAsiaTheme="minorEastAsia" w:hAnsiTheme="minorHAnsi" w:cstheme="minorHAnsi"/>
          <w:noProof/>
          <w:kern w:val="2"/>
          <w14:ligatures w14:val="standardContextual"/>
        </w:rPr>
      </w:pPr>
      <w:hyperlink w:anchor="_Toc161312418" w:history="1">
        <w:r w:rsidRPr="00D46637">
          <w:rPr>
            <w:rStyle w:val="Hyperlink"/>
            <w:rFonts w:asciiTheme="minorHAnsi" w:hAnsiTheme="minorHAnsi" w:cstheme="minorHAnsi"/>
            <w:noProof/>
            <w:lang w:eastAsia="en-GB"/>
          </w:rPr>
          <w:t>X.</w:t>
        </w:r>
        <w:r w:rsidRPr="00D46637">
          <w:rPr>
            <w:rFonts w:asciiTheme="minorHAnsi" w:eastAsiaTheme="minorEastAsia" w:hAnsiTheme="minorHAnsi" w:cstheme="minorHAnsi"/>
            <w:noProof/>
            <w:kern w:val="2"/>
            <w14:ligatures w14:val="standardContextual"/>
          </w:rPr>
          <w:tab/>
        </w:r>
        <w:r w:rsidRPr="00D46637">
          <w:rPr>
            <w:rStyle w:val="Hyperlink"/>
            <w:rFonts w:asciiTheme="minorHAnsi" w:hAnsiTheme="minorHAnsi" w:cstheme="minorHAnsi"/>
            <w:noProof/>
            <w:lang w:eastAsia="en-GB"/>
          </w:rPr>
          <w:t>Types of IPSAs: Regular and Retainer Agreements; Office- and Home-based</w:t>
        </w:r>
        <w:r w:rsidRPr="00D46637">
          <w:rPr>
            <w:rFonts w:asciiTheme="minorHAnsi" w:hAnsiTheme="minorHAnsi" w:cstheme="minorHAnsi"/>
            <w:noProof/>
            <w:webHidden/>
          </w:rPr>
          <w:tab/>
        </w:r>
        <w:r w:rsidRPr="00D46637">
          <w:rPr>
            <w:rFonts w:asciiTheme="minorHAnsi" w:hAnsiTheme="minorHAnsi" w:cstheme="minorHAnsi"/>
            <w:noProof/>
            <w:webHidden/>
          </w:rPr>
          <w:fldChar w:fldCharType="begin"/>
        </w:r>
        <w:r w:rsidRPr="00D46637">
          <w:rPr>
            <w:rFonts w:asciiTheme="minorHAnsi" w:hAnsiTheme="minorHAnsi" w:cstheme="minorHAnsi"/>
            <w:noProof/>
            <w:webHidden/>
          </w:rPr>
          <w:instrText xml:space="preserve"> PAGEREF _Toc161312418 \h </w:instrText>
        </w:r>
        <w:r w:rsidRPr="00D46637">
          <w:rPr>
            <w:rFonts w:asciiTheme="minorHAnsi" w:hAnsiTheme="minorHAnsi" w:cstheme="minorHAnsi"/>
            <w:noProof/>
            <w:webHidden/>
          </w:rPr>
        </w:r>
        <w:r w:rsidRPr="00D46637">
          <w:rPr>
            <w:rFonts w:asciiTheme="minorHAnsi" w:hAnsiTheme="minorHAnsi" w:cstheme="minorHAnsi"/>
            <w:noProof/>
            <w:webHidden/>
          </w:rPr>
          <w:fldChar w:fldCharType="separate"/>
        </w:r>
        <w:r w:rsidR="003B281E">
          <w:rPr>
            <w:rFonts w:asciiTheme="minorHAnsi" w:hAnsiTheme="minorHAnsi" w:cstheme="minorHAnsi"/>
            <w:noProof/>
            <w:webHidden/>
          </w:rPr>
          <w:t>10</w:t>
        </w:r>
        <w:r w:rsidRPr="00D46637">
          <w:rPr>
            <w:rFonts w:asciiTheme="minorHAnsi" w:hAnsiTheme="minorHAnsi" w:cstheme="minorHAnsi"/>
            <w:noProof/>
            <w:webHidden/>
          </w:rPr>
          <w:fldChar w:fldCharType="end"/>
        </w:r>
      </w:hyperlink>
    </w:p>
    <w:p w14:paraId="3A52154A" w14:textId="2759AA5C" w:rsidR="00D46637" w:rsidRPr="00D46637" w:rsidRDefault="00D46637" w:rsidP="00D46637">
      <w:pPr>
        <w:pStyle w:val="TOC1"/>
        <w:tabs>
          <w:tab w:val="left" w:pos="450"/>
          <w:tab w:val="right" w:leader="dot" w:pos="8630"/>
        </w:tabs>
        <w:rPr>
          <w:rFonts w:asciiTheme="minorHAnsi" w:eastAsiaTheme="minorEastAsia" w:hAnsiTheme="minorHAnsi" w:cstheme="minorHAnsi"/>
          <w:noProof/>
          <w:kern w:val="2"/>
          <w14:ligatures w14:val="standardContextual"/>
        </w:rPr>
      </w:pPr>
      <w:hyperlink w:anchor="_Toc161312419" w:history="1">
        <w:r w:rsidRPr="00D46637">
          <w:rPr>
            <w:rStyle w:val="Hyperlink"/>
            <w:rFonts w:asciiTheme="minorHAnsi" w:hAnsiTheme="minorHAnsi" w:cstheme="minorHAnsi"/>
            <w:noProof/>
            <w:lang w:eastAsia="en-GB"/>
          </w:rPr>
          <w:t>XI.</w:t>
        </w:r>
        <w:r w:rsidRPr="00D46637">
          <w:rPr>
            <w:rFonts w:asciiTheme="minorHAnsi" w:eastAsiaTheme="minorEastAsia" w:hAnsiTheme="minorHAnsi" w:cstheme="minorHAnsi"/>
            <w:noProof/>
            <w:kern w:val="2"/>
            <w14:ligatures w14:val="standardContextual"/>
          </w:rPr>
          <w:tab/>
        </w:r>
        <w:r w:rsidRPr="00D46637">
          <w:rPr>
            <w:rStyle w:val="Hyperlink"/>
            <w:rFonts w:asciiTheme="minorHAnsi" w:hAnsiTheme="minorHAnsi" w:cstheme="minorHAnsi"/>
            <w:noProof/>
            <w:lang w:eastAsia="en-GB"/>
          </w:rPr>
          <w:t>Engagement of Former and Retired UN Staff Members, and other Non-Staff Personnel</w:t>
        </w:r>
        <w:r w:rsidRPr="00D46637">
          <w:rPr>
            <w:rFonts w:asciiTheme="minorHAnsi" w:hAnsiTheme="minorHAnsi" w:cstheme="minorHAnsi"/>
            <w:noProof/>
            <w:webHidden/>
          </w:rPr>
          <w:tab/>
        </w:r>
        <w:r w:rsidRPr="00D46637">
          <w:rPr>
            <w:rFonts w:asciiTheme="minorHAnsi" w:hAnsiTheme="minorHAnsi" w:cstheme="minorHAnsi"/>
            <w:noProof/>
            <w:webHidden/>
          </w:rPr>
          <w:fldChar w:fldCharType="begin"/>
        </w:r>
        <w:r w:rsidRPr="00D46637">
          <w:rPr>
            <w:rFonts w:asciiTheme="minorHAnsi" w:hAnsiTheme="minorHAnsi" w:cstheme="minorHAnsi"/>
            <w:noProof/>
            <w:webHidden/>
          </w:rPr>
          <w:instrText xml:space="preserve"> PAGEREF _Toc161312419 \h </w:instrText>
        </w:r>
        <w:r w:rsidRPr="00D46637">
          <w:rPr>
            <w:rFonts w:asciiTheme="minorHAnsi" w:hAnsiTheme="minorHAnsi" w:cstheme="minorHAnsi"/>
            <w:noProof/>
            <w:webHidden/>
          </w:rPr>
        </w:r>
        <w:r w:rsidRPr="00D46637">
          <w:rPr>
            <w:rFonts w:asciiTheme="minorHAnsi" w:hAnsiTheme="minorHAnsi" w:cstheme="minorHAnsi"/>
            <w:noProof/>
            <w:webHidden/>
          </w:rPr>
          <w:fldChar w:fldCharType="separate"/>
        </w:r>
        <w:r w:rsidR="003B281E">
          <w:rPr>
            <w:rFonts w:asciiTheme="minorHAnsi" w:hAnsiTheme="minorHAnsi" w:cstheme="minorHAnsi"/>
            <w:noProof/>
            <w:webHidden/>
          </w:rPr>
          <w:t>11</w:t>
        </w:r>
        <w:r w:rsidRPr="00D46637">
          <w:rPr>
            <w:rFonts w:asciiTheme="minorHAnsi" w:hAnsiTheme="minorHAnsi" w:cstheme="minorHAnsi"/>
            <w:noProof/>
            <w:webHidden/>
          </w:rPr>
          <w:fldChar w:fldCharType="end"/>
        </w:r>
      </w:hyperlink>
    </w:p>
    <w:p w14:paraId="7A079A69" w14:textId="2077C354" w:rsidR="00D46637" w:rsidRPr="00D46637" w:rsidRDefault="00D46637" w:rsidP="00D46637">
      <w:pPr>
        <w:pStyle w:val="TOC1"/>
        <w:tabs>
          <w:tab w:val="left" w:pos="450"/>
          <w:tab w:val="right" w:leader="dot" w:pos="8630"/>
        </w:tabs>
        <w:rPr>
          <w:rFonts w:asciiTheme="minorHAnsi" w:eastAsiaTheme="minorEastAsia" w:hAnsiTheme="minorHAnsi" w:cstheme="minorHAnsi"/>
          <w:noProof/>
          <w:kern w:val="2"/>
          <w14:ligatures w14:val="standardContextual"/>
        </w:rPr>
      </w:pPr>
      <w:hyperlink w:anchor="_Toc161312420" w:history="1">
        <w:r w:rsidRPr="00D46637">
          <w:rPr>
            <w:rStyle w:val="Hyperlink"/>
            <w:rFonts w:asciiTheme="minorHAnsi" w:hAnsiTheme="minorHAnsi" w:cstheme="minorHAnsi"/>
            <w:noProof/>
            <w:lang w:eastAsia="en-GB"/>
          </w:rPr>
          <w:t>XII.</w:t>
        </w:r>
        <w:r w:rsidRPr="00D46637">
          <w:rPr>
            <w:rFonts w:asciiTheme="minorHAnsi" w:eastAsiaTheme="minorEastAsia" w:hAnsiTheme="minorHAnsi" w:cstheme="minorHAnsi"/>
            <w:noProof/>
            <w:kern w:val="2"/>
            <w14:ligatures w14:val="standardContextual"/>
          </w:rPr>
          <w:tab/>
        </w:r>
        <w:r w:rsidRPr="00D46637">
          <w:rPr>
            <w:rStyle w:val="Hyperlink"/>
            <w:rFonts w:asciiTheme="minorHAnsi" w:hAnsiTheme="minorHAnsi" w:cstheme="minorHAnsi"/>
            <w:noProof/>
            <w:lang w:eastAsia="en-GB"/>
          </w:rPr>
          <w:t>Engaging Close Relatives of UNDP Personnel</w:t>
        </w:r>
        <w:r w:rsidRPr="00D46637">
          <w:rPr>
            <w:rFonts w:asciiTheme="minorHAnsi" w:hAnsiTheme="minorHAnsi" w:cstheme="minorHAnsi"/>
            <w:noProof/>
            <w:webHidden/>
          </w:rPr>
          <w:tab/>
        </w:r>
        <w:r w:rsidRPr="00D46637">
          <w:rPr>
            <w:rFonts w:asciiTheme="minorHAnsi" w:hAnsiTheme="minorHAnsi" w:cstheme="minorHAnsi"/>
            <w:noProof/>
            <w:webHidden/>
          </w:rPr>
          <w:fldChar w:fldCharType="begin"/>
        </w:r>
        <w:r w:rsidRPr="00D46637">
          <w:rPr>
            <w:rFonts w:asciiTheme="minorHAnsi" w:hAnsiTheme="minorHAnsi" w:cstheme="minorHAnsi"/>
            <w:noProof/>
            <w:webHidden/>
          </w:rPr>
          <w:instrText xml:space="preserve"> PAGEREF _Toc161312420 \h </w:instrText>
        </w:r>
        <w:r w:rsidRPr="00D46637">
          <w:rPr>
            <w:rFonts w:asciiTheme="minorHAnsi" w:hAnsiTheme="minorHAnsi" w:cstheme="minorHAnsi"/>
            <w:noProof/>
            <w:webHidden/>
          </w:rPr>
        </w:r>
        <w:r w:rsidRPr="00D46637">
          <w:rPr>
            <w:rFonts w:asciiTheme="minorHAnsi" w:hAnsiTheme="minorHAnsi" w:cstheme="minorHAnsi"/>
            <w:noProof/>
            <w:webHidden/>
          </w:rPr>
          <w:fldChar w:fldCharType="separate"/>
        </w:r>
        <w:r w:rsidR="003B281E">
          <w:rPr>
            <w:rFonts w:asciiTheme="minorHAnsi" w:hAnsiTheme="minorHAnsi" w:cstheme="minorHAnsi"/>
            <w:noProof/>
            <w:webHidden/>
          </w:rPr>
          <w:t>12</w:t>
        </w:r>
        <w:r w:rsidRPr="00D46637">
          <w:rPr>
            <w:rFonts w:asciiTheme="minorHAnsi" w:hAnsiTheme="minorHAnsi" w:cstheme="minorHAnsi"/>
            <w:noProof/>
            <w:webHidden/>
          </w:rPr>
          <w:fldChar w:fldCharType="end"/>
        </w:r>
      </w:hyperlink>
    </w:p>
    <w:p w14:paraId="10BBA8E1" w14:textId="15F94F0E" w:rsidR="00D46637" w:rsidRPr="00D46637" w:rsidRDefault="00D46637" w:rsidP="00D46637">
      <w:pPr>
        <w:pStyle w:val="TOC1"/>
        <w:tabs>
          <w:tab w:val="left" w:pos="450"/>
          <w:tab w:val="right" w:leader="dot" w:pos="8630"/>
        </w:tabs>
        <w:rPr>
          <w:rFonts w:asciiTheme="minorHAnsi" w:eastAsiaTheme="minorEastAsia" w:hAnsiTheme="minorHAnsi" w:cstheme="minorHAnsi"/>
          <w:noProof/>
          <w:kern w:val="2"/>
          <w14:ligatures w14:val="standardContextual"/>
        </w:rPr>
      </w:pPr>
      <w:hyperlink w:anchor="_Toc161312421" w:history="1">
        <w:r w:rsidRPr="00D46637">
          <w:rPr>
            <w:rStyle w:val="Hyperlink"/>
            <w:rFonts w:asciiTheme="minorHAnsi" w:hAnsiTheme="minorHAnsi" w:cstheme="minorHAnsi"/>
            <w:noProof/>
            <w:lang w:eastAsia="en-GB"/>
          </w:rPr>
          <w:t>XIII.</w:t>
        </w:r>
        <w:r w:rsidRPr="00D46637">
          <w:rPr>
            <w:rFonts w:asciiTheme="minorHAnsi" w:eastAsiaTheme="minorEastAsia" w:hAnsiTheme="minorHAnsi" w:cstheme="minorHAnsi"/>
            <w:noProof/>
            <w:kern w:val="2"/>
            <w14:ligatures w14:val="standardContextual"/>
          </w:rPr>
          <w:tab/>
        </w:r>
        <w:r w:rsidRPr="00D46637">
          <w:rPr>
            <w:rStyle w:val="Hyperlink"/>
            <w:rFonts w:asciiTheme="minorHAnsi" w:hAnsiTheme="minorHAnsi" w:cstheme="minorHAnsi"/>
            <w:noProof/>
            <w:lang w:eastAsia="en-GB"/>
          </w:rPr>
          <w:t>Authority for the Issuance of IPSA</w:t>
        </w:r>
        <w:r w:rsidRPr="00D46637">
          <w:rPr>
            <w:rFonts w:asciiTheme="minorHAnsi" w:hAnsiTheme="minorHAnsi" w:cstheme="minorHAnsi"/>
            <w:noProof/>
            <w:webHidden/>
          </w:rPr>
          <w:tab/>
        </w:r>
        <w:r w:rsidRPr="00D46637">
          <w:rPr>
            <w:rFonts w:asciiTheme="minorHAnsi" w:hAnsiTheme="minorHAnsi" w:cstheme="minorHAnsi"/>
            <w:noProof/>
            <w:webHidden/>
          </w:rPr>
          <w:fldChar w:fldCharType="begin"/>
        </w:r>
        <w:r w:rsidRPr="00D46637">
          <w:rPr>
            <w:rFonts w:asciiTheme="minorHAnsi" w:hAnsiTheme="minorHAnsi" w:cstheme="minorHAnsi"/>
            <w:noProof/>
            <w:webHidden/>
          </w:rPr>
          <w:instrText xml:space="preserve"> PAGEREF _Toc161312421 \h </w:instrText>
        </w:r>
        <w:r w:rsidRPr="00D46637">
          <w:rPr>
            <w:rFonts w:asciiTheme="minorHAnsi" w:hAnsiTheme="minorHAnsi" w:cstheme="minorHAnsi"/>
            <w:noProof/>
            <w:webHidden/>
          </w:rPr>
        </w:r>
        <w:r w:rsidRPr="00D46637">
          <w:rPr>
            <w:rFonts w:asciiTheme="minorHAnsi" w:hAnsiTheme="minorHAnsi" w:cstheme="minorHAnsi"/>
            <w:noProof/>
            <w:webHidden/>
          </w:rPr>
          <w:fldChar w:fldCharType="separate"/>
        </w:r>
        <w:r w:rsidR="003B281E">
          <w:rPr>
            <w:rFonts w:asciiTheme="minorHAnsi" w:hAnsiTheme="minorHAnsi" w:cstheme="minorHAnsi"/>
            <w:noProof/>
            <w:webHidden/>
          </w:rPr>
          <w:t>12</w:t>
        </w:r>
        <w:r w:rsidRPr="00D46637">
          <w:rPr>
            <w:rFonts w:asciiTheme="minorHAnsi" w:hAnsiTheme="minorHAnsi" w:cstheme="minorHAnsi"/>
            <w:noProof/>
            <w:webHidden/>
          </w:rPr>
          <w:fldChar w:fldCharType="end"/>
        </w:r>
      </w:hyperlink>
    </w:p>
    <w:p w14:paraId="0A4A8799" w14:textId="733B0A68" w:rsidR="00D46637" w:rsidRPr="00D46637" w:rsidRDefault="00D46637" w:rsidP="00D46637">
      <w:pPr>
        <w:pStyle w:val="TOC1"/>
        <w:tabs>
          <w:tab w:val="left" w:pos="450"/>
          <w:tab w:val="right" w:leader="dot" w:pos="8630"/>
        </w:tabs>
        <w:rPr>
          <w:rFonts w:asciiTheme="minorHAnsi" w:eastAsiaTheme="minorEastAsia" w:hAnsiTheme="minorHAnsi" w:cstheme="minorHAnsi"/>
          <w:noProof/>
          <w:kern w:val="2"/>
          <w14:ligatures w14:val="standardContextual"/>
        </w:rPr>
      </w:pPr>
      <w:hyperlink w:anchor="_Toc161312422" w:history="1">
        <w:r w:rsidRPr="00D46637">
          <w:rPr>
            <w:rStyle w:val="Hyperlink"/>
            <w:rFonts w:asciiTheme="minorHAnsi" w:hAnsiTheme="minorHAnsi" w:cstheme="minorHAnsi"/>
            <w:noProof/>
            <w:lang w:eastAsia="en-GB"/>
          </w:rPr>
          <w:t>XIV.</w:t>
        </w:r>
        <w:r w:rsidRPr="00D46637">
          <w:rPr>
            <w:rFonts w:asciiTheme="minorHAnsi" w:eastAsiaTheme="minorEastAsia" w:hAnsiTheme="minorHAnsi" w:cstheme="minorHAnsi"/>
            <w:noProof/>
            <w:kern w:val="2"/>
            <w14:ligatures w14:val="standardContextual"/>
          </w:rPr>
          <w:tab/>
        </w:r>
        <w:r w:rsidRPr="00D46637">
          <w:rPr>
            <w:rStyle w:val="Hyperlink"/>
            <w:rFonts w:asciiTheme="minorHAnsi" w:hAnsiTheme="minorHAnsi" w:cstheme="minorHAnsi"/>
            <w:noProof/>
            <w:lang w:eastAsia="en-GB"/>
          </w:rPr>
          <w:t>Responsibility and Accountability</w:t>
        </w:r>
        <w:r w:rsidRPr="00D46637">
          <w:rPr>
            <w:rFonts w:asciiTheme="minorHAnsi" w:hAnsiTheme="minorHAnsi" w:cstheme="minorHAnsi"/>
            <w:noProof/>
            <w:webHidden/>
          </w:rPr>
          <w:tab/>
        </w:r>
        <w:r w:rsidRPr="00D46637">
          <w:rPr>
            <w:rFonts w:asciiTheme="minorHAnsi" w:hAnsiTheme="minorHAnsi" w:cstheme="minorHAnsi"/>
            <w:noProof/>
            <w:webHidden/>
          </w:rPr>
          <w:fldChar w:fldCharType="begin"/>
        </w:r>
        <w:r w:rsidRPr="00D46637">
          <w:rPr>
            <w:rFonts w:asciiTheme="minorHAnsi" w:hAnsiTheme="minorHAnsi" w:cstheme="minorHAnsi"/>
            <w:noProof/>
            <w:webHidden/>
          </w:rPr>
          <w:instrText xml:space="preserve"> PAGEREF _Toc161312422 \h </w:instrText>
        </w:r>
        <w:r w:rsidRPr="00D46637">
          <w:rPr>
            <w:rFonts w:asciiTheme="minorHAnsi" w:hAnsiTheme="minorHAnsi" w:cstheme="minorHAnsi"/>
            <w:noProof/>
            <w:webHidden/>
          </w:rPr>
        </w:r>
        <w:r w:rsidRPr="00D46637">
          <w:rPr>
            <w:rFonts w:asciiTheme="minorHAnsi" w:hAnsiTheme="minorHAnsi" w:cstheme="minorHAnsi"/>
            <w:noProof/>
            <w:webHidden/>
          </w:rPr>
          <w:fldChar w:fldCharType="separate"/>
        </w:r>
        <w:r w:rsidR="003B281E">
          <w:rPr>
            <w:rFonts w:asciiTheme="minorHAnsi" w:hAnsiTheme="minorHAnsi" w:cstheme="minorHAnsi"/>
            <w:noProof/>
            <w:webHidden/>
          </w:rPr>
          <w:t>12</w:t>
        </w:r>
        <w:r w:rsidRPr="00D46637">
          <w:rPr>
            <w:rFonts w:asciiTheme="minorHAnsi" w:hAnsiTheme="minorHAnsi" w:cstheme="minorHAnsi"/>
            <w:noProof/>
            <w:webHidden/>
          </w:rPr>
          <w:fldChar w:fldCharType="end"/>
        </w:r>
      </w:hyperlink>
    </w:p>
    <w:p w14:paraId="6840B379" w14:textId="5A7881CC" w:rsidR="00D46637" w:rsidRPr="00D46637" w:rsidRDefault="00D46637" w:rsidP="00D46637">
      <w:pPr>
        <w:pStyle w:val="TOC1"/>
        <w:tabs>
          <w:tab w:val="left" w:pos="450"/>
          <w:tab w:val="right" w:leader="dot" w:pos="8630"/>
        </w:tabs>
        <w:rPr>
          <w:rFonts w:asciiTheme="minorHAnsi" w:eastAsiaTheme="minorEastAsia" w:hAnsiTheme="minorHAnsi" w:cstheme="minorHAnsi"/>
          <w:noProof/>
          <w:kern w:val="2"/>
          <w14:ligatures w14:val="standardContextual"/>
        </w:rPr>
      </w:pPr>
      <w:hyperlink w:anchor="_Toc161312423" w:history="1">
        <w:r w:rsidRPr="00D46637">
          <w:rPr>
            <w:rStyle w:val="Hyperlink"/>
            <w:rFonts w:asciiTheme="minorHAnsi" w:hAnsiTheme="minorHAnsi" w:cstheme="minorHAnsi"/>
            <w:noProof/>
            <w:lang w:eastAsia="en-GB"/>
          </w:rPr>
          <w:t>XV.</w:t>
        </w:r>
        <w:r w:rsidRPr="00D46637">
          <w:rPr>
            <w:rFonts w:asciiTheme="minorHAnsi" w:eastAsiaTheme="minorEastAsia" w:hAnsiTheme="minorHAnsi" w:cstheme="minorHAnsi"/>
            <w:noProof/>
            <w:kern w:val="2"/>
            <w14:ligatures w14:val="standardContextual"/>
          </w:rPr>
          <w:tab/>
        </w:r>
        <w:r w:rsidRPr="00D46637">
          <w:rPr>
            <w:rStyle w:val="Hyperlink"/>
            <w:rFonts w:asciiTheme="minorHAnsi" w:hAnsiTheme="minorHAnsi" w:cstheme="minorHAnsi"/>
            <w:noProof/>
            <w:lang w:eastAsia="en-GB"/>
          </w:rPr>
          <w:t>Classification &amp; Established Scales</w:t>
        </w:r>
        <w:r w:rsidRPr="00D46637">
          <w:rPr>
            <w:rFonts w:asciiTheme="minorHAnsi" w:hAnsiTheme="minorHAnsi" w:cstheme="minorHAnsi"/>
            <w:noProof/>
            <w:webHidden/>
          </w:rPr>
          <w:tab/>
        </w:r>
        <w:r w:rsidRPr="00D46637">
          <w:rPr>
            <w:rFonts w:asciiTheme="minorHAnsi" w:hAnsiTheme="minorHAnsi" w:cstheme="minorHAnsi"/>
            <w:noProof/>
            <w:webHidden/>
          </w:rPr>
          <w:fldChar w:fldCharType="begin"/>
        </w:r>
        <w:r w:rsidRPr="00D46637">
          <w:rPr>
            <w:rFonts w:asciiTheme="minorHAnsi" w:hAnsiTheme="minorHAnsi" w:cstheme="minorHAnsi"/>
            <w:noProof/>
            <w:webHidden/>
          </w:rPr>
          <w:instrText xml:space="preserve"> PAGEREF _Toc161312423 \h </w:instrText>
        </w:r>
        <w:r w:rsidRPr="00D46637">
          <w:rPr>
            <w:rFonts w:asciiTheme="minorHAnsi" w:hAnsiTheme="minorHAnsi" w:cstheme="minorHAnsi"/>
            <w:noProof/>
            <w:webHidden/>
          </w:rPr>
        </w:r>
        <w:r w:rsidRPr="00D46637">
          <w:rPr>
            <w:rFonts w:asciiTheme="minorHAnsi" w:hAnsiTheme="minorHAnsi" w:cstheme="minorHAnsi"/>
            <w:noProof/>
            <w:webHidden/>
          </w:rPr>
          <w:fldChar w:fldCharType="separate"/>
        </w:r>
        <w:r w:rsidR="003B281E">
          <w:rPr>
            <w:rFonts w:asciiTheme="minorHAnsi" w:hAnsiTheme="minorHAnsi" w:cstheme="minorHAnsi"/>
            <w:noProof/>
            <w:webHidden/>
          </w:rPr>
          <w:t>13</w:t>
        </w:r>
        <w:r w:rsidRPr="00D46637">
          <w:rPr>
            <w:rFonts w:asciiTheme="minorHAnsi" w:hAnsiTheme="minorHAnsi" w:cstheme="minorHAnsi"/>
            <w:noProof/>
            <w:webHidden/>
          </w:rPr>
          <w:fldChar w:fldCharType="end"/>
        </w:r>
      </w:hyperlink>
    </w:p>
    <w:p w14:paraId="15322052" w14:textId="4936B1D7" w:rsidR="00D46637" w:rsidRPr="00D46637" w:rsidRDefault="00D46637" w:rsidP="00D46637">
      <w:pPr>
        <w:pStyle w:val="TOC1"/>
        <w:tabs>
          <w:tab w:val="left" w:pos="450"/>
          <w:tab w:val="right" w:leader="dot" w:pos="8630"/>
        </w:tabs>
        <w:rPr>
          <w:rFonts w:asciiTheme="minorHAnsi" w:eastAsiaTheme="minorEastAsia" w:hAnsiTheme="minorHAnsi" w:cstheme="minorHAnsi"/>
          <w:noProof/>
          <w:kern w:val="2"/>
          <w14:ligatures w14:val="standardContextual"/>
        </w:rPr>
      </w:pPr>
      <w:hyperlink w:anchor="_Toc161312424" w:history="1">
        <w:r w:rsidRPr="00D46637">
          <w:rPr>
            <w:rStyle w:val="Hyperlink"/>
            <w:rFonts w:asciiTheme="minorHAnsi" w:hAnsiTheme="minorHAnsi" w:cstheme="minorHAnsi"/>
            <w:noProof/>
            <w:lang w:eastAsia="en-GB"/>
          </w:rPr>
          <w:t>XVI.</w:t>
        </w:r>
        <w:r w:rsidRPr="00D46637">
          <w:rPr>
            <w:rFonts w:asciiTheme="minorHAnsi" w:eastAsiaTheme="minorEastAsia" w:hAnsiTheme="minorHAnsi" w:cstheme="minorHAnsi"/>
            <w:noProof/>
            <w:kern w:val="2"/>
            <w14:ligatures w14:val="standardContextual"/>
          </w:rPr>
          <w:tab/>
        </w:r>
        <w:r w:rsidRPr="00D46637">
          <w:rPr>
            <w:rStyle w:val="Hyperlink"/>
            <w:rFonts w:asciiTheme="minorHAnsi" w:hAnsiTheme="minorHAnsi" w:cstheme="minorHAnsi"/>
            <w:noProof/>
            <w:lang w:eastAsia="en-GB"/>
          </w:rPr>
          <w:t>Selection of IPSAs</w:t>
        </w:r>
        <w:r w:rsidRPr="00D46637">
          <w:rPr>
            <w:rFonts w:asciiTheme="minorHAnsi" w:hAnsiTheme="minorHAnsi" w:cstheme="minorHAnsi"/>
            <w:noProof/>
            <w:webHidden/>
          </w:rPr>
          <w:tab/>
        </w:r>
        <w:r w:rsidRPr="00D46637">
          <w:rPr>
            <w:rFonts w:asciiTheme="minorHAnsi" w:hAnsiTheme="minorHAnsi" w:cstheme="minorHAnsi"/>
            <w:noProof/>
            <w:webHidden/>
          </w:rPr>
          <w:fldChar w:fldCharType="begin"/>
        </w:r>
        <w:r w:rsidRPr="00D46637">
          <w:rPr>
            <w:rFonts w:asciiTheme="minorHAnsi" w:hAnsiTheme="minorHAnsi" w:cstheme="minorHAnsi"/>
            <w:noProof/>
            <w:webHidden/>
          </w:rPr>
          <w:instrText xml:space="preserve"> PAGEREF _Toc161312424 \h </w:instrText>
        </w:r>
        <w:r w:rsidRPr="00D46637">
          <w:rPr>
            <w:rFonts w:asciiTheme="minorHAnsi" w:hAnsiTheme="minorHAnsi" w:cstheme="minorHAnsi"/>
            <w:noProof/>
            <w:webHidden/>
          </w:rPr>
        </w:r>
        <w:r w:rsidRPr="00D46637">
          <w:rPr>
            <w:rFonts w:asciiTheme="minorHAnsi" w:hAnsiTheme="minorHAnsi" w:cstheme="minorHAnsi"/>
            <w:noProof/>
            <w:webHidden/>
          </w:rPr>
          <w:fldChar w:fldCharType="separate"/>
        </w:r>
        <w:r w:rsidR="003B281E">
          <w:rPr>
            <w:rFonts w:asciiTheme="minorHAnsi" w:hAnsiTheme="minorHAnsi" w:cstheme="minorHAnsi"/>
            <w:noProof/>
            <w:webHidden/>
          </w:rPr>
          <w:t>13</w:t>
        </w:r>
        <w:r w:rsidRPr="00D46637">
          <w:rPr>
            <w:rFonts w:asciiTheme="minorHAnsi" w:hAnsiTheme="minorHAnsi" w:cstheme="minorHAnsi"/>
            <w:noProof/>
            <w:webHidden/>
          </w:rPr>
          <w:fldChar w:fldCharType="end"/>
        </w:r>
      </w:hyperlink>
    </w:p>
    <w:p w14:paraId="3F0EAAD4" w14:textId="7FB85480" w:rsidR="00D46637" w:rsidRPr="00D46637" w:rsidRDefault="00D46637" w:rsidP="00D46637">
      <w:pPr>
        <w:pStyle w:val="TOC1"/>
        <w:tabs>
          <w:tab w:val="left" w:pos="450"/>
          <w:tab w:val="right" w:leader="dot" w:pos="8630"/>
        </w:tabs>
        <w:rPr>
          <w:rFonts w:asciiTheme="minorHAnsi" w:eastAsiaTheme="minorEastAsia" w:hAnsiTheme="minorHAnsi" w:cstheme="minorHAnsi"/>
          <w:noProof/>
          <w:kern w:val="2"/>
          <w14:ligatures w14:val="standardContextual"/>
        </w:rPr>
      </w:pPr>
      <w:hyperlink w:anchor="_Toc161312425" w:history="1">
        <w:r w:rsidRPr="00D46637">
          <w:rPr>
            <w:rStyle w:val="Hyperlink"/>
            <w:rFonts w:asciiTheme="minorHAnsi" w:hAnsiTheme="minorHAnsi" w:cstheme="minorHAnsi"/>
            <w:noProof/>
            <w:lang w:eastAsia="en-GB"/>
          </w:rPr>
          <w:t>XVII.</w:t>
        </w:r>
        <w:r w:rsidRPr="00D46637">
          <w:rPr>
            <w:rFonts w:asciiTheme="minorHAnsi" w:eastAsiaTheme="minorEastAsia" w:hAnsiTheme="minorHAnsi" w:cstheme="minorHAnsi"/>
            <w:noProof/>
            <w:kern w:val="2"/>
            <w14:ligatures w14:val="standardContextual"/>
          </w:rPr>
          <w:tab/>
        </w:r>
        <w:r w:rsidRPr="00D46637">
          <w:rPr>
            <w:rStyle w:val="Hyperlink"/>
            <w:rFonts w:asciiTheme="minorHAnsi" w:hAnsiTheme="minorHAnsi" w:cstheme="minorHAnsi"/>
            <w:noProof/>
            <w:lang w:eastAsia="en-GB"/>
          </w:rPr>
          <w:t>Medical Clearance</w:t>
        </w:r>
        <w:r w:rsidRPr="00D46637">
          <w:rPr>
            <w:rFonts w:asciiTheme="minorHAnsi" w:hAnsiTheme="minorHAnsi" w:cstheme="minorHAnsi"/>
            <w:noProof/>
            <w:webHidden/>
          </w:rPr>
          <w:tab/>
        </w:r>
        <w:r w:rsidRPr="00D46637">
          <w:rPr>
            <w:rFonts w:asciiTheme="minorHAnsi" w:hAnsiTheme="minorHAnsi" w:cstheme="minorHAnsi"/>
            <w:noProof/>
            <w:webHidden/>
          </w:rPr>
          <w:fldChar w:fldCharType="begin"/>
        </w:r>
        <w:r w:rsidRPr="00D46637">
          <w:rPr>
            <w:rFonts w:asciiTheme="minorHAnsi" w:hAnsiTheme="minorHAnsi" w:cstheme="minorHAnsi"/>
            <w:noProof/>
            <w:webHidden/>
          </w:rPr>
          <w:instrText xml:space="preserve"> PAGEREF _Toc161312425 \h </w:instrText>
        </w:r>
        <w:r w:rsidRPr="00D46637">
          <w:rPr>
            <w:rFonts w:asciiTheme="minorHAnsi" w:hAnsiTheme="minorHAnsi" w:cstheme="minorHAnsi"/>
            <w:noProof/>
            <w:webHidden/>
          </w:rPr>
        </w:r>
        <w:r w:rsidRPr="00D46637">
          <w:rPr>
            <w:rFonts w:asciiTheme="minorHAnsi" w:hAnsiTheme="minorHAnsi" w:cstheme="minorHAnsi"/>
            <w:noProof/>
            <w:webHidden/>
          </w:rPr>
          <w:fldChar w:fldCharType="separate"/>
        </w:r>
        <w:r w:rsidR="003B281E">
          <w:rPr>
            <w:rFonts w:asciiTheme="minorHAnsi" w:hAnsiTheme="minorHAnsi" w:cstheme="minorHAnsi"/>
            <w:noProof/>
            <w:webHidden/>
          </w:rPr>
          <w:t>14</w:t>
        </w:r>
        <w:r w:rsidRPr="00D46637">
          <w:rPr>
            <w:rFonts w:asciiTheme="minorHAnsi" w:hAnsiTheme="minorHAnsi" w:cstheme="minorHAnsi"/>
            <w:noProof/>
            <w:webHidden/>
          </w:rPr>
          <w:fldChar w:fldCharType="end"/>
        </w:r>
      </w:hyperlink>
    </w:p>
    <w:p w14:paraId="30BC53F8" w14:textId="2AE964BB" w:rsidR="00D46637" w:rsidRPr="00D46637" w:rsidRDefault="00D46637" w:rsidP="00D46637">
      <w:pPr>
        <w:pStyle w:val="TOC1"/>
        <w:tabs>
          <w:tab w:val="left" w:pos="360"/>
          <w:tab w:val="left" w:pos="540"/>
          <w:tab w:val="right" w:leader="dot" w:pos="8630"/>
        </w:tabs>
        <w:rPr>
          <w:rFonts w:asciiTheme="minorHAnsi" w:eastAsiaTheme="minorEastAsia" w:hAnsiTheme="minorHAnsi" w:cstheme="minorHAnsi"/>
          <w:noProof/>
          <w:kern w:val="2"/>
          <w14:ligatures w14:val="standardContextual"/>
        </w:rPr>
      </w:pPr>
      <w:hyperlink w:anchor="_Toc161312426" w:history="1">
        <w:r w:rsidRPr="00D46637">
          <w:rPr>
            <w:rStyle w:val="Hyperlink"/>
            <w:rFonts w:asciiTheme="minorHAnsi" w:hAnsiTheme="minorHAnsi" w:cstheme="minorHAnsi"/>
            <w:noProof/>
            <w:lang w:eastAsia="en-GB"/>
          </w:rPr>
          <w:t>XVIII.</w:t>
        </w:r>
        <w:r w:rsidRPr="00D46637">
          <w:rPr>
            <w:rFonts w:asciiTheme="minorHAnsi" w:eastAsiaTheme="minorEastAsia" w:hAnsiTheme="minorHAnsi" w:cstheme="minorHAnsi"/>
            <w:noProof/>
            <w:kern w:val="2"/>
            <w14:ligatures w14:val="standardContextual"/>
          </w:rPr>
          <w:tab/>
        </w:r>
        <w:r w:rsidRPr="00D46637">
          <w:rPr>
            <w:rStyle w:val="Hyperlink"/>
            <w:rFonts w:asciiTheme="minorHAnsi" w:hAnsiTheme="minorHAnsi" w:cstheme="minorHAnsi"/>
            <w:noProof/>
            <w:lang w:eastAsia="en-GB"/>
          </w:rPr>
          <w:t>Part-time work</w:t>
        </w:r>
        <w:r w:rsidRPr="00D46637">
          <w:rPr>
            <w:rFonts w:asciiTheme="minorHAnsi" w:hAnsiTheme="minorHAnsi" w:cstheme="minorHAnsi"/>
            <w:noProof/>
            <w:webHidden/>
          </w:rPr>
          <w:tab/>
        </w:r>
        <w:r w:rsidRPr="00D46637">
          <w:rPr>
            <w:rFonts w:asciiTheme="minorHAnsi" w:hAnsiTheme="minorHAnsi" w:cstheme="minorHAnsi"/>
            <w:noProof/>
            <w:webHidden/>
          </w:rPr>
          <w:fldChar w:fldCharType="begin"/>
        </w:r>
        <w:r w:rsidRPr="00D46637">
          <w:rPr>
            <w:rFonts w:asciiTheme="minorHAnsi" w:hAnsiTheme="minorHAnsi" w:cstheme="minorHAnsi"/>
            <w:noProof/>
            <w:webHidden/>
          </w:rPr>
          <w:instrText xml:space="preserve"> PAGEREF _Toc161312426 \h </w:instrText>
        </w:r>
        <w:r w:rsidRPr="00D46637">
          <w:rPr>
            <w:rFonts w:asciiTheme="minorHAnsi" w:hAnsiTheme="minorHAnsi" w:cstheme="minorHAnsi"/>
            <w:noProof/>
            <w:webHidden/>
          </w:rPr>
        </w:r>
        <w:r w:rsidRPr="00D46637">
          <w:rPr>
            <w:rFonts w:asciiTheme="minorHAnsi" w:hAnsiTheme="minorHAnsi" w:cstheme="minorHAnsi"/>
            <w:noProof/>
            <w:webHidden/>
          </w:rPr>
          <w:fldChar w:fldCharType="separate"/>
        </w:r>
        <w:r w:rsidR="003B281E">
          <w:rPr>
            <w:rFonts w:asciiTheme="minorHAnsi" w:hAnsiTheme="minorHAnsi" w:cstheme="minorHAnsi"/>
            <w:noProof/>
            <w:webHidden/>
          </w:rPr>
          <w:t>14</w:t>
        </w:r>
        <w:r w:rsidRPr="00D46637">
          <w:rPr>
            <w:rFonts w:asciiTheme="minorHAnsi" w:hAnsiTheme="minorHAnsi" w:cstheme="minorHAnsi"/>
            <w:noProof/>
            <w:webHidden/>
          </w:rPr>
          <w:fldChar w:fldCharType="end"/>
        </w:r>
      </w:hyperlink>
    </w:p>
    <w:p w14:paraId="43EE1979" w14:textId="7BFDC6C7" w:rsidR="00D46637" w:rsidRPr="00D46637" w:rsidRDefault="00D46637" w:rsidP="00D46637">
      <w:pPr>
        <w:pStyle w:val="TOC1"/>
        <w:tabs>
          <w:tab w:val="left" w:pos="540"/>
          <w:tab w:val="right" w:leader="dot" w:pos="8630"/>
        </w:tabs>
        <w:rPr>
          <w:rFonts w:asciiTheme="minorHAnsi" w:eastAsiaTheme="minorEastAsia" w:hAnsiTheme="minorHAnsi" w:cstheme="minorHAnsi"/>
          <w:noProof/>
          <w:kern w:val="2"/>
          <w14:ligatures w14:val="standardContextual"/>
        </w:rPr>
      </w:pPr>
      <w:hyperlink w:anchor="_Toc161312427" w:history="1">
        <w:r w:rsidRPr="00D46637">
          <w:rPr>
            <w:rStyle w:val="Hyperlink"/>
            <w:rFonts w:asciiTheme="minorHAnsi" w:hAnsiTheme="minorHAnsi" w:cstheme="minorHAnsi"/>
            <w:noProof/>
            <w:lang w:eastAsia="en-GB"/>
          </w:rPr>
          <w:t>XIX.</w:t>
        </w:r>
        <w:r w:rsidRPr="00D46637">
          <w:rPr>
            <w:rFonts w:asciiTheme="minorHAnsi" w:eastAsiaTheme="minorEastAsia" w:hAnsiTheme="minorHAnsi" w:cstheme="minorHAnsi"/>
            <w:noProof/>
            <w:kern w:val="2"/>
            <w14:ligatures w14:val="standardContextual"/>
          </w:rPr>
          <w:tab/>
        </w:r>
        <w:r w:rsidRPr="00D46637">
          <w:rPr>
            <w:rStyle w:val="Hyperlink"/>
            <w:rFonts w:asciiTheme="minorHAnsi" w:hAnsiTheme="minorHAnsi" w:cstheme="minorHAnsi"/>
            <w:noProof/>
            <w:lang w:eastAsia="en-GB"/>
          </w:rPr>
          <w:t>IPSA Extension, Expiration and Termination:</w:t>
        </w:r>
        <w:r w:rsidRPr="00D46637">
          <w:rPr>
            <w:rFonts w:asciiTheme="minorHAnsi" w:hAnsiTheme="minorHAnsi" w:cstheme="minorHAnsi"/>
            <w:noProof/>
            <w:webHidden/>
          </w:rPr>
          <w:tab/>
        </w:r>
        <w:r w:rsidRPr="00D46637">
          <w:rPr>
            <w:rFonts w:asciiTheme="minorHAnsi" w:hAnsiTheme="minorHAnsi" w:cstheme="minorHAnsi"/>
            <w:noProof/>
            <w:webHidden/>
          </w:rPr>
          <w:fldChar w:fldCharType="begin"/>
        </w:r>
        <w:r w:rsidRPr="00D46637">
          <w:rPr>
            <w:rFonts w:asciiTheme="minorHAnsi" w:hAnsiTheme="minorHAnsi" w:cstheme="minorHAnsi"/>
            <w:noProof/>
            <w:webHidden/>
          </w:rPr>
          <w:instrText xml:space="preserve"> PAGEREF _Toc161312427 \h </w:instrText>
        </w:r>
        <w:r w:rsidRPr="00D46637">
          <w:rPr>
            <w:rFonts w:asciiTheme="minorHAnsi" w:hAnsiTheme="minorHAnsi" w:cstheme="minorHAnsi"/>
            <w:noProof/>
            <w:webHidden/>
          </w:rPr>
        </w:r>
        <w:r w:rsidRPr="00D46637">
          <w:rPr>
            <w:rFonts w:asciiTheme="minorHAnsi" w:hAnsiTheme="minorHAnsi" w:cstheme="minorHAnsi"/>
            <w:noProof/>
            <w:webHidden/>
          </w:rPr>
          <w:fldChar w:fldCharType="separate"/>
        </w:r>
        <w:r w:rsidR="003B281E">
          <w:rPr>
            <w:rFonts w:asciiTheme="minorHAnsi" w:hAnsiTheme="minorHAnsi" w:cstheme="minorHAnsi"/>
            <w:noProof/>
            <w:webHidden/>
          </w:rPr>
          <w:t>14</w:t>
        </w:r>
        <w:r w:rsidRPr="00D46637">
          <w:rPr>
            <w:rFonts w:asciiTheme="minorHAnsi" w:hAnsiTheme="minorHAnsi" w:cstheme="minorHAnsi"/>
            <w:noProof/>
            <w:webHidden/>
          </w:rPr>
          <w:fldChar w:fldCharType="end"/>
        </w:r>
      </w:hyperlink>
    </w:p>
    <w:p w14:paraId="205422A2" w14:textId="6E95F296" w:rsidR="00D46637" w:rsidRPr="00D46637" w:rsidRDefault="00D46637" w:rsidP="00D46637">
      <w:pPr>
        <w:pStyle w:val="TOC1"/>
        <w:tabs>
          <w:tab w:val="left" w:pos="540"/>
          <w:tab w:val="right" w:leader="dot" w:pos="8630"/>
        </w:tabs>
        <w:rPr>
          <w:rFonts w:asciiTheme="minorHAnsi" w:eastAsiaTheme="minorEastAsia" w:hAnsiTheme="minorHAnsi" w:cstheme="minorHAnsi"/>
          <w:noProof/>
          <w:kern w:val="2"/>
          <w14:ligatures w14:val="standardContextual"/>
        </w:rPr>
      </w:pPr>
      <w:hyperlink w:anchor="_Toc161312428" w:history="1">
        <w:r w:rsidRPr="00D46637">
          <w:rPr>
            <w:rStyle w:val="Hyperlink"/>
            <w:rFonts w:asciiTheme="minorHAnsi" w:hAnsiTheme="minorHAnsi" w:cstheme="minorHAnsi"/>
            <w:noProof/>
            <w:lang w:eastAsia="en-GB"/>
          </w:rPr>
          <w:t>XX.</w:t>
        </w:r>
        <w:r w:rsidRPr="00D46637">
          <w:rPr>
            <w:rFonts w:asciiTheme="minorHAnsi" w:eastAsiaTheme="minorEastAsia" w:hAnsiTheme="minorHAnsi" w:cstheme="minorHAnsi"/>
            <w:noProof/>
            <w:kern w:val="2"/>
            <w14:ligatures w14:val="standardContextual"/>
          </w:rPr>
          <w:tab/>
        </w:r>
        <w:r w:rsidRPr="00D46637">
          <w:rPr>
            <w:rStyle w:val="Hyperlink"/>
            <w:rFonts w:asciiTheme="minorHAnsi" w:hAnsiTheme="minorHAnsi" w:cstheme="minorHAnsi"/>
            <w:noProof/>
            <w:lang w:eastAsia="en-GB"/>
          </w:rPr>
          <w:t>Remuneration Scales, Bands, and Remuneration setting for IPSAs</w:t>
        </w:r>
        <w:r w:rsidRPr="00D46637">
          <w:rPr>
            <w:rFonts w:asciiTheme="minorHAnsi" w:hAnsiTheme="minorHAnsi" w:cstheme="minorHAnsi"/>
            <w:noProof/>
            <w:webHidden/>
          </w:rPr>
          <w:tab/>
        </w:r>
        <w:r w:rsidRPr="00D46637">
          <w:rPr>
            <w:rFonts w:asciiTheme="minorHAnsi" w:hAnsiTheme="minorHAnsi" w:cstheme="minorHAnsi"/>
            <w:noProof/>
            <w:webHidden/>
          </w:rPr>
          <w:fldChar w:fldCharType="begin"/>
        </w:r>
        <w:r w:rsidRPr="00D46637">
          <w:rPr>
            <w:rFonts w:asciiTheme="minorHAnsi" w:hAnsiTheme="minorHAnsi" w:cstheme="minorHAnsi"/>
            <w:noProof/>
            <w:webHidden/>
          </w:rPr>
          <w:instrText xml:space="preserve"> PAGEREF _Toc161312428 \h </w:instrText>
        </w:r>
        <w:r w:rsidRPr="00D46637">
          <w:rPr>
            <w:rFonts w:asciiTheme="minorHAnsi" w:hAnsiTheme="minorHAnsi" w:cstheme="minorHAnsi"/>
            <w:noProof/>
            <w:webHidden/>
          </w:rPr>
        </w:r>
        <w:r w:rsidRPr="00D46637">
          <w:rPr>
            <w:rFonts w:asciiTheme="minorHAnsi" w:hAnsiTheme="minorHAnsi" w:cstheme="minorHAnsi"/>
            <w:noProof/>
            <w:webHidden/>
          </w:rPr>
          <w:fldChar w:fldCharType="separate"/>
        </w:r>
        <w:r w:rsidR="003B281E">
          <w:rPr>
            <w:rFonts w:asciiTheme="minorHAnsi" w:hAnsiTheme="minorHAnsi" w:cstheme="minorHAnsi"/>
            <w:noProof/>
            <w:webHidden/>
          </w:rPr>
          <w:t>16</w:t>
        </w:r>
        <w:r w:rsidRPr="00D46637">
          <w:rPr>
            <w:rFonts w:asciiTheme="minorHAnsi" w:hAnsiTheme="minorHAnsi" w:cstheme="minorHAnsi"/>
            <w:noProof/>
            <w:webHidden/>
          </w:rPr>
          <w:fldChar w:fldCharType="end"/>
        </w:r>
      </w:hyperlink>
    </w:p>
    <w:p w14:paraId="56C15500" w14:textId="4F2927D6" w:rsidR="00D46637" w:rsidRPr="00D46637" w:rsidRDefault="00D46637" w:rsidP="00D46637">
      <w:pPr>
        <w:pStyle w:val="TOC1"/>
        <w:tabs>
          <w:tab w:val="left" w:pos="540"/>
          <w:tab w:val="right" w:leader="dot" w:pos="8630"/>
        </w:tabs>
        <w:rPr>
          <w:rFonts w:asciiTheme="minorHAnsi" w:eastAsiaTheme="minorEastAsia" w:hAnsiTheme="minorHAnsi" w:cstheme="minorHAnsi"/>
          <w:noProof/>
          <w:kern w:val="2"/>
          <w14:ligatures w14:val="standardContextual"/>
        </w:rPr>
      </w:pPr>
      <w:hyperlink w:anchor="_Toc161312429" w:history="1">
        <w:r w:rsidRPr="00D46637">
          <w:rPr>
            <w:rStyle w:val="Hyperlink"/>
            <w:rFonts w:asciiTheme="minorHAnsi" w:hAnsiTheme="minorHAnsi" w:cstheme="minorHAnsi"/>
            <w:noProof/>
            <w:lang w:eastAsia="en-GB"/>
          </w:rPr>
          <w:t>XXI.</w:t>
        </w:r>
        <w:r w:rsidRPr="00D46637">
          <w:rPr>
            <w:rFonts w:asciiTheme="minorHAnsi" w:eastAsiaTheme="minorEastAsia" w:hAnsiTheme="minorHAnsi" w:cstheme="minorHAnsi"/>
            <w:noProof/>
            <w:kern w:val="2"/>
            <w14:ligatures w14:val="standardContextual"/>
          </w:rPr>
          <w:tab/>
        </w:r>
        <w:r w:rsidRPr="00D46637">
          <w:rPr>
            <w:rStyle w:val="Hyperlink"/>
            <w:rFonts w:asciiTheme="minorHAnsi" w:hAnsiTheme="minorHAnsi" w:cstheme="minorHAnsi"/>
            <w:noProof/>
            <w:lang w:eastAsia="en-GB"/>
          </w:rPr>
          <w:t>Recourse/Settlement of disputes</w:t>
        </w:r>
        <w:r w:rsidRPr="00D46637">
          <w:rPr>
            <w:rFonts w:asciiTheme="minorHAnsi" w:hAnsiTheme="minorHAnsi" w:cstheme="minorHAnsi"/>
            <w:noProof/>
            <w:webHidden/>
          </w:rPr>
          <w:tab/>
        </w:r>
        <w:r w:rsidRPr="00D46637">
          <w:rPr>
            <w:rFonts w:asciiTheme="minorHAnsi" w:hAnsiTheme="minorHAnsi" w:cstheme="minorHAnsi"/>
            <w:noProof/>
            <w:webHidden/>
          </w:rPr>
          <w:fldChar w:fldCharType="begin"/>
        </w:r>
        <w:r w:rsidRPr="00D46637">
          <w:rPr>
            <w:rFonts w:asciiTheme="minorHAnsi" w:hAnsiTheme="minorHAnsi" w:cstheme="minorHAnsi"/>
            <w:noProof/>
            <w:webHidden/>
          </w:rPr>
          <w:instrText xml:space="preserve"> PAGEREF _Toc161312429 \h </w:instrText>
        </w:r>
        <w:r w:rsidRPr="00D46637">
          <w:rPr>
            <w:rFonts w:asciiTheme="minorHAnsi" w:hAnsiTheme="minorHAnsi" w:cstheme="minorHAnsi"/>
            <w:noProof/>
            <w:webHidden/>
          </w:rPr>
        </w:r>
        <w:r w:rsidRPr="00D46637">
          <w:rPr>
            <w:rFonts w:asciiTheme="minorHAnsi" w:hAnsiTheme="minorHAnsi" w:cstheme="minorHAnsi"/>
            <w:noProof/>
            <w:webHidden/>
          </w:rPr>
          <w:fldChar w:fldCharType="separate"/>
        </w:r>
        <w:r w:rsidR="003B281E">
          <w:rPr>
            <w:rFonts w:asciiTheme="minorHAnsi" w:hAnsiTheme="minorHAnsi" w:cstheme="minorHAnsi"/>
            <w:noProof/>
            <w:webHidden/>
          </w:rPr>
          <w:t>18</w:t>
        </w:r>
        <w:r w:rsidRPr="00D46637">
          <w:rPr>
            <w:rFonts w:asciiTheme="minorHAnsi" w:hAnsiTheme="minorHAnsi" w:cstheme="minorHAnsi"/>
            <w:noProof/>
            <w:webHidden/>
          </w:rPr>
          <w:fldChar w:fldCharType="end"/>
        </w:r>
      </w:hyperlink>
    </w:p>
    <w:p w14:paraId="51E6CB06" w14:textId="2E0164F4" w:rsidR="00D46637" w:rsidRPr="00D46637" w:rsidRDefault="00D46637" w:rsidP="00D46637">
      <w:pPr>
        <w:pStyle w:val="TOC1"/>
        <w:tabs>
          <w:tab w:val="left" w:pos="540"/>
          <w:tab w:val="left" w:pos="880"/>
          <w:tab w:val="right" w:leader="dot" w:pos="8630"/>
        </w:tabs>
        <w:rPr>
          <w:rFonts w:asciiTheme="minorHAnsi" w:eastAsiaTheme="minorEastAsia" w:hAnsiTheme="minorHAnsi" w:cstheme="minorHAnsi"/>
          <w:noProof/>
          <w:kern w:val="2"/>
          <w14:ligatures w14:val="standardContextual"/>
        </w:rPr>
      </w:pPr>
      <w:hyperlink w:anchor="_Toc161312430" w:history="1">
        <w:r w:rsidRPr="00D46637">
          <w:rPr>
            <w:rStyle w:val="Hyperlink"/>
            <w:rFonts w:asciiTheme="minorHAnsi" w:hAnsiTheme="minorHAnsi" w:cstheme="minorHAnsi"/>
            <w:noProof/>
            <w:lang w:eastAsia="en-GB"/>
          </w:rPr>
          <w:t>XXII.</w:t>
        </w:r>
        <w:r w:rsidRPr="00D46637">
          <w:rPr>
            <w:rFonts w:asciiTheme="minorHAnsi" w:eastAsiaTheme="minorEastAsia" w:hAnsiTheme="minorHAnsi" w:cstheme="minorHAnsi"/>
            <w:noProof/>
            <w:kern w:val="2"/>
            <w14:ligatures w14:val="standardContextual"/>
          </w:rPr>
          <w:tab/>
        </w:r>
        <w:r w:rsidRPr="00D46637">
          <w:rPr>
            <w:rStyle w:val="Hyperlink"/>
            <w:rFonts w:asciiTheme="minorHAnsi" w:hAnsiTheme="minorHAnsi" w:cstheme="minorHAnsi"/>
            <w:noProof/>
            <w:lang w:eastAsia="en-GB"/>
          </w:rPr>
          <w:t>Overtime</w:t>
        </w:r>
        <w:r w:rsidRPr="00D46637">
          <w:rPr>
            <w:rFonts w:asciiTheme="minorHAnsi" w:hAnsiTheme="minorHAnsi" w:cstheme="minorHAnsi"/>
            <w:noProof/>
            <w:webHidden/>
          </w:rPr>
          <w:tab/>
        </w:r>
        <w:r w:rsidRPr="00D46637">
          <w:rPr>
            <w:rFonts w:asciiTheme="minorHAnsi" w:hAnsiTheme="minorHAnsi" w:cstheme="minorHAnsi"/>
            <w:noProof/>
            <w:webHidden/>
          </w:rPr>
          <w:fldChar w:fldCharType="begin"/>
        </w:r>
        <w:r w:rsidRPr="00D46637">
          <w:rPr>
            <w:rFonts w:asciiTheme="minorHAnsi" w:hAnsiTheme="minorHAnsi" w:cstheme="minorHAnsi"/>
            <w:noProof/>
            <w:webHidden/>
          </w:rPr>
          <w:instrText xml:space="preserve"> PAGEREF _Toc161312430 \h </w:instrText>
        </w:r>
        <w:r w:rsidRPr="00D46637">
          <w:rPr>
            <w:rFonts w:asciiTheme="minorHAnsi" w:hAnsiTheme="minorHAnsi" w:cstheme="minorHAnsi"/>
            <w:noProof/>
            <w:webHidden/>
          </w:rPr>
        </w:r>
        <w:r w:rsidRPr="00D46637">
          <w:rPr>
            <w:rFonts w:asciiTheme="minorHAnsi" w:hAnsiTheme="minorHAnsi" w:cstheme="minorHAnsi"/>
            <w:noProof/>
            <w:webHidden/>
          </w:rPr>
          <w:fldChar w:fldCharType="separate"/>
        </w:r>
        <w:r w:rsidR="003B281E">
          <w:rPr>
            <w:rFonts w:asciiTheme="minorHAnsi" w:hAnsiTheme="minorHAnsi" w:cstheme="minorHAnsi"/>
            <w:noProof/>
            <w:webHidden/>
          </w:rPr>
          <w:t>19</w:t>
        </w:r>
        <w:r w:rsidRPr="00D46637">
          <w:rPr>
            <w:rFonts w:asciiTheme="minorHAnsi" w:hAnsiTheme="minorHAnsi" w:cstheme="minorHAnsi"/>
            <w:noProof/>
            <w:webHidden/>
          </w:rPr>
          <w:fldChar w:fldCharType="end"/>
        </w:r>
      </w:hyperlink>
    </w:p>
    <w:p w14:paraId="1E077FD8" w14:textId="7F849273" w:rsidR="00D46637" w:rsidRPr="00D46637" w:rsidRDefault="00D46637" w:rsidP="00D46637">
      <w:pPr>
        <w:pStyle w:val="TOC1"/>
        <w:tabs>
          <w:tab w:val="left" w:pos="540"/>
          <w:tab w:val="left" w:pos="880"/>
          <w:tab w:val="right" w:leader="dot" w:pos="8630"/>
        </w:tabs>
        <w:rPr>
          <w:rFonts w:asciiTheme="minorHAnsi" w:eastAsiaTheme="minorEastAsia" w:hAnsiTheme="minorHAnsi" w:cstheme="minorHAnsi"/>
          <w:noProof/>
          <w:kern w:val="2"/>
          <w14:ligatures w14:val="standardContextual"/>
        </w:rPr>
      </w:pPr>
      <w:hyperlink w:anchor="_Toc161312431" w:history="1">
        <w:r w:rsidRPr="00D46637">
          <w:rPr>
            <w:rStyle w:val="Hyperlink"/>
            <w:rFonts w:asciiTheme="minorHAnsi" w:hAnsiTheme="minorHAnsi" w:cstheme="minorHAnsi"/>
            <w:noProof/>
            <w:lang w:eastAsia="en-GB"/>
          </w:rPr>
          <w:t>XXIII.</w:t>
        </w:r>
        <w:r w:rsidRPr="00D46637">
          <w:rPr>
            <w:rFonts w:asciiTheme="minorHAnsi" w:eastAsiaTheme="minorEastAsia" w:hAnsiTheme="minorHAnsi" w:cstheme="minorHAnsi"/>
            <w:noProof/>
            <w:kern w:val="2"/>
            <w14:ligatures w14:val="standardContextual"/>
          </w:rPr>
          <w:tab/>
        </w:r>
        <w:r w:rsidRPr="00D46637">
          <w:rPr>
            <w:rStyle w:val="Hyperlink"/>
            <w:rFonts w:asciiTheme="minorHAnsi" w:hAnsiTheme="minorHAnsi" w:cstheme="minorHAnsi"/>
            <w:noProof/>
            <w:lang w:eastAsia="en-GB"/>
          </w:rPr>
          <w:t>Hardship and Danger Allowance</w:t>
        </w:r>
        <w:r w:rsidRPr="00D46637">
          <w:rPr>
            <w:rFonts w:asciiTheme="minorHAnsi" w:hAnsiTheme="minorHAnsi" w:cstheme="minorHAnsi"/>
            <w:noProof/>
            <w:webHidden/>
          </w:rPr>
          <w:tab/>
        </w:r>
        <w:r w:rsidRPr="00D46637">
          <w:rPr>
            <w:rFonts w:asciiTheme="minorHAnsi" w:hAnsiTheme="minorHAnsi" w:cstheme="minorHAnsi"/>
            <w:noProof/>
            <w:webHidden/>
          </w:rPr>
          <w:fldChar w:fldCharType="begin"/>
        </w:r>
        <w:r w:rsidRPr="00D46637">
          <w:rPr>
            <w:rFonts w:asciiTheme="minorHAnsi" w:hAnsiTheme="minorHAnsi" w:cstheme="minorHAnsi"/>
            <w:noProof/>
            <w:webHidden/>
          </w:rPr>
          <w:instrText xml:space="preserve"> PAGEREF _Toc161312431 \h </w:instrText>
        </w:r>
        <w:r w:rsidRPr="00D46637">
          <w:rPr>
            <w:rFonts w:asciiTheme="minorHAnsi" w:hAnsiTheme="minorHAnsi" w:cstheme="minorHAnsi"/>
            <w:noProof/>
            <w:webHidden/>
          </w:rPr>
        </w:r>
        <w:r w:rsidRPr="00D46637">
          <w:rPr>
            <w:rFonts w:asciiTheme="minorHAnsi" w:hAnsiTheme="minorHAnsi" w:cstheme="minorHAnsi"/>
            <w:noProof/>
            <w:webHidden/>
          </w:rPr>
          <w:fldChar w:fldCharType="separate"/>
        </w:r>
        <w:r w:rsidR="003B281E">
          <w:rPr>
            <w:rFonts w:asciiTheme="minorHAnsi" w:hAnsiTheme="minorHAnsi" w:cstheme="minorHAnsi"/>
            <w:noProof/>
            <w:webHidden/>
          </w:rPr>
          <w:t>19</w:t>
        </w:r>
        <w:r w:rsidRPr="00D46637">
          <w:rPr>
            <w:rFonts w:asciiTheme="minorHAnsi" w:hAnsiTheme="minorHAnsi" w:cstheme="minorHAnsi"/>
            <w:noProof/>
            <w:webHidden/>
          </w:rPr>
          <w:fldChar w:fldCharType="end"/>
        </w:r>
      </w:hyperlink>
    </w:p>
    <w:p w14:paraId="20C05311" w14:textId="34217F57" w:rsidR="00D46637" w:rsidRPr="00D46637" w:rsidRDefault="00D46637" w:rsidP="00D46637">
      <w:pPr>
        <w:pStyle w:val="TOC1"/>
        <w:tabs>
          <w:tab w:val="left" w:pos="540"/>
          <w:tab w:val="left" w:pos="880"/>
          <w:tab w:val="right" w:leader="dot" w:pos="8630"/>
        </w:tabs>
        <w:rPr>
          <w:rFonts w:asciiTheme="minorHAnsi" w:eastAsiaTheme="minorEastAsia" w:hAnsiTheme="minorHAnsi" w:cstheme="minorHAnsi"/>
          <w:noProof/>
          <w:kern w:val="2"/>
          <w14:ligatures w14:val="standardContextual"/>
        </w:rPr>
      </w:pPr>
      <w:hyperlink w:anchor="_Toc161312432" w:history="1">
        <w:r w:rsidRPr="00D46637">
          <w:rPr>
            <w:rStyle w:val="Hyperlink"/>
            <w:rFonts w:asciiTheme="minorHAnsi" w:hAnsiTheme="minorHAnsi" w:cstheme="minorHAnsi"/>
            <w:noProof/>
            <w:lang w:eastAsia="en-GB"/>
          </w:rPr>
          <w:t>XXIV.</w:t>
        </w:r>
        <w:r w:rsidRPr="00D46637">
          <w:rPr>
            <w:rFonts w:asciiTheme="minorHAnsi" w:eastAsiaTheme="minorEastAsia" w:hAnsiTheme="minorHAnsi" w:cstheme="minorHAnsi"/>
            <w:noProof/>
            <w:kern w:val="2"/>
            <w14:ligatures w14:val="standardContextual"/>
          </w:rPr>
          <w:tab/>
        </w:r>
        <w:r w:rsidRPr="00D46637">
          <w:rPr>
            <w:rStyle w:val="Hyperlink"/>
            <w:rFonts w:asciiTheme="minorHAnsi" w:hAnsiTheme="minorHAnsi" w:cstheme="minorHAnsi"/>
            <w:noProof/>
            <w:lang w:eastAsia="en-GB"/>
          </w:rPr>
          <w:t>IPSA Remuneration Advances</w:t>
        </w:r>
        <w:r w:rsidRPr="00D46637">
          <w:rPr>
            <w:rFonts w:asciiTheme="minorHAnsi" w:hAnsiTheme="minorHAnsi" w:cstheme="minorHAnsi"/>
            <w:noProof/>
            <w:webHidden/>
          </w:rPr>
          <w:tab/>
        </w:r>
        <w:r w:rsidRPr="00D46637">
          <w:rPr>
            <w:rFonts w:asciiTheme="minorHAnsi" w:hAnsiTheme="minorHAnsi" w:cstheme="minorHAnsi"/>
            <w:noProof/>
            <w:webHidden/>
          </w:rPr>
          <w:fldChar w:fldCharType="begin"/>
        </w:r>
        <w:r w:rsidRPr="00D46637">
          <w:rPr>
            <w:rFonts w:asciiTheme="minorHAnsi" w:hAnsiTheme="minorHAnsi" w:cstheme="minorHAnsi"/>
            <w:noProof/>
            <w:webHidden/>
          </w:rPr>
          <w:instrText xml:space="preserve"> PAGEREF _Toc161312432 \h </w:instrText>
        </w:r>
        <w:r w:rsidRPr="00D46637">
          <w:rPr>
            <w:rFonts w:asciiTheme="minorHAnsi" w:hAnsiTheme="minorHAnsi" w:cstheme="minorHAnsi"/>
            <w:noProof/>
            <w:webHidden/>
          </w:rPr>
        </w:r>
        <w:r w:rsidRPr="00D46637">
          <w:rPr>
            <w:rFonts w:asciiTheme="minorHAnsi" w:hAnsiTheme="minorHAnsi" w:cstheme="minorHAnsi"/>
            <w:noProof/>
            <w:webHidden/>
          </w:rPr>
          <w:fldChar w:fldCharType="separate"/>
        </w:r>
        <w:r w:rsidR="003B281E">
          <w:rPr>
            <w:rFonts w:asciiTheme="minorHAnsi" w:hAnsiTheme="minorHAnsi" w:cstheme="minorHAnsi"/>
            <w:noProof/>
            <w:webHidden/>
          </w:rPr>
          <w:t>19</w:t>
        </w:r>
        <w:r w:rsidRPr="00D46637">
          <w:rPr>
            <w:rFonts w:asciiTheme="minorHAnsi" w:hAnsiTheme="minorHAnsi" w:cstheme="minorHAnsi"/>
            <w:noProof/>
            <w:webHidden/>
          </w:rPr>
          <w:fldChar w:fldCharType="end"/>
        </w:r>
      </w:hyperlink>
    </w:p>
    <w:p w14:paraId="0D3F859A" w14:textId="2FC90A4F" w:rsidR="00D46637" w:rsidRPr="00D46637" w:rsidRDefault="00D46637" w:rsidP="00D46637">
      <w:pPr>
        <w:pStyle w:val="TOC1"/>
        <w:tabs>
          <w:tab w:val="left" w:pos="540"/>
          <w:tab w:val="left" w:pos="880"/>
          <w:tab w:val="right" w:leader="dot" w:pos="8630"/>
        </w:tabs>
        <w:rPr>
          <w:rFonts w:asciiTheme="minorHAnsi" w:eastAsiaTheme="minorEastAsia" w:hAnsiTheme="minorHAnsi" w:cstheme="minorHAnsi"/>
          <w:noProof/>
          <w:kern w:val="2"/>
          <w14:ligatures w14:val="standardContextual"/>
        </w:rPr>
      </w:pPr>
      <w:hyperlink w:anchor="_Toc161312433" w:history="1">
        <w:r w:rsidRPr="00D46637">
          <w:rPr>
            <w:rStyle w:val="Hyperlink"/>
            <w:rFonts w:asciiTheme="minorHAnsi" w:hAnsiTheme="minorHAnsi" w:cstheme="minorHAnsi"/>
            <w:noProof/>
            <w:lang w:eastAsia="en-GB"/>
          </w:rPr>
          <w:t>XXV.</w:t>
        </w:r>
        <w:r w:rsidRPr="00D46637">
          <w:rPr>
            <w:rFonts w:asciiTheme="minorHAnsi" w:eastAsiaTheme="minorEastAsia" w:hAnsiTheme="minorHAnsi" w:cstheme="minorHAnsi"/>
            <w:noProof/>
            <w:kern w:val="2"/>
            <w14:ligatures w14:val="standardContextual"/>
          </w:rPr>
          <w:tab/>
        </w:r>
        <w:r w:rsidRPr="00D46637">
          <w:rPr>
            <w:rStyle w:val="Hyperlink"/>
            <w:rFonts w:asciiTheme="minorHAnsi" w:hAnsiTheme="minorHAnsi" w:cstheme="minorHAnsi"/>
            <w:noProof/>
            <w:lang w:eastAsia="en-GB"/>
          </w:rPr>
          <w:t>Mandatory subsidized coverage not commutable to cash</w:t>
        </w:r>
        <w:r w:rsidRPr="00D46637">
          <w:rPr>
            <w:rFonts w:asciiTheme="minorHAnsi" w:hAnsiTheme="minorHAnsi" w:cstheme="minorHAnsi"/>
            <w:noProof/>
            <w:webHidden/>
          </w:rPr>
          <w:tab/>
        </w:r>
        <w:r w:rsidRPr="00D46637">
          <w:rPr>
            <w:rFonts w:asciiTheme="minorHAnsi" w:hAnsiTheme="minorHAnsi" w:cstheme="minorHAnsi"/>
            <w:noProof/>
            <w:webHidden/>
          </w:rPr>
          <w:fldChar w:fldCharType="begin"/>
        </w:r>
        <w:r w:rsidRPr="00D46637">
          <w:rPr>
            <w:rFonts w:asciiTheme="minorHAnsi" w:hAnsiTheme="minorHAnsi" w:cstheme="minorHAnsi"/>
            <w:noProof/>
            <w:webHidden/>
          </w:rPr>
          <w:instrText xml:space="preserve"> PAGEREF _Toc161312433 \h </w:instrText>
        </w:r>
        <w:r w:rsidRPr="00D46637">
          <w:rPr>
            <w:rFonts w:asciiTheme="minorHAnsi" w:hAnsiTheme="minorHAnsi" w:cstheme="minorHAnsi"/>
            <w:noProof/>
            <w:webHidden/>
          </w:rPr>
        </w:r>
        <w:r w:rsidRPr="00D46637">
          <w:rPr>
            <w:rFonts w:asciiTheme="minorHAnsi" w:hAnsiTheme="minorHAnsi" w:cstheme="minorHAnsi"/>
            <w:noProof/>
            <w:webHidden/>
          </w:rPr>
          <w:fldChar w:fldCharType="separate"/>
        </w:r>
        <w:r w:rsidR="003B281E">
          <w:rPr>
            <w:rFonts w:asciiTheme="minorHAnsi" w:hAnsiTheme="minorHAnsi" w:cstheme="minorHAnsi"/>
            <w:noProof/>
            <w:webHidden/>
          </w:rPr>
          <w:t>20</w:t>
        </w:r>
        <w:r w:rsidRPr="00D46637">
          <w:rPr>
            <w:rFonts w:asciiTheme="minorHAnsi" w:hAnsiTheme="minorHAnsi" w:cstheme="minorHAnsi"/>
            <w:noProof/>
            <w:webHidden/>
          </w:rPr>
          <w:fldChar w:fldCharType="end"/>
        </w:r>
      </w:hyperlink>
    </w:p>
    <w:p w14:paraId="58F510ED" w14:textId="7646430A" w:rsidR="00D46637" w:rsidRPr="00D46637" w:rsidRDefault="00D46637" w:rsidP="00D46637">
      <w:pPr>
        <w:pStyle w:val="TOC1"/>
        <w:tabs>
          <w:tab w:val="left" w:pos="630"/>
          <w:tab w:val="right" w:leader="dot" w:pos="8630"/>
        </w:tabs>
        <w:rPr>
          <w:rFonts w:asciiTheme="minorHAnsi" w:eastAsiaTheme="minorEastAsia" w:hAnsiTheme="minorHAnsi" w:cstheme="minorHAnsi"/>
          <w:noProof/>
          <w:kern w:val="2"/>
          <w14:ligatures w14:val="standardContextual"/>
        </w:rPr>
      </w:pPr>
      <w:hyperlink w:anchor="_Toc161312434" w:history="1">
        <w:r w:rsidRPr="00D46637">
          <w:rPr>
            <w:rStyle w:val="Hyperlink"/>
            <w:rFonts w:asciiTheme="minorHAnsi" w:hAnsiTheme="minorHAnsi" w:cstheme="minorHAnsi"/>
            <w:noProof/>
            <w:lang w:eastAsia="en-GB"/>
          </w:rPr>
          <w:t>XXVI.</w:t>
        </w:r>
        <w:r w:rsidRPr="00D46637">
          <w:rPr>
            <w:rFonts w:asciiTheme="minorHAnsi" w:eastAsiaTheme="minorEastAsia" w:hAnsiTheme="minorHAnsi" w:cstheme="minorHAnsi"/>
            <w:noProof/>
            <w:kern w:val="2"/>
            <w14:ligatures w14:val="standardContextual"/>
          </w:rPr>
          <w:tab/>
        </w:r>
        <w:r w:rsidRPr="00D46637">
          <w:rPr>
            <w:rStyle w:val="Hyperlink"/>
            <w:rFonts w:asciiTheme="minorHAnsi" w:hAnsiTheme="minorHAnsi" w:cstheme="minorHAnsi"/>
            <w:noProof/>
            <w:lang w:eastAsia="en-GB"/>
          </w:rPr>
          <w:t>Mandatory partially subsidized (lump sum) coverage not commutable to cash</w:t>
        </w:r>
        <w:r w:rsidRPr="00D46637">
          <w:rPr>
            <w:rFonts w:asciiTheme="minorHAnsi" w:hAnsiTheme="minorHAnsi" w:cstheme="minorHAnsi"/>
            <w:noProof/>
            <w:webHidden/>
          </w:rPr>
          <w:tab/>
        </w:r>
        <w:r w:rsidRPr="00D46637">
          <w:rPr>
            <w:rFonts w:asciiTheme="minorHAnsi" w:hAnsiTheme="minorHAnsi" w:cstheme="minorHAnsi"/>
            <w:noProof/>
            <w:webHidden/>
          </w:rPr>
          <w:fldChar w:fldCharType="begin"/>
        </w:r>
        <w:r w:rsidRPr="00D46637">
          <w:rPr>
            <w:rFonts w:asciiTheme="minorHAnsi" w:hAnsiTheme="minorHAnsi" w:cstheme="minorHAnsi"/>
            <w:noProof/>
            <w:webHidden/>
          </w:rPr>
          <w:instrText xml:space="preserve"> PAGEREF _Toc161312434 \h </w:instrText>
        </w:r>
        <w:r w:rsidRPr="00D46637">
          <w:rPr>
            <w:rFonts w:asciiTheme="minorHAnsi" w:hAnsiTheme="minorHAnsi" w:cstheme="minorHAnsi"/>
            <w:noProof/>
            <w:webHidden/>
          </w:rPr>
        </w:r>
        <w:r w:rsidRPr="00D46637">
          <w:rPr>
            <w:rFonts w:asciiTheme="minorHAnsi" w:hAnsiTheme="minorHAnsi" w:cstheme="minorHAnsi"/>
            <w:noProof/>
            <w:webHidden/>
          </w:rPr>
          <w:fldChar w:fldCharType="separate"/>
        </w:r>
        <w:r w:rsidR="003B281E">
          <w:rPr>
            <w:rFonts w:asciiTheme="minorHAnsi" w:hAnsiTheme="minorHAnsi" w:cstheme="minorHAnsi"/>
            <w:noProof/>
            <w:webHidden/>
          </w:rPr>
          <w:t>21</w:t>
        </w:r>
        <w:r w:rsidRPr="00D46637">
          <w:rPr>
            <w:rFonts w:asciiTheme="minorHAnsi" w:hAnsiTheme="minorHAnsi" w:cstheme="minorHAnsi"/>
            <w:noProof/>
            <w:webHidden/>
          </w:rPr>
          <w:fldChar w:fldCharType="end"/>
        </w:r>
      </w:hyperlink>
    </w:p>
    <w:p w14:paraId="4C9745D7" w14:textId="041EEA47" w:rsidR="00D46637" w:rsidRPr="00D46637" w:rsidRDefault="00D46637" w:rsidP="00D46637">
      <w:pPr>
        <w:pStyle w:val="TOC1"/>
        <w:tabs>
          <w:tab w:val="left" w:pos="630"/>
          <w:tab w:val="right" w:leader="dot" w:pos="8630"/>
        </w:tabs>
        <w:rPr>
          <w:rFonts w:asciiTheme="minorHAnsi" w:eastAsiaTheme="minorEastAsia" w:hAnsiTheme="minorHAnsi" w:cstheme="minorHAnsi"/>
          <w:noProof/>
          <w:kern w:val="2"/>
          <w14:ligatures w14:val="standardContextual"/>
        </w:rPr>
      </w:pPr>
      <w:hyperlink w:anchor="_Toc161312435" w:history="1">
        <w:r w:rsidRPr="00D46637">
          <w:rPr>
            <w:rStyle w:val="Hyperlink"/>
            <w:rFonts w:asciiTheme="minorHAnsi" w:hAnsiTheme="minorHAnsi" w:cstheme="minorHAnsi"/>
            <w:noProof/>
            <w:lang w:eastAsia="en-GB"/>
          </w:rPr>
          <w:t>XXVII.</w:t>
        </w:r>
        <w:r w:rsidRPr="00D46637">
          <w:rPr>
            <w:rFonts w:asciiTheme="minorHAnsi" w:eastAsiaTheme="minorEastAsia" w:hAnsiTheme="minorHAnsi" w:cstheme="minorHAnsi"/>
            <w:noProof/>
            <w:kern w:val="2"/>
            <w14:ligatures w14:val="standardContextual"/>
          </w:rPr>
          <w:tab/>
        </w:r>
        <w:r w:rsidRPr="00D46637">
          <w:rPr>
            <w:rStyle w:val="Hyperlink"/>
            <w:rFonts w:asciiTheme="minorHAnsi" w:hAnsiTheme="minorHAnsi" w:cstheme="minorHAnsi"/>
            <w:noProof/>
            <w:lang w:eastAsia="en-GB"/>
          </w:rPr>
          <w:t>Non subsidized coverages</w:t>
        </w:r>
        <w:r w:rsidRPr="00D46637">
          <w:rPr>
            <w:rFonts w:asciiTheme="minorHAnsi" w:hAnsiTheme="minorHAnsi" w:cstheme="minorHAnsi"/>
            <w:noProof/>
            <w:webHidden/>
          </w:rPr>
          <w:tab/>
        </w:r>
        <w:r w:rsidRPr="00D46637">
          <w:rPr>
            <w:rFonts w:asciiTheme="minorHAnsi" w:hAnsiTheme="minorHAnsi" w:cstheme="minorHAnsi"/>
            <w:noProof/>
            <w:webHidden/>
          </w:rPr>
          <w:fldChar w:fldCharType="begin"/>
        </w:r>
        <w:r w:rsidRPr="00D46637">
          <w:rPr>
            <w:rFonts w:asciiTheme="minorHAnsi" w:hAnsiTheme="minorHAnsi" w:cstheme="minorHAnsi"/>
            <w:noProof/>
            <w:webHidden/>
          </w:rPr>
          <w:instrText xml:space="preserve"> PAGEREF _Toc161312435 \h </w:instrText>
        </w:r>
        <w:r w:rsidRPr="00D46637">
          <w:rPr>
            <w:rFonts w:asciiTheme="minorHAnsi" w:hAnsiTheme="minorHAnsi" w:cstheme="minorHAnsi"/>
            <w:noProof/>
            <w:webHidden/>
          </w:rPr>
        </w:r>
        <w:r w:rsidRPr="00D46637">
          <w:rPr>
            <w:rFonts w:asciiTheme="minorHAnsi" w:hAnsiTheme="minorHAnsi" w:cstheme="minorHAnsi"/>
            <w:noProof/>
            <w:webHidden/>
          </w:rPr>
          <w:fldChar w:fldCharType="separate"/>
        </w:r>
        <w:r w:rsidR="003B281E">
          <w:rPr>
            <w:rFonts w:asciiTheme="minorHAnsi" w:hAnsiTheme="minorHAnsi" w:cstheme="minorHAnsi"/>
            <w:noProof/>
            <w:webHidden/>
          </w:rPr>
          <w:t>21</w:t>
        </w:r>
        <w:r w:rsidRPr="00D46637">
          <w:rPr>
            <w:rFonts w:asciiTheme="minorHAnsi" w:hAnsiTheme="minorHAnsi" w:cstheme="minorHAnsi"/>
            <w:noProof/>
            <w:webHidden/>
          </w:rPr>
          <w:fldChar w:fldCharType="end"/>
        </w:r>
      </w:hyperlink>
    </w:p>
    <w:p w14:paraId="625F189A" w14:textId="30684C00" w:rsidR="00D46637" w:rsidRPr="00D46637" w:rsidRDefault="00D46637" w:rsidP="00D46637">
      <w:pPr>
        <w:pStyle w:val="TOC1"/>
        <w:tabs>
          <w:tab w:val="left" w:pos="630"/>
          <w:tab w:val="left" w:pos="1100"/>
          <w:tab w:val="right" w:leader="dot" w:pos="8630"/>
        </w:tabs>
        <w:rPr>
          <w:rFonts w:asciiTheme="minorHAnsi" w:eastAsiaTheme="minorEastAsia" w:hAnsiTheme="minorHAnsi" w:cstheme="minorHAnsi"/>
          <w:noProof/>
          <w:kern w:val="2"/>
          <w14:ligatures w14:val="standardContextual"/>
        </w:rPr>
      </w:pPr>
      <w:hyperlink w:anchor="_Toc161312436" w:history="1">
        <w:r w:rsidRPr="00D46637">
          <w:rPr>
            <w:rStyle w:val="Hyperlink"/>
            <w:rFonts w:asciiTheme="minorHAnsi" w:hAnsiTheme="minorHAnsi" w:cstheme="minorHAnsi"/>
            <w:noProof/>
            <w:lang w:eastAsia="en-GB"/>
          </w:rPr>
          <w:t>XXVIII.</w:t>
        </w:r>
        <w:r w:rsidRPr="00D46637">
          <w:rPr>
            <w:rFonts w:asciiTheme="minorHAnsi" w:eastAsiaTheme="minorEastAsia" w:hAnsiTheme="minorHAnsi" w:cstheme="minorHAnsi"/>
            <w:noProof/>
            <w:kern w:val="2"/>
            <w14:ligatures w14:val="standardContextual"/>
          </w:rPr>
          <w:tab/>
        </w:r>
        <w:r w:rsidRPr="00D46637">
          <w:rPr>
            <w:rStyle w:val="Hyperlink"/>
            <w:rFonts w:asciiTheme="minorHAnsi" w:hAnsiTheme="minorHAnsi" w:cstheme="minorHAnsi"/>
            <w:noProof/>
            <w:lang w:eastAsia="en-GB"/>
          </w:rPr>
          <w:t>Working Hours</w:t>
        </w:r>
        <w:r w:rsidRPr="00D46637">
          <w:rPr>
            <w:rFonts w:asciiTheme="minorHAnsi" w:hAnsiTheme="minorHAnsi" w:cstheme="minorHAnsi"/>
            <w:noProof/>
            <w:webHidden/>
          </w:rPr>
          <w:tab/>
        </w:r>
        <w:r w:rsidRPr="00D46637">
          <w:rPr>
            <w:rFonts w:asciiTheme="minorHAnsi" w:hAnsiTheme="minorHAnsi" w:cstheme="minorHAnsi"/>
            <w:noProof/>
            <w:webHidden/>
          </w:rPr>
          <w:fldChar w:fldCharType="begin"/>
        </w:r>
        <w:r w:rsidRPr="00D46637">
          <w:rPr>
            <w:rFonts w:asciiTheme="minorHAnsi" w:hAnsiTheme="minorHAnsi" w:cstheme="minorHAnsi"/>
            <w:noProof/>
            <w:webHidden/>
          </w:rPr>
          <w:instrText xml:space="preserve"> PAGEREF _Toc161312436 \h </w:instrText>
        </w:r>
        <w:r w:rsidRPr="00D46637">
          <w:rPr>
            <w:rFonts w:asciiTheme="minorHAnsi" w:hAnsiTheme="minorHAnsi" w:cstheme="minorHAnsi"/>
            <w:noProof/>
            <w:webHidden/>
          </w:rPr>
        </w:r>
        <w:r w:rsidRPr="00D46637">
          <w:rPr>
            <w:rFonts w:asciiTheme="minorHAnsi" w:hAnsiTheme="minorHAnsi" w:cstheme="minorHAnsi"/>
            <w:noProof/>
            <w:webHidden/>
          </w:rPr>
          <w:fldChar w:fldCharType="separate"/>
        </w:r>
        <w:r w:rsidR="003B281E">
          <w:rPr>
            <w:rFonts w:asciiTheme="minorHAnsi" w:hAnsiTheme="minorHAnsi" w:cstheme="minorHAnsi"/>
            <w:noProof/>
            <w:webHidden/>
          </w:rPr>
          <w:t>22</w:t>
        </w:r>
        <w:r w:rsidRPr="00D46637">
          <w:rPr>
            <w:rFonts w:asciiTheme="minorHAnsi" w:hAnsiTheme="minorHAnsi" w:cstheme="minorHAnsi"/>
            <w:noProof/>
            <w:webHidden/>
          </w:rPr>
          <w:fldChar w:fldCharType="end"/>
        </w:r>
      </w:hyperlink>
    </w:p>
    <w:p w14:paraId="753FC16E" w14:textId="038C80CE" w:rsidR="00D46637" w:rsidRPr="00D46637" w:rsidRDefault="00D46637" w:rsidP="00D46637">
      <w:pPr>
        <w:pStyle w:val="TOC1"/>
        <w:tabs>
          <w:tab w:val="left" w:pos="630"/>
          <w:tab w:val="right" w:leader="dot" w:pos="8630"/>
        </w:tabs>
        <w:rPr>
          <w:rFonts w:asciiTheme="minorHAnsi" w:eastAsiaTheme="minorEastAsia" w:hAnsiTheme="minorHAnsi" w:cstheme="minorHAnsi"/>
          <w:noProof/>
          <w:kern w:val="2"/>
          <w14:ligatures w14:val="standardContextual"/>
        </w:rPr>
      </w:pPr>
      <w:hyperlink w:anchor="_Toc161312437" w:history="1">
        <w:r w:rsidRPr="00D46637">
          <w:rPr>
            <w:rStyle w:val="Hyperlink"/>
            <w:rFonts w:asciiTheme="minorHAnsi" w:hAnsiTheme="minorHAnsi" w:cstheme="minorHAnsi"/>
            <w:noProof/>
            <w:lang w:eastAsia="en-GB"/>
          </w:rPr>
          <w:t>XXIX.</w:t>
        </w:r>
        <w:r w:rsidRPr="00D46637">
          <w:rPr>
            <w:rFonts w:asciiTheme="minorHAnsi" w:eastAsiaTheme="minorEastAsia" w:hAnsiTheme="minorHAnsi" w:cstheme="minorHAnsi"/>
            <w:noProof/>
            <w:kern w:val="2"/>
            <w14:ligatures w14:val="standardContextual"/>
          </w:rPr>
          <w:tab/>
        </w:r>
        <w:r w:rsidRPr="00D46637">
          <w:rPr>
            <w:rStyle w:val="Hyperlink"/>
            <w:rFonts w:asciiTheme="minorHAnsi" w:hAnsiTheme="minorHAnsi" w:cstheme="minorHAnsi"/>
            <w:noProof/>
            <w:lang w:eastAsia="en-GB"/>
          </w:rPr>
          <w:t>Leave</w:t>
        </w:r>
        <w:r w:rsidRPr="00D46637">
          <w:rPr>
            <w:rFonts w:asciiTheme="minorHAnsi" w:hAnsiTheme="minorHAnsi" w:cstheme="minorHAnsi"/>
            <w:noProof/>
            <w:webHidden/>
          </w:rPr>
          <w:tab/>
        </w:r>
        <w:r w:rsidRPr="00D46637">
          <w:rPr>
            <w:rFonts w:asciiTheme="minorHAnsi" w:hAnsiTheme="minorHAnsi" w:cstheme="minorHAnsi"/>
            <w:noProof/>
            <w:webHidden/>
          </w:rPr>
          <w:fldChar w:fldCharType="begin"/>
        </w:r>
        <w:r w:rsidRPr="00D46637">
          <w:rPr>
            <w:rFonts w:asciiTheme="minorHAnsi" w:hAnsiTheme="minorHAnsi" w:cstheme="minorHAnsi"/>
            <w:noProof/>
            <w:webHidden/>
          </w:rPr>
          <w:instrText xml:space="preserve"> PAGEREF _Toc161312437 \h </w:instrText>
        </w:r>
        <w:r w:rsidRPr="00D46637">
          <w:rPr>
            <w:rFonts w:asciiTheme="minorHAnsi" w:hAnsiTheme="minorHAnsi" w:cstheme="minorHAnsi"/>
            <w:noProof/>
            <w:webHidden/>
          </w:rPr>
        </w:r>
        <w:r w:rsidRPr="00D46637">
          <w:rPr>
            <w:rFonts w:asciiTheme="minorHAnsi" w:hAnsiTheme="minorHAnsi" w:cstheme="minorHAnsi"/>
            <w:noProof/>
            <w:webHidden/>
          </w:rPr>
          <w:fldChar w:fldCharType="separate"/>
        </w:r>
        <w:r w:rsidR="003B281E">
          <w:rPr>
            <w:rFonts w:asciiTheme="minorHAnsi" w:hAnsiTheme="minorHAnsi" w:cstheme="minorHAnsi"/>
            <w:noProof/>
            <w:webHidden/>
          </w:rPr>
          <w:t>22</w:t>
        </w:r>
        <w:r w:rsidRPr="00D46637">
          <w:rPr>
            <w:rFonts w:asciiTheme="minorHAnsi" w:hAnsiTheme="minorHAnsi" w:cstheme="minorHAnsi"/>
            <w:noProof/>
            <w:webHidden/>
          </w:rPr>
          <w:fldChar w:fldCharType="end"/>
        </w:r>
      </w:hyperlink>
    </w:p>
    <w:p w14:paraId="29EC91F9" w14:textId="416F311E" w:rsidR="00D46637" w:rsidRPr="00D46637" w:rsidRDefault="00D46637" w:rsidP="00D46637">
      <w:pPr>
        <w:pStyle w:val="TOC1"/>
        <w:tabs>
          <w:tab w:val="left" w:pos="720"/>
          <w:tab w:val="right" w:leader="dot" w:pos="8630"/>
        </w:tabs>
        <w:rPr>
          <w:rFonts w:asciiTheme="minorHAnsi" w:eastAsiaTheme="minorEastAsia" w:hAnsiTheme="minorHAnsi" w:cstheme="minorHAnsi"/>
          <w:noProof/>
          <w:kern w:val="2"/>
          <w14:ligatures w14:val="standardContextual"/>
        </w:rPr>
      </w:pPr>
      <w:hyperlink w:anchor="_Toc161312438" w:history="1">
        <w:r w:rsidRPr="00D46637">
          <w:rPr>
            <w:rStyle w:val="Hyperlink"/>
            <w:rFonts w:asciiTheme="minorHAnsi" w:hAnsiTheme="minorHAnsi" w:cstheme="minorHAnsi"/>
            <w:noProof/>
            <w:lang w:eastAsia="en-GB"/>
          </w:rPr>
          <w:t>XXX.</w:t>
        </w:r>
        <w:r w:rsidRPr="00D46637">
          <w:rPr>
            <w:rFonts w:asciiTheme="minorHAnsi" w:eastAsiaTheme="minorEastAsia" w:hAnsiTheme="minorHAnsi" w:cstheme="minorHAnsi"/>
            <w:noProof/>
            <w:kern w:val="2"/>
            <w14:ligatures w14:val="standardContextual"/>
          </w:rPr>
          <w:tab/>
        </w:r>
        <w:r w:rsidRPr="00D46637">
          <w:rPr>
            <w:rStyle w:val="Hyperlink"/>
            <w:rFonts w:asciiTheme="minorHAnsi" w:hAnsiTheme="minorHAnsi" w:cstheme="minorHAnsi"/>
            <w:noProof/>
            <w:lang w:eastAsia="en-GB"/>
          </w:rPr>
          <w:t>Travel for Work</w:t>
        </w:r>
        <w:r w:rsidRPr="00D46637">
          <w:rPr>
            <w:rFonts w:asciiTheme="minorHAnsi" w:hAnsiTheme="minorHAnsi" w:cstheme="minorHAnsi"/>
            <w:noProof/>
            <w:webHidden/>
          </w:rPr>
          <w:tab/>
        </w:r>
        <w:r w:rsidRPr="00D46637">
          <w:rPr>
            <w:rFonts w:asciiTheme="minorHAnsi" w:hAnsiTheme="minorHAnsi" w:cstheme="minorHAnsi"/>
            <w:noProof/>
            <w:webHidden/>
          </w:rPr>
          <w:fldChar w:fldCharType="begin"/>
        </w:r>
        <w:r w:rsidRPr="00D46637">
          <w:rPr>
            <w:rFonts w:asciiTheme="minorHAnsi" w:hAnsiTheme="minorHAnsi" w:cstheme="minorHAnsi"/>
            <w:noProof/>
            <w:webHidden/>
          </w:rPr>
          <w:instrText xml:space="preserve"> PAGEREF _Toc161312438 \h </w:instrText>
        </w:r>
        <w:r w:rsidRPr="00D46637">
          <w:rPr>
            <w:rFonts w:asciiTheme="minorHAnsi" w:hAnsiTheme="minorHAnsi" w:cstheme="minorHAnsi"/>
            <w:noProof/>
            <w:webHidden/>
          </w:rPr>
        </w:r>
        <w:r w:rsidRPr="00D46637">
          <w:rPr>
            <w:rFonts w:asciiTheme="minorHAnsi" w:hAnsiTheme="minorHAnsi" w:cstheme="minorHAnsi"/>
            <w:noProof/>
            <w:webHidden/>
          </w:rPr>
          <w:fldChar w:fldCharType="separate"/>
        </w:r>
        <w:r w:rsidR="003B281E">
          <w:rPr>
            <w:rFonts w:asciiTheme="minorHAnsi" w:hAnsiTheme="minorHAnsi" w:cstheme="minorHAnsi"/>
            <w:noProof/>
            <w:webHidden/>
          </w:rPr>
          <w:t>28</w:t>
        </w:r>
        <w:r w:rsidRPr="00D46637">
          <w:rPr>
            <w:rFonts w:asciiTheme="minorHAnsi" w:hAnsiTheme="minorHAnsi" w:cstheme="minorHAnsi"/>
            <w:noProof/>
            <w:webHidden/>
          </w:rPr>
          <w:fldChar w:fldCharType="end"/>
        </w:r>
      </w:hyperlink>
    </w:p>
    <w:p w14:paraId="73A8BE6B" w14:textId="2D2437CC" w:rsidR="00D46637" w:rsidRPr="00D46637" w:rsidRDefault="00D46637" w:rsidP="00D46637">
      <w:pPr>
        <w:pStyle w:val="TOC1"/>
        <w:tabs>
          <w:tab w:val="left" w:pos="720"/>
          <w:tab w:val="right" w:leader="dot" w:pos="8630"/>
        </w:tabs>
        <w:rPr>
          <w:rFonts w:asciiTheme="minorHAnsi" w:eastAsiaTheme="minorEastAsia" w:hAnsiTheme="minorHAnsi" w:cstheme="minorHAnsi"/>
          <w:noProof/>
          <w:kern w:val="2"/>
          <w14:ligatures w14:val="standardContextual"/>
        </w:rPr>
      </w:pPr>
      <w:hyperlink w:anchor="_Toc161312439" w:history="1">
        <w:r w:rsidRPr="00D46637">
          <w:rPr>
            <w:rStyle w:val="Hyperlink"/>
            <w:rFonts w:asciiTheme="minorHAnsi" w:hAnsiTheme="minorHAnsi" w:cstheme="minorHAnsi"/>
            <w:noProof/>
            <w:lang w:eastAsia="en-GB"/>
          </w:rPr>
          <w:t>XXXI.</w:t>
        </w:r>
        <w:r w:rsidRPr="00D46637">
          <w:rPr>
            <w:rFonts w:asciiTheme="minorHAnsi" w:eastAsiaTheme="minorEastAsia" w:hAnsiTheme="minorHAnsi" w:cstheme="minorHAnsi"/>
            <w:noProof/>
            <w:kern w:val="2"/>
            <w14:ligatures w14:val="standardContextual"/>
          </w:rPr>
          <w:tab/>
        </w:r>
        <w:r w:rsidRPr="00D46637">
          <w:rPr>
            <w:rStyle w:val="Hyperlink"/>
            <w:rFonts w:asciiTheme="minorHAnsi" w:hAnsiTheme="minorHAnsi" w:cstheme="minorHAnsi"/>
            <w:noProof/>
            <w:lang w:eastAsia="en-GB"/>
          </w:rPr>
          <w:t>Performance Evaluation</w:t>
        </w:r>
        <w:r w:rsidRPr="00D46637">
          <w:rPr>
            <w:rFonts w:asciiTheme="minorHAnsi" w:hAnsiTheme="minorHAnsi" w:cstheme="minorHAnsi"/>
            <w:noProof/>
            <w:webHidden/>
          </w:rPr>
          <w:tab/>
        </w:r>
        <w:r w:rsidRPr="00D46637">
          <w:rPr>
            <w:rFonts w:asciiTheme="minorHAnsi" w:hAnsiTheme="minorHAnsi" w:cstheme="minorHAnsi"/>
            <w:noProof/>
            <w:webHidden/>
          </w:rPr>
          <w:fldChar w:fldCharType="begin"/>
        </w:r>
        <w:r w:rsidRPr="00D46637">
          <w:rPr>
            <w:rFonts w:asciiTheme="minorHAnsi" w:hAnsiTheme="minorHAnsi" w:cstheme="minorHAnsi"/>
            <w:noProof/>
            <w:webHidden/>
          </w:rPr>
          <w:instrText xml:space="preserve"> PAGEREF _Toc161312439 \h </w:instrText>
        </w:r>
        <w:r w:rsidRPr="00D46637">
          <w:rPr>
            <w:rFonts w:asciiTheme="minorHAnsi" w:hAnsiTheme="minorHAnsi" w:cstheme="minorHAnsi"/>
            <w:noProof/>
            <w:webHidden/>
          </w:rPr>
        </w:r>
        <w:r w:rsidRPr="00D46637">
          <w:rPr>
            <w:rFonts w:asciiTheme="minorHAnsi" w:hAnsiTheme="minorHAnsi" w:cstheme="minorHAnsi"/>
            <w:noProof/>
            <w:webHidden/>
          </w:rPr>
          <w:fldChar w:fldCharType="separate"/>
        </w:r>
        <w:r w:rsidR="003B281E">
          <w:rPr>
            <w:rFonts w:asciiTheme="minorHAnsi" w:hAnsiTheme="minorHAnsi" w:cstheme="minorHAnsi"/>
            <w:noProof/>
            <w:webHidden/>
          </w:rPr>
          <w:t>28</w:t>
        </w:r>
        <w:r w:rsidRPr="00D46637">
          <w:rPr>
            <w:rFonts w:asciiTheme="minorHAnsi" w:hAnsiTheme="minorHAnsi" w:cstheme="minorHAnsi"/>
            <w:noProof/>
            <w:webHidden/>
          </w:rPr>
          <w:fldChar w:fldCharType="end"/>
        </w:r>
      </w:hyperlink>
    </w:p>
    <w:p w14:paraId="2B9DFB38" w14:textId="310E45B7" w:rsidR="00D46637" w:rsidRPr="00D46637" w:rsidRDefault="00D46637" w:rsidP="00D46637">
      <w:pPr>
        <w:pStyle w:val="TOC1"/>
        <w:tabs>
          <w:tab w:val="left" w:pos="720"/>
          <w:tab w:val="right" w:leader="dot" w:pos="8630"/>
        </w:tabs>
        <w:rPr>
          <w:rFonts w:asciiTheme="minorHAnsi" w:eastAsiaTheme="minorEastAsia" w:hAnsiTheme="minorHAnsi" w:cstheme="minorHAnsi"/>
          <w:noProof/>
          <w:kern w:val="2"/>
          <w14:ligatures w14:val="standardContextual"/>
        </w:rPr>
      </w:pPr>
      <w:hyperlink w:anchor="_Toc161312440" w:history="1">
        <w:r w:rsidRPr="00D46637">
          <w:rPr>
            <w:rStyle w:val="Hyperlink"/>
            <w:rFonts w:asciiTheme="minorHAnsi" w:hAnsiTheme="minorHAnsi" w:cstheme="minorHAnsi"/>
            <w:noProof/>
            <w:lang w:eastAsia="en-GB"/>
          </w:rPr>
          <w:t>XXXII.</w:t>
        </w:r>
        <w:r w:rsidRPr="00D46637">
          <w:rPr>
            <w:rFonts w:asciiTheme="minorHAnsi" w:eastAsiaTheme="minorEastAsia" w:hAnsiTheme="minorHAnsi" w:cstheme="minorHAnsi"/>
            <w:noProof/>
            <w:kern w:val="2"/>
            <w14:ligatures w14:val="standardContextual"/>
          </w:rPr>
          <w:tab/>
        </w:r>
        <w:r w:rsidRPr="00D46637">
          <w:rPr>
            <w:rStyle w:val="Hyperlink"/>
            <w:rFonts w:asciiTheme="minorHAnsi" w:hAnsiTheme="minorHAnsi" w:cstheme="minorHAnsi"/>
            <w:noProof/>
            <w:lang w:eastAsia="en-GB"/>
          </w:rPr>
          <w:t>Learning Opportunities</w:t>
        </w:r>
        <w:r w:rsidRPr="00D46637">
          <w:rPr>
            <w:rFonts w:asciiTheme="minorHAnsi" w:hAnsiTheme="minorHAnsi" w:cstheme="minorHAnsi"/>
            <w:noProof/>
            <w:webHidden/>
          </w:rPr>
          <w:tab/>
        </w:r>
        <w:r w:rsidRPr="00D46637">
          <w:rPr>
            <w:rFonts w:asciiTheme="minorHAnsi" w:hAnsiTheme="minorHAnsi" w:cstheme="minorHAnsi"/>
            <w:noProof/>
            <w:webHidden/>
          </w:rPr>
          <w:fldChar w:fldCharType="begin"/>
        </w:r>
        <w:r w:rsidRPr="00D46637">
          <w:rPr>
            <w:rFonts w:asciiTheme="minorHAnsi" w:hAnsiTheme="minorHAnsi" w:cstheme="minorHAnsi"/>
            <w:noProof/>
            <w:webHidden/>
          </w:rPr>
          <w:instrText xml:space="preserve"> PAGEREF _Toc161312440 \h </w:instrText>
        </w:r>
        <w:r w:rsidRPr="00D46637">
          <w:rPr>
            <w:rFonts w:asciiTheme="minorHAnsi" w:hAnsiTheme="minorHAnsi" w:cstheme="minorHAnsi"/>
            <w:noProof/>
            <w:webHidden/>
          </w:rPr>
        </w:r>
        <w:r w:rsidRPr="00D46637">
          <w:rPr>
            <w:rFonts w:asciiTheme="minorHAnsi" w:hAnsiTheme="minorHAnsi" w:cstheme="minorHAnsi"/>
            <w:noProof/>
            <w:webHidden/>
          </w:rPr>
          <w:fldChar w:fldCharType="separate"/>
        </w:r>
        <w:r w:rsidR="003B281E">
          <w:rPr>
            <w:rFonts w:asciiTheme="minorHAnsi" w:hAnsiTheme="minorHAnsi" w:cstheme="minorHAnsi"/>
            <w:noProof/>
            <w:webHidden/>
          </w:rPr>
          <w:t>28</w:t>
        </w:r>
        <w:r w:rsidRPr="00D46637">
          <w:rPr>
            <w:rFonts w:asciiTheme="minorHAnsi" w:hAnsiTheme="minorHAnsi" w:cstheme="minorHAnsi"/>
            <w:noProof/>
            <w:webHidden/>
          </w:rPr>
          <w:fldChar w:fldCharType="end"/>
        </w:r>
      </w:hyperlink>
    </w:p>
    <w:p w14:paraId="66BB5FFE" w14:textId="38450996" w:rsidR="00D46637" w:rsidRPr="00D46637" w:rsidRDefault="00D46637" w:rsidP="00D46637">
      <w:pPr>
        <w:pStyle w:val="TOC1"/>
        <w:tabs>
          <w:tab w:val="left" w:pos="720"/>
          <w:tab w:val="right" w:leader="dot" w:pos="8630"/>
        </w:tabs>
        <w:rPr>
          <w:rFonts w:asciiTheme="minorHAnsi" w:eastAsiaTheme="minorEastAsia" w:hAnsiTheme="minorHAnsi" w:cstheme="minorHAnsi"/>
          <w:noProof/>
          <w:kern w:val="2"/>
          <w14:ligatures w14:val="standardContextual"/>
        </w:rPr>
      </w:pPr>
      <w:hyperlink w:anchor="_Toc161312441" w:history="1">
        <w:r w:rsidRPr="00D46637">
          <w:rPr>
            <w:rStyle w:val="Hyperlink"/>
            <w:rFonts w:asciiTheme="minorHAnsi" w:hAnsiTheme="minorHAnsi" w:cstheme="minorHAnsi"/>
            <w:noProof/>
            <w:lang w:eastAsia="en-GB"/>
          </w:rPr>
          <w:t>XXXIII.</w:t>
        </w:r>
        <w:r w:rsidRPr="00D46637">
          <w:rPr>
            <w:rFonts w:asciiTheme="minorHAnsi" w:eastAsiaTheme="minorEastAsia" w:hAnsiTheme="minorHAnsi" w:cstheme="minorHAnsi"/>
            <w:noProof/>
            <w:kern w:val="2"/>
            <w14:ligatures w14:val="standardContextual"/>
          </w:rPr>
          <w:tab/>
        </w:r>
        <w:r w:rsidRPr="00D46637">
          <w:rPr>
            <w:rStyle w:val="Hyperlink"/>
            <w:rFonts w:asciiTheme="minorHAnsi" w:hAnsiTheme="minorHAnsi" w:cstheme="minorHAnsi"/>
            <w:noProof/>
            <w:lang w:eastAsia="en-GB"/>
          </w:rPr>
          <w:t>Career Paths</w:t>
        </w:r>
        <w:r w:rsidRPr="00D46637">
          <w:rPr>
            <w:rFonts w:asciiTheme="minorHAnsi" w:hAnsiTheme="minorHAnsi" w:cstheme="minorHAnsi"/>
            <w:noProof/>
            <w:webHidden/>
          </w:rPr>
          <w:tab/>
        </w:r>
        <w:r w:rsidRPr="00D46637">
          <w:rPr>
            <w:rFonts w:asciiTheme="minorHAnsi" w:hAnsiTheme="minorHAnsi" w:cstheme="minorHAnsi"/>
            <w:noProof/>
            <w:webHidden/>
          </w:rPr>
          <w:fldChar w:fldCharType="begin"/>
        </w:r>
        <w:r w:rsidRPr="00D46637">
          <w:rPr>
            <w:rFonts w:asciiTheme="minorHAnsi" w:hAnsiTheme="minorHAnsi" w:cstheme="minorHAnsi"/>
            <w:noProof/>
            <w:webHidden/>
          </w:rPr>
          <w:instrText xml:space="preserve"> PAGEREF _Toc161312441 \h </w:instrText>
        </w:r>
        <w:r w:rsidRPr="00D46637">
          <w:rPr>
            <w:rFonts w:asciiTheme="minorHAnsi" w:hAnsiTheme="minorHAnsi" w:cstheme="minorHAnsi"/>
            <w:noProof/>
            <w:webHidden/>
          </w:rPr>
        </w:r>
        <w:r w:rsidRPr="00D46637">
          <w:rPr>
            <w:rFonts w:asciiTheme="minorHAnsi" w:hAnsiTheme="minorHAnsi" w:cstheme="minorHAnsi"/>
            <w:noProof/>
            <w:webHidden/>
          </w:rPr>
          <w:fldChar w:fldCharType="separate"/>
        </w:r>
        <w:r w:rsidR="003B281E">
          <w:rPr>
            <w:rFonts w:asciiTheme="minorHAnsi" w:hAnsiTheme="minorHAnsi" w:cstheme="minorHAnsi"/>
            <w:noProof/>
            <w:webHidden/>
          </w:rPr>
          <w:t>29</w:t>
        </w:r>
        <w:r w:rsidRPr="00D46637">
          <w:rPr>
            <w:rFonts w:asciiTheme="minorHAnsi" w:hAnsiTheme="minorHAnsi" w:cstheme="minorHAnsi"/>
            <w:noProof/>
            <w:webHidden/>
          </w:rPr>
          <w:fldChar w:fldCharType="end"/>
        </w:r>
      </w:hyperlink>
    </w:p>
    <w:p w14:paraId="3D5E8C82" w14:textId="0B953F7F" w:rsidR="00D46637" w:rsidRPr="00D46637" w:rsidRDefault="00D46637" w:rsidP="00D46637">
      <w:pPr>
        <w:pStyle w:val="TOC1"/>
        <w:tabs>
          <w:tab w:val="left" w:pos="720"/>
          <w:tab w:val="left" w:pos="1100"/>
          <w:tab w:val="right" w:leader="dot" w:pos="8630"/>
        </w:tabs>
        <w:rPr>
          <w:rFonts w:asciiTheme="minorHAnsi" w:eastAsiaTheme="minorEastAsia" w:hAnsiTheme="minorHAnsi" w:cstheme="minorHAnsi"/>
          <w:noProof/>
          <w:kern w:val="2"/>
          <w14:ligatures w14:val="standardContextual"/>
        </w:rPr>
      </w:pPr>
      <w:hyperlink w:anchor="_Toc161312442" w:history="1">
        <w:r w:rsidRPr="00D46637">
          <w:rPr>
            <w:rStyle w:val="Hyperlink"/>
            <w:rFonts w:asciiTheme="minorHAnsi" w:hAnsiTheme="minorHAnsi" w:cstheme="minorHAnsi"/>
            <w:noProof/>
            <w:lang w:eastAsia="en-GB"/>
          </w:rPr>
          <w:t>XXXIV.</w:t>
        </w:r>
        <w:r w:rsidRPr="00D46637">
          <w:rPr>
            <w:rFonts w:asciiTheme="minorHAnsi" w:eastAsiaTheme="minorEastAsia" w:hAnsiTheme="minorHAnsi" w:cstheme="minorHAnsi"/>
            <w:noProof/>
            <w:kern w:val="2"/>
            <w14:ligatures w14:val="standardContextual"/>
          </w:rPr>
          <w:tab/>
        </w:r>
        <w:r w:rsidRPr="00D46637">
          <w:rPr>
            <w:rStyle w:val="Hyperlink"/>
            <w:rFonts w:asciiTheme="minorHAnsi" w:hAnsiTheme="minorHAnsi" w:cstheme="minorHAnsi"/>
            <w:noProof/>
            <w:lang w:eastAsia="en-GB"/>
          </w:rPr>
          <w:t>Roles and Responsibilities.</w:t>
        </w:r>
        <w:r w:rsidRPr="00D46637">
          <w:rPr>
            <w:rFonts w:asciiTheme="minorHAnsi" w:hAnsiTheme="minorHAnsi" w:cstheme="minorHAnsi"/>
            <w:noProof/>
            <w:webHidden/>
          </w:rPr>
          <w:tab/>
        </w:r>
        <w:r w:rsidRPr="00D46637">
          <w:rPr>
            <w:rFonts w:asciiTheme="minorHAnsi" w:hAnsiTheme="minorHAnsi" w:cstheme="minorHAnsi"/>
            <w:noProof/>
            <w:webHidden/>
          </w:rPr>
          <w:fldChar w:fldCharType="begin"/>
        </w:r>
        <w:r w:rsidRPr="00D46637">
          <w:rPr>
            <w:rFonts w:asciiTheme="minorHAnsi" w:hAnsiTheme="minorHAnsi" w:cstheme="minorHAnsi"/>
            <w:noProof/>
            <w:webHidden/>
          </w:rPr>
          <w:instrText xml:space="preserve"> PAGEREF _Toc161312442 \h </w:instrText>
        </w:r>
        <w:r w:rsidRPr="00D46637">
          <w:rPr>
            <w:rFonts w:asciiTheme="minorHAnsi" w:hAnsiTheme="minorHAnsi" w:cstheme="minorHAnsi"/>
            <w:noProof/>
            <w:webHidden/>
          </w:rPr>
        </w:r>
        <w:r w:rsidRPr="00D46637">
          <w:rPr>
            <w:rFonts w:asciiTheme="minorHAnsi" w:hAnsiTheme="minorHAnsi" w:cstheme="minorHAnsi"/>
            <w:noProof/>
            <w:webHidden/>
          </w:rPr>
          <w:fldChar w:fldCharType="separate"/>
        </w:r>
        <w:r w:rsidR="003B281E">
          <w:rPr>
            <w:rFonts w:asciiTheme="minorHAnsi" w:hAnsiTheme="minorHAnsi" w:cstheme="minorHAnsi"/>
            <w:noProof/>
            <w:webHidden/>
          </w:rPr>
          <w:t>29</w:t>
        </w:r>
        <w:r w:rsidRPr="00D46637">
          <w:rPr>
            <w:rFonts w:asciiTheme="minorHAnsi" w:hAnsiTheme="minorHAnsi" w:cstheme="minorHAnsi"/>
            <w:noProof/>
            <w:webHidden/>
          </w:rPr>
          <w:fldChar w:fldCharType="end"/>
        </w:r>
      </w:hyperlink>
    </w:p>
    <w:p w14:paraId="6F412D04" w14:textId="24595C1B" w:rsidR="00D46637" w:rsidRPr="00D46637" w:rsidRDefault="00D46637" w:rsidP="00D46637">
      <w:pPr>
        <w:pStyle w:val="TOC1"/>
        <w:tabs>
          <w:tab w:val="left" w:pos="720"/>
          <w:tab w:val="right" w:leader="dot" w:pos="8630"/>
        </w:tabs>
        <w:rPr>
          <w:rFonts w:asciiTheme="minorHAnsi" w:eastAsiaTheme="minorEastAsia" w:hAnsiTheme="minorHAnsi" w:cstheme="minorHAnsi"/>
          <w:noProof/>
          <w:kern w:val="2"/>
          <w14:ligatures w14:val="standardContextual"/>
        </w:rPr>
      </w:pPr>
      <w:hyperlink w:anchor="_Toc161312443" w:history="1">
        <w:r w:rsidRPr="00D46637">
          <w:rPr>
            <w:rStyle w:val="Hyperlink"/>
            <w:rFonts w:asciiTheme="minorHAnsi" w:hAnsiTheme="minorHAnsi" w:cstheme="minorHAnsi"/>
            <w:noProof/>
            <w:lang w:eastAsia="en-GB"/>
          </w:rPr>
          <w:t>Annex 1: Recruitment standards and procedures for IPSAs.</w:t>
        </w:r>
        <w:r w:rsidRPr="00D46637">
          <w:rPr>
            <w:rFonts w:asciiTheme="minorHAnsi" w:hAnsiTheme="minorHAnsi" w:cstheme="minorHAnsi"/>
            <w:noProof/>
            <w:webHidden/>
          </w:rPr>
          <w:tab/>
        </w:r>
        <w:r w:rsidRPr="00D46637">
          <w:rPr>
            <w:rFonts w:asciiTheme="minorHAnsi" w:hAnsiTheme="minorHAnsi" w:cstheme="minorHAnsi"/>
            <w:noProof/>
            <w:webHidden/>
          </w:rPr>
          <w:fldChar w:fldCharType="begin"/>
        </w:r>
        <w:r w:rsidRPr="00D46637">
          <w:rPr>
            <w:rFonts w:asciiTheme="minorHAnsi" w:hAnsiTheme="minorHAnsi" w:cstheme="minorHAnsi"/>
            <w:noProof/>
            <w:webHidden/>
          </w:rPr>
          <w:instrText xml:space="preserve"> PAGEREF _Toc161312443 \h </w:instrText>
        </w:r>
        <w:r w:rsidRPr="00D46637">
          <w:rPr>
            <w:rFonts w:asciiTheme="minorHAnsi" w:hAnsiTheme="minorHAnsi" w:cstheme="minorHAnsi"/>
            <w:noProof/>
            <w:webHidden/>
          </w:rPr>
        </w:r>
        <w:r w:rsidRPr="00D46637">
          <w:rPr>
            <w:rFonts w:asciiTheme="minorHAnsi" w:hAnsiTheme="minorHAnsi" w:cstheme="minorHAnsi"/>
            <w:noProof/>
            <w:webHidden/>
          </w:rPr>
          <w:fldChar w:fldCharType="separate"/>
        </w:r>
        <w:r w:rsidR="003B281E">
          <w:rPr>
            <w:rFonts w:asciiTheme="minorHAnsi" w:hAnsiTheme="minorHAnsi" w:cstheme="minorHAnsi"/>
            <w:noProof/>
            <w:webHidden/>
          </w:rPr>
          <w:t>32</w:t>
        </w:r>
        <w:r w:rsidRPr="00D46637">
          <w:rPr>
            <w:rFonts w:asciiTheme="minorHAnsi" w:hAnsiTheme="minorHAnsi" w:cstheme="minorHAnsi"/>
            <w:noProof/>
            <w:webHidden/>
          </w:rPr>
          <w:fldChar w:fldCharType="end"/>
        </w:r>
      </w:hyperlink>
    </w:p>
    <w:p w14:paraId="3268F1D5" w14:textId="14549194" w:rsidR="00D46637" w:rsidRPr="00D46637" w:rsidRDefault="00D46637" w:rsidP="00D46637">
      <w:pPr>
        <w:pStyle w:val="TOC1"/>
        <w:tabs>
          <w:tab w:val="left" w:pos="720"/>
          <w:tab w:val="right" w:leader="dot" w:pos="8630"/>
        </w:tabs>
        <w:rPr>
          <w:rFonts w:asciiTheme="minorHAnsi" w:eastAsiaTheme="minorEastAsia" w:hAnsiTheme="minorHAnsi" w:cstheme="minorHAnsi"/>
          <w:noProof/>
          <w:kern w:val="2"/>
          <w14:ligatures w14:val="standardContextual"/>
        </w:rPr>
      </w:pPr>
      <w:hyperlink w:anchor="_Toc161312444" w:history="1">
        <w:r w:rsidRPr="00D46637">
          <w:rPr>
            <w:rStyle w:val="Hyperlink"/>
            <w:rFonts w:asciiTheme="minorHAnsi" w:hAnsiTheme="minorHAnsi" w:cstheme="minorHAnsi"/>
            <w:noProof/>
            <w:lang w:eastAsia="en-GB"/>
          </w:rPr>
          <w:t>Annex 2: Overview of IPSA benefits</w:t>
        </w:r>
        <w:r w:rsidRPr="00D46637">
          <w:rPr>
            <w:rFonts w:asciiTheme="minorHAnsi" w:hAnsiTheme="minorHAnsi" w:cstheme="minorHAnsi"/>
            <w:noProof/>
            <w:webHidden/>
          </w:rPr>
          <w:tab/>
        </w:r>
        <w:r w:rsidRPr="00D46637">
          <w:rPr>
            <w:rFonts w:asciiTheme="minorHAnsi" w:hAnsiTheme="minorHAnsi" w:cstheme="minorHAnsi"/>
            <w:noProof/>
            <w:webHidden/>
          </w:rPr>
          <w:fldChar w:fldCharType="begin"/>
        </w:r>
        <w:r w:rsidRPr="00D46637">
          <w:rPr>
            <w:rFonts w:asciiTheme="minorHAnsi" w:hAnsiTheme="minorHAnsi" w:cstheme="minorHAnsi"/>
            <w:noProof/>
            <w:webHidden/>
          </w:rPr>
          <w:instrText xml:space="preserve"> PAGEREF _Toc161312444 \h </w:instrText>
        </w:r>
        <w:r w:rsidRPr="00D46637">
          <w:rPr>
            <w:rFonts w:asciiTheme="minorHAnsi" w:hAnsiTheme="minorHAnsi" w:cstheme="minorHAnsi"/>
            <w:noProof/>
            <w:webHidden/>
          </w:rPr>
        </w:r>
        <w:r w:rsidRPr="00D46637">
          <w:rPr>
            <w:rFonts w:asciiTheme="minorHAnsi" w:hAnsiTheme="minorHAnsi" w:cstheme="minorHAnsi"/>
            <w:noProof/>
            <w:webHidden/>
          </w:rPr>
          <w:fldChar w:fldCharType="separate"/>
        </w:r>
        <w:r w:rsidR="003B281E">
          <w:rPr>
            <w:rFonts w:asciiTheme="minorHAnsi" w:hAnsiTheme="minorHAnsi" w:cstheme="minorHAnsi"/>
            <w:noProof/>
            <w:webHidden/>
          </w:rPr>
          <w:t>37</w:t>
        </w:r>
        <w:r w:rsidRPr="00D46637">
          <w:rPr>
            <w:rFonts w:asciiTheme="minorHAnsi" w:hAnsiTheme="minorHAnsi" w:cstheme="minorHAnsi"/>
            <w:noProof/>
            <w:webHidden/>
          </w:rPr>
          <w:fldChar w:fldCharType="end"/>
        </w:r>
      </w:hyperlink>
    </w:p>
    <w:p w14:paraId="7F124A1F" w14:textId="62AAF204" w:rsidR="00D46637" w:rsidRPr="00D46637" w:rsidRDefault="00D46637" w:rsidP="00D46637">
      <w:pPr>
        <w:pStyle w:val="TOC1"/>
        <w:tabs>
          <w:tab w:val="left" w:pos="720"/>
          <w:tab w:val="right" w:leader="dot" w:pos="8630"/>
        </w:tabs>
        <w:rPr>
          <w:rFonts w:asciiTheme="minorHAnsi" w:eastAsiaTheme="minorEastAsia" w:hAnsiTheme="minorHAnsi" w:cstheme="minorHAnsi"/>
          <w:noProof/>
          <w:kern w:val="2"/>
          <w14:ligatures w14:val="standardContextual"/>
        </w:rPr>
      </w:pPr>
      <w:hyperlink w:anchor="_Toc161312445" w:history="1">
        <w:r w:rsidRPr="00D46637">
          <w:rPr>
            <w:rStyle w:val="Hyperlink"/>
            <w:rFonts w:asciiTheme="minorHAnsi" w:hAnsiTheme="minorHAnsi" w:cstheme="minorHAnsi"/>
            <w:noProof/>
            <w:lang w:eastAsia="en-GB"/>
          </w:rPr>
          <w:t>Annex 3: Definition of functions of inherent and continuous nature</w:t>
        </w:r>
        <w:r w:rsidRPr="00D46637">
          <w:rPr>
            <w:rFonts w:asciiTheme="minorHAnsi" w:hAnsiTheme="minorHAnsi" w:cstheme="minorHAnsi"/>
            <w:noProof/>
            <w:webHidden/>
          </w:rPr>
          <w:tab/>
        </w:r>
        <w:r w:rsidRPr="00D46637">
          <w:rPr>
            <w:rFonts w:asciiTheme="minorHAnsi" w:hAnsiTheme="minorHAnsi" w:cstheme="minorHAnsi"/>
            <w:noProof/>
            <w:webHidden/>
          </w:rPr>
          <w:fldChar w:fldCharType="begin"/>
        </w:r>
        <w:r w:rsidRPr="00D46637">
          <w:rPr>
            <w:rFonts w:asciiTheme="minorHAnsi" w:hAnsiTheme="minorHAnsi" w:cstheme="minorHAnsi"/>
            <w:noProof/>
            <w:webHidden/>
          </w:rPr>
          <w:instrText xml:space="preserve"> PAGEREF _Toc161312445 \h </w:instrText>
        </w:r>
        <w:r w:rsidRPr="00D46637">
          <w:rPr>
            <w:rFonts w:asciiTheme="minorHAnsi" w:hAnsiTheme="minorHAnsi" w:cstheme="minorHAnsi"/>
            <w:noProof/>
            <w:webHidden/>
          </w:rPr>
        </w:r>
        <w:r w:rsidRPr="00D46637">
          <w:rPr>
            <w:rFonts w:asciiTheme="minorHAnsi" w:hAnsiTheme="minorHAnsi" w:cstheme="minorHAnsi"/>
            <w:noProof/>
            <w:webHidden/>
          </w:rPr>
          <w:fldChar w:fldCharType="separate"/>
        </w:r>
        <w:r w:rsidR="003B281E">
          <w:rPr>
            <w:rFonts w:asciiTheme="minorHAnsi" w:hAnsiTheme="minorHAnsi" w:cstheme="minorHAnsi"/>
            <w:noProof/>
            <w:webHidden/>
          </w:rPr>
          <w:t>38</w:t>
        </w:r>
        <w:r w:rsidRPr="00D46637">
          <w:rPr>
            <w:rFonts w:asciiTheme="minorHAnsi" w:hAnsiTheme="minorHAnsi" w:cstheme="minorHAnsi"/>
            <w:noProof/>
            <w:webHidden/>
          </w:rPr>
          <w:fldChar w:fldCharType="end"/>
        </w:r>
      </w:hyperlink>
    </w:p>
    <w:p w14:paraId="7BB28DFB" w14:textId="71B9F3ED" w:rsidR="00D46637" w:rsidRPr="00D46637" w:rsidRDefault="00D46637" w:rsidP="00D46637">
      <w:pPr>
        <w:pStyle w:val="TOC1"/>
        <w:tabs>
          <w:tab w:val="left" w:pos="720"/>
          <w:tab w:val="right" w:leader="dot" w:pos="8630"/>
        </w:tabs>
        <w:rPr>
          <w:rFonts w:asciiTheme="minorHAnsi" w:eastAsiaTheme="minorEastAsia" w:hAnsiTheme="minorHAnsi" w:cstheme="minorHAnsi"/>
          <w:noProof/>
          <w:kern w:val="2"/>
          <w14:ligatures w14:val="standardContextual"/>
        </w:rPr>
      </w:pPr>
      <w:hyperlink w:anchor="_Toc161312446" w:history="1">
        <w:r w:rsidRPr="00D46637">
          <w:rPr>
            <w:rStyle w:val="Hyperlink"/>
            <w:rFonts w:asciiTheme="minorHAnsi" w:hAnsiTheme="minorHAnsi" w:cstheme="minorHAnsi"/>
            <w:noProof/>
            <w:lang w:eastAsia="en-GB"/>
          </w:rPr>
          <w:t>Annex 4: IPSA Pay Ranges and Identifying the right level</w:t>
        </w:r>
        <w:r w:rsidRPr="00D46637">
          <w:rPr>
            <w:rFonts w:asciiTheme="minorHAnsi" w:hAnsiTheme="minorHAnsi" w:cstheme="minorHAnsi"/>
            <w:noProof/>
            <w:webHidden/>
          </w:rPr>
          <w:tab/>
        </w:r>
        <w:r w:rsidRPr="00D46637">
          <w:rPr>
            <w:rFonts w:asciiTheme="minorHAnsi" w:hAnsiTheme="minorHAnsi" w:cstheme="minorHAnsi"/>
            <w:noProof/>
            <w:webHidden/>
          </w:rPr>
          <w:fldChar w:fldCharType="begin"/>
        </w:r>
        <w:r w:rsidRPr="00D46637">
          <w:rPr>
            <w:rFonts w:asciiTheme="minorHAnsi" w:hAnsiTheme="minorHAnsi" w:cstheme="minorHAnsi"/>
            <w:noProof/>
            <w:webHidden/>
          </w:rPr>
          <w:instrText xml:space="preserve"> PAGEREF _Toc161312446 \h </w:instrText>
        </w:r>
        <w:r w:rsidRPr="00D46637">
          <w:rPr>
            <w:rFonts w:asciiTheme="minorHAnsi" w:hAnsiTheme="minorHAnsi" w:cstheme="minorHAnsi"/>
            <w:noProof/>
            <w:webHidden/>
          </w:rPr>
        </w:r>
        <w:r w:rsidRPr="00D46637">
          <w:rPr>
            <w:rFonts w:asciiTheme="minorHAnsi" w:hAnsiTheme="minorHAnsi" w:cstheme="minorHAnsi"/>
            <w:noProof/>
            <w:webHidden/>
          </w:rPr>
          <w:fldChar w:fldCharType="separate"/>
        </w:r>
        <w:r w:rsidR="003B281E">
          <w:rPr>
            <w:rFonts w:asciiTheme="minorHAnsi" w:hAnsiTheme="minorHAnsi" w:cstheme="minorHAnsi"/>
            <w:noProof/>
            <w:webHidden/>
          </w:rPr>
          <w:t>40</w:t>
        </w:r>
        <w:r w:rsidRPr="00D46637">
          <w:rPr>
            <w:rFonts w:asciiTheme="minorHAnsi" w:hAnsiTheme="minorHAnsi" w:cstheme="minorHAnsi"/>
            <w:noProof/>
            <w:webHidden/>
          </w:rPr>
          <w:fldChar w:fldCharType="end"/>
        </w:r>
      </w:hyperlink>
    </w:p>
    <w:p w14:paraId="0BFDC6CE" w14:textId="529AC5EB" w:rsidR="00D46637" w:rsidRPr="00D46637" w:rsidRDefault="00D46637" w:rsidP="00D46637">
      <w:pPr>
        <w:pStyle w:val="TOC1"/>
        <w:tabs>
          <w:tab w:val="left" w:pos="720"/>
          <w:tab w:val="right" w:leader="dot" w:pos="8630"/>
        </w:tabs>
        <w:rPr>
          <w:rFonts w:asciiTheme="minorHAnsi" w:eastAsiaTheme="minorEastAsia" w:hAnsiTheme="minorHAnsi" w:cstheme="minorHAnsi"/>
          <w:noProof/>
          <w:kern w:val="2"/>
          <w14:ligatures w14:val="standardContextual"/>
        </w:rPr>
      </w:pPr>
      <w:hyperlink w:anchor="_Toc161312447" w:history="1">
        <w:r w:rsidRPr="00D46637">
          <w:rPr>
            <w:rStyle w:val="Hyperlink"/>
            <w:rFonts w:asciiTheme="minorHAnsi" w:hAnsiTheme="minorHAnsi" w:cstheme="minorHAnsi"/>
            <w:noProof/>
            <w:lang w:eastAsia="en-GB"/>
          </w:rPr>
          <w:t>Annex 5: Performance Evaluation</w:t>
        </w:r>
        <w:r w:rsidRPr="00D46637">
          <w:rPr>
            <w:rFonts w:asciiTheme="minorHAnsi" w:hAnsiTheme="minorHAnsi" w:cstheme="minorHAnsi"/>
            <w:noProof/>
            <w:webHidden/>
          </w:rPr>
          <w:tab/>
        </w:r>
        <w:r w:rsidRPr="00D46637">
          <w:rPr>
            <w:rFonts w:asciiTheme="minorHAnsi" w:hAnsiTheme="minorHAnsi" w:cstheme="minorHAnsi"/>
            <w:noProof/>
            <w:webHidden/>
          </w:rPr>
          <w:fldChar w:fldCharType="begin"/>
        </w:r>
        <w:r w:rsidRPr="00D46637">
          <w:rPr>
            <w:rFonts w:asciiTheme="minorHAnsi" w:hAnsiTheme="minorHAnsi" w:cstheme="minorHAnsi"/>
            <w:noProof/>
            <w:webHidden/>
          </w:rPr>
          <w:instrText xml:space="preserve"> PAGEREF _Toc161312447 \h </w:instrText>
        </w:r>
        <w:r w:rsidRPr="00D46637">
          <w:rPr>
            <w:rFonts w:asciiTheme="minorHAnsi" w:hAnsiTheme="minorHAnsi" w:cstheme="minorHAnsi"/>
            <w:noProof/>
            <w:webHidden/>
          </w:rPr>
        </w:r>
        <w:r w:rsidRPr="00D46637">
          <w:rPr>
            <w:rFonts w:asciiTheme="minorHAnsi" w:hAnsiTheme="minorHAnsi" w:cstheme="minorHAnsi"/>
            <w:noProof/>
            <w:webHidden/>
          </w:rPr>
          <w:fldChar w:fldCharType="separate"/>
        </w:r>
        <w:r w:rsidR="003B281E">
          <w:rPr>
            <w:rFonts w:asciiTheme="minorHAnsi" w:hAnsiTheme="minorHAnsi" w:cstheme="minorHAnsi"/>
            <w:noProof/>
            <w:webHidden/>
          </w:rPr>
          <w:t>42</w:t>
        </w:r>
        <w:r w:rsidRPr="00D46637">
          <w:rPr>
            <w:rFonts w:asciiTheme="minorHAnsi" w:hAnsiTheme="minorHAnsi" w:cstheme="minorHAnsi"/>
            <w:noProof/>
            <w:webHidden/>
          </w:rPr>
          <w:fldChar w:fldCharType="end"/>
        </w:r>
      </w:hyperlink>
    </w:p>
    <w:p w14:paraId="21C0809D" w14:textId="42F3EA2D" w:rsidR="00D46637" w:rsidRPr="00D46637" w:rsidRDefault="00D46637" w:rsidP="00D46637">
      <w:pPr>
        <w:pStyle w:val="TOC1"/>
        <w:tabs>
          <w:tab w:val="left" w:pos="720"/>
          <w:tab w:val="right" w:leader="dot" w:pos="8630"/>
        </w:tabs>
        <w:rPr>
          <w:rFonts w:asciiTheme="minorHAnsi" w:eastAsiaTheme="minorEastAsia" w:hAnsiTheme="minorHAnsi" w:cstheme="minorHAnsi"/>
          <w:noProof/>
          <w:kern w:val="2"/>
          <w14:ligatures w14:val="standardContextual"/>
        </w:rPr>
      </w:pPr>
      <w:hyperlink w:anchor="_Toc161312448" w:history="1">
        <w:r w:rsidRPr="00D46637">
          <w:rPr>
            <w:rStyle w:val="Hyperlink"/>
            <w:rFonts w:asciiTheme="minorHAnsi" w:hAnsiTheme="minorHAnsi" w:cstheme="minorHAnsi"/>
            <w:noProof/>
            <w:lang w:eastAsia="en-GB"/>
          </w:rPr>
          <w:t>Annex 6: To be included in IPSA file, where applicable – Checklist</w:t>
        </w:r>
        <w:r w:rsidRPr="00D46637">
          <w:rPr>
            <w:rFonts w:asciiTheme="minorHAnsi" w:hAnsiTheme="minorHAnsi" w:cstheme="minorHAnsi"/>
            <w:noProof/>
            <w:webHidden/>
          </w:rPr>
          <w:tab/>
        </w:r>
        <w:r w:rsidRPr="00D46637">
          <w:rPr>
            <w:rFonts w:asciiTheme="minorHAnsi" w:hAnsiTheme="minorHAnsi" w:cstheme="minorHAnsi"/>
            <w:noProof/>
            <w:webHidden/>
          </w:rPr>
          <w:fldChar w:fldCharType="begin"/>
        </w:r>
        <w:r w:rsidRPr="00D46637">
          <w:rPr>
            <w:rFonts w:asciiTheme="minorHAnsi" w:hAnsiTheme="minorHAnsi" w:cstheme="minorHAnsi"/>
            <w:noProof/>
            <w:webHidden/>
          </w:rPr>
          <w:instrText xml:space="preserve"> PAGEREF _Toc161312448 \h </w:instrText>
        </w:r>
        <w:r w:rsidRPr="00D46637">
          <w:rPr>
            <w:rFonts w:asciiTheme="minorHAnsi" w:hAnsiTheme="minorHAnsi" w:cstheme="minorHAnsi"/>
            <w:noProof/>
            <w:webHidden/>
          </w:rPr>
        </w:r>
        <w:r w:rsidRPr="00D46637">
          <w:rPr>
            <w:rFonts w:asciiTheme="minorHAnsi" w:hAnsiTheme="minorHAnsi" w:cstheme="minorHAnsi"/>
            <w:noProof/>
            <w:webHidden/>
          </w:rPr>
          <w:fldChar w:fldCharType="separate"/>
        </w:r>
        <w:r w:rsidR="003B281E">
          <w:rPr>
            <w:rFonts w:asciiTheme="minorHAnsi" w:hAnsiTheme="minorHAnsi" w:cstheme="minorHAnsi"/>
            <w:noProof/>
            <w:webHidden/>
          </w:rPr>
          <w:t>43</w:t>
        </w:r>
        <w:r w:rsidRPr="00D46637">
          <w:rPr>
            <w:rFonts w:asciiTheme="minorHAnsi" w:hAnsiTheme="minorHAnsi" w:cstheme="minorHAnsi"/>
            <w:noProof/>
            <w:webHidden/>
          </w:rPr>
          <w:fldChar w:fldCharType="end"/>
        </w:r>
      </w:hyperlink>
    </w:p>
    <w:p w14:paraId="7112CE37" w14:textId="5523153A" w:rsidR="00D46637" w:rsidRPr="00D46637" w:rsidRDefault="00D46637" w:rsidP="00D46637">
      <w:pPr>
        <w:pStyle w:val="TOC1"/>
        <w:tabs>
          <w:tab w:val="left" w:pos="720"/>
          <w:tab w:val="right" w:leader="dot" w:pos="8630"/>
        </w:tabs>
        <w:rPr>
          <w:rFonts w:asciiTheme="minorHAnsi" w:eastAsiaTheme="minorEastAsia" w:hAnsiTheme="minorHAnsi" w:cstheme="minorHAnsi"/>
          <w:noProof/>
          <w:kern w:val="2"/>
          <w14:ligatures w14:val="standardContextual"/>
        </w:rPr>
      </w:pPr>
      <w:hyperlink w:anchor="_Toc161312449" w:history="1">
        <w:r w:rsidRPr="00D46637">
          <w:rPr>
            <w:rStyle w:val="Hyperlink"/>
            <w:rFonts w:asciiTheme="minorHAnsi" w:hAnsiTheme="minorHAnsi" w:cstheme="minorHAnsi"/>
            <w:noProof/>
            <w:lang w:eastAsia="en-GB"/>
          </w:rPr>
          <w:t>Annex 7 : Equipment &amp; Supplies</w:t>
        </w:r>
        <w:r w:rsidRPr="00D46637">
          <w:rPr>
            <w:rFonts w:asciiTheme="minorHAnsi" w:hAnsiTheme="minorHAnsi" w:cstheme="minorHAnsi"/>
            <w:noProof/>
            <w:webHidden/>
          </w:rPr>
          <w:tab/>
        </w:r>
        <w:r w:rsidRPr="00D46637">
          <w:rPr>
            <w:rFonts w:asciiTheme="minorHAnsi" w:hAnsiTheme="minorHAnsi" w:cstheme="minorHAnsi"/>
            <w:noProof/>
            <w:webHidden/>
          </w:rPr>
          <w:fldChar w:fldCharType="begin"/>
        </w:r>
        <w:r w:rsidRPr="00D46637">
          <w:rPr>
            <w:rFonts w:asciiTheme="minorHAnsi" w:hAnsiTheme="minorHAnsi" w:cstheme="minorHAnsi"/>
            <w:noProof/>
            <w:webHidden/>
          </w:rPr>
          <w:instrText xml:space="preserve"> PAGEREF _Toc161312449 \h </w:instrText>
        </w:r>
        <w:r w:rsidRPr="00D46637">
          <w:rPr>
            <w:rFonts w:asciiTheme="minorHAnsi" w:hAnsiTheme="minorHAnsi" w:cstheme="minorHAnsi"/>
            <w:noProof/>
            <w:webHidden/>
          </w:rPr>
        </w:r>
        <w:r w:rsidRPr="00D46637">
          <w:rPr>
            <w:rFonts w:asciiTheme="minorHAnsi" w:hAnsiTheme="minorHAnsi" w:cstheme="minorHAnsi"/>
            <w:noProof/>
            <w:webHidden/>
          </w:rPr>
          <w:fldChar w:fldCharType="separate"/>
        </w:r>
        <w:r w:rsidR="003B281E">
          <w:rPr>
            <w:rFonts w:asciiTheme="minorHAnsi" w:hAnsiTheme="minorHAnsi" w:cstheme="minorHAnsi"/>
            <w:noProof/>
            <w:webHidden/>
          </w:rPr>
          <w:t>44</w:t>
        </w:r>
        <w:r w:rsidRPr="00D46637">
          <w:rPr>
            <w:rFonts w:asciiTheme="minorHAnsi" w:hAnsiTheme="minorHAnsi" w:cstheme="minorHAnsi"/>
            <w:noProof/>
            <w:webHidden/>
          </w:rPr>
          <w:fldChar w:fldCharType="end"/>
        </w:r>
      </w:hyperlink>
    </w:p>
    <w:p w14:paraId="797E033F" w14:textId="59AA3E02" w:rsidR="00D46637" w:rsidRPr="00D46637" w:rsidRDefault="00D46637" w:rsidP="00D46637">
      <w:pPr>
        <w:pStyle w:val="TOC1"/>
        <w:tabs>
          <w:tab w:val="left" w:pos="720"/>
          <w:tab w:val="right" w:leader="dot" w:pos="8630"/>
        </w:tabs>
        <w:rPr>
          <w:rFonts w:asciiTheme="minorHAnsi" w:eastAsiaTheme="minorEastAsia" w:hAnsiTheme="minorHAnsi" w:cstheme="minorHAnsi"/>
          <w:noProof/>
          <w:kern w:val="2"/>
          <w14:ligatures w14:val="standardContextual"/>
        </w:rPr>
      </w:pPr>
      <w:hyperlink w:anchor="_Toc161312450" w:history="1">
        <w:r w:rsidRPr="00D46637">
          <w:rPr>
            <w:rStyle w:val="Hyperlink"/>
            <w:rFonts w:asciiTheme="minorHAnsi" w:hAnsiTheme="minorHAnsi" w:cstheme="minorHAnsi"/>
            <w:noProof/>
            <w:lang w:eastAsia="en-GB"/>
          </w:rPr>
          <w:t>Annex 8 : Transitional measures</w:t>
        </w:r>
        <w:r w:rsidRPr="00D46637">
          <w:rPr>
            <w:rFonts w:asciiTheme="minorHAnsi" w:hAnsiTheme="minorHAnsi" w:cstheme="minorHAnsi"/>
            <w:noProof/>
            <w:webHidden/>
          </w:rPr>
          <w:tab/>
        </w:r>
        <w:r w:rsidRPr="00D46637">
          <w:rPr>
            <w:rFonts w:asciiTheme="minorHAnsi" w:hAnsiTheme="minorHAnsi" w:cstheme="minorHAnsi"/>
            <w:noProof/>
            <w:webHidden/>
          </w:rPr>
          <w:fldChar w:fldCharType="begin"/>
        </w:r>
        <w:r w:rsidRPr="00D46637">
          <w:rPr>
            <w:rFonts w:asciiTheme="minorHAnsi" w:hAnsiTheme="minorHAnsi" w:cstheme="minorHAnsi"/>
            <w:noProof/>
            <w:webHidden/>
          </w:rPr>
          <w:instrText xml:space="preserve"> PAGEREF _Toc161312450 \h </w:instrText>
        </w:r>
        <w:r w:rsidRPr="00D46637">
          <w:rPr>
            <w:rFonts w:asciiTheme="minorHAnsi" w:hAnsiTheme="minorHAnsi" w:cstheme="minorHAnsi"/>
            <w:noProof/>
            <w:webHidden/>
          </w:rPr>
        </w:r>
        <w:r w:rsidRPr="00D46637">
          <w:rPr>
            <w:rFonts w:asciiTheme="minorHAnsi" w:hAnsiTheme="minorHAnsi" w:cstheme="minorHAnsi"/>
            <w:noProof/>
            <w:webHidden/>
          </w:rPr>
          <w:fldChar w:fldCharType="separate"/>
        </w:r>
        <w:r w:rsidR="003B281E">
          <w:rPr>
            <w:rFonts w:asciiTheme="minorHAnsi" w:hAnsiTheme="minorHAnsi" w:cstheme="minorHAnsi"/>
            <w:noProof/>
            <w:webHidden/>
          </w:rPr>
          <w:t>45</w:t>
        </w:r>
        <w:r w:rsidRPr="00D46637">
          <w:rPr>
            <w:rFonts w:asciiTheme="minorHAnsi" w:hAnsiTheme="minorHAnsi" w:cstheme="minorHAnsi"/>
            <w:noProof/>
            <w:webHidden/>
          </w:rPr>
          <w:fldChar w:fldCharType="end"/>
        </w:r>
      </w:hyperlink>
    </w:p>
    <w:p w14:paraId="3BD31ABD" w14:textId="724F7E0C" w:rsidR="00804AF0" w:rsidRPr="00D46637" w:rsidRDefault="009A47D6">
      <w:pPr>
        <w:rPr>
          <w:rFonts w:asciiTheme="minorHAnsi" w:hAnsiTheme="minorHAnsi" w:cstheme="minorHAnsi"/>
        </w:rPr>
      </w:pPr>
      <w:r w:rsidRPr="00D46637">
        <w:rPr>
          <w:rFonts w:asciiTheme="minorHAnsi" w:hAnsiTheme="minorHAnsi" w:cstheme="minorHAnsi"/>
        </w:rPr>
        <w:fldChar w:fldCharType="end"/>
      </w:r>
    </w:p>
    <w:p w14:paraId="2CB5A1DF" w14:textId="77777777" w:rsidR="00804AF0" w:rsidRPr="00D46637" w:rsidRDefault="00804AF0">
      <w:pPr>
        <w:ind w:left="345"/>
        <w:jc w:val="both"/>
        <w:textAlignment w:val="baseline"/>
        <w:rPr>
          <w:rFonts w:asciiTheme="minorHAnsi" w:hAnsiTheme="minorHAnsi" w:cstheme="minorHAnsi"/>
          <w:i/>
          <w:iCs/>
          <w:lang w:eastAsia="en-GB"/>
        </w:rPr>
      </w:pPr>
    </w:p>
    <w:p w14:paraId="4F0FC05A" w14:textId="77777777" w:rsidR="00804AF0" w:rsidRPr="00D46637" w:rsidRDefault="00804AF0">
      <w:pPr>
        <w:ind w:left="345"/>
        <w:jc w:val="both"/>
        <w:textAlignment w:val="baseline"/>
        <w:rPr>
          <w:rFonts w:asciiTheme="minorHAnsi" w:hAnsiTheme="minorHAnsi" w:cstheme="minorHAnsi"/>
          <w:i/>
          <w:iCs/>
          <w:lang w:eastAsia="en-GB"/>
        </w:rPr>
      </w:pPr>
    </w:p>
    <w:p w14:paraId="2A531C75" w14:textId="77777777" w:rsidR="00804AF0" w:rsidRPr="00D46637" w:rsidRDefault="00804AF0">
      <w:pPr>
        <w:ind w:left="345"/>
        <w:jc w:val="both"/>
        <w:textAlignment w:val="baseline"/>
        <w:rPr>
          <w:rFonts w:asciiTheme="minorHAnsi" w:hAnsiTheme="minorHAnsi" w:cstheme="minorHAnsi"/>
          <w:i/>
          <w:iCs/>
          <w:lang w:eastAsia="en-GB"/>
        </w:rPr>
      </w:pPr>
    </w:p>
    <w:p w14:paraId="51776D39" w14:textId="77777777" w:rsidR="00804AF0" w:rsidRPr="00D46637" w:rsidRDefault="00804AF0">
      <w:pPr>
        <w:ind w:left="345"/>
        <w:jc w:val="both"/>
        <w:textAlignment w:val="baseline"/>
        <w:rPr>
          <w:rFonts w:asciiTheme="minorHAnsi" w:hAnsiTheme="minorHAnsi" w:cstheme="minorHAnsi"/>
          <w:i/>
          <w:iCs/>
          <w:lang w:eastAsia="en-GB"/>
        </w:rPr>
      </w:pPr>
    </w:p>
    <w:p w14:paraId="6DA610CD" w14:textId="77777777" w:rsidR="00804AF0" w:rsidRPr="00D46637" w:rsidRDefault="00804AF0">
      <w:pPr>
        <w:ind w:left="345"/>
        <w:jc w:val="both"/>
        <w:textAlignment w:val="baseline"/>
        <w:rPr>
          <w:rFonts w:asciiTheme="minorHAnsi" w:hAnsiTheme="minorHAnsi" w:cstheme="minorHAnsi"/>
          <w:i/>
          <w:iCs/>
          <w:lang w:eastAsia="en-GB"/>
        </w:rPr>
      </w:pPr>
    </w:p>
    <w:p w14:paraId="16DF744C" w14:textId="77777777" w:rsidR="00804AF0" w:rsidRPr="00D46637" w:rsidRDefault="00804AF0">
      <w:pPr>
        <w:ind w:left="345"/>
        <w:jc w:val="both"/>
        <w:textAlignment w:val="baseline"/>
        <w:rPr>
          <w:rFonts w:asciiTheme="minorHAnsi" w:hAnsiTheme="minorHAnsi" w:cstheme="minorHAnsi"/>
          <w:i/>
          <w:iCs/>
          <w:lang w:eastAsia="en-GB"/>
        </w:rPr>
      </w:pPr>
    </w:p>
    <w:p w14:paraId="157D49C6" w14:textId="77777777" w:rsidR="00804AF0" w:rsidRPr="00D46637" w:rsidRDefault="00804AF0">
      <w:pPr>
        <w:ind w:left="345"/>
        <w:jc w:val="both"/>
        <w:textAlignment w:val="baseline"/>
        <w:rPr>
          <w:rFonts w:asciiTheme="minorHAnsi" w:hAnsiTheme="minorHAnsi" w:cstheme="minorHAnsi"/>
          <w:i/>
          <w:iCs/>
          <w:lang w:eastAsia="en-GB"/>
        </w:rPr>
      </w:pPr>
    </w:p>
    <w:p w14:paraId="0283F352" w14:textId="77777777" w:rsidR="00804AF0" w:rsidRPr="00D46637" w:rsidRDefault="00804AF0">
      <w:pPr>
        <w:ind w:left="345"/>
        <w:jc w:val="both"/>
        <w:textAlignment w:val="baseline"/>
        <w:rPr>
          <w:rFonts w:asciiTheme="minorHAnsi" w:hAnsiTheme="minorHAnsi" w:cstheme="minorHAnsi"/>
          <w:i/>
          <w:iCs/>
          <w:lang w:eastAsia="en-GB"/>
        </w:rPr>
      </w:pPr>
    </w:p>
    <w:p w14:paraId="1B1A41B8" w14:textId="77777777" w:rsidR="00804AF0" w:rsidRPr="00D46637" w:rsidRDefault="00804AF0">
      <w:pPr>
        <w:ind w:left="345"/>
        <w:jc w:val="both"/>
        <w:textAlignment w:val="baseline"/>
        <w:rPr>
          <w:rFonts w:asciiTheme="minorHAnsi" w:hAnsiTheme="minorHAnsi" w:cstheme="minorHAnsi"/>
          <w:i/>
          <w:iCs/>
          <w:lang w:eastAsia="en-GB"/>
        </w:rPr>
      </w:pPr>
    </w:p>
    <w:p w14:paraId="5957FAC6" w14:textId="77777777" w:rsidR="00804AF0" w:rsidRPr="00D46637" w:rsidRDefault="00804AF0">
      <w:pPr>
        <w:ind w:left="345"/>
        <w:jc w:val="both"/>
        <w:textAlignment w:val="baseline"/>
        <w:rPr>
          <w:rFonts w:asciiTheme="minorHAnsi" w:hAnsiTheme="minorHAnsi" w:cstheme="minorHAnsi"/>
          <w:i/>
          <w:iCs/>
          <w:lang w:eastAsia="en-GB"/>
        </w:rPr>
      </w:pPr>
    </w:p>
    <w:p w14:paraId="1F3C60FD" w14:textId="77777777" w:rsidR="00804AF0" w:rsidRPr="00D46637" w:rsidRDefault="00804AF0">
      <w:pPr>
        <w:ind w:left="345"/>
        <w:jc w:val="both"/>
        <w:textAlignment w:val="baseline"/>
        <w:rPr>
          <w:rFonts w:asciiTheme="minorHAnsi" w:hAnsiTheme="minorHAnsi" w:cstheme="minorHAnsi"/>
          <w:i/>
          <w:iCs/>
          <w:lang w:eastAsia="en-GB"/>
        </w:rPr>
      </w:pPr>
    </w:p>
    <w:p w14:paraId="6A618254" w14:textId="77777777" w:rsidR="00804AF0" w:rsidRPr="00D46637" w:rsidRDefault="00804AF0">
      <w:pPr>
        <w:ind w:left="345"/>
        <w:jc w:val="both"/>
        <w:textAlignment w:val="baseline"/>
        <w:rPr>
          <w:rFonts w:asciiTheme="minorHAnsi" w:hAnsiTheme="minorHAnsi" w:cstheme="minorHAnsi"/>
          <w:i/>
          <w:iCs/>
          <w:lang w:eastAsia="en-GB"/>
        </w:rPr>
      </w:pPr>
    </w:p>
    <w:p w14:paraId="39D1C81A" w14:textId="77777777" w:rsidR="00804AF0" w:rsidRPr="00D46637" w:rsidRDefault="00804AF0">
      <w:pPr>
        <w:ind w:left="345"/>
        <w:jc w:val="both"/>
        <w:textAlignment w:val="baseline"/>
        <w:rPr>
          <w:rFonts w:asciiTheme="minorHAnsi" w:hAnsiTheme="minorHAnsi" w:cstheme="minorHAnsi"/>
          <w:i/>
          <w:iCs/>
          <w:lang w:eastAsia="en-GB"/>
        </w:rPr>
      </w:pPr>
    </w:p>
    <w:p w14:paraId="3FF66363" w14:textId="77777777" w:rsidR="00804AF0" w:rsidRPr="00D46637" w:rsidRDefault="00804AF0">
      <w:pPr>
        <w:ind w:left="345"/>
        <w:jc w:val="both"/>
        <w:textAlignment w:val="baseline"/>
        <w:rPr>
          <w:rFonts w:asciiTheme="minorHAnsi" w:hAnsiTheme="minorHAnsi" w:cstheme="minorHAnsi"/>
          <w:i/>
          <w:iCs/>
          <w:lang w:eastAsia="en-GB"/>
        </w:rPr>
      </w:pPr>
    </w:p>
    <w:p w14:paraId="6A4FB3EA" w14:textId="77777777" w:rsidR="00804AF0" w:rsidRPr="00D46637" w:rsidRDefault="00804AF0">
      <w:pPr>
        <w:ind w:left="345"/>
        <w:jc w:val="both"/>
        <w:textAlignment w:val="baseline"/>
        <w:rPr>
          <w:rFonts w:asciiTheme="minorHAnsi" w:hAnsiTheme="minorHAnsi" w:cstheme="minorHAnsi"/>
          <w:i/>
          <w:iCs/>
          <w:lang w:eastAsia="en-GB"/>
        </w:rPr>
      </w:pPr>
    </w:p>
    <w:p w14:paraId="0EB607E1" w14:textId="77777777" w:rsidR="00804AF0" w:rsidRDefault="00804AF0">
      <w:pPr>
        <w:ind w:left="345"/>
        <w:jc w:val="both"/>
        <w:textAlignment w:val="baseline"/>
        <w:rPr>
          <w:rFonts w:ascii="Calibri" w:hAnsi="Calibri" w:cs="Calibri"/>
          <w:i/>
          <w:iCs/>
          <w:sz w:val="22"/>
          <w:szCs w:val="22"/>
          <w:lang w:eastAsia="en-GB"/>
        </w:rPr>
      </w:pPr>
    </w:p>
    <w:p w14:paraId="7858FD7B" w14:textId="77777777" w:rsidR="00804AF0" w:rsidRDefault="00804AF0">
      <w:pPr>
        <w:ind w:left="345"/>
        <w:jc w:val="both"/>
        <w:textAlignment w:val="baseline"/>
        <w:rPr>
          <w:rFonts w:ascii="Calibri" w:hAnsi="Calibri" w:cs="Calibri"/>
          <w:i/>
          <w:iCs/>
          <w:sz w:val="22"/>
          <w:szCs w:val="22"/>
          <w:lang w:eastAsia="en-GB"/>
        </w:rPr>
      </w:pPr>
    </w:p>
    <w:p w14:paraId="0901411D" w14:textId="77777777" w:rsidR="00804AF0" w:rsidRDefault="00804AF0">
      <w:pPr>
        <w:ind w:left="345"/>
        <w:jc w:val="both"/>
        <w:textAlignment w:val="baseline"/>
        <w:rPr>
          <w:rFonts w:ascii="Calibri" w:hAnsi="Calibri" w:cs="Calibri"/>
          <w:i/>
          <w:iCs/>
          <w:sz w:val="22"/>
          <w:szCs w:val="22"/>
          <w:lang w:eastAsia="en-GB"/>
        </w:rPr>
      </w:pPr>
    </w:p>
    <w:p w14:paraId="102B9888" w14:textId="77777777" w:rsidR="00804AF0" w:rsidRDefault="00804AF0">
      <w:pPr>
        <w:ind w:left="345"/>
        <w:jc w:val="both"/>
        <w:textAlignment w:val="baseline"/>
        <w:rPr>
          <w:rFonts w:ascii="Calibri" w:hAnsi="Calibri" w:cs="Calibri"/>
          <w:i/>
          <w:iCs/>
          <w:sz w:val="22"/>
          <w:szCs w:val="22"/>
          <w:lang w:eastAsia="en-GB"/>
        </w:rPr>
      </w:pPr>
    </w:p>
    <w:p w14:paraId="73874636" w14:textId="77777777" w:rsidR="00804AF0" w:rsidRDefault="00804AF0">
      <w:pPr>
        <w:ind w:left="345"/>
        <w:jc w:val="both"/>
        <w:textAlignment w:val="baseline"/>
        <w:rPr>
          <w:rFonts w:ascii="Calibri" w:hAnsi="Calibri" w:cs="Calibri"/>
          <w:i/>
          <w:iCs/>
          <w:sz w:val="22"/>
          <w:szCs w:val="22"/>
          <w:lang w:eastAsia="en-GB"/>
        </w:rPr>
      </w:pPr>
    </w:p>
    <w:p w14:paraId="279D7749" w14:textId="77777777" w:rsidR="00804AF0" w:rsidRDefault="00804AF0">
      <w:pPr>
        <w:ind w:left="345"/>
        <w:jc w:val="both"/>
        <w:textAlignment w:val="baseline"/>
        <w:rPr>
          <w:rFonts w:ascii="Calibri" w:hAnsi="Calibri" w:cs="Calibri"/>
          <w:i/>
          <w:iCs/>
          <w:sz w:val="22"/>
          <w:szCs w:val="22"/>
          <w:lang w:eastAsia="en-GB"/>
        </w:rPr>
      </w:pPr>
    </w:p>
    <w:p w14:paraId="5EF5F420" w14:textId="77777777" w:rsidR="00804AF0" w:rsidRDefault="00804AF0">
      <w:pPr>
        <w:ind w:left="345"/>
        <w:jc w:val="both"/>
        <w:textAlignment w:val="baseline"/>
        <w:rPr>
          <w:rFonts w:ascii="Calibri" w:hAnsi="Calibri" w:cs="Calibri"/>
          <w:i/>
          <w:iCs/>
          <w:sz w:val="22"/>
          <w:szCs w:val="22"/>
          <w:lang w:eastAsia="en-GB"/>
        </w:rPr>
      </w:pPr>
    </w:p>
    <w:p w14:paraId="1CA349D7" w14:textId="77777777" w:rsidR="00804AF0" w:rsidRDefault="00804AF0">
      <w:pPr>
        <w:ind w:left="345"/>
        <w:jc w:val="both"/>
        <w:textAlignment w:val="baseline"/>
        <w:rPr>
          <w:rFonts w:ascii="Calibri" w:hAnsi="Calibri" w:cs="Calibri"/>
          <w:i/>
          <w:iCs/>
          <w:sz w:val="22"/>
          <w:szCs w:val="22"/>
          <w:lang w:eastAsia="en-GB"/>
        </w:rPr>
      </w:pPr>
    </w:p>
    <w:p w14:paraId="3F548B42" w14:textId="77777777" w:rsidR="00804AF0" w:rsidRDefault="00804AF0">
      <w:pPr>
        <w:ind w:left="345"/>
        <w:jc w:val="both"/>
        <w:textAlignment w:val="baseline"/>
        <w:rPr>
          <w:rFonts w:ascii="Calibri" w:hAnsi="Calibri" w:cs="Calibri"/>
          <w:i/>
          <w:iCs/>
          <w:sz w:val="22"/>
          <w:szCs w:val="22"/>
          <w:lang w:eastAsia="en-GB"/>
        </w:rPr>
      </w:pPr>
    </w:p>
    <w:p w14:paraId="296F27C3" w14:textId="77777777" w:rsidR="00804AF0" w:rsidRDefault="00804AF0">
      <w:pPr>
        <w:ind w:left="345"/>
        <w:jc w:val="both"/>
        <w:textAlignment w:val="baseline"/>
        <w:rPr>
          <w:rFonts w:ascii="Calibri" w:hAnsi="Calibri" w:cs="Calibri"/>
          <w:i/>
          <w:iCs/>
          <w:sz w:val="22"/>
          <w:szCs w:val="22"/>
          <w:lang w:eastAsia="en-GB"/>
        </w:rPr>
      </w:pPr>
    </w:p>
    <w:p w14:paraId="285533F1" w14:textId="77777777" w:rsidR="00804AF0" w:rsidRDefault="00804AF0">
      <w:pPr>
        <w:ind w:left="345"/>
        <w:jc w:val="both"/>
        <w:textAlignment w:val="baseline"/>
        <w:rPr>
          <w:rFonts w:ascii="Calibri" w:hAnsi="Calibri" w:cs="Calibri"/>
          <w:i/>
          <w:iCs/>
          <w:sz w:val="22"/>
          <w:szCs w:val="22"/>
          <w:lang w:eastAsia="en-GB"/>
        </w:rPr>
      </w:pPr>
    </w:p>
    <w:p w14:paraId="67B65EB1" w14:textId="77777777" w:rsidR="00804AF0" w:rsidRDefault="00804AF0">
      <w:pPr>
        <w:ind w:left="345"/>
        <w:jc w:val="both"/>
        <w:textAlignment w:val="baseline"/>
        <w:rPr>
          <w:rFonts w:ascii="Calibri" w:hAnsi="Calibri" w:cs="Calibri"/>
          <w:i/>
          <w:iCs/>
          <w:sz w:val="22"/>
          <w:szCs w:val="22"/>
          <w:lang w:eastAsia="en-GB"/>
        </w:rPr>
      </w:pPr>
    </w:p>
    <w:p w14:paraId="58CF4DC8" w14:textId="77777777" w:rsidR="00804AF0" w:rsidRDefault="009A47D6">
      <w:pPr>
        <w:pStyle w:val="Heading1"/>
        <w:numPr>
          <w:ilvl w:val="0"/>
          <w:numId w:val="2"/>
        </w:numPr>
        <w:jc w:val="left"/>
        <w:rPr>
          <w:rFonts w:ascii="Calibri" w:hAnsi="Calibri"/>
          <w:b/>
          <w:sz w:val="22"/>
          <w:lang w:eastAsia="en-GB"/>
        </w:rPr>
      </w:pPr>
      <w:bookmarkStart w:id="0" w:name="_Toc161312409"/>
      <w:bookmarkStart w:id="1" w:name="OLE_LINK10"/>
      <w:r>
        <w:rPr>
          <w:rFonts w:ascii="Calibri" w:hAnsi="Calibri"/>
          <w:b/>
          <w:sz w:val="22"/>
          <w:lang w:eastAsia="en-GB"/>
        </w:rPr>
        <w:t>Introduction and Background</w:t>
      </w:r>
      <w:bookmarkEnd w:id="0"/>
    </w:p>
    <w:bookmarkEnd w:id="1"/>
    <w:p w14:paraId="23E7DD41" w14:textId="77777777" w:rsidR="00804AF0" w:rsidRDefault="00804AF0">
      <w:pPr>
        <w:textAlignment w:val="baseline"/>
        <w:rPr>
          <w:rFonts w:ascii="Calibri" w:hAnsi="Calibri" w:cs="Calibri"/>
          <w:sz w:val="22"/>
          <w:szCs w:val="22"/>
          <w:lang w:eastAsia="en-GB"/>
        </w:rPr>
      </w:pPr>
    </w:p>
    <w:p w14:paraId="111FDA29" w14:textId="77777777" w:rsidR="00804AF0" w:rsidRDefault="009A47D6">
      <w:pPr>
        <w:pStyle w:val="ListParagraph"/>
        <w:numPr>
          <w:ilvl w:val="0"/>
          <w:numId w:val="3"/>
        </w:numPr>
        <w:ind w:left="363" w:hanging="363"/>
        <w:jc w:val="both"/>
        <w:textAlignment w:val="baseline"/>
        <w:rPr>
          <w:rFonts w:ascii="Calibri" w:hAnsi="Calibri" w:cs="Calibri"/>
          <w:b/>
          <w:bCs/>
          <w:sz w:val="22"/>
          <w:szCs w:val="22"/>
          <w:lang w:eastAsia="en-GB"/>
        </w:rPr>
      </w:pPr>
      <w:r>
        <w:rPr>
          <w:rFonts w:ascii="Calibri" w:hAnsi="Calibri" w:cs="Calibri"/>
          <w:b/>
          <w:bCs/>
          <w:sz w:val="22"/>
          <w:szCs w:val="22"/>
          <w:lang w:eastAsia="en-GB"/>
        </w:rPr>
        <w:t>Overview </w:t>
      </w:r>
    </w:p>
    <w:p w14:paraId="0E011EAE" w14:textId="77777777" w:rsidR="00804AF0" w:rsidRDefault="00804AF0">
      <w:pPr>
        <w:jc w:val="both"/>
        <w:textAlignment w:val="baseline"/>
        <w:rPr>
          <w:rFonts w:ascii="Calibri" w:hAnsi="Calibri" w:cs="Calibri"/>
          <w:sz w:val="22"/>
          <w:szCs w:val="22"/>
          <w:lang w:eastAsia="en-GB"/>
        </w:rPr>
      </w:pPr>
    </w:p>
    <w:p w14:paraId="5C02AD23"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The International Personnel Services Agreement (“IPSA”) is a legal instrument established by the United Nations Development Programme (UNDP) in order to engage the services of individuals to provide a time-limited service to UNDP under a services-based contract modality. </w:t>
      </w:r>
    </w:p>
    <w:p w14:paraId="6DB8ECD5" w14:textId="77777777" w:rsidR="00804AF0" w:rsidRDefault="00804AF0">
      <w:pPr>
        <w:jc w:val="both"/>
        <w:textAlignment w:val="baseline"/>
        <w:rPr>
          <w:rFonts w:ascii="Calibri" w:hAnsi="Calibri" w:cs="Calibri"/>
          <w:sz w:val="22"/>
          <w:szCs w:val="22"/>
          <w:lang w:eastAsia="en-GB"/>
        </w:rPr>
      </w:pPr>
    </w:p>
    <w:p w14:paraId="6A628E67"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This modality has two key objectives: On the one hand, the IPSA aims to provide UNDP with a comprehensive, flexible and cost-effective contractual framework which responds to project- and programme-based, as well as operational and administrative, requirements. On the other, the IPSA will at the same time provide for attractive, stable and fair conditions of employment which ensure that UNDP is able to attract, select and retain the services of high-quality individuals.</w:t>
      </w:r>
    </w:p>
    <w:p w14:paraId="61FDFC54" w14:textId="77777777" w:rsidR="00804AF0" w:rsidRDefault="00804AF0">
      <w:pPr>
        <w:jc w:val="both"/>
        <w:textAlignment w:val="baseline"/>
        <w:rPr>
          <w:rFonts w:ascii="Calibri" w:hAnsi="Calibri" w:cs="Calibri"/>
          <w:sz w:val="22"/>
          <w:szCs w:val="22"/>
          <w:lang w:eastAsia="en-GB"/>
        </w:rPr>
      </w:pPr>
    </w:p>
    <w:p w14:paraId="67C60678"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Individuals engaged under the IPSA framework have the status of International Personnel Service Agreement holders, and are specifically engaged in recognition of their skills and expertise, to provide identified deliverables. These individuals are not UNDP staff members, but are considered affiliate personnel and, as such are not governed by or subject to the United Nations’ Staff Regulations and Rules. Nor is this contract modality governed by national legislation in countries where UNDP operates. Given that the services covered by the IPSA may only be provided by natural and not legal persons (e.g., duly formed/registered companies), and by non-incorporated partnerships, the IPSA falls within the overall scope of UNDP Human Resource management framework.</w:t>
      </w:r>
    </w:p>
    <w:p w14:paraId="32F30F46" w14:textId="77777777" w:rsidR="00804AF0" w:rsidRDefault="00804AF0">
      <w:pPr>
        <w:jc w:val="both"/>
        <w:textAlignment w:val="baseline"/>
        <w:rPr>
          <w:rFonts w:ascii="Calibri" w:hAnsi="Calibri" w:cs="Calibri"/>
          <w:sz w:val="22"/>
          <w:szCs w:val="22"/>
          <w:lang w:eastAsia="en-GB"/>
        </w:rPr>
      </w:pPr>
    </w:p>
    <w:p w14:paraId="319DB690" w14:textId="2D939E19"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The IPSA may also be used by UNDP to contract individuals on behalf of entities to which it may provide such services (“partners”), whereby the personnel so contracted are </w:t>
      </w:r>
      <w:r w:rsidR="00F2055F">
        <w:rPr>
          <w:rFonts w:ascii="Calibri" w:hAnsi="Calibri" w:cs="Calibri"/>
          <w:sz w:val="22"/>
          <w:szCs w:val="22"/>
          <w:lang w:eastAsia="en-GB"/>
        </w:rPr>
        <w:t>supervised by</w:t>
      </w:r>
      <w:r>
        <w:rPr>
          <w:rFonts w:ascii="Calibri" w:hAnsi="Calibri" w:cs="Calibri"/>
          <w:sz w:val="22"/>
          <w:szCs w:val="22"/>
          <w:lang w:eastAsia="en-GB"/>
        </w:rPr>
        <w:t> such partners. Such contracts are administered by UNDP. This facility is provided for in the related policy on Partner Personnel Service Agreement (“PPSA”).</w:t>
      </w:r>
    </w:p>
    <w:p w14:paraId="0A718CC1" w14:textId="77777777" w:rsidR="00804AF0" w:rsidRDefault="00804AF0">
      <w:pPr>
        <w:jc w:val="both"/>
        <w:textAlignment w:val="baseline"/>
        <w:rPr>
          <w:rFonts w:ascii="Calibri" w:hAnsi="Calibri" w:cs="Calibri"/>
          <w:sz w:val="22"/>
          <w:szCs w:val="22"/>
          <w:lang w:eastAsia="en-GB"/>
        </w:rPr>
      </w:pPr>
    </w:p>
    <w:p w14:paraId="413184CE" w14:textId="11CFAF50"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 xml:space="preserve">The IPSA is governed solely by its expressed terms and conditions, including the </w:t>
      </w:r>
      <w:hyperlink r:id="rId7" w:history="1">
        <w:r>
          <w:rPr>
            <w:rFonts w:ascii="Calibri" w:hAnsi="Calibri" w:cs="Calibri"/>
            <w:sz w:val="22"/>
            <w:szCs w:val="22"/>
            <w:lang w:eastAsia="en-GB"/>
          </w:rPr>
          <w:t>Terms of Reference (“TOR”)</w:t>
        </w:r>
      </w:hyperlink>
      <w:r>
        <w:rPr>
          <w:rFonts w:ascii="Calibri" w:hAnsi="Calibri" w:cs="Calibri"/>
          <w:sz w:val="22"/>
          <w:szCs w:val="22"/>
          <w:lang w:eastAsia="en-GB"/>
        </w:rPr>
        <w:t>.</w:t>
      </w:r>
    </w:p>
    <w:p w14:paraId="23C0B19F" w14:textId="77777777" w:rsidR="00804AF0" w:rsidRDefault="00804AF0">
      <w:pPr>
        <w:jc w:val="both"/>
        <w:textAlignment w:val="baseline"/>
        <w:rPr>
          <w:rFonts w:ascii="Calibri" w:hAnsi="Calibri" w:cs="Calibri"/>
          <w:sz w:val="22"/>
          <w:szCs w:val="22"/>
          <w:lang w:eastAsia="en-GB"/>
        </w:rPr>
      </w:pPr>
    </w:p>
    <w:p w14:paraId="326AF1FC" w14:textId="77777777" w:rsidR="00804AF0" w:rsidRDefault="009A47D6">
      <w:pPr>
        <w:pStyle w:val="ListParagraph"/>
        <w:numPr>
          <w:ilvl w:val="0"/>
          <w:numId w:val="3"/>
        </w:numPr>
        <w:ind w:left="363" w:hanging="363"/>
        <w:jc w:val="both"/>
        <w:textAlignment w:val="baseline"/>
        <w:rPr>
          <w:rFonts w:ascii="Calibri" w:hAnsi="Calibri" w:cs="Calibri"/>
          <w:b/>
          <w:bCs/>
          <w:sz w:val="22"/>
          <w:szCs w:val="22"/>
          <w:lang w:eastAsia="en-GB"/>
        </w:rPr>
      </w:pPr>
      <w:bookmarkStart w:id="2" w:name="OLE_LINK5"/>
      <w:r>
        <w:rPr>
          <w:rFonts w:ascii="Calibri" w:hAnsi="Calibri" w:cs="Calibri"/>
          <w:b/>
          <w:bCs/>
          <w:sz w:val="22"/>
          <w:szCs w:val="22"/>
          <w:lang w:eastAsia="en-GB"/>
        </w:rPr>
        <w:t>Applicability</w:t>
      </w:r>
    </w:p>
    <w:bookmarkEnd w:id="2"/>
    <w:p w14:paraId="4BD2267D" w14:textId="77777777" w:rsidR="00804AF0" w:rsidRDefault="00804AF0">
      <w:pPr>
        <w:pStyle w:val="ListParagraph"/>
        <w:ind w:left="360"/>
        <w:jc w:val="both"/>
        <w:textAlignment w:val="baseline"/>
        <w:rPr>
          <w:rFonts w:ascii="Calibri" w:eastAsia="Times New Roman" w:hAnsi="Calibri" w:cs="Calibri"/>
          <w:sz w:val="22"/>
          <w:szCs w:val="22"/>
          <w:lang w:eastAsia="en-GB"/>
        </w:rPr>
      </w:pPr>
    </w:p>
    <w:p w14:paraId="581B705C" w14:textId="77777777" w:rsidR="00804AF0" w:rsidRDefault="009A47D6">
      <w:pPr>
        <w:numPr>
          <w:ilvl w:val="0"/>
          <w:numId w:val="4"/>
        </w:numPr>
        <w:jc w:val="both"/>
        <w:textAlignment w:val="baseline"/>
        <w:rPr>
          <w:rFonts w:ascii="Calibri" w:hAnsi="Calibri" w:cs="Calibri"/>
          <w:sz w:val="22"/>
          <w:szCs w:val="22"/>
          <w:lang w:eastAsia="en-GB"/>
        </w:rPr>
      </w:pPr>
      <w:bookmarkStart w:id="3" w:name="_Hlk57880060"/>
      <w:r>
        <w:rPr>
          <w:rFonts w:ascii="Calibri" w:hAnsi="Calibri" w:cs="Calibri"/>
          <w:sz w:val="22"/>
          <w:szCs w:val="22"/>
          <w:lang w:eastAsia="en-GB"/>
        </w:rPr>
        <w:t>The following policy shall apply to International Personnel Services Agreements concluded by UNDP to perform services for UNDP.</w:t>
      </w:r>
    </w:p>
    <w:p w14:paraId="2FB2694B" w14:textId="77777777" w:rsidR="00804AF0" w:rsidRDefault="00804AF0">
      <w:pPr>
        <w:ind w:left="425"/>
        <w:jc w:val="both"/>
        <w:textAlignment w:val="baseline"/>
        <w:rPr>
          <w:rFonts w:ascii="Calibri" w:hAnsi="Calibri" w:cs="Calibri"/>
          <w:sz w:val="22"/>
          <w:szCs w:val="22"/>
          <w:lang w:eastAsia="en-GB"/>
        </w:rPr>
      </w:pPr>
    </w:p>
    <w:p w14:paraId="6A7E1CFD"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color w:val="000000"/>
          <w:sz w:val="22"/>
          <w:szCs w:val="22"/>
        </w:rPr>
        <w:t>UNV and UNCDF can hire IPSAs in accordance with this Policy under the same conditions applicable to UNDP.</w:t>
      </w:r>
    </w:p>
    <w:bookmarkEnd w:id="3"/>
    <w:p w14:paraId="032AFF57"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23924F86" w14:textId="77777777" w:rsidR="00804AF0" w:rsidRDefault="009A47D6">
      <w:pPr>
        <w:numPr>
          <w:ilvl w:val="0"/>
          <w:numId w:val="4"/>
        </w:numPr>
        <w:jc w:val="both"/>
        <w:textAlignment w:val="baseline"/>
        <w:rPr>
          <w:rFonts w:ascii="Calibri" w:hAnsi="Calibri" w:cs="Calibri"/>
          <w:sz w:val="22"/>
          <w:szCs w:val="22"/>
          <w:lang w:eastAsia="en-GB"/>
        </w:rPr>
      </w:pPr>
      <w:bookmarkStart w:id="4" w:name="OLE_LINK11"/>
      <w:r>
        <w:rPr>
          <w:rFonts w:ascii="Calibri" w:hAnsi="Calibri" w:cs="Calibri"/>
          <w:sz w:val="22"/>
          <w:szCs w:val="22"/>
          <w:lang w:eastAsia="en-GB"/>
        </w:rPr>
        <w:t xml:space="preserve">An IPSA holder is normally a person engaged to perform specialist functions in a country other than their home country or place of permanent residence. In programme countries, the National Personal Services Agreement (NPSA) should be used. </w:t>
      </w:r>
      <w:bookmarkEnd w:id="4"/>
      <w:r>
        <w:rPr>
          <w:rFonts w:ascii="Calibri" w:hAnsi="Calibri" w:cs="Calibri"/>
          <w:sz w:val="22"/>
          <w:szCs w:val="22"/>
          <w:lang w:eastAsia="en-GB"/>
        </w:rPr>
        <w:t xml:space="preserve">However, IPSA holders may undertake an assignment in their home country provided they have multi-country responsibilities as per the terms of reference and is expected to travel on official business </w:t>
      </w:r>
      <w:r>
        <w:rPr>
          <w:rFonts w:ascii="Calibri" w:hAnsi="Calibri" w:cs="Calibri"/>
          <w:sz w:val="22"/>
          <w:szCs w:val="22"/>
          <w:lang w:eastAsia="en-GB"/>
        </w:rPr>
        <w:lastRenderedPageBreak/>
        <w:t>outside the home country for more than one-third of the service period, such cases should be cleared by BMS/OHR.</w:t>
      </w:r>
    </w:p>
    <w:p w14:paraId="3F0193E2" w14:textId="77777777" w:rsidR="00804AF0" w:rsidRDefault="00804AF0">
      <w:pPr>
        <w:jc w:val="both"/>
        <w:textAlignment w:val="baseline"/>
        <w:rPr>
          <w:rFonts w:ascii="Calibri" w:hAnsi="Calibri" w:cs="Calibri"/>
          <w:sz w:val="22"/>
          <w:szCs w:val="22"/>
          <w:lang w:eastAsia="en-GB"/>
        </w:rPr>
      </w:pPr>
    </w:p>
    <w:p w14:paraId="3A932B87" w14:textId="77777777" w:rsidR="00804AF0" w:rsidRDefault="009A47D6">
      <w:pPr>
        <w:pStyle w:val="Heading1"/>
        <w:numPr>
          <w:ilvl w:val="0"/>
          <w:numId w:val="2"/>
        </w:numPr>
        <w:jc w:val="left"/>
        <w:rPr>
          <w:rFonts w:ascii="Calibri" w:hAnsi="Calibri"/>
          <w:b/>
          <w:sz w:val="22"/>
          <w:lang w:eastAsia="en-GB"/>
        </w:rPr>
      </w:pPr>
      <w:bookmarkStart w:id="5" w:name="_Toc161312410"/>
      <w:r>
        <w:rPr>
          <w:rFonts w:ascii="Calibri" w:hAnsi="Calibri"/>
          <w:b/>
          <w:sz w:val="22"/>
          <w:lang w:eastAsia="en-GB"/>
        </w:rPr>
        <w:t>Use of IPSA</w:t>
      </w:r>
      <w:bookmarkEnd w:id="5"/>
    </w:p>
    <w:p w14:paraId="3AF9BF7F"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1A3442BB"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There are functions that have an international element to them, where specific technical expertise is not available at that required level locally, where local challenges and conflicts may require a neutral approach, or where the independent role of UNDP is required. In such instances, an International PSA position should be established as opposed to a national PSA position.</w:t>
      </w:r>
    </w:p>
    <w:p w14:paraId="61F0C05F" w14:textId="77777777" w:rsidR="00804AF0" w:rsidRDefault="009A47D6">
      <w:pPr>
        <w:jc w:val="both"/>
        <w:textAlignment w:val="baseline"/>
        <w:rPr>
          <w:rFonts w:ascii="Calibri" w:hAnsi="Calibri" w:cs="Calibri"/>
          <w:b/>
          <w:bCs/>
          <w:sz w:val="22"/>
          <w:szCs w:val="22"/>
          <w:lang w:eastAsia="en-GB"/>
        </w:rPr>
      </w:pPr>
      <w:r>
        <w:rPr>
          <w:rFonts w:ascii="Calibri" w:hAnsi="Calibri" w:cs="Calibri"/>
          <w:sz w:val="22"/>
          <w:szCs w:val="22"/>
          <w:lang w:eastAsia="en-GB"/>
        </w:rPr>
        <w:t> </w:t>
      </w:r>
    </w:p>
    <w:p w14:paraId="6C10DE71"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When should the IPSA be used:</w:t>
      </w:r>
    </w:p>
    <w:p w14:paraId="5E327E66" w14:textId="77777777" w:rsidR="00804AF0" w:rsidRDefault="00804AF0">
      <w:pPr>
        <w:ind w:firstLine="720"/>
        <w:jc w:val="both"/>
        <w:textAlignment w:val="baseline"/>
        <w:rPr>
          <w:rFonts w:ascii="Calibri" w:hAnsi="Calibri" w:cs="Calibri"/>
          <w:sz w:val="22"/>
          <w:szCs w:val="22"/>
          <w:lang w:eastAsia="en-GB"/>
        </w:rPr>
      </w:pPr>
    </w:p>
    <w:p w14:paraId="5227F7E1" w14:textId="77777777" w:rsidR="00804AF0" w:rsidRDefault="009A47D6">
      <w:pPr>
        <w:ind w:firstLine="720"/>
        <w:jc w:val="both"/>
        <w:textAlignment w:val="baseline"/>
        <w:rPr>
          <w:rFonts w:ascii="Calibri" w:hAnsi="Calibri" w:cs="Calibri"/>
          <w:sz w:val="22"/>
          <w:szCs w:val="22"/>
          <w:lang w:eastAsia="en-GB"/>
        </w:rPr>
      </w:pPr>
      <w:r>
        <w:rPr>
          <w:rFonts w:ascii="Calibri" w:hAnsi="Calibri" w:cs="Calibri"/>
          <w:sz w:val="22"/>
          <w:szCs w:val="22"/>
          <w:lang w:eastAsia="en-GB"/>
        </w:rPr>
        <w:t>The IPSA is to be used when engaging individuals in any of the following circumstances:</w:t>
      </w:r>
    </w:p>
    <w:p w14:paraId="625D50FF" w14:textId="77777777" w:rsidR="00804AF0" w:rsidRDefault="00804AF0">
      <w:pPr>
        <w:ind w:firstLine="720"/>
        <w:jc w:val="both"/>
        <w:textAlignment w:val="baseline"/>
        <w:rPr>
          <w:rFonts w:ascii="Calibri" w:hAnsi="Calibri" w:cs="Calibri"/>
          <w:sz w:val="22"/>
          <w:szCs w:val="22"/>
          <w:lang w:eastAsia="en-GB"/>
        </w:rPr>
      </w:pPr>
    </w:p>
    <w:p w14:paraId="30F933CF" w14:textId="77777777" w:rsidR="00804AF0" w:rsidRDefault="009A47D6">
      <w:pPr>
        <w:pStyle w:val="ListParagraph"/>
        <w:numPr>
          <w:ilvl w:val="0"/>
          <w:numId w:val="5"/>
        </w:numPr>
        <w:tabs>
          <w:tab w:val="left" w:pos="0"/>
        </w:tabs>
        <w:jc w:val="both"/>
        <w:textAlignment w:val="baseline"/>
        <w:rPr>
          <w:rFonts w:ascii="Calibri" w:hAnsi="Calibri" w:cs="Calibri"/>
          <w:sz w:val="22"/>
          <w:szCs w:val="22"/>
          <w:lang w:eastAsia="en-GB"/>
        </w:rPr>
      </w:pPr>
      <w:r>
        <w:rPr>
          <w:rFonts w:ascii="Calibri" w:hAnsi="Calibri" w:cs="Calibri"/>
          <w:sz w:val="22"/>
          <w:szCs w:val="22"/>
          <w:lang w:eastAsia="en-GB"/>
        </w:rPr>
        <w:t xml:space="preserve">When undertaking the performance of specific task(s) or delivery of work for the implementation of project(s) or other activities of a business unit which is funded by a project (or projects) or a non-continuous source of funding, and required for a defined </w:t>
      </w:r>
      <w:proofErr w:type="gramStart"/>
      <w:r>
        <w:rPr>
          <w:rFonts w:ascii="Calibri" w:hAnsi="Calibri" w:cs="Calibri"/>
          <w:sz w:val="22"/>
          <w:szCs w:val="22"/>
          <w:lang w:eastAsia="en-GB"/>
        </w:rPr>
        <w:t>period of time</w:t>
      </w:r>
      <w:proofErr w:type="gramEnd"/>
      <w:r>
        <w:rPr>
          <w:rFonts w:ascii="Calibri" w:hAnsi="Calibri" w:cs="Calibri"/>
          <w:sz w:val="22"/>
          <w:szCs w:val="22"/>
          <w:lang w:eastAsia="en-GB"/>
        </w:rPr>
        <w:t xml:space="preserve"> (for example, for the duration of the active project(s) carried out by UNDP or its funding);</w:t>
      </w:r>
    </w:p>
    <w:p w14:paraId="634558A0" w14:textId="77777777" w:rsidR="00804AF0" w:rsidRDefault="00804AF0">
      <w:pPr>
        <w:pStyle w:val="ListParagraph"/>
        <w:ind w:left="1440"/>
        <w:jc w:val="both"/>
        <w:textAlignment w:val="baseline"/>
        <w:rPr>
          <w:rFonts w:ascii="Calibri" w:hAnsi="Calibri" w:cs="Calibri"/>
          <w:sz w:val="22"/>
          <w:szCs w:val="22"/>
          <w:lang w:eastAsia="en-GB"/>
        </w:rPr>
      </w:pPr>
    </w:p>
    <w:p w14:paraId="7665D673" w14:textId="77777777" w:rsidR="00804AF0" w:rsidRDefault="009A47D6">
      <w:pPr>
        <w:pStyle w:val="ListParagraph"/>
        <w:numPr>
          <w:ilvl w:val="0"/>
          <w:numId w:val="5"/>
        </w:numPr>
        <w:tabs>
          <w:tab w:val="left" w:pos="0"/>
        </w:tabs>
        <w:jc w:val="both"/>
        <w:textAlignment w:val="baseline"/>
        <w:rPr>
          <w:rFonts w:ascii="Calibri" w:hAnsi="Calibri" w:cs="Calibri"/>
          <w:sz w:val="22"/>
          <w:szCs w:val="22"/>
          <w:lang w:eastAsia="en-GB"/>
        </w:rPr>
      </w:pPr>
      <w:r>
        <w:rPr>
          <w:rFonts w:ascii="Calibri" w:hAnsi="Calibri" w:cs="Calibri"/>
          <w:sz w:val="22"/>
          <w:szCs w:val="22"/>
          <w:lang w:eastAsia="en-GB"/>
        </w:rPr>
        <w:t>When undertaking the performance of specific task(s) that is/are needed because of the variable business volume due to the nature of UNDP’s business model;</w:t>
      </w:r>
    </w:p>
    <w:p w14:paraId="3BE1024C" w14:textId="77777777" w:rsidR="00804AF0" w:rsidRDefault="00804AF0">
      <w:pPr>
        <w:pStyle w:val="ListParagraph"/>
        <w:rPr>
          <w:rFonts w:ascii="Calibri" w:hAnsi="Calibri" w:cs="Calibri"/>
          <w:sz w:val="22"/>
          <w:szCs w:val="22"/>
          <w:lang w:eastAsia="en-GB"/>
        </w:rPr>
      </w:pPr>
    </w:p>
    <w:p w14:paraId="4221F5A6" w14:textId="77777777" w:rsidR="00804AF0" w:rsidRDefault="009A47D6">
      <w:pPr>
        <w:pStyle w:val="ListParagraph"/>
        <w:numPr>
          <w:ilvl w:val="0"/>
          <w:numId w:val="5"/>
        </w:numPr>
        <w:tabs>
          <w:tab w:val="left" w:pos="0"/>
        </w:tabs>
        <w:jc w:val="both"/>
        <w:textAlignment w:val="baseline"/>
        <w:rPr>
          <w:rFonts w:ascii="Calibri" w:hAnsi="Calibri" w:cs="Calibri"/>
          <w:sz w:val="22"/>
          <w:szCs w:val="22"/>
          <w:lang w:eastAsia="en-GB"/>
        </w:rPr>
      </w:pPr>
      <w:r>
        <w:rPr>
          <w:rFonts w:ascii="Calibri" w:hAnsi="Calibri" w:cs="Calibri"/>
          <w:sz w:val="22"/>
          <w:szCs w:val="22"/>
          <w:lang w:eastAsia="en-GB"/>
        </w:rPr>
        <w:t>When the services require specialized technical, peculiar or unique skills, that are not part of UNDP’s staff capability or may not be needed long-term by UNDP;</w:t>
      </w:r>
    </w:p>
    <w:p w14:paraId="2BD9CB8E" w14:textId="77777777" w:rsidR="00804AF0" w:rsidRDefault="00804AF0">
      <w:pPr>
        <w:jc w:val="both"/>
        <w:textAlignment w:val="baseline"/>
        <w:rPr>
          <w:rFonts w:ascii="Calibri" w:hAnsi="Calibri" w:cs="Calibri"/>
          <w:sz w:val="22"/>
          <w:szCs w:val="22"/>
          <w:lang w:eastAsia="en-GB"/>
        </w:rPr>
      </w:pPr>
    </w:p>
    <w:p w14:paraId="5D62CFCA"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The IPSA may not be used in the following cases:</w:t>
      </w:r>
    </w:p>
    <w:p w14:paraId="32CA63FB" w14:textId="77777777" w:rsidR="00804AF0" w:rsidRDefault="00804AF0">
      <w:pPr>
        <w:ind w:firstLine="720"/>
        <w:jc w:val="both"/>
        <w:textAlignment w:val="baseline"/>
        <w:rPr>
          <w:rFonts w:ascii="Calibri" w:hAnsi="Calibri" w:cs="Calibri"/>
          <w:sz w:val="22"/>
          <w:szCs w:val="22"/>
          <w:lang w:eastAsia="en-GB"/>
        </w:rPr>
      </w:pPr>
    </w:p>
    <w:p w14:paraId="196A67BB" w14:textId="35AB3BC4" w:rsidR="00804AF0" w:rsidRDefault="009A47D6">
      <w:pPr>
        <w:pStyle w:val="ListParagraph"/>
        <w:numPr>
          <w:ilvl w:val="0"/>
          <w:numId w:val="6"/>
        </w:numPr>
        <w:jc w:val="both"/>
        <w:textAlignment w:val="baseline"/>
        <w:rPr>
          <w:rFonts w:ascii="Calibri" w:hAnsi="Calibri" w:cs="Calibri"/>
          <w:sz w:val="22"/>
          <w:szCs w:val="22"/>
          <w:lang w:eastAsia="en-GB"/>
        </w:rPr>
      </w:pPr>
      <w:r>
        <w:rPr>
          <w:rFonts w:ascii="Calibri" w:hAnsi="Calibri" w:cs="Calibri"/>
          <w:sz w:val="22"/>
          <w:szCs w:val="22"/>
          <w:lang w:eastAsia="en-GB"/>
        </w:rPr>
        <w:t xml:space="preserve">When the functions are of both, inherent </w:t>
      </w:r>
      <w:r>
        <w:rPr>
          <w:rFonts w:ascii="Calibri" w:hAnsi="Calibri" w:cs="Calibri"/>
          <w:sz w:val="22"/>
          <w:szCs w:val="22"/>
          <w:u w:val="single"/>
          <w:lang w:eastAsia="en-GB"/>
        </w:rPr>
        <w:t>and</w:t>
      </w:r>
      <w:r>
        <w:rPr>
          <w:rFonts w:ascii="Calibri" w:hAnsi="Calibri" w:cs="Calibri"/>
          <w:sz w:val="22"/>
          <w:szCs w:val="22"/>
          <w:lang w:eastAsia="en-GB"/>
        </w:rPr>
        <w:t xml:space="preserve"> continuous in nature (as defined in </w:t>
      </w:r>
      <w:bookmarkStart w:id="6" w:name="OLE_LINK6"/>
      <w:r>
        <w:rPr>
          <w:rFonts w:ascii="Calibri" w:hAnsi="Calibri" w:cs="Calibri"/>
          <w:sz w:val="22"/>
          <w:szCs w:val="22"/>
          <w:lang w:eastAsia="en-GB"/>
        </w:rPr>
        <w:fldChar w:fldCharType="begin"/>
      </w:r>
      <w:r w:rsidR="00F2055F">
        <w:rPr>
          <w:rFonts w:ascii="Calibri" w:hAnsi="Calibri" w:cs="Calibri"/>
          <w:sz w:val="22"/>
          <w:szCs w:val="22"/>
          <w:lang w:eastAsia="en-GB"/>
        </w:rPr>
        <w:instrText>HYPERLINK  \l "_Annex 3:_Definition of functions of inherent and continuous nature"</w:instrText>
      </w:r>
      <w:r>
        <w:rPr>
          <w:rFonts w:ascii="Calibri" w:hAnsi="Calibri" w:cs="Calibri"/>
          <w:sz w:val="22"/>
          <w:szCs w:val="22"/>
          <w:lang w:eastAsia="en-GB"/>
        </w:rPr>
      </w:r>
      <w:r>
        <w:rPr>
          <w:rFonts w:ascii="Calibri" w:hAnsi="Calibri" w:cs="Calibri"/>
          <w:sz w:val="22"/>
          <w:szCs w:val="22"/>
          <w:lang w:eastAsia="en-GB"/>
        </w:rPr>
        <w:fldChar w:fldCharType="separate"/>
      </w:r>
      <w:bookmarkEnd w:id="6"/>
      <w:r w:rsidR="00F2055F">
        <w:rPr>
          <w:rStyle w:val="Hyperlink"/>
          <w:rFonts w:ascii="Calibri" w:hAnsi="Calibri" w:cs="Calibri"/>
          <w:sz w:val="22"/>
          <w:szCs w:val="22"/>
          <w:lang w:eastAsia="en-GB"/>
        </w:rPr>
        <w:t>Annex 3</w:t>
      </w:r>
      <w:r>
        <w:rPr>
          <w:rFonts w:ascii="Calibri" w:hAnsi="Calibri" w:cs="Calibri"/>
          <w:sz w:val="22"/>
          <w:szCs w:val="22"/>
          <w:lang w:eastAsia="en-GB"/>
        </w:rPr>
        <w:fldChar w:fldCharType="end"/>
      </w:r>
      <w:r>
        <w:rPr>
          <w:rFonts w:ascii="Calibri" w:hAnsi="Calibri" w:cs="Calibri"/>
          <w:sz w:val="22"/>
          <w:szCs w:val="22"/>
          <w:lang w:eastAsia="en-GB"/>
        </w:rPr>
        <w:t>).</w:t>
      </w:r>
    </w:p>
    <w:p w14:paraId="221A38B8" w14:textId="77777777" w:rsidR="00804AF0" w:rsidRDefault="00804AF0">
      <w:pPr>
        <w:ind w:left="720"/>
        <w:jc w:val="both"/>
        <w:textAlignment w:val="baseline"/>
        <w:rPr>
          <w:rFonts w:ascii="Calibri" w:hAnsi="Calibri" w:cs="Calibri"/>
          <w:sz w:val="22"/>
          <w:szCs w:val="22"/>
          <w:lang w:eastAsia="en-GB"/>
        </w:rPr>
      </w:pPr>
    </w:p>
    <w:p w14:paraId="62FE9EC4" w14:textId="77777777" w:rsidR="00804AF0" w:rsidRDefault="009A47D6">
      <w:pPr>
        <w:pStyle w:val="ListParagraph"/>
        <w:numPr>
          <w:ilvl w:val="0"/>
          <w:numId w:val="6"/>
        </w:numPr>
        <w:jc w:val="both"/>
        <w:textAlignment w:val="baseline"/>
        <w:rPr>
          <w:rFonts w:ascii="Calibri" w:hAnsi="Calibri" w:cs="Calibri"/>
          <w:sz w:val="22"/>
          <w:szCs w:val="22"/>
          <w:lang w:eastAsia="en-GB"/>
        </w:rPr>
      </w:pPr>
      <w:r>
        <w:rPr>
          <w:rFonts w:ascii="Calibri" w:hAnsi="Calibri" w:cs="Calibri"/>
          <w:sz w:val="22"/>
          <w:szCs w:val="22"/>
          <w:lang w:eastAsia="en-GB"/>
        </w:rPr>
        <w:t>To re-instate a staff member whose previous post/function of identical nature has been abolished.</w:t>
      </w:r>
    </w:p>
    <w:p w14:paraId="5D1DC0AF" w14:textId="77777777" w:rsidR="00804AF0" w:rsidRDefault="00804AF0">
      <w:pPr>
        <w:ind w:left="720"/>
        <w:jc w:val="both"/>
        <w:textAlignment w:val="baseline"/>
        <w:rPr>
          <w:rFonts w:ascii="Calibri" w:hAnsi="Calibri" w:cs="Calibri"/>
          <w:sz w:val="22"/>
          <w:szCs w:val="22"/>
          <w:lang w:eastAsia="en-GB"/>
        </w:rPr>
      </w:pPr>
    </w:p>
    <w:p w14:paraId="5975E099" w14:textId="77777777" w:rsidR="00804AF0" w:rsidRDefault="009A47D6">
      <w:pPr>
        <w:pStyle w:val="ListParagraph"/>
        <w:numPr>
          <w:ilvl w:val="0"/>
          <w:numId w:val="6"/>
        </w:numPr>
        <w:jc w:val="both"/>
        <w:textAlignment w:val="baseline"/>
        <w:rPr>
          <w:rFonts w:ascii="Calibri" w:hAnsi="Calibri" w:cs="Calibri"/>
          <w:sz w:val="22"/>
          <w:szCs w:val="22"/>
          <w:lang w:eastAsia="en-GB"/>
        </w:rPr>
      </w:pPr>
      <w:r>
        <w:rPr>
          <w:rFonts w:ascii="Calibri" w:hAnsi="Calibri" w:cs="Calibri"/>
          <w:sz w:val="22"/>
          <w:szCs w:val="22"/>
          <w:lang w:eastAsia="en-GB"/>
        </w:rPr>
        <w:t>As a means of applying a probationary period to candidates prior to offering them a staff appointment.</w:t>
      </w:r>
    </w:p>
    <w:p w14:paraId="1A36446C" w14:textId="77777777" w:rsidR="00804AF0" w:rsidRDefault="00804AF0">
      <w:pPr>
        <w:pStyle w:val="ListParagraph"/>
        <w:ind w:left="720"/>
        <w:jc w:val="both"/>
        <w:textAlignment w:val="baseline"/>
        <w:rPr>
          <w:rFonts w:ascii="Calibri" w:hAnsi="Calibri" w:cs="Calibri"/>
          <w:sz w:val="22"/>
          <w:szCs w:val="22"/>
          <w:lang w:eastAsia="en-GB"/>
        </w:rPr>
      </w:pPr>
    </w:p>
    <w:p w14:paraId="2EEB99DC" w14:textId="77777777" w:rsidR="00804AF0" w:rsidRDefault="009A47D6">
      <w:pPr>
        <w:pStyle w:val="ListParagraph"/>
        <w:numPr>
          <w:ilvl w:val="0"/>
          <w:numId w:val="6"/>
        </w:numPr>
        <w:jc w:val="both"/>
        <w:textAlignment w:val="baseline"/>
        <w:rPr>
          <w:rFonts w:ascii="Calibri" w:hAnsi="Calibri" w:cs="Calibri"/>
          <w:sz w:val="22"/>
          <w:szCs w:val="22"/>
          <w:lang w:eastAsia="en-GB"/>
        </w:rPr>
      </w:pPr>
      <w:r>
        <w:rPr>
          <w:rFonts w:ascii="Calibri" w:hAnsi="Calibri" w:cs="Calibri"/>
          <w:sz w:val="22"/>
          <w:szCs w:val="22"/>
          <w:lang w:eastAsia="en-GB"/>
        </w:rPr>
        <w:t xml:space="preserve">Where the services required based on specific deliverables and payments are </w:t>
      </w:r>
      <w:proofErr w:type="gramStart"/>
      <w:r>
        <w:rPr>
          <w:rFonts w:ascii="Calibri" w:hAnsi="Calibri" w:cs="Calibri"/>
          <w:sz w:val="22"/>
          <w:szCs w:val="22"/>
          <w:lang w:eastAsia="en-GB"/>
        </w:rPr>
        <w:t>lump-sum</w:t>
      </w:r>
      <w:proofErr w:type="gramEnd"/>
      <w:r>
        <w:rPr>
          <w:rFonts w:ascii="Calibri" w:hAnsi="Calibri" w:cs="Calibri"/>
          <w:sz w:val="22"/>
          <w:szCs w:val="22"/>
          <w:lang w:eastAsia="en-GB"/>
        </w:rPr>
        <w:t xml:space="preserve"> based. In such cases, the Individual Contract (IC) modality of UNDP should be used, governed by its own set of procurement guidelines. Automatic conversions from IC to IPSA are not possible given that the two modalities follow two very different purposes and assessments, except during the transition period indicated above.</w:t>
      </w:r>
    </w:p>
    <w:p w14:paraId="443440CC" w14:textId="77777777" w:rsidR="007B6FA2" w:rsidRPr="0020638C" w:rsidRDefault="007B6FA2" w:rsidP="0020638C">
      <w:pPr>
        <w:pStyle w:val="ListParagraph"/>
        <w:rPr>
          <w:rFonts w:ascii="Calibri" w:hAnsi="Calibri" w:cs="Calibri"/>
          <w:sz w:val="22"/>
          <w:szCs w:val="22"/>
          <w:lang w:eastAsia="en-GB"/>
        </w:rPr>
      </w:pPr>
    </w:p>
    <w:p w14:paraId="011CAD62" w14:textId="77777777" w:rsidR="007B6FA2" w:rsidRDefault="007B6FA2" w:rsidP="007B6FA2">
      <w:pPr>
        <w:pStyle w:val="ListParagraph"/>
        <w:ind w:left="1080"/>
        <w:jc w:val="both"/>
        <w:textAlignment w:val="baseline"/>
        <w:rPr>
          <w:rFonts w:ascii="Calibri" w:hAnsi="Calibri" w:cs="Calibri"/>
          <w:sz w:val="22"/>
          <w:szCs w:val="22"/>
          <w:lang w:eastAsia="en-GB"/>
        </w:rPr>
      </w:pPr>
    </w:p>
    <w:p w14:paraId="1F7A505C" w14:textId="77777777" w:rsidR="00804AF0" w:rsidRDefault="00804AF0">
      <w:pPr>
        <w:jc w:val="both"/>
        <w:textAlignment w:val="baseline"/>
        <w:rPr>
          <w:rFonts w:ascii="Calibri" w:hAnsi="Calibri" w:cs="Calibri"/>
          <w:sz w:val="22"/>
          <w:szCs w:val="22"/>
          <w:lang w:eastAsia="en-GB"/>
        </w:rPr>
      </w:pPr>
    </w:p>
    <w:p w14:paraId="32699F2E" w14:textId="77777777" w:rsidR="00804AF0" w:rsidRDefault="009A47D6">
      <w:pPr>
        <w:pStyle w:val="Heading1"/>
        <w:numPr>
          <w:ilvl w:val="0"/>
          <w:numId w:val="2"/>
        </w:numPr>
        <w:jc w:val="left"/>
        <w:rPr>
          <w:rFonts w:ascii="Calibri" w:hAnsi="Calibri"/>
          <w:b/>
          <w:sz w:val="22"/>
          <w:lang w:eastAsia="en-GB"/>
        </w:rPr>
      </w:pPr>
      <w:bookmarkStart w:id="7" w:name="_Toc161312411"/>
      <w:r>
        <w:rPr>
          <w:rFonts w:ascii="Calibri" w:hAnsi="Calibri"/>
          <w:b/>
          <w:sz w:val="22"/>
          <w:lang w:eastAsia="en-GB"/>
        </w:rPr>
        <w:lastRenderedPageBreak/>
        <w:t>Legal Status of the IPSA holder</w:t>
      </w:r>
      <w:bookmarkEnd w:id="7"/>
    </w:p>
    <w:p w14:paraId="190C85AC" w14:textId="77777777" w:rsidR="00804AF0" w:rsidRDefault="00804AF0">
      <w:pPr>
        <w:jc w:val="both"/>
        <w:textAlignment w:val="baseline"/>
        <w:rPr>
          <w:rFonts w:ascii="Calibri" w:hAnsi="Calibri" w:cs="Calibri"/>
          <w:sz w:val="22"/>
          <w:szCs w:val="22"/>
          <w:lang w:eastAsia="en-GB"/>
        </w:rPr>
      </w:pPr>
    </w:p>
    <w:p w14:paraId="1070E8C9"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A holder of an IPSA is known as an IPSA holder and is engaged pursuant to the express terms and conditions of the IPSA.</w:t>
      </w:r>
      <w:bookmarkStart w:id="8" w:name="_Hlk59871576"/>
      <w:r>
        <w:rPr>
          <w:rFonts w:ascii="Calibri" w:hAnsi="Calibri" w:cs="Calibri"/>
          <w:sz w:val="22"/>
          <w:szCs w:val="22"/>
          <w:lang w:eastAsia="en-GB"/>
        </w:rPr>
        <w:t xml:space="preserve"> IPSA holders are not recruited under United Nations Staff Regulations and Rules and </w:t>
      </w:r>
      <w:bookmarkEnd w:id="8"/>
      <w:r>
        <w:rPr>
          <w:rFonts w:ascii="Calibri" w:hAnsi="Calibri" w:cs="Calibri"/>
          <w:sz w:val="22"/>
          <w:szCs w:val="22"/>
          <w:lang w:eastAsia="en-GB"/>
        </w:rPr>
        <w:t>UNDP business units must ensure that the treatment of IPSAs is consistent with the IPSA Policy, their IPSA and their status.</w:t>
      </w:r>
    </w:p>
    <w:p w14:paraId="569F1D91" w14:textId="77777777" w:rsidR="00804AF0" w:rsidRDefault="00804AF0">
      <w:pPr>
        <w:jc w:val="both"/>
        <w:textAlignment w:val="baseline"/>
        <w:rPr>
          <w:rFonts w:ascii="Calibri" w:hAnsi="Calibri" w:cs="Calibri"/>
          <w:sz w:val="22"/>
          <w:szCs w:val="22"/>
          <w:lang w:eastAsia="en-GB"/>
        </w:rPr>
      </w:pPr>
    </w:p>
    <w:p w14:paraId="313E2682"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IPSA holders have the legal status of a contractor vis-à-vis UNDP, and are not staff members of UNDP or any other entity of the United Nations (“UN”) under the Staff Regulations and Rules of the UN, or “officials” of UNDP or any other entity of the UN for the purposes of the Convention on the Privileges and Immunities of the United Nations, adopted by the General Assembly of the UN on 13 February 1946 (“General Convention”).</w:t>
      </w:r>
    </w:p>
    <w:p w14:paraId="3858131B" w14:textId="77777777" w:rsidR="00804AF0" w:rsidRDefault="00804AF0">
      <w:pPr>
        <w:pStyle w:val="ListParagraph"/>
        <w:ind w:left="425"/>
        <w:jc w:val="both"/>
        <w:textAlignment w:val="baseline"/>
        <w:rPr>
          <w:rFonts w:ascii="Calibri" w:hAnsi="Calibri" w:cs="Calibri"/>
          <w:sz w:val="22"/>
          <w:szCs w:val="22"/>
          <w:lang w:eastAsia="en-GB"/>
        </w:rPr>
      </w:pPr>
    </w:p>
    <w:p w14:paraId="25E1D065" w14:textId="77777777" w:rsidR="00804AF0" w:rsidRDefault="009A47D6">
      <w:pPr>
        <w:numPr>
          <w:ilvl w:val="0"/>
          <w:numId w:val="4"/>
        </w:numPr>
        <w:jc w:val="both"/>
        <w:textAlignment w:val="baseline"/>
        <w:rPr>
          <w:rFonts w:ascii="Calibri" w:hAnsi="Calibri" w:cs="Calibri"/>
          <w:sz w:val="22"/>
          <w:szCs w:val="22"/>
          <w:lang w:val="en-GB" w:eastAsia="en-GB"/>
        </w:rPr>
      </w:pPr>
      <w:bookmarkStart w:id="9" w:name="OLE_LINK12"/>
      <w:r>
        <w:rPr>
          <w:rFonts w:ascii="Calibri" w:hAnsi="Calibri" w:cs="Calibri"/>
          <w:sz w:val="22"/>
          <w:szCs w:val="22"/>
          <w:lang w:val="en-GB" w:eastAsia="en-GB"/>
        </w:rPr>
        <w:t>IPSA holders may have the status of “expert on mission for the United Nations” under Section 22, Article VI, of the General Convention, and may perform official duties for the United Nations. Whether or not an IPSA holder can be recognized as an expert within the framework of the General Convention is an issue that, if the need arises, will be conclusively determined by the Secretary-General of the United Nations or his/her delegate, the UN Legal Counsel, through the Legal Office of UNDP.</w:t>
      </w:r>
    </w:p>
    <w:bookmarkEnd w:id="9"/>
    <w:p w14:paraId="63048782" w14:textId="77777777" w:rsidR="00804AF0" w:rsidRDefault="00804AF0">
      <w:pPr>
        <w:jc w:val="both"/>
        <w:textAlignment w:val="baseline"/>
        <w:rPr>
          <w:rFonts w:ascii="Calibri" w:hAnsi="Calibri" w:cs="Calibri"/>
          <w:sz w:val="22"/>
          <w:szCs w:val="22"/>
          <w:lang w:eastAsia="en-GB"/>
        </w:rPr>
      </w:pPr>
    </w:p>
    <w:p w14:paraId="3FCF77BE" w14:textId="77777777" w:rsidR="00804AF0" w:rsidRDefault="009A47D6">
      <w:pPr>
        <w:numPr>
          <w:ilvl w:val="0"/>
          <w:numId w:val="4"/>
        </w:numPr>
        <w:jc w:val="both"/>
        <w:textAlignment w:val="baseline"/>
        <w:rPr>
          <w:rFonts w:ascii="Calibri" w:hAnsi="Calibri" w:cs="Calibri"/>
          <w:sz w:val="22"/>
          <w:szCs w:val="22"/>
          <w:lang w:eastAsia="en-GB"/>
        </w:rPr>
      </w:pPr>
      <w:bookmarkStart w:id="10" w:name="_Hlk59871700"/>
      <w:r>
        <w:rPr>
          <w:rFonts w:ascii="Calibri" w:hAnsi="Calibri" w:cs="Calibri"/>
          <w:sz w:val="22"/>
          <w:szCs w:val="22"/>
          <w:lang w:eastAsia="en-GB"/>
        </w:rPr>
        <w:t>IPSA holders have no authority or any other right to incur any legal or financial obligations on behalf of UNDP. The IPSA holder may not expressly or implicitly represent to any person authority that the IPSA holder does not have.</w:t>
      </w:r>
      <w:bookmarkEnd w:id="10"/>
    </w:p>
    <w:p w14:paraId="153194FC" w14:textId="77777777" w:rsidR="00804AF0" w:rsidRDefault="00804AF0">
      <w:pPr>
        <w:jc w:val="both"/>
        <w:textAlignment w:val="baseline"/>
        <w:rPr>
          <w:rFonts w:ascii="Calibri" w:hAnsi="Calibri" w:cs="Calibri"/>
          <w:sz w:val="22"/>
          <w:szCs w:val="22"/>
          <w:lang w:eastAsia="en-GB"/>
        </w:rPr>
      </w:pPr>
    </w:p>
    <w:p w14:paraId="2A2D3CAC" w14:textId="77777777" w:rsidR="00804AF0" w:rsidRDefault="009A47D6">
      <w:pPr>
        <w:pStyle w:val="Heading1"/>
        <w:numPr>
          <w:ilvl w:val="0"/>
          <w:numId w:val="2"/>
        </w:numPr>
        <w:jc w:val="left"/>
        <w:rPr>
          <w:rFonts w:ascii="Calibri" w:hAnsi="Calibri"/>
          <w:b/>
          <w:sz w:val="22"/>
          <w:lang w:eastAsia="en-GB"/>
        </w:rPr>
      </w:pPr>
      <w:bookmarkStart w:id="11" w:name="_Toc161312412"/>
      <w:r>
        <w:rPr>
          <w:rFonts w:ascii="Calibri" w:hAnsi="Calibri"/>
          <w:b/>
          <w:sz w:val="22"/>
          <w:lang w:eastAsia="en-GB"/>
        </w:rPr>
        <w:t>General Rights and Obligations of the IPSA holders</w:t>
      </w:r>
      <w:bookmarkEnd w:id="11"/>
    </w:p>
    <w:p w14:paraId="247D6402" w14:textId="77777777" w:rsidR="00804AF0" w:rsidRDefault="00804AF0">
      <w:pPr>
        <w:jc w:val="both"/>
        <w:textAlignment w:val="baseline"/>
        <w:rPr>
          <w:rFonts w:ascii="Calibri" w:hAnsi="Calibri" w:cs="Calibri"/>
          <w:sz w:val="22"/>
          <w:szCs w:val="22"/>
          <w:lang w:eastAsia="en-GB"/>
        </w:rPr>
      </w:pPr>
    </w:p>
    <w:p w14:paraId="79726C2D"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Rights and obligations under the IPSA are strictly limited to its express terms and conditions.</w:t>
      </w:r>
    </w:p>
    <w:p w14:paraId="35ACF72E" w14:textId="77777777" w:rsidR="00804AF0" w:rsidRDefault="00804AF0">
      <w:pPr>
        <w:jc w:val="both"/>
        <w:textAlignment w:val="baseline"/>
        <w:rPr>
          <w:rFonts w:ascii="Calibri" w:hAnsi="Calibri" w:cs="Calibri"/>
          <w:sz w:val="22"/>
          <w:szCs w:val="22"/>
          <w:lang w:eastAsia="en-GB"/>
        </w:rPr>
      </w:pPr>
    </w:p>
    <w:p w14:paraId="47936ADD" w14:textId="77777777" w:rsidR="00804AF0" w:rsidRDefault="009A47D6">
      <w:pPr>
        <w:pStyle w:val="ListParagraph"/>
        <w:jc w:val="both"/>
        <w:textAlignment w:val="baseline"/>
        <w:rPr>
          <w:rFonts w:ascii="Calibri" w:hAnsi="Calibri" w:cs="Calibri"/>
          <w:b/>
          <w:bCs/>
          <w:sz w:val="22"/>
          <w:szCs w:val="22"/>
          <w:lang w:eastAsia="en-GB"/>
        </w:rPr>
      </w:pPr>
      <w:r>
        <w:rPr>
          <w:rFonts w:ascii="Calibri" w:hAnsi="Calibri" w:cs="Calibri"/>
          <w:b/>
          <w:bCs/>
          <w:sz w:val="22"/>
          <w:szCs w:val="22"/>
          <w:lang w:eastAsia="en-GB"/>
        </w:rPr>
        <w:t>A. General rights and obligations</w:t>
      </w:r>
    </w:p>
    <w:p w14:paraId="7D77813D" w14:textId="77777777" w:rsidR="00804AF0" w:rsidRDefault="00804AF0">
      <w:pPr>
        <w:ind w:firstLine="720"/>
        <w:jc w:val="both"/>
        <w:textAlignment w:val="baseline"/>
        <w:rPr>
          <w:rFonts w:ascii="Calibri" w:hAnsi="Calibri" w:cs="Calibri"/>
          <w:sz w:val="22"/>
          <w:szCs w:val="22"/>
          <w:lang w:eastAsia="en-GB"/>
        </w:rPr>
      </w:pPr>
    </w:p>
    <w:p w14:paraId="6CA60302"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The terms and conditions of the IPSA differ from the terms and conditions applicable to UNDP staff members appointed under the UN Staff Regulations and Rules. IPSA holders are excluded from participation in the United Nations Joint Staff Pension Fund and After-Service Health Insurance. Further, IPSA holders shall not be entitled to any additional benefit, payment, subsidy, compensation or entitlement, except those expressly stated in the IPSA.</w:t>
      </w:r>
    </w:p>
    <w:p w14:paraId="37CE5BB0" w14:textId="77777777" w:rsidR="00804AF0" w:rsidRDefault="00804AF0">
      <w:pPr>
        <w:ind w:left="720"/>
        <w:jc w:val="both"/>
        <w:textAlignment w:val="baseline"/>
        <w:rPr>
          <w:rFonts w:ascii="Calibri" w:hAnsi="Calibri" w:cs="Calibri"/>
          <w:sz w:val="22"/>
          <w:szCs w:val="22"/>
          <w:lang w:eastAsia="en-GB"/>
        </w:rPr>
      </w:pPr>
    </w:p>
    <w:p w14:paraId="02A04170"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IPSA holders may neither seek nor accept any instructions in connection with UNDP from any authority external to UNDP. Should any authority external to UNDP seek to impose any instructions on IPSA holders in connection with UNDP, they must promptly notify UNDP and provide all reasonable assistance required by UNDP to address this matter. An IPSA holder must not take any action that may adversely affect the interests of UNDP and must perform their obligations under the IPSA with the fullest regard to the interests of UNDP. During the period of service with UNDP, an IPSA holder must refrain from any conduct that would reflect adversely on UNDP or the rest of the UN system (or both), and must not engage in any activity that is incompatible with their performance of services for UNDP under the IPSA.</w:t>
      </w:r>
    </w:p>
    <w:p w14:paraId="58FB18A3" w14:textId="77777777" w:rsidR="00804AF0" w:rsidRDefault="00804AF0">
      <w:pPr>
        <w:pStyle w:val="ListParagraph"/>
        <w:ind w:left="425"/>
        <w:jc w:val="both"/>
        <w:textAlignment w:val="baseline"/>
        <w:rPr>
          <w:rFonts w:ascii="Calibri" w:hAnsi="Calibri" w:cs="Calibri"/>
          <w:sz w:val="22"/>
          <w:szCs w:val="22"/>
          <w:lang w:eastAsia="en-GB"/>
        </w:rPr>
      </w:pPr>
    </w:p>
    <w:p w14:paraId="33ED12D7" w14:textId="77777777" w:rsidR="00804AF0" w:rsidRDefault="009A47D6">
      <w:pPr>
        <w:numPr>
          <w:ilvl w:val="0"/>
          <w:numId w:val="4"/>
        </w:numPr>
        <w:jc w:val="both"/>
        <w:textAlignment w:val="baseline"/>
        <w:rPr>
          <w:rFonts w:ascii="Calibri" w:hAnsi="Calibri" w:cs="Calibri"/>
          <w:sz w:val="22"/>
          <w:szCs w:val="22"/>
          <w:lang w:eastAsia="en-GB"/>
        </w:rPr>
      </w:pPr>
      <w:bookmarkStart w:id="12" w:name="OLE_LINK13"/>
      <w:r>
        <w:rPr>
          <w:rFonts w:ascii="Calibri" w:hAnsi="Calibri" w:cs="Calibri"/>
          <w:sz w:val="22"/>
          <w:szCs w:val="22"/>
          <w:lang w:eastAsia="en-GB"/>
        </w:rPr>
        <w:lastRenderedPageBreak/>
        <w:t>UNDP may arrange for the issuance of a ticket or payment of a lump sum to allow the IPSA holder to reach their duty station of assignment.  The class of travel will be economy class, and no daily subsistence allowance (DSA) is paid for the assignment travel.</w:t>
      </w:r>
      <w:bookmarkEnd w:id="12"/>
    </w:p>
    <w:p w14:paraId="28F8829F" w14:textId="77777777" w:rsidR="00804AF0" w:rsidRDefault="00804AF0">
      <w:pPr>
        <w:ind w:left="720"/>
        <w:jc w:val="both"/>
        <w:textAlignment w:val="baseline"/>
        <w:rPr>
          <w:rFonts w:ascii="Calibri" w:hAnsi="Calibri" w:cs="Calibri"/>
          <w:sz w:val="22"/>
          <w:szCs w:val="22"/>
          <w:lang w:eastAsia="en-GB"/>
        </w:rPr>
      </w:pPr>
    </w:p>
    <w:p w14:paraId="60B7D04C"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 xml:space="preserve">During the term of the IPSA and even after the expiration or termination of an IPSA, IPSA holders must assist UNDP in any disputes with third </w:t>
      </w:r>
      <w:proofErr w:type="gramStart"/>
      <w:r>
        <w:rPr>
          <w:rFonts w:ascii="Calibri" w:hAnsi="Calibri" w:cs="Calibri"/>
          <w:sz w:val="22"/>
          <w:szCs w:val="22"/>
          <w:lang w:eastAsia="en-GB"/>
        </w:rPr>
        <w:t>parties, and</w:t>
      </w:r>
      <w:proofErr w:type="gramEnd"/>
      <w:r>
        <w:rPr>
          <w:rFonts w:ascii="Calibri" w:hAnsi="Calibri" w:cs="Calibri"/>
          <w:sz w:val="22"/>
          <w:szCs w:val="22"/>
          <w:lang w:eastAsia="en-GB"/>
        </w:rPr>
        <w:t xml:space="preserve"> cooperate with audits conducted by the Office of Audit and Investigations or the Board of Auditors and/or investigations relating to matters on which the IPSA holders worked or have knowledge. Such assistance may include providing UNDP or its lawyers (or both) with information regarding an IPSA holder’s service under the IPSA, and serving as a witness in arbitration, conciliation, mediation and/or similar proceedings. Whether or not UNDP exercises such an option, an IPSA holder may not voluntarily or at the request of a third party, without being compelled to do so by relevant authorities, provide any assistance (other than serving, subject to the provisions of the IPSA regarding confidentiality, as an unremunerated fact witness) to the other party or parties to the dispute without the prior written consent of, or in the case of a request of relevant authorities, without notifying, UNDP.</w:t>
      </w:r>
    </w:p>
    <w:p w14:paraId="06BED8D7" w14:textId="77777777" w:rsidR="00804AF0" w:rsidRDefault="00804AF0">
      <w:pPr>
        <w:jc w:val="both"/>
        <w:textAlignment w:val="baseline"/>
        <w:rPr>
          <w:rFonts w:ascii="Calibri" w:hAnsi="Calibri" w:cs="Calibri"/>
          <w:sz w:val="22"/>
          <w:szCs w:val="22"/>
          <w:lang w:eastAsia="en-GB"/>
        </w:rPr>
      </w:pPr>
    </w:p>
    <w:p w14:paraId="629172CA" w14:textId="77777777" w:rsidR="00804AF0" w:rsidRDefault="009A47D6">
      <w:pPr>
        <w:pStyle w:val="ListParagraph"/>
        <w:jc w:val="both"/>
        <w:textAlignment w:val="baseline"/>
        <w:rPr>
          <w:rFonts w:ascii="Calibri" w:hAnsi="Calibri" w:cs="Calibri"/>
          <w:b/>
          <w:bCs/>
          <w:sz w:val="22"/>
          <w:szCs w:val="22"/>
          <w:lang w:eastAsia="en-GB"/>
        </w:rPr>
      </w:pPr>
      <w:r>
        <w:rPr>
          <w:rFonts w:ascii="Calibri" w:hAnsi="Calibri" w:cs="Calibri"/>
          <w:b/>
          <w:bCs/>
          <w:sz w:val="22"/>
          <w:szCs w:val="22"/>
          <w:lang w:eastAsia="en-GB"/>
        </w:rPr>
        <w:t>B. Professional Liability</w:t>
      </w:r>
    </w:p>
    <w:p w14:paraId="00EDA28D" w14:textId="77777777" w:rsidR="00804AF0" w:rsidRDefault="00804AF0">
      <w:pPr>
        <w:jc w:val="both"/>
        <w:textAlignment w:val="baseline"/>
        <w:rPr>
          <w:rFonts w:ascii="Calibri" w:hAnsi="Calibri" w:cs="Calibri"/>
          <w:sz w:val="22"/>
          <w:szCs w:val="22"/>
          <w:lang w:eastAsia="en-GB"/>
        </w:rPr>
      </w:pPr>
    </w:p>
    <w:p w14:paraId="3781B5AB"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IPSA holders are solely liable for claims by third parties arising from their own negligence and/or intentional acts or omissions committed during the course of the IPSA and must ensure that under no circumstances will UNDP be held liable for such claims.</w:t>
      </w:r>
    </w:p>
    <w:p w14:paraId="06232EAD" w14:textId="77777777" w:rsidR="00804AF0" w:rsidRDefault="00804AF0">
      <w:pPr>
        <w:ind w:left="720"/>
        <w:jc w:val="both"/>
        <w:textAlignment w:val="baseline"/>
        <w:rPr>
          <w:rFonts w:ascii="Calibri" w:hAnsi="Calibri" w:cs="Calibri"/>
          <w:sz w:val="22"/>
          <w:szCs w:val="22"/>
          <w:lang w:eastAsia="en-GB"/>
        </w:rPr>
      </w:pPr>
    </w:p>
    <w:p w14:paraId="0EC261B7"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All IPSA holders must obtain professional liability insurance when requested by UNDP. In such cases, proof of purchase and maintenance of the professional liability insurance must be provided to UNDP upon request.</w:t>
      </w:r>
    </w:p>
    <w:p w14:paraId="522B6C2A" w14:textId="77777777" w:rsidR="00804AF0" w:rsidRDefault="00804AF0">
      <w:pPr>
        <w:jc w:val="both"/>
        <w:textAlignment w:val="baseline"/>
        <w:rPr>
          <w:rFonts w:ascii="Calibri" w:hAnsi="Calibri" w:cs="Calibri"/>
          <w:sz w:val="22"/>
          <w:szCs w:val="22"/>
          <w:lang w:eastAsia="en-GB"/>
        </w:rPr>
      </w:pPr>
    </w:p>
    <w:p w14:paraId="66E17A6C"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IPSA holders must indemnify UNDP and its officials, agents, employees and contractors from and against all suits, proceedings, claims, demands, losses and liabilities of any kind or nature, including, but not limited to, all litigation costs and expenses, attorney fees, settlement payments and damages, based on, arising from, or relating to:</w:t>
      </w:r>
    </w:p>
    <w:p w14:paraId="7322620A" w14:textId="77777777" w:rsidR="00804AF0" w:rsidRDefault="00804AF0">
      <w:pPr>
        <w:ind w:left="720"/>
        <w:jc w:val="both"/>
        <w:textAlignment w:val="baseline"/>
        <w:rPr>
          <w:rFonts w:ascii="Calibri" w:hAnsi="Calibri" w:cs="Calibri"/>
          <w:sz w:val="22"/>
          <w:szCs w:val="22"/>
          <w:lang w:eastAsia="en-GB"/>
        </w:rPr>
      </w:pPr>
    </w:p>
    <w:p w14:paraId="09180D8D" w14:textId="77777777" w:rsidR="00804AF0" w:rsidRDefault="009A47D6">
      <w:pPr>
        <w:numPr>
          <w:ilvl w:val="0"/>
          <w:numId w:val="7"/>
        </w:numPr>
        <w:jc w:val="both"/>
        <w:textAlignment w:val="baseline"/>
        <w:rPr>
          <w:rFonts w:ascii="Calibri" w:hAnsi="Calibri" w:cs="Calibri"/>
          <w:sz w:val="22"/>
          <w:szCs w:val="22"/>
          <w:lang w:eastAsia="en-GB"/>
        </w:rPr>
      </w:pPr>
      <w:r>
        <w:rPr>
          <w:rFonts w:ascii="Calibri" w:hAnsi="Calibri" w:cs="Calibri"/>
          <w:sz w:val="22"/>
          <w:szCs w:val="22"/>
          <w:lang w:eastAsia="en-GB"/>
        </w:rPr>
        <w:t>Allegations or claims that the use by UNDP of any device, any material or any other goods or services provided by the IPSA holder, in whole or in part, separately or in combination, constitutes an infringement of any patent, copyright, trademark or other intellectual property right of any third party; and</w:t>
      </w:r>
    </w:p>
    <w:p w14:paraId="7ACC8DB2" w14:textId="77777777" w:rsidR="00804AF0" w:rsidRDefault="00804AF0">
      <w:pPr>
        <w:ind w:left="1440" w:firstLine="200"/>
        <w:jc w:val="both"/>
        <w:textAlignment w:val="baseline"/>
        <w:rPr>
          <w:rFonts w:ascii="Calibri" w:hAnsi="Calibri" w:cs="Calibri"/>
          <w:sz w:val="22"/>
          <w:szCs w:val="22"/>
          <w:lang w:eastAsia="en-GB"/>
        </w:rPr>
      </w:pPr>
    </w:p>
    <w:p w14:paraId="1464DDB4" w14:textId="77777777" w:rsidR="00804AF0" w:rsidRDefault="009A47D6">
      <w:pPr>
        <w:numPr>
          <w:ilvl w:val="0"/>
          <w:numId w:val="7"/>
        </w:numPr>
        <w:jc w:val="both"/>
        <w:textAlignment w:val="baseline"/>
        <w:rPr>
          <w:rFonts w:ascii="Calibri" w:hAnsi="Calibri" w:cs="Calibri"/>
          <w:sz w:val="22"/>
          <w:szCs w:val="22"/>
          <w:lang w:eastAsia="en-GB"/>
        </w:rPr>
      </w:pPr>
      <w:r>
        <w:rPr>
          <w:rFonts w:ascii="Calibri" w:hAnsi="Calibri" w:cs="Calibri"/>
          <w:sz w:val="22"/>
          <w:szCs w:val="22"/>
          <w:lang w:eastAsia="en-GB"/>
        </w:rPr>
        <w:t>Allegations or claims that the IPSA holder during the term of the IPSA caused injury, loss or damage, whether physical, psychological and/or financial, to anyone who is not a party to the IPSA, including, without limitation, allegations and claims in the nature of a claim for workers’ compensation.</w:t>
      </w:r>
    </w:p>
    <w:p w14:paraId="7C99F590" w14:textId="77777777" w:rsidR="00804AF0" w:rsidRDefault="00804AF0">
      <w:pPr>
        <w:ind w:left="1080"/>
        <w:jc w:val="both"/>
        <w:textAlignment w:val="baseline"/>
        <w:rPr>
          <w:rFonts w:ascii="Calibri" w:hAnsi="Calibri" w:cs="Calibri"/>
          <w:sz w:val="22"/>
          <w:szCs w:val="22"/>
          <w:lang w:eastAsia="en-GB"/>
        </w:rPr>
      </w:pPr>
    </w:p>
    <w:p w14:paraId="396E97D7" w14:textId="77777777" w:rsidR="00804AF0" w:rsidRDefault="009A47D6">
      <w:pPr>
        <w:pStyle w:val="ListParagraph"/>
        <w:jc w:val="both"/>
        <w:textAlignment w:val="baseline"/>
        <w:rPr>
          <w:rFonts w:ascii="Calibri" w:hAnsi="Calibri" w:cs="Calibri"/>
          <w:b/>
          <w:bCs/>
          <w:sz w:val="22"/>
          <w:szCs w:val="22"/>
          <w:lang w:eastAsia="en-GB"/>
        </w:rPr>
      </w:pPr>
      <w:r>
        <w:rPr>
          <w:rFonts w:ascii="Calibri" w:hAnsi="Calibri" w:cs="Calibri"/>
          <w:b/>
          <w:bCs/>
          <w:sz w:val="22"/>
          <w:szCs w:val="22"/>
          <w:lang w:eastAsia="en-GB"/>
        </w:rPr>
        <w:t>C. Compliance and working arrangements</w:t>
      </w:r>
    </w:p>
    <w:p w14:paraId="62C3D6C4" w14:textId="77777777" w:rsidR="00804AF0" w:rsidRDefault="00804AF0">
      <w:pPr>
        <w:ind w:firstLine="720"/>
        <w:jc w:val="both"/>
        <w:textAlignment w:val="baseline"/>
        <w:rPr>
          <w:rFonts w:ascii="Calibri" w:hAnsi="Calibri" w:cs="Calibri"/>
          <w:sz w:val="22"/>
          <w:szCs w:val="22"/>
          <w:lang w:eastAsia="en-GB"/>
        </w:rPr>
      </w:pPr>
    </w:p>
    <w:p w14:paraId="0E12F7DF"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 xml:space="preserve">IPSA holders must comply with all legislation, ordinances, rules, regulations, instruments, and other applicable laws in all relevant jurisdictions (e.g., country of origin, country of residence, country(ies) where services are performed), including but not limited to those relating to taxation, licenses, work permits and visas. Under no circumstances will UNDP be responsible </w:t>
      </w:r>
      <w:r>
        <w:rPr>
          <w:rFonts w:ascii="Calibri" w:hAnsi="Calibri" w:cs="Calibri"/>
          <w:sz w:val="22"/>
          <w:szCs w:val="22"/>
          <w:lang w:eastAsia="en-GB"/>
        </w:rPr>
        <w:lastRenderedPageBreak/>
        <w:t>for paying or reimbursing such taxes. IPSA holders must provide periodic proof of payment of taxes when requested to provide such proof by UNDP.</w:t>
      </w:r>
    </w:p>
    <w:p w14:paraId="08BBD140" w14:textId="77777777" w:rsidR="00804AF0" w:rsidRDefault="00804AF0">
      <w:pPr>
        <w:jc w:val="both"/>
        <w:textAlignment w:val="baseline"/>
        <w:rPr>
          <w:rFonts w:ascii="Calibri" w:hAnsi="Calibri" w:cs="Calibri"/>
          <w:sz w:val="22"/>
          <w:szCs w:val="22"/>
          <w:lang w:eastAsia="en-GB"/>
        </w:rPr>
      </w:pPr>
    </w:p>
    <w:p w14:paraId="2857304F" w14:textId="77777777" w:rsidR="00804AF0" w:rsidRDefault="009A47D6">
      <w:pPr>
        <w:numPr>
          <w:ilvl w:val="0"/>
          <w:numId w:val="4"/>
        </w:numPr>
        <w:jc w:val="both"/>
        <w:textAlignment w:val="baseline"/>
        <w:rPr>
          <w:rFonts w:ascii="Calibri" w:hAnsi="Calibri" w:cs="Calibri"/>
          <w:sz w:val="22"/>
          <w:szCs w:val="22"/>
          <w:lang w:eastAsia="en-GB"/>
        </w:rPr>
      </w:pPr>
      <w:bookmarkStart w:id="13" w:name="OLE_LINK14"/>
      <w:r>
        <w:rPr>
          <w:rFonts w:ascii="Calibri" w:hAnsi="Calibri" w:cs="Calibri"/>
          <w:sz w:val="22"/>
          <w:szCs w:val="22"/>
          <w:lang w:eastAsia="en-GB"/>
        </w:rPr>
        <w:t>IPSA holders are responsible for and must arrange for any necessary visa(s) and/or work permit(s) prior to starting the IPSA, and UNDP will provide support for the applicant’s visa request.</w:t>
      </w:r>
      <w:bookmarkEnd w:id="13"/>
      <w:r>
        <w:rPr>
          <w:rFonts w:ascii="Calibri" w:hAnsi="Calibri" w:cs="Calibri"/>
          <w:sz w:val="22"/>
          <w:szCs w:val="22"/>
          <w:lang w:eastAsia="en-GB"/>
        </w:rPr>
        <w:t xml:space="preserve"> All costs related to visas and work permits, if any, are to be fully borne by the IPSA holder. UNDP will not reimburse IPSA holders for visa and/or work permit fees unless the IPSA holder is (subsequent to arrival in the duty station to commence assignment) requested to undertake travel to other locations for UNDP, in which case any visa and/or work permit fees necessary for other locations may be claimed through submission of a travel/expense claim and supporting documents.</w:t>
      </w:r>
    </w:p>
    <w:p w14:paraId="33E5190C" w14:textId="77777777" w:rsidR="00804AF0" w:rsidRDefault="00804AF0">
      <w:pPr>
        <w:jc w:val="both"/>
        <w:textAlignment w:val="baseline"/>
        <w:rPr>
          <w:rFonts w:ascii="Calibri" w:hAnsi="Calibri" w:cs="Calibri"/>
          <w:sz w:val="22"/>
          <w:szCs w:val="22"/>
          <w:lang w:eastAsia="en-GB"/>
        </w:rPr>
      </w:pPr>
    </w:p>
    <w:p w14:paraId="76FEACBC" w14:textId="77777777" w:rsidR="00804AF0" w:rsidRDefault="009A47D6">
      <w:pPr>
        <w:numPr>
          <w:ilvl w:val="0"/>
          <w:numId w:val="4"/>
        </w:numPr>
        <w:jc w:val="both"/>
        <w:textAlignment w:val="baseline"/>
        <w:rPr>
          <w:rFonts w:ascii="Calibri" w:hAnsi="Calibri" w:cs="Calibri"/>
          <w:sz w:val="22"/>
          <w:szCs w:val="22"/>
          <w:lang w:eastAsia="en-GB"/>
        </w:rPr>
      </w:pPr>
      <w:bookmarkStart w:id="14" w:name="_Hlk57933315"/>
      <w:r>
        <w:rPr>
          <w:rFonts w:ascii="Calibri" w:hAnsi="Calibri" w:cs="Calibri"/>
          <w:sz w:val="22"/>
          <w:szCs w:val="22"/>
          <w:lang w:eastAsia="en-GB"/>
        </w:rPr>
        <w:t xml:space="preserve">IPSA </w:t>
      </w:r>
      <w:bookmarkStart w:id="15" w:name="_Hlk56981012"/>
      <w:r>
        <w:rPr>
          <w:rFonts w:ascii="Calibri" w:hAnsi="Calibri" w:cs="Calibri"/>
          <w:sz w:val="22"/>
          <w:szCs w:val="22"/>
          <w:lang w:eastAsia="en-GB"/>
        </w:rPr>
        <w:t>holders may serve on corporate committees (such as interview panels, contracts and property committee, vendor review committee, etc.), however, IPSA holders may not serve as chair,</w:t>
      </w:r>
      <w:bookmarkEnd w:id="15"/>
      <w:r>
        <w:rPr>
          <w:rFonts w:ascii="Calibri" w:hAnsi="Calibri" w:cs="Calibri"/>
          <w:sz w:val="22"/>
          <w:szCs w:val="22"/>
          <w:lang w:eastAsia="en-GB"/>
        </w:rPr>
        <w:t xml:space="preserve"> alternate chair or be the majority voting members on corporate committees.</w:t>
      </w:r>
    </w:p>
    <w:bookmarkEnd w:id="14"/>
    <w:p w14:paraId="23359E29" w14:textId="77777777" w:rsidR="00804AF0" w:rsidRDefault="00804AF0">
      <w:pPr>
        <w:pStyle w:val="ListParagraph"/>
        <w:ind w:left="360"/>
        <w:jc w:val="both"/>
        <w:textAlignment w:val="baseline"/>
        <w:rPr>
          <w:rFonts w:ascii="Calibri" w:hAnsi="Calibri" w:cs="Calibri"/>
          <w:sz w:val="22"/>
          <w:szCs w:val="22"/>
          <w:lang w:eastAsia="en-GB"/>
        </w:rPr>
      </w:pPr>
    </w:p>
    <w:p w14:paraId="5B015A18" w14:textId="77777777" w:rsidR="00804AF0" w:rsidRDefault="009A47D6">
      <w:pPr>
        <w:pStyle w:val="Heading1"/>
        <w:numPr>
          <w:ilvl w:val="0"/>
          <w:numId w:val="2"/>
        </w:numPr>
        <w:jc w:val="left"/>
        <w:rPr>
          <w:rFonts w:ascii="Calibri" w:hAnsi="Calibri"/>
          <w:b/>
          <w:sz w:val="22"/>
          <w:lang w:eastAsia="en-GB"/>
        </w:rPr>
      </w:pPr>
      <w:bookmarkStart w:id="16" w:name="_Toc161312413"/>
      <w:r>
        <w:rPr>
          <w:rFonts w:ascii="Calibri" w:hAnsi="Calibri"/>
          <w:b/>
          <w:sz w:val="22"/>
          <w:lang w:eastAsia="en-GB"/>
        </w:rPr>
        <w:t>Standards of Conduct</w:t>
      </w:r>
      <w:bookmarkEnd w:id="16"/>
    </w:p>
    <w:p w14:paraId="5DEA2455" w14:textId="77777777" w:rsidR="00804AF0" w:rsidRDefault="00804AF0">
      <w:pPr>
        <w:jc w:val="both"/>
        <w:textAlignment w:val="baseline"/>
        <w:rPr>
          <w:rFonts w:ascii="Calibri" w:hAnsi="Calibri" w:cs="Calibri"/>
          <w:sz w:val="22"/>
          <w:szCs w:val="22"/>
          <w:lang w:eastAsia="en-GB"/>
        </w:rPr>
      </w:pPr>
    </w:p>
    <w:p w14:paraId="7A80B401"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IPSA holders must comply with the standards of conduct set forth in the UN Secretary General’s Bulletin of 9 October 2003 entitled “Special Measures for Protection from Sexual Exploitation and Sexual Abuse” (ST/SGB/2003/13) and the UN Secretary-General’s Bulletin of 18 June 2002 entitled “Regulations Governing the Status, Basic Rights and Duties of Officials other than Secretariat Officials, and Experts on Mission” (ST/SGB/2002/9) as they may be amended from time to time. Furthermore, IPSA holders must comply with all applicable UNDP administrative issuances.</w:t>
      </w:r>
    </w:p>
    <w:p w14:paraId="3686967B" w14:textId="77777777" w:rsidR="00804AF0" w:rsidRDefault="00804AF0">
      <w:pPr>
        <w:jc w:val="both"/>
        <w:textAlignment w:val="baseline"/>
        <w:rPr>
          <w:rFonts w:ascii="Calibri" w:hAnsi="Calibri" w:cs="Calibri"/>
          <w:sz w:val="22"/>
          <w:szCs w:val="22"/>
          <w:lang w:eastAsia="en-GB"/>
        </w:rPr>
      </w:pPr>
    </w:p>
    <w:p w14:paraId="6447B9EF"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 xml:space="preserve">In the performance of services under the IPSA, IPSA holders must comply with the standards of conduct set in the Secretary General’s Bulletin ST/SGB/2002/9 of 18 June 2002, entitled “Regulations Governing the Status, Basic Rights and Duties of Officials other than Secretariat Officials, and Expert on Mission”. IPSA holders must comply with all security directives issued by UNDP. </w:t>
      </w:r>
    </w:p>
    <w:p w14:paraId="2EB4EA14" w14:textId="77777777" w:rsidR="00804AF0" w:rsidRDefault="00804AF0">
      <w:pPr>
        <w:jc w:val="both"/>
        <w:textAlignment w:val="baseline"/>
        <w:rPr>
          <w:rFonts w:ascii="Calibri" w:hAnsi="Calibri" w:cs="Calibri"/>
          <w:sz w:val="22"/>
          <w:szCs w:val="22"/>
          <w:lang w:eastAsia="en-GB"/>
        </w:rPr>
      </w:pPr>
    </w:p>
    <w:p w14:paraId="6D84DC73"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Although IPSA holders do not have the status of a United Nations official/staff member, while working on UNDP-related activities, they must comply with the standards of conduct required of a UN civil servant except to the extent such standards are, in the opinion of UNDP, inherently inconsistent with their status as an IPSA holder.</w:t>
      </w:r>
    </w:p>
    <w:p w14:paraId="1D0A2A28" w14:textId="77777777" w:rsidR="00804AF0" w:rsidRDefault="00804AF0">
      <w:pPr>
        <w:jc w:val="both"/>
        <w:textAlignment w:val="baseline"/>
        <w:rPr>
          <w:rFonts w:ascii="Calibri" w:hAnsi="Calibri" w:cs="Calibri"/>
          <w:sz w:val="22"/>
          <w:szCs w:val="22"/>
          <w:lang w:eastAsia="en-GB"/>
        </w:rPr>
      </w:pPr>
    </w:p>
    <w:p w14:paraId="29FFF61B"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Any breach of the IPSA will be grounds for immediate termination for cause, at the sole discretion of UNDP. If the IPSA holder is found by UNDP to have engaged in fraudulent or similar conduct, UNDP may refer the matter to the relevant national authorities.</w:t>
      </w:r>
    </w:p>
    <w:p w14:paraId="5B913EC7" w14:textId="77777777" w:rsidR="00804AF0" w:rsidRDefault="00804AF0">
      <w:pPr>
        <w:jc w:val="both"/>
        <w:textAlignment w:val="baseline"/>
        <w:rPr>
          <w:rFonts w:ascii="Calibri" w:hAnsi="Calibri" w:cs="Calibri"/>
          <w:sz w:val="22"/>
          <w:szCs w:val="22"/>
          <w:lang w:eastAsia="en-GB"/>
        </w:rPr>
      </w:pPr>
    </w:p>
    <w:p w14:paraId="6E223161"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IPSA holders must cooperate fully and in good faith with any investigation conducted in accordance with UNDP’s Legal Framework for Addressing Non-compliance with United Nations Standards of Conduct” as well as any audit conducted by, or on behalf of, the Office of Audit and Investigations of UNDP or the UN Board of Auditors.</w:t>
      </w:r>
    </w:p>
    <w:p w14:paraId="30CD5551" w14:textId="77777777" w:rsidR="00804AF0" w:rsidRDefault="00804AF0">
      <w:pPr>
        <w:jc w:val="both"/>
        <w:textAlignment w:val="baseline"/>
        <w:rPr>
          <w:rFonts w:ascii="Calibri" w:hAnsi="Calibri" w:cs="Calibri"/>
          <w:sz w:val="22"/>
          <w:szCs w:val="22"/>
          <w:lang w:eastAsia="en-GB"/>
        </w:rPr>
      </w:pPr>
    </w:p>
    <w:p w14:paraId="504EE0A9"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 xml:space="preserve">IPSA holders are bound by the terms of their IPSA to respect the impartiality and independence of the United Nations and UNDP and to exercise the utmost discretion in all </w:t>
      </w:r>
      <w:r>
        <w:rPr>
          <w:rFonts w:ascii="Calibri" w:hAnsi="Calibri" w:cs="Calibri"/>
          <w:sz w:val="22"/>
          <w:szCs w:val="22"/>
          <w:lang w:eastAsia="en-GB"/>
        </w:rPr>
        <w:lastRenderedPageBreak/>
        <w:t>matters relating to the performance of their assignment. During the period of service with UNDP, IPSA holders may not engage in any activity that is incompatible with the discharge of their duties with the organization. They should exercise utmost discretion in all matters of official activities of the organization.</w:t>
      </w:r>
    </w:p>
    <w:p w14:paraId="7D0DA43C" w14:textId="77777777" w:rsidR="00804AF0" w:rsidRDefault="00804AF0">
      <w:pPr>
        <w:jc w:val="both"/>
        <w:textAlignment w:val="baseline"/>
        <w:rPr>
          <w:rFonts w:ascii="Calibri" w:hAnsi="Calibri" w:cs="Calibri"/>
          <w:sz w:val="22"/>
          <w:szCs w:val="22"/>
          <w:lang w:eastAsia="en-GB"/>
        </w:rPr>
      </w:pPr>
    </w:p>
    <w:p w14:paraId="0F6280C5"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Unless specifically set out in their IPSA and/or authorized in writing by the UNDP Administrator or his/her designate, IPSA holders should not communicate at any time to the media, or to any institution, person, government, or other external entity/authority any information that has not been made public and which has become known to them by reason of their association with UNDP, nor should they use such information for private advantage. These obligations will survive the expiration or termination of the IPSA.</w:t>
      </w:r>
    </w:p>
    <w:p w14:paraId="50F2B97E" w14:textId="77777777" w:rsidR="00804AF0" w:rsidRDefault="00804AF0">
      <w:pPr>
        <w:jc w:val="both"/>
        <w:textAlignment w:val="baseline"/>
        <w:rPr>
          <w:rFonts w:ascii="Calibri" w:hAnsi="Calibri" w:cs="Calibri"/>
          <w:sz w:val="22"/>
          <w:szCs w:val="22"/>
          <w:lang w:eastAsia="en-GB"/>
        </w:rPr>
      </w:pPr>
    </w:p>
    <w:p w14:paraId="0AC2EBE5" w14:textId="77777777" w:rsidR="00804AF0" w:rsidRDefault="009A47D6">
      <w:pPr>
        <w:numPr>
          <w:ilvl w:val="0"/>
          <w:numId w:val="4"/>
        </w:numPr>
        <w:jc w:val="both"/>
        <w:textAlignment w:val="baseline"/>
        <w:rPr>
          <w:rFonts w:ascii="Calibri" w:hAnsi="Calibri" w:cs="Calibri"/>
          <w:sz w:val="22"/>
          <w:szCs w:val="22"/>
          <w:lang w:eastAsia="en-GB"/>
        </w:rPr>
      </w:pPr>
      <w:bookmarkStart w:id="17" w:name="OLE_LINK15"/>
      <w:r>
        <w:rPr>
          <w:rFonts w:ascii="Calibri" w:hAnsi="Calibri" w:cs="Calibri"/>
          <w:sz w:val="22"/>
          <w:szCs w:val="22"/>
          <w:lang w:eastAsia="en-GB"/>
        </w:rPr>
        <w:t>An individual on IPSA may not engage in an outside professional activity (i.e. not for UNDP) whether remunerated or not, unless and only if the individual has received prior approval of UNDP to do so from the Head of the Business Unit.  </w:t>
      </w:r>
    </w:p>
    <w:bookmarkEnd w:id="17"/>
    <w:p w14:paraId="72E070DA" w14:textId="77777777" w:rsidR="00804AF0" w:rsidRDefault="00804AF0">
      <w:pPr>
        <w:jc w:val="both"/>
        <w:textAlignment w:val="baseline"/>
        <w:rPr>
          <w:rFonts w:ascii="Calibri" w:hAnsi="Calibri" w:cs="Calibri"/>
          <w:sz w:val="22"/>
          <w:szCs w:val="22"/>
          <w:lang w:eastAsia="en-GB"/>
        </w:rPr>
      </w:pPr>
    </w:p>
    <w:p w14:paraId="27565209" w14:textId="77777777" w:rsidR="00804AF0" w:rsidRDefault="009A47D6">
      <w:pPr>
        <w:pStyle w:val="Heading1"/>
        <w:numPr>
          <w:ilvl w:val="0"/>
          <w:numId w:val="2"/>
        </w:numPr>
        <w:jc w:val="left"/>
        <w:rPr>
          <w:rFonts w:ascii="Calibri" w:hAnsi="Calibri"/>
          <w:b/>
          <w:sz w:val="22"/>
          <w:lang w:eastAsia="en-GB"/>
        </w:rPr>
      </w:pPr>
      <w:bookmarkStart w:id="18" w:name="_Toc161312414"/>
      <w:r>
        <w:rPr>
          <w:rFonts w:ascii="Calibri" w:hAnsi="Calibri"/>
          <w:b/>
          <w:sz w:val="22"/>
          <w:lang w:eastAsia="en-GB"/>
        </w:rPr>
        <w:t>Title Rights</w:t>
      </w:r>
      <w:bookmarkEnd w:id="18"/>
      <w:r>
        <w:rPr>
          <w:rFonts w:ascii="Calibri" w:hAnsi="Calibri"/>
          <w:b/>
          <w:sz w:val="22"/>
          <w:lang w:eastAsia="en-GB"/>
        </w:rPr>
        <w:t> </w:t>
      </w:r>
    </w:p>
    <w:p w14:paraId="3595DA0B" w14:textId="77777777" w:rsidR="00804AF0" w:rsidRDefault="00804AF0">
      <w:pPr>
        <w:jc w:val="both"/>
        <w:textAlignment w:val="baseline"/>
        <w:rPr>
          <w:rFonts w:ascii="Calibri" w:hAnsi="Calibri" w:cs="Calibri"/>
          <w:sz w:val="22"/>
          <w:szCs w:val="22"/>
          <w:lang w:eastAsia="en-GB"/>
        </w:rPr>
      </w:pPr>
    </w:p>
    <w:p w14:paraId="50DAA95E"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UNDP will be entitled to all intellectual property and other proprietary rights, including, but not limited to, patents, copyrights and trademarks, with regard to products, processes, inventions, ideas, know-how or documents and other materials which the IPSA holder has developed for UNDP under the IPSA and which bear a direct relation to or are produced or prepared or collected in consequence of, or during the course of, the performance of the IPSA. The IPSA holder must acknowledge and agree that such products, documents and other materials constitute works made for hire for UNDP in the IPSA. However, to the extent that any such intellectual property or other proprietary rights consist of any intellectual property or other proprietary rights of the IPSA holder: (a) that pre-existed the performance by the IPSA holder of his/her obligations under the IPSA, or (b) that the IPSA holder may develop or acquire, or may have developed or acquired, independently of the performance of their obligations under the IPSA, UNDP does not and will not claim any ownership interest thereto, and the IPSA holder must grant to UNDP a perpetual license to use such intellectual property or other proprietary right solely for the purposes of and in accordance with the requirements of the IPSA. At the request of UNDP, the IPSA holder must take all necessary steps, execute all necessary documents and generally assist in securing such proprietary rights and transferring or licensing them to UNDP in compliance with the requirements of the applicable law and of the IPSA. Subject to the foregoing provisions, all maps, drawings, photographs, plans, reports, estimates, recommendations, documents and all data compiled by or received by the IPSA holder under the IPSA will be the property of UNDP, must be made available for use or inspection by UNDP, must be treated as confidential and must be delivered only to UNDP authorized officials on completion of work under the IPSA.</w:t>
      </w:r>
    </w:p>
    <w:p w14:paraId="6FA05F06" w14:textId="77777777" w:rsidR="00804AF0" w:rsidRDefault="00804AF0">
      <w:pPr>
        <w:jc w:val="both"/>
        <w:textAlignment w:val="baseline"/>
        <w:rPr>
          <w:rFonts w:ascii="Calibri" w:hAnsi="Calibri" w:cs="Calibri"/>
          <w:sz w:val="22"/>
          <w:szCs w:val="22"/>
          <w:lang w:eastAsia="en-GB"/>
        </w:rPr>
      </w:pPr>
    </w:p>
    <w:p w14:paraId="766A6E40" w14:textId="77777777" w:rsidR="00804AF0" w:rsidRDefault="009A47D6">
      <w:pPr>
        <w:pStyle w:val="Heading1"/>
        <w:numPr>
          <w:ilvl w:val="0"/>
          <w:numId w:val="2"/>
        </w:numPr>
        <w:jc w:val="left"/>
        <w:rPr>
          <w:rFonts w:ascii="Calibri" w:hAnsi="Calibri"/>
          <w:b/>
          <w:sz w:val="22"/>
          <w:lang w:eastAsia="en-GB"/>
        </w:rPr>
      </w:pPr>
      <w:bookmarkStart w:id="19" w:name="_Toc161312415"/>
      <w:bookmarkStart w:id="20" w:name="_Hlk59872810"/>
      <w:r>
        <w:rPr>
          <w:rFonts w:ascii="Calibri" w:hAnsi="Calibri"/>
          <w:b/>
          <w:sz w:val="22"/>
          <w:lang w:eastAsia="en-GB"/>
        </w:rPr>
        <w:t>Nature of relationship between UNDP and the IPSA holder</w:t>
      </w:r>
      <w:bookmarkEnd w:id="19"/>
    </w:p>
    <w:p w14:paraId="6C147DDD" w14:textId="77777777" w:rsidR="00804AF0" w:rsidRDefault="00804AF0">
      <w:pPr>
        <w:jc w:val="both"/>
        <w:textAlignment w:val="baseline"/>
        <w:rPr>
          <w:rFonts w:ascii="Calibri" w:hAnsi="Calibri" w:cs="Calibri"/>
          <w:sz w:val="22"/>
          <w:szCs w:val="22"/>
          <w:lang w:eastAsia="en-GB"/>
        </w:rPr>
      </w:pPr>
    </w:p>
    <w:p w14:paraId="692D87C9"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An IPSA holder is not and may not represent himself or herself as being an agent of UNDP. The IPSA holder shall be solely responsible for all claims arising out of or relating to its actions or omissions.</w:t>
      </w:r>
    </w:p>
    <w:p w14:paraId="12BF17A5" w14:textId="77777777" w:rsidR="00804AF0" w:rsidRDefault="00804AF0">
      <w:pPr>
        <w:jc w:val="both"/>
        <w:textAlignment w:val="baseline"/>
        <w:rPr>
          <w:rFonts w:ascii="Calibri" w:hAnsi="Calibri" w:cs="Calibri"/>
          <w:sz w:val="22"/>
          <w:szCs w:val="22"/>
          <w:lang w:eastAsia="en-GB"/>
        </w:rPr>
      </w:pPr>
    </w:p>
    <w:p w14:paraId="47FABE74"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lastRenderedPageBreak/>
        <w:t>Any disputes between the IPSA holder and UNDP will be subject to the dispute resolution mechanism in the IPSA.</w:t>
      </w:r>
    </w:p>
    <w:bookmarkEnd w:id="20"/>
    <w:p w14:paraId="796933BD" w14:textId="77777777" w:rsidR="00804AF0" w:rsidRDefault="00804AF0">
      <w:pPr>
        <w:jc w:val="both"/>
        <w:textAlignment w:val="baseline"/>
        <w:rPr>
          <w:rFonts w:ascii="Calibri" w:hAnsi="Calibri" w:cs="Calibri"/>
          <w:sz w:val="22"/>
          <w:szCs w:val="22"/>
          <w:lang w:eastAsia="en-GB"/>
        </w:rPr>
      </w:pPr>
    </w:p>
    <w:p w14:paraId="53F2E46D" w14:textId="77777777" w:rsidR="00804AF0" w:rsidRDefault="009A47D6">
      <w:pPr>
        <w:pStyle w:val="Heading1"/>
        <w:numPr>
          <w:ilvl w:val="0"/>
          <w:numId w:val="2"/>
        </w:numPr>
        <w:jc w:val="left"/>
        <w:rPr>
          <w:rFonts w:ascii="Calibri" w:hAnsi="Calibri"/>
          <w:b/>
          <w:sz w:val="22"/>
          <w:lang w:eastAsia="en-GB"/>
        </w:rPr>
      </w:pPr>
      <w:bookmarkStart w:id="21" w:name="_Toc161312416"/>
      <w:r>
        <w:rPr>
          <w:rFonts w:ascii="Calibri" w:hAnsi="Calibri"/>
          <w:b/>
          <w:sz w:val="22"/>
          <w:lang w:eastAsia="en-GB"/>
        </w:rPr>
        <w:t>Duration of an IPSA</w:t>
      </w:r>
      <w:bookmarkEnd w:id="21"/>
    </w:p>
    <w:p w14:paraId="283212B9" w14:textId="77777777" w:rsidR="00804AF0" w:rsidRDefault="00804AF0">
      <w:pPr>
        <w:jc w:val="both"/>
        <w:textAlignment w:val="baseline"/>
        <w:rPr>
          <w:rFonts w:ascii="Calibri" w:hAnsi="Calibri" w:cs="Calibri"/>
          <w:sz w:val="22"/>
          <w:szCs w:val="22"/>
          <w:lang w:eastAsia="en-GB"/>
        </w:rPr>
      </w:pPr>
    </w:p>
    <w:p w14:paraId="240516FB" w14:textId="77777777" w:rsidR="00804AF0" w:rsidRDefault="009A47D6">
      <w:pPr>
        <w:numPr>
          <w:ilvl w:val="0"/>
          <w:numId w:val="4"/>
        </w:numPr>
        <w:jc w:val="both"/>
        <w:textAlignment w:val="baseline"/>
        <w:rPr>
          <w:rFonts w:ascii="Calibri" w:hAnsi="Calibri" w:cs="Calibri"/>
          <w:sz w:val="22"/>
          <w:szCs w:val="22"/>
          <w:lang w:eastAsia="en-GB"/>
        </w:rPr>
      </w:pPr>
      <w:bookmarkStart w:id="22" w:name="_Hlk56978417"/>
      <w:r>
        <w:rPr>
          <w:rFonts w:ascii="Calibri" w:hAnsi="Calibri" w:cs="Calibri"/>
          <w:sz w:val="22"/>
          <w:szCs w:val="22"/>
          <w:lang w:eastAsia="en-GB"/>
        </w:rPr>
        <w:t xml:space="preserve">An IPSA may be issued for up to 12 months at a time, and may be renewed for up to 4 years, however, not to exceed the maximum duration of the project. </w:t>
      </w:r>
      <w:bookmarkEnd w:id="22"/>
      <w:r>
        <w:rPr>
          <w:rFonts w:ascii="Calibri" w:hAnsi="Calibri" w:cs="Calibri"/>
          <w:sz w:val="22"/>
          <w:szCs w:val="22"/>
          <w:lang w:eastAsia="en-GB"/>
        </w:rPr>
        <w:t>The maximum period for the use of an IPSA is normally for the duration of the project and/or its expected funding period. Should an IPSA be required beyond the four years under similar terms of reference and within the same project, a review of the function must be conducted and documented to reconfirm that the conditions of use of IPSA have not changed which would then reset the period for another four years. This cycle may be repeated as many times as may be needed, provided the functions performed continue to be under the conditions of when a PSA may be used.</w:t>
      </w:r>
    </w:p>
    <w:p w14:paraId="724F5181" w14:textId="77777777" w:rsidR="00804AF0" w:rsidRDefault="00804AF0">
      <w:pPr>
        <w:ind w:left="1080"/>
        <w:jc w:val="both"/>
        <w:textAlignment w:val="baseline"/>
        <w:rPr>
          <w:rFonts w:ascii="Calibri" w:hAnsi="Calibri" w:cs="Calibri"/>
          <w:sz w:val="22"/>
          <w:szCs w:val="22"/>
          <w:lang w:eastAsia="en-GB"/>
        </w:rPr>
      </w:pPr>
    </w:p>
    <w:p w14:paraId="67F6B626"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Due to its nature and purpose, the duration of the agreement has implications on the benefits and entitlements package of each agreement category. While regular IPSAs are expected to be of at least 6 months in duration and provide for the set of benefits and entitlements, other agreement categories under the IPSA such as the retainer agreement will not have these benefits.</w:t>
      </w:r>
    </w:p>
    <w:p w14:paraId="7EB6CC68" w14:textId="77777777" w:rsidR="00804AF0" w:rsidRDefault="00804AF0">
      <w:pPr>
        <w:jc w:val="both"/>
        <w:textAlignment w:val="baseline"/>
        <w:rPr>
          <w:rFonts w:ascii="Calibri" w:hAnsi="Calibri" w:cs="Calibri"/>
          <w:sz w:val="22"/>
          <w:szCs w:val="22"/>
          <w:lang w:eastAsia="en-GB"/>
        </w:rPr>
      </w:pPr>
    </w:p>
    <w:p w14:paraId="45CCB49B"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Subject to the provisions of this policy, an IPSA may be extended on an annual basis if the IPSA holder has performed satisfactorily and continues working with the identical TOR.</w:t>
      </w:r>
    </w:p>
    <w:p w14:paraId="59397DD7" w14:textId="77777777" w:rsidR="00804AF0" w:rsidRDefault="00804AF0">
      <w:pPr>
        <w:jc w:val="both"/>
        <w:textAlignment w:val="baseline"/>
        <w:rPr>
          <w:rFonts w:ascii="Calibri" w:hAnsi="Calibri" w:cs="Calibri"/>
          <w:sz w:val="22"/>
          <w:szCs w:val="22"/>
          <w:lang w:eastAsia="en-GB"/>
        </w:rPr>
      </w:pPr>
    </w:p>
    <w:p w14:paraId="0D9D91A7"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The IPSA carries no expectation of any future or other engagement with UNDP.</w:t>
      </w:r>
    </w:p>
    <w:p w14:paraId="70E96066" w14:textId="77777777" w:rsidR="00804AF0" w:rsidRDefault="00804AF0">
      <w:pPr>
        <w:pStyle w:val="ListParagraph"/>
        <w:rPr>
          <w:rFonts w:ascii="Calibri" w:hAnsi="Calibri" w:cs="Calibri"/>
          <w:sz w:val="22"/>
          <w:szCs w:val="22"/>
          <w:lang w:eastAsia="en-GB"/>
        </w:rPr>
      </w:pPr>
    </w:p>
    <w:p w14:paraId="442413C1"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T</w:t>
      </w:r>
      <w:r>
        <w:rPr>
          <w:rFonts w:ascii="Calibri" w:hAnsi="Calibri" w:cs="Calibri"/>
          <w:sz w:val="22"/>
          <w:szCs w:val="22"/>
        </w:rPr>
        <w:t>here may be specific instances where the need and intention are to issue a regular IPSA, but the current approved-budget periods are shorter than the minimum permissible duration of six months. In order to allow individuals to benefit from the Regular IPSA package and to facilitate the operational needs of the office, the policy provides the following options to the hiring units, provided the budget is expected to be extended beyond that:</w:t>
      </w:r>
    </w:p>
    <w:p w14:paraId="37169FC4" w14:textId="77777777" w:rsidR="00804AF0" w:rsidRDefault="00804AF0">
      <w:pPr>
        <w:ind w:left="360"/>
        <w:jc w:val="both"/>
        <w:rPr>
          <w:rFonts w:ascii="Calibri" w:hAnsi="Calibri" w:cs="Calibri"/>
          <w:sz w:val="22"/>
          <w:szCs w:val="22"/>
        </w:rPr>
      </w:pPr>
    </w:p>
    <w:p w14:paraId="79FBF512" w14:textId="77777777" w:rsidR="00804AF0" w:rsidRDefault="009A47D6">
      <w:pPr>
        <w:pStyle w:val="ListParagraph"/>
        <w:numPr>
          <w:ilvl w:val="0"/>
          <w:numId w:val="8"/>
        </w:numPr>
        <w:jc w:val="both"/>
        <w:rPr>
          <w:rFonts w:ascii="Calibri" w:hAnsi="Calibri" w:cs="Calibri"/>
          <w:sz w:val="22"/>
          <w:szCs w:val="22"/>
        </w:rPr>
      </w:pPr>
      <w:r>
        <w:rPr>
          <w:rFonts w:ascii="Calibri" w:hAnsi="Calibri" w:cs="Calibri"/>
          <w:sz w:val="22"/>
          <w:szCs w:val="22"/>
        </w:rPr>
        <w:t>Issue a Regular IPSA for a duration of less than six months noting the intention and the budget expectations, or</w:t>
      </w:r>
    </w:p>
    <w:p w14:paraId="51F5AFB2" w14:textId="77777777" w:rsidR="00804AF0" w:rsidRDefault="00804AF0">
      <w:pPr>
        <w:pStyle w:val="ListParagraph"/>
        <w:jc w:val="both"/>
        <w:rPr>
          <w:rFonts w:ascii="Calibri" w:eastAsia="Cambria" w:hAnsi="Calibri" w:cs="Calibri"/>
          <w:sz w:val="22"/>
          <w:szCs w:val="22"/>
        </w:rPr>
      </w:pPr>
    </w:p>
    <w:p w14:paraId="596218C1" w14:textId="77777777" w:rsidR="00804AF0" w:rsidRDefault="009A47D6">
      <w:pPr>
        <w:pStyle w:val="ListParagraph"/>
        <w:numPr>
          <w:ilvl w:val="0"/>
          <w:numId w:val="8"/>
        </w:numPr>
        <w:jc w:val="both"/>
        <w:rPr>
          <w:rFonts w:ascii="Calibri" w:eastAsia="Times New Roman" w:hAnsi="Calibri" w:cs="Calibri"/>
          <w:sz w:val="22"/>
          <w:szCs w:val="22"/>
        </w:rPr>
      </w:pPr>
      <w:r>
        <w:rPr>
          <w:rFonts w:ascii="Calibri" w:hAnsi="Calibri" w:cs="Calibri"/>
          <w:sz w:val="22"/>
          <w:szCs w:val="22"/>
        </w:rPr>
        <w:t>Issue a Regular IPSA for a duration of six months or more, with the expectation to foreshorten the IPSA should the budget not be sufficiently approved at the later stage (expectations are for both UNDP and the IPSA holder, including the potential bearing of the termination indemnity by the hiring unit).</w:t>
      </w:r>
    </w:p>
    <w:p w14:paraId="235C7CD5" w14:textId="77777777" w:rsidR="00804AF0" w:rsidRDefault="009A47D6">
      <w:pPr>
        <w:jc w:val="both"/>
        <w:textAlignment w:val="baseline"/>
        <w:rPr>
          <w:rFonts w:ascii="Calibri" w:hAnsi="Calibri" w:cs="Calibri"/>
          <w:sz w:val="28"/>
          <w:szCs w:val="28"/>
          <w:lang w:eastAsia="en-GB"/>
        </w:rPr>
      </w:pPr>
      <w:r>
        <w:rPr>
          <w:rFonts w:ascii="Calibri" w:hAnsi="Calibri" w:cs="Calibri"/>
          <w:b/>
          <w:bCs/>
          <w:sz w:val="28"/>
          <w:szCs w:val="28"/>
          <w:lang w:eastAsia="en-GB"/>
        </w:rPr>
        <w:t> </w:t>
      </w:r>
      <w:r>
        <w:rPr>
          <w:rFonts w:ascii="Calibri" w:hAnsi="Calibri" w:cs="Calibri"/>
          <w:sz w:val="28"/>
          <w:szCs w:val="28"/>
          <w:lang w:eastAsia="en-GB"/>
        </w:rPr>
        <w:t> </w:t>
      </w:r>
    </w:p>
    <w:p w14:paraId="2E2DAD41" w14:textId="77777777" w:rsidR="00804AF0" w:rsidRDefault="009A47D6">
      <w:pPr>
        <w:pStyle w:val="Heading1"/>
        <w:numPr>
          <w:ilvl w:val="0"/>
          <w:numId w:val="2"/>
        </w:numPr>
        <w:jc w:val="left"/>
        <w:rPr>
          <w:rFonts w:ascii="Calibri" w:hAnsi="Calibri" w:cs="Calibri"/>
          <w:b/>
          <w:bCs/>
          <w:sz w:val="22"/>
          <w:szCs w:val="22"/>
          <w:lang w:eastAsia="en-GB"/>
        </w:rPr>
      </w:pPr>
      <w:bookmarkStart w:id="23" w:name="_Toc161312417"/>
      <w:r>
        <w:rPr>
          <w:rFonts w:ascii="Calibri" w:hAnsi="Calibri" w:cs="Calibri"/>
          <w:b/>
          <w:bCs/>
          <w:sz w:val="22"/>
          <w:szCs w:val="22"/>
          <w:lang w:eastAsia="en-GB"/>
        </w:rPr>
        <w:t>Functions: Specialist Functions</w:t>
      </w:r>
      <w:bookmarkEnd w:id="23"/>
      <w:r>
        <w:rPr>
          <w:rFonts w:ascii="Calibri" w:hAnsi="Calibri" w:cs="Calibri"/>
          <w:b/>
          <w:bCs/>
          <w:sz w:val="22"/>
          <w:szCs w:val="22"/>
          <w:lang w:eastAsia="en-GB"/>
        </w:rPr>
        <w:t> </w:t>
      </w:r>
    </w:p>
    <w:p w14:paraId="295C6118" w14:textId="77777777" w:rsidR="00804AF0" w:rsidRDefault="009A47D6">
      <w:pPr>
        <w:jc w:val="both"/>
        <w:textAlignment w:val="baseline"/>
        <w:rPr>
          <w:rFonts w:ascii="Calibri" w:hAnsi="Calibri" w:cs="Calibri"/>
          <w:sz w:val="22"/>
          <w:szCs w:val="22"/>
          <w:lang w:eastAsia="en-GB"/>
        </w:rPr>
      </w:pPr>
      <w:r>
        <w:rPr>
          <w:rFonts w:ascii="Calibri" w:hAnsi="Calibri" w:cs="Calibri"/>
          <w:b/>
          <w:bCs/>
          <w:sz w:val="22"/>
          <w:szCs w:val="22"/>
          <w:lang w:eastAsia="en-GB"/>
        </w:rPr>
        <w:t> </w:t>
      </w:r>
      <w:r>
        <w:rPr>
          <w:rFonts w:ascii="Calibri" w:hAnsi="Calibri" w:cs="Calibri"/>
          <w:sz w:val="22"/>
          <w:szCs w:val="22"/>
          <w:lang w:eastAsia="en-GB"/>
        </w:rPr>
        <w:t> </w:t>
      </w:r>
    </w:p>
    <w:p w14:paraId="58059E53"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 xml:space="preserve">An IPSA holder is an individual engaged by UNDP for a defined period of time, in the framework of the awarded IPSA, to provide Specialist services such as expert advisory services, technical skills and/or knowledge services. Specialist services are typically performed by a recognized specialist or authority in a specific field and the services performed are mainly of an intellectual and varied character. Performance of specialist services involves the regular and consistent exercise of discretion and judgment and the </w:t>
      </w:r>
      <w:r>
        <w:rPr>
          <w:rFonts w:ascii="Calibri" w:hAnsi="Calibri" w:cs="Calibri"/>
          <w:sz w:val="22"/>
          <w:szCs w:val="22"/>
          <w:lang w:eastAsia="en-GB"/>
        </w:rPr>
        <w:lastRenderedPageBreak/>
        <w:t xml:space="preserve">output produced or the result accomplished cannot be standardized in relation to a given </w:t>
      </w:r>
      <w:proofErr w:type="gramStart"/>
      <w:r>
        <w:rPr>
          <w:rFonts w:ascii="Calibri" w:hAnsi="Calibri" w:cs="Calibri"/>
          <w:sz w:val="22"/>
          <w:szCs w:val="22"/>
          <w:lang w:eastAsia="en-GB"/>
        </w:rPr>
        <w:t>period of time</w:t>
      </w:r>
      <w:proofErr w:type="gramEnd"/>
      <w:r>
        <w:rPr>
          <w:rFonts w:ascii="Calibri" w:hAnsi="Calibri" w:cs="Calibri"/>
          <w:sz w:val="22"/>
          <w:szCs w:val="22"/>
          <w:lang w:eastAsia="en-GB"/>
        </w:rPr>
        <w:t xml:space="preserve">. </w:t>
      </w:r>
    </w:p>
    <w:p w14:paraId="6A97B05D" w14:textId="77777777" w:rsidR="00804AF0" w:rsidRDefault="00804AF0">
      <w:pPr>
        <w:jc w:val="both"/>
        <w:textAlignment w:val="baseline"/>
        <w:rPr>
          <w:rFonts w:ascii="Calibri" w:hAnsi="Calibri" w:cs="Calibri"/>
          <w:sz w:val="22"/>
          <w:szCs w:val="22"/>
          <w:lang w:eastAsia="en-GB"/>
        </w:rPr>
      </w:pPr>
    </w:p>
    <w:p w14:paraId="5855D44C"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An IPSA holder may supervise the technical functions of, and/or provide inputs to the performance evaluation of a staff member if the staff member’s terms of reference are of technical nature, as may be determined by the Head of the Business Unit, or his/her delegate.</w:t>
      </w:r>
    </w:p>
    <w:p w14:paraId="6FBE52C1" w14:textId="77777777" w:rsidR="00804AF0" w:rsidRDefault="00804AF0">
      <w:pPr>
        <w:jc w:val="both"/>
        <w:textAlignment w:val="baseline"/>
        <w:rPr>
          <w:rFonts w:ascii="Calibri" w:hAnsi="Calibri" w:cs="Calibri"/>
          <w:sz w:val="22"/>
          <w:szCs w:val="22"/>
          <w:lang w:eastAsia="en-GB"/>
        </w:rPr>
      </w:pPr>
    </w:p>
    <w:p w14:paraId="7379AC92" w14:textId="77777777" w:rsidR="00804AF0" w:rsidRDefault="009A47D6">
      <w:pPr>
        <w:pStyle w:val="Heading1"/>
        <w:numPr>
          <w:ilvl w:val="0"/>
          <w:numId w:val="2"/>
        </w:numPr>
        <w:jc w:val="left"/>
        <w:rPr>
          <w:rFonts w:ascii="Calibri" w:hAnsi="Calibri" w:cs="Calibri"/>
          <w:b/>
          <w:bCs/>
          <w:sz w:val="22"/>
          <w:szCs w:val="22"/>
          <w:lang w:eastAsia="en-GB"/>
        </w:rPr>
      </w:pPr>
      <w:bookmarkStart w:id="24" w:name="_Toc161312418"/>
      <w:r>
        <w:rPr>
          <w:rFonts w:ascii="Calibri" w:hAnsi="Calibri" w:cs="Calibri"/>
          <w:b/>
          <w:bCs/>
          <w:sz w:val="22"/>
          <w:szCs w:val="22"/>
          <w:lang w:eastAsia="en-GB"/>
        </w:rPr>
        <w:t>Types of IPSAs: Regular and Retainer Agreements; Office- and Home-based</w:t>
      </w:r>
      <w:bookmarkEnd w:id="24"/>
      <w:r>
        <w:rPr>
          <w:rFonts w:ascii="Calibri" w:hAnsi="Calibri" w:cs="Calibri"/>
          <w:b/>
          <w:bCs/>
          <w:sz w:val="22"/>
          <w:szCs w:val="22"/>
          <w:lang w:eastAsia="en-GB"/>
        </w:rPr>
        <w:t xml:space="preserve"> </w:t>
      </w:r>
    </w:p>
    <w:p w14:paraId="1DDE63FD"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77AE99A1"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The IPSA agreement may not take the form of a lump sum agreement. In this case, an Individual Contract should be awarded within the framework of the applicable procurement process.</w:t>
      </w:r>
    </w:p>
    <w:p w14:paraId="0048A297" w14:textId="77777777" w:rsidR="00804AF0" w:rsidRDefault="00804AF0">
      <w:pPr>
        <w:jc w:val="both"/>
        <w:textAlignment w:val="baseline"/>
        <w:rPr>
          <w:rFonts w:ascii="Calibri" w:hAnsi="Calibri" w:cs="Calibri"/>
          <w:sz w:val="22"/>
          <w:szCs w:val="22"/>
          <w:lang w:eastAsia="en-GB"/>
        </w:rPr>
      </w:pPr>
    </w:p>
    <w:p w14:paraId="7D9219F3"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The below is a summary of the types of IPSA engagements depending on the needs of the business unit:</w:t>
      </w:r>
    </w:p>
    <w:p w14:paraId="68FA67BA" w14:textId="77777777" w:rsidR="00804AF0" w:rsidRDefault="00804AF0">
      <w:pPr>
        <w:jc w:val="both"/>
        <w:textAlignment w:val="baseline"/>
        <w:rPr>
          <w:rFonts w:ascii="Calibri" w:hAnsi="Calibri" w:cs="Calibri"/>
          <w:sz w:val="22"/>
          <w:szCs w:val="22"/>
          <w:lang w:eastAsia="en-GB"/>
        </w:rPr>
      </w:pPr>
    </w:p>
    <w:p w14:paraId="696A3ABC" w14:textId="77777777" w:rsidR="00804AF0" w:rsidRDefault="00804AF0">
      <w:pPr>
        <w:jc w:val="both"/>
        <w:textAlignment w:val="baseline"/>
        <w:rPr>
          <w:rFonts w:ascii="Calibri" w:hAnsi="Calibri" w:cs="Calibri"/>
          <w:sz w:val="22"/>
          <w:szCs w:val="22"/>
          <w:lang w:eastAsia="en-GB"/>
        </w:rPr>
      </w:pPr>
    </w:p>
    <w:tbl>
      <w:tblPr>
        <w:tblW w:w="89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22"/>
        <w:gridCol w:w="2250"/>
        <w:gridCol w:w="3188"/>
        <w:gridCol w:w="2025"/>
      </w:tblGrid>
      <w:tr w:rsidR="00804AF0" w14:paraId="16C4A855" w14:textId="77777777">
        <w:tc>
          <w:tcPr>
            <w:tcW w:w="1522" w:type="dxa"/>
            <w:tcBorders>
              <w:top w:val="single" w:sz="6" w:space="0" w:color="auto"/>
              <w:left w:val="single" w:sz="6" w:space="0" w:color="auto"/>
              <w:bottom w:val="single" w:sz="6" w:space="0" w:color="auto"/>
              <w:right w:val="single" w:sz="6" w:space="0" w:color="auto"/>
            </w:tcBorders>
          </w:tcPr>
          <w:p w14:paraId="2B5C3B47" w14:textId="77777777" w:rsidR="00804AF0" w:rsidRDefault="009A47D6">
            <w:pPr>
              <w:jc w:val="both"/>
              <w:textAlignment w:val="baseline"/>
              <w:rPr>
                <w:rFonts w:ascii="Calibri" w:hAnsi="Calibri" w:cs="Calibri"/>
                <w:sz w:val="22"/>
                <w:szCs w:val="22"/>
                <w:lang w:eastAsia="en-GB"/>
              </w:rPr>
            </w:pPr>
            <w:r>
              <w:rPr>
                <w:rFonts w:ascii="Calibri" w:hAnsi="Calibri" w:cs="Calibri"/>
                <w:b/>
                <w:bCs/>
                <w:sz w:val="22"/>
                <w:szCs w:val="22"/>
                <w:lang w:eastAsia="en-GB"/>
              </w:rPr>
              <w:t>Type</w:t>
            </w:r>
            <w:r>
              <w:rPr>
                <w:rFonts w:ascii="Calibri" w:hAnsi="Calibri" w:cs="Calibri"/>
                <w:sz w:val="22"/>
                <w:szCs w:val="22"/>
                <w:lang w:eastAsia="en-GB"/>
              </w:rPr>
              <w:t> </w:t>
            </w:r>
          </w:p>
        </w:tc>
        <w:tc>
          <w:tcPr>
            <w:tcW w:w="2250" w:type="dxa"/>
            <w:tcBorders>
              <w:top w:val="single" w:sz="6" w:space="0" w:color="auto"/>
              <w:left w:val="nil"/>
              <w:bottom w:val="single" w:sz="6" w:space="0" w:color="auto"/>
              <w:right w:val="single" w:sz="6" w:space="0" w:color="auto"/>
            </w:tcBorders>
          </w:tcPr>
          <w:p w14:paraId="0C5AEBBD" w14:textId="77777777" w:rsidR="00804AF0" w:rsidRDefault="009A47D6">
            <w:pPr>
              <w:jc w:val="both"/>
              <w:textAlignment w:val="baseline"/>
              <w:rPr>
                <w:rFonts w:ascii="Calibri" w:hAnsi="Calibri" w:cs="Calibri"/>
                <w:sz w:val="22"/>
                <w:szCs w:val="22"/>
                <w:lang w:eastAsia="en-GB"/>
              </w:rPr>
            </w:pPr>
            <w:r>
              <w:rPr>
                <w:rFonts w:ascii="Calibri" w:hAnsi="Calibri" w:cs="Calibri"/>
                <w:b/>
                <w:bCs/>
                <w:sz w:val="22"/>
                <w:szCs w:val="22"/>
                <w:lang w:eastAsia="en-GB"/>
              </w:rPr>
              <w:t>Use</w:t>
            </w:r>
            <w:r>
              <w:rPr>
                <w:rFonts w:ascii="Calibri" w:hAnsi="Calibri" w:cs="Calibri"/>
                <w:sz w:val="22"/>
                <w:szCs w:val="22"/>
                <w:lang w:eastAsia="en-GB"/>
              </w:rPr>
              <w:t> </w:t>
            </w:r>
          </w:p>
        </w:tc>
        <w:tc>
          <w:tcPr>
            <w:tcW w:w="3188" w:type="dxa"/>
            <w:tcBorders>
              <w:top w:val="single" w:sz="6" w:space="0" w:color="auto"/>
              <w:left w:val="nil"/>
              <w:bottom w:val="single" w:sz="6" w:space="0" w:color="auto"/>
              <w:right w:val="single" w:sz="6" w:space="0" w:color="auto"/>
            </w:tcBorders>
            <w:vAlign w:val="center"/>
          </w:tcPr>
          <w:p w14:paraId="17125614" w14:textId="77777777" w:rsidR="00804AF0" w:rsidRDefault="009A47D6">
            <w:pPr>
              <w:jc w:val="both"/>
              <w:textAlignment w:val="baseline"/>
              <w:rPr>
                <w:rFonts w:ascii="Calibri" w:hAnsi="Calibri" w:cs="Calibri"/>
                <w:sz w:val="22"/>
                <w:szCs w:val="22"/>
                <w:lang w:eastAsia="en-GB"/>
              </w:rPr>
            </w:pPr>
            <w:r>
              <w:rPr>
                <w:rFonts w:ascii="Calibri" w:hAnsi="Calibri" w:cs="Calibri"/>
                <w:b/>
                <w:bCs/>
                <w:sz w:val="22"/>
                <w:szCs w:val="22"/>
                <w:lang w:eastAsia="en-GB"/>
              </w:rPr>
              <w:t>Period</w:t>
            </w:r>
            <w:r>
              <w:rPr>
                <w:rFonts w:ascii="Calibri" w:hAnsi="Calibri" w:cs="Calibri"/>
                <w:sz w:val="22"/>
                <w:szCs w:val="22"/>
                <w:lang w:eastAsia="en-GB"/>
              </w:rPr>
              <w:t> </w:t>
            </w:r>
          </w:p>
        </w:tc>
        <w:tc>
          <w:tcPr>
            <w:tcW w:w="2025" w:type="dxa"/>
            <w:tcBorders>
              <w:top w:val="single" w:sz="6" w:space="0" w:color="auto"/>
              <w:left w:val="nil"/>
              <w:bottom w:val="single" w:sz="6" w:space="0" w:color="auto"/>
              <w:right w:val="single" w:sz="6" w:space="0" w:color="auto"/>
            </w:tcBorders>
            <w:vAlign w:val="center"/>
          </w:tcPr>
          <w:p w14:paraId="357CFB62" w14:textId="77777777" w:rsidR="00804AF0" w:rsidRDefault="009A47D6">
            <w:pPr>
              <w:jc w:val="center"/>
              <w:textAlignment w:val="baseline"/>
              <w:rPr>
                <w:rFonts w:ascii="Calibri" w:hAnsi="Calibri" w:cs="Calibri"/>
                <w:sz w:val="22"/>
                <w:szCs w:val="22"/>
                <w:lang w:eastAsia="en-GB"/>
              </w:rPr>
            </w:pPr>
            <w:r>
              <w:rPr>
                <w:rFonts w:ascii="Calibri" w:hAnsi="Calibri" w:cs="Calibri"/>
                <w:b/>
                <w:bCs/>
                <w:sz w:val="22"/>
                <w:szCs w:val="22"/>
                <w:lang w:eastAsia="en-GB"/>
              </w:rPr>
              <w:t>Location</w:t>
            </w:r>
            <w:r>
              <w:rPr>
                <w:rFonts w:ascii="Calibri" w:hAnsi="Calibri" w:cs="Calibri"/>
                <w:sz w:val="22"/>
                <w:szCs w:val="22"/>
                <w:lang w:eastAsia="en-GB"/>
              </w:rPr>
              <w:t> </w:t>
            </w:r>
          </w:p>
        </w:tc>
      </w:tr>
      <w:tr w:rsidR="00804AF0" w14:paraId="28D980BC" w14:textId="77777777">
        <w:tc>
          <w:tcPr>
            <w:tcW w:w="1522" w:type="dxa"/>
            <w:tcBorders>
              <w:top w:val="nil"/>
              <w:left w:val="single" w:sz="6" w:space="0" w:color="auto"/>
              <w:bottom w:val="single" w:sz="6" w:space="0" w:color="auto"/>
              <w:right w:val="single" w:sz="6" w:space="0" w:color="auto"/>
            </w:tcBorders>
          </w:tcPr>
          <w:p w14:paraId="117A9488"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Regular</w:t>
            </w:r>
          </w:p>
        </w:tc>
        <w:tc>
          <w:tcPr>
            <w:tcW w:w="2250" w:type="dxa"/>
            <w:tcBorders>
              <w:top w:val="nil"/>
              <w:left w:val="nil"/>
              <w:bottom w:val="single" w:sz="6" w:space="0" w:color="auto"/>
              <w:right w:val="single" w:sz="6" w:space="0" w:color="auto"/>
            </w:tcBorders>
          </w:tcPr>
          <w:p w14:paraId="26A0DC1B"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Regular functions and  duration</w:t>
            </w:r>
          </w:p>
        </w:tc>
        <w:tc>
          <w:tcPr>
            <w:tcW w:w="3188" w:type="dxa"/>
            <w:tcBorders>
              <w:top w:val="nil"/>
              <w:left w:val="nil"/>
              <w:bottom w:val="single" w:sz="6" w:space="0" w:color="auto"/>
              <w:right w:val="single" w:sz="6" w:space="0" w:color="auto"/>
            </w:tcBorders>
            <w:vAlign w:val="center"/>
          </w:tcPr>
          <w:p w14:paraId="0428C237"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rPr>
              <w:t>Longer-term for continuous use of a minimum period of 6 months</w:t>
            </w:r>
          </w:p>
        </w:tc>
        <w:tc>
          <w:tcPr>
            <w:tcW w:w="2025" w:type="dxa"/>
            <w:vMerge w:val="restart"/>
            <w:tcBorders>
              <w:top w:val="nil"/>
              <w:left w:val="nil"/>
              <w:bottom w:val="single" w:sz="6" w:space="0" w:color="auto"/>
              <w:right w:val="single" w:sz="6" w:space="0" w:color="auto"/>
            </w:tcBorders>
            <w:vAlign w:val="center"/>
          </w:tcPr>
          <w:p w14:paraId="2AAF799F"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Office- or Home-based </w:t>
            </w:r>
          </w:p>
        </w:tc>
      </w:tr>
      <w:tr w:rsidR="00804AF0" w14:paraId="4C5E73DD" w14:textId="77777777">
        <w:tc>
          <w:tcPr>
            <w:tcW w:w="1522" w:type="dxa"/>
            <w:tcBorders>
              <w:top w:val="nil"/>
              <w:left w:val="single" w:sz="6" w:space="0" w:color="auto"/>
              <w:bottom w:val="single" w:sz="6" w:space="0" w:color="auto"/>
              <w:right w:val="single" w:sz="6" w:space="0" w:color="auto"/>
            </w:tcBorders>
          </w:tcPr>
          <w:p w14:paraId="3B2C7A13"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Retainer or Short-term</w:t>
            </w:r>
          </w:p>
        </w:tc>
        <w:tc>
          <w:tcPr>
            <w:tcW w:w="2250" w:type="dxa"/>
            <w:tcBorders>
              <w:top w:val="nil"/>
              <w:left w:val="nil"/>
              <w:bottom w:val="single" w:sz="6" w:space="0" w:color="auto"/>
              <w:right w:val="single" w:sz="6" w:space="0" w:color="auto"/>
            </w:tcBorders>
          </w:tcPr>
          <w:p w14:paraId="3453F336"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Used as needed, based on daily rate </w:t>
            </w:r>
          </w:p>
        </w:tc>
        <w:tc>
          <w:tcPr>
            <w:tcW w:w="3188" w:type="dxa"/>
            <w:tcBorders>
              <w:top w:val="nil"/>
              <w:left w:val="nil"/>
              <w:bottom w:val="single" w:sz="6" w:space="0" w:color="auto"/>
              <w:right w:val="single" w:sz="6" w:space="0" w:color="auto"/>
            </w:tcBorders>
            <w:vAlign w:val="center"/>
          </w:tcPr>
          <w:p w14:paraId="13A61CF6" w14:textId="77777777" w:rsidR="00804AF0" w:rsidRDefault="009A47D6">
            <w:pPr>
              <w:jc w:val="both"/>
              <w:textAlignment w:val="baseline"/>
              <w:rPr>
                <w:rFonts w:ascii="Calibri" w:hAnsi="Calibri" w:cs="Calibri"/>
                <w:sz w:val="22"/>
                <w:szCs w:val="22"/>
                <w:lang w:eastAsia="en-GB"/>
              </w:rPr>
            </w:pPr>
            <w:r>
              <w:rPr>
                <w:rFonts w:ascii="Calibri" w:hAnsi="Calibri"/>
                <w:sz w:val="22"/>
                <w:szCs w:val="22"/>
              </w:rPr>
              <w:t>Short-term for use up to a total of 6 months (130 working days) per calendar year</w:t>
            </w:r>
          </w:p>
        </w:tc>
        <w:tc>
          <w:tcPr>
            <w:tcW w:w="0" w:type="auto"/>
            <w:vMerge/>
            <w:tcBorders>
              <w:top w:val="nil"/>
              <w:left w:val="nil"/>
              <w:bottom w:val="single" w:sz="6" w:space="0" w:color="auto"/>
              <w:right w:val="single" w:sz="6" w:space="0" w:color="auto"/>
            </w:tcBorders>
            <w:vAlign w:val="center"/>
          </w:tcPr>
          <w:p w14:paraId="66B1C1A3" w14:textId="77777777" w:rsidR="00804AF0" w:rsidRDefault="00804AF0">
            <w:pPr>
              <w:rPr>
                <w:rFonts w:ascii="Calibri" w:hAnsi="Calibri" w:cs="Calibri"/>
                <w:sz w:val="22"/>
                <w:szCs w:val="22"/>
                <w:lang w:eastAsia="en-GB"/>
              </w:rPr>
            </w:pPr>
          </w:p>
        </w:tc>
      </w:tr>
    </w:tbl>
    <w:p w14:paraId="5E8FC378" w14:textId="77777777" w:rsidR="00804AF0" w:rsidRDefault="009A47D6">
      <w:pPr>
        <w:textAlignment w:val="baseline"/>
        <w:rPr>
          <w:rFonts w:ascii="Calibri" w:hAnsi="Calibri" w:cs="Calibri"/>
          <w:sz w:val="22"/>
          <w:szCs w:val="22"/>
          <w:lang w:eastAsia="en-GB"/>
        </w:rPr>
      </w:pPr>
      <w:r>
        <w:rPr>
          <w:rFonts w:ascii="Calibri" w:hAnsi="Calibri" w:cs="Calibri"/>
          <w:sz w:val="22"/>
          <w:szCs w:val="22"/>
          <w:lang w:eastAsia="en-GB"/>
        </w:rPr>
        <w:t> </w:t>
      </w:r>
    </w:p>
    <w:p w14:paraId="4C4AB8CC" w14:textId="77777777" w:rsidR="00804AF0" w:rsidRDefault="009A47D6">
      <w:pPr>
        <w:pStyle w:val="ListParagraph"/>
        <w:numPr>
          <w:ilvl w:val="1"/>
          <w:numId w:val="9"/>
        </w:numPr>
        <w:jc w:val="both"/>
        <w:textAlignment w:val="baseline"/>
        <w:rPr>
          <w:rFonts w:ascii="Calibri" w:hAnsi="Calibri" w:cs="Calibri"/>
          <w:sz w:val="22"/>
          <w:szCs w:val="22"/>
          <w:lang w:eastAsia="en-GB"/>
        </w:rPr>
      </w:pPr>
      <w:r>
        <w:rPr>
          <w:rFonts w:ascii="Calibri" w:hAnsi="Calibri" w:cs="Calibri"/>
          <w:sz w:val="22"/>
          <w:szCs w:val="22"/>
          <w:lang w:eastAsia="en-GB"/>
        </w:rPr>
        <w:t>IPSA agreements other than retainer or short-term agreements are referred to as “Regular” agreements. Regular IPSAs are to be used when services are required on a more continuous basis throughout the project periods. Payments are made at the end of each calendar month.</w:t>
      </w:r>
    </w:p>
    <w:p w14:paraId="69A03AA8" w14:textId="77777777" w:rsidR="00804AF0" w:rsidRDefault="00804AF0">
      <w:pPr>
        <w:jc w:val="both"/>
        <w:textAlignment w:val="baseline"/>
        <w:rPr>
          <w:rFonts w:ascii="Calibri" w:hAnsi="Calibri" w:cs="Calibri"/>
          <w:sz w:val="22"/>
          <w:szCs w:val="22"/>
          <w:lang w:eastAsia="en-GB"/>
        </w:rPr>
      </w:pPr>
    </w:p>
    <w:p w14:paraId="42F722FC" w14:textId="77777777" w:rsidR="00804AF0" w:rsidRDefault="009A47D6">
      <w:pPr>
        <w:pStyle w:val="ListParagraph"/>
        <w:numPr>
          <w:ilvl w:val="1"/>
          <w:numId w:val="9"/>
        </w:numPr>
        <w:jc w:val="both"/>
        <w:textAlignment w:val="baseline"/>
        <w:rPr>
          <w:rFonts w:ascii="Calibri" w:hAnsi="Calibri" w:cs="Calibri"/>
          <w:sz w:val="22"/>
          <w:szCs w:val="22"/>
          <w:lang w:eastAsia="en-GB"/>
        </w:rPr>
      </w:pPr>
      <w:r>
        <w:rPr>
          <w:rFonts w:ascii="Calibri" w:hAnsi="Calibri" w:cs="Calibri"/>
          <w:sz w:val="22"/>
          <w:szCs w:val="22"/>
          <w:lang w:eastAsia="en-GB"/>
        </w:rPr>
        <w:t>IPSA agreements may be issued as a retainer which is considered a short-term agreement. A retainer agreement is issued for a period of time during which the services of the IPSA holder are required intermittently. The IPSA agreement on a retainer basis will specify a “unit price” (e.g. amount per hour, amount per translated page, etc.). For budgetary purposes, a monetary cap will be determined when the agreement is issued. Retainers may also be used for immediate assignments, for example, in response to project proposals within very specific timeframes, and is issued based on an extended time span rather than intermittently.</w:t>
      </w:r>
    </w:p>
    <w:p w14:paraId="1E06033A" w14:textId="77777777" w:rsidR="00804AF0" w:rsidRDefault="00804AF0">
      <w:pPr>
        <w:jc w:val="both"/>
        <w:textAlignment w:val="baseline"/>
        <w:rPr>
          <w:rFonts w:ascii="Calibri" w:hAnsi="Calibri" w:cs="Calibri"/>
          <w:sz w:val="22"/>
          <w:szCs w:val="22"/>
          <w:lang w:eastAsia="en-GB"/>
        </w:rPr>
      </w:pPr>
    </w:p>
    <w:p w14:paraId="67B68E33"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Additionally, any of the IPSA modalities may be used to engage someone on a home-based IPSA when they are not expected to work in any UNDP office or work location, or work is expected to be done on an intermittent basis only (i.e. the IPSA holder will mainly work away from a UNDP work location). The home-based status may also be applied to regular IPSAs with a daily or monthly remuneration and to IPSAs issued as retainer agreements, depending on the exigencies of the hiring business unit.</w:t>
      </w:r>
    </w:p>
    <w:p w14:paraId="617A3B54" w14:textId="77777777" w:rsidR="00804AF0" w:rsidRDefault="00804AF0">
      <w:pPr>
        <w:jc w:val="both"/>
        <w:textAlignment w:val="baseline"/>
        <w:rPr>
          <w:rFonts w:ascii="Calibri" w:hAnsi="Calibri" w:cs="Calibri"/>
          <w:sz w:val="22"/>
          <w:szCs w:val="22"/>
          <w:lang w:eastAsia="en-GB"/>
        </w:rPr>
      </w:pPr>
    </w:p>
    <w:p w14:paraId="2942E893" w14:textId="77777777" w:rsidR="00804AF0" w:rsidRDefault="009A47D6">
      <w:pPr>
        <w:pStyle w:val="Heading1"/>
        <w:numPr>
          <w:ilvl w:val="0"/>
          <w:numId w:val="2"/>
        </w:numPr>
        <w:rPr>
          <w:rFonts w:ascii="Calibri" w:hAnsi="Calibri" w:cs="Calibri"/>
          <w:b/>
          <w:bCs/>
          <w:sz w:val="22"/>
          <w:szCs w:val="22"/>
          <w:lang w:eastAsia="en-GB"/>
        </w:rPr>
      </w:pPr>
      <w:bookmarkStart w:id="25" w:name="_Toc161312419"/>
      <w:r>
        <w:rPr>
          <w:rFonts w:ascii="Calibri" w:hAnsi="Calibri" w:cs="Calibri"/>
          <w:b/>
          <w:bCs/>
          <w:sz w:val="22"/>
          <w:szCs w:val="22"/>
          <w:lang w:eastAsia="en-GB"/>
        </w:rPr>
        <w:lastRenderedPageBreak/>
        <w:t>Engagement of Former and Retired UN Staff Members, and other Non-Staff Personnel</w:t>
      </w:r>
      <w:bookmarkEnd w:id="25"/>
    </w:p>
    <w:p w14:paraId="06E107D4"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01F5FAE1"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In the selection and engagement of IPSA holders, it is important to note that the engagement of candidates that currently work or have previously worked as UN staff members, or are retired UN staff members, is subject to special rules.</w:t>
      </w:r>
    </w:p>
    <w:p w14:paraId="54A63951" w14:textId="77777777" w:rsidR="00804AF0" w:rsidRDefault="00804AF0">
      <w:pPr>
        <w:jc w:val="both"/>
        <w:textAlignment w:val="baseline"/>
        <w:rPr>
          <w:rFonts w:ascii="Calibri" w:hAnsi="Calibri" w:cs="Calibri"/>
          <w:sz w:val="22"/>
          <w:szCs w:val="22"/>
          <w:lang w:eastAsia="en-GB"/>
        </w:rPr>
      </w:pPr>
    </w:p>
    <w:p w14:paraId="07F1BF62" w14:textId="77777777" w:rsidR="00804AF0" w:rsidRDefault="009A47D6">
      <w:pPr>
        <w:numPr>
          <w:ilvl w:val="0"/>
          <w:numId w:val="4"/>
        </w:numPr>
        <w:jc w:val="both"/>
        <w:textAlignment w:val="baseline"/>
        <w:rPr>
          <w:rFonts w:ascii="Calibri" w:hAnsi="Calibri" w:cs="Calibri"/>
          <w:sz w:val="22"/>
          <w:szCs w:val="22"/>
          <w:lang w:eastAsia="en-GB"/>
        </w:rPr>
      </w:pPr>
      <w:bookmarkStart w:id="26" w:name="_Hlk56981153"/>
      <w:r>
        <w:rPr>
          <w:rFonts w:ascii="Calibri" w:hAnsi="Calibri" w:cs="Calibri"/>
          <w:sz w:val="22"/>
          <w:szCs w:val="22"/>
          <w:lang w:eastAsia="en-GB"/>
        </w:rPr>
        <w:t xml:space="preserve">Staff members may not be separated for the sole purpose of immediately re-engaging them on an IPSA. Should the staff member wish to convert to an IPSA, and submits a motivated request in writing, UNDP may consider any such requests provided that it is compatible with the relevant terms of reference as well as the position structure and requirements. The Head of the Business Unit may make </w:t>
      </w:r>
      <w:proofErr w:type="gramStart"/>
      <w:r>
        <w:rPr>
          <w:rFonts w:ascii="Calibri" w:hAnsi="Calibri" w:cs="Calibri"/>
          <w:sz w:val="22"/>
          <w:szCs w:val="22"/>
          <w:lang w:eastAsia="en-GB"/>
        </w:rPr>
        <w:t>the</w:t>
      </w:r>
      <w:proofErr w:type="gramEnd"/>
      <w:r>
        <w:rPr>
          <w:rFonts w:ascii="Calibri" w:hAnsi="Calibri" w:cs="Calibri"/>
          <w:sz w:val="22"/>
          <w:szCs w:val="22"/>
          <w:lang w:eastAsia="en-GB"/>
        </w:rPr>
        <w:t xml:space="preserve"> determination on the </w:t>
      </w:r>
      <w:proofErr w:type="gramStart"/>
      <w:r>
        <w:rPr>
          <w:rFonts w:ascii="Calibri" w:hAnsi="Calibri" w:cs="Calibri"/>
          <w:sz w:val="22"/>
          <w:szCs w:val="22"/>
          <w:lang w:eastAsia="en-GB"/>
        </w:rPr>
        <w:t>functions,</w:t>
      </w:r>
      <w:proofErr w:type="gramEnd"/>
      <w:r>
        <w:rPr>
          <w:rFonts w:ascii="Calibri" w:hAnsi="Calibri" w:cs="Calibri"/>
          <w:sz w:val="22"/>
          <w:szCs w:val="22"/>
          <w:lang w:eastAsia="en-GB"/>
        </w:rPr>
        <w:t xml:space="preserve"> however, any such conversion must only be made in full consultation with the Legal Office. In such cases, a one-month break in service must occur between separation from the existing staff contract (Permanent Contract /Fixed-Term Appointment/) and the commencement of the IPSA.</w:t>
      </w:r>
    </w:p>
    <w:bookmarkEnd w:id="26"/>
    <w:p w14:paraId="6047CCBF" w14:textId="77777777" w:rsidR="00804AF0" w:rsidRDefault="00804AF0">
      <w:pPr>
        <w:jc w:val="both"/>
        <w:textAlignment w:val="baseline"/>
        <w:rPr>
          <w:rFonts w:ascii="Calibri" w:hAnsi="Calibri" w:cs="Calibri"/>
          <w:sz w:val="22"/>
          <w:szCs w:val="22"/>
          <w:lang w:eastAsia="en-GB"/>
        </w:rPr>
      </w:pPr>
    </w:p>
    <w:p w14:paraId="3D86936E" w14:textId="77777777" w:rsidR="00804AF0" w:rsidRDefault="009A47D6">
      <w:pPr>
        <w:numPr>
          <w:ilvl w:val="0"/>
          <w:numId w:val="4"/>
        </w:numPr>
        <w:jc w:val="both"/>
        <w:textAlignment w:val="baseline"/>
        <w:rPr>
          <w:rFonts w:ascii="Calibri" w:hAnsi="Calibri" w:cs="Calibri"/>
          <w:sz w:val="22"/>
          <w:szCs w:val="22"/>
          <w:lang w:eastAsia="en-GB"/>
        </w:rPr>
      </w:pPr>
      <w:bookmarkStart w:id="27" w:name="_Hlk56981310"/>
      <w:r>
        <w:rPr>
          <w:rFonts w:ascii="Calibri" w:hAnsi="Calibri" w:cs="Calibri"/>
          <w:sz w:val="22"/>
          <w:szCs w:val="22"/>
          <w:lang w:eastAsia="en-GB"/>
        </w:rPr>
        <w:t>A United Nations staff member who has separated may only enter into an IPSA with an effective starting date at least one (1) month after the effective separation date.</w:t>
      </w:r>
    </w:p>
    <w:bookmarkEnd w:id="27"/>
    <w:p w14:paraId="6ED2A6D8"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22579C0A"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Former staff and non-staff personnel may be recruited only after the expiration of such other contract. In no case may such other contract be foreshortened in order to allow such person to be engaged under an IPSA.</w:t>
      </w:r>
    </w:p>
    <w:p w14:paraId="1609F0F2" w14:textId="77777777" w:rsidR="00804AF0" w:rsidRDefault="00804AF0">
      <w:pPr>
        <w:jc w:val="both"/>
        <w:textAlignment w:val="baseline"/>
        <w:rPr>
          <w:rFonts w:ascii="Calibri" w:hAnsi="Calibri" w:cs="Calibri"/>
          <w:sz w:val="22"/>
          <w:szCs w:val="22"/>
          <w:lang w:eastAsia="en-GB"/>
        </w:rPr>
      </w:pPr>
    </w:p>
    <w:p w14:paraId="166D2811" w14:textId="77777777" w:rsidR="00804AF0" w:rsidRDefault="009A47D6">
      <w:pPr>
        <w:ind w:firstLineChars="200" w:firstLine="440"/>
        <w:jc w:val="both"/>
        <w:textAlignment w:val="baseline"/>
        <w:rPr>
          <w:rFonts w:ascii="Calibri" w:hAnsi="Calibri" w:cs="Calibri"/>
          <w:sz w:val="22"/>
          <w:szCs w:val="22"/>
          <w:u w:val="single"/>
          <w:lang w:eastAsia="en-GB"/>
        </w:rPr>
      </w:pPr>
      <w:r>
        <w:rPr>
          <w:rFonts w:ascii="Calibri" w:hAnsi="Calibri" w:cs="Calibri"/>
          <w:sz w:val="22"/>
          <w:szCs w:val="22"/>
          <w:u w:val="single"/>
          <w:lang w:eastAsia="en-GB"/>
        </w:rPr>
        <w:t>Determining remuneration of Former or Retired Staff Members: </w:t>
      </w:r>
    </w:p>
    <w:p w14:paraId="74A6D7D5" w14:textId="77777777" w:rsidR="00804AF0" w:rsidRDefault="00804AF0">
      <w:pPr>
        <w:jc w:val="both"/>
        <w:textAlignment w:val="baseline"/>
        <w:rPr>
          <w:rFonts w:ascii="Calibri" w:hAnsi="Calibri" w:cs="Calibri"/>
          <w:sz w:val="22"/>
          <w:szCs w:val="22"/>
          <w:lang w:eastAsia="en-GB"/>
        </w:rPr>
      </w:pPr>
    </w:p>
    <w:p w14:paraId="3FB30768"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When a former staff member is engaged on an IPSA, the remuneration must not be based on the level of remuneration before separation but rather on the nature and complexity of the assignment to be performed under the IPSA.</w:t>
      </w:r>
    </w:p>
    <w:p w14:paraId="522FF287"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14780567" w14:textId="77777777" w:rsidR="00804AF0" w:rsidRDefault="009A47D6">
      <w:pPr>
        <w:ind w:firstLineChars="200" w:firstLine="440"/>
        <w:jc w:val="both"/>
        <w:textAlignment w:val="baseline"/>
        <w:rPr>
          <w:rFonts w:ascii="Calibri" w:eastAsia="SimSun" w:hAnsi="Calibri" w:cs="Calibri"/>
          <w:sz w:val="22"/>
          <w:szCs w:val="22"/>
          <w:u w:val="single"/>
          <w:lang w:eastAsia="zh-CN"/>
        </w:rPr>
      </w:pPr>
      <w:r>
        <w:rPr>
          <w:rFonts w:ascii="Calibri" w:hAnsi="Calibri" w:cs="Calibri"/>
          <w:sz w:val="22"/>
          <w:szCs w:val="22"/>
          <w:u w:val="single"/>
          <w:lang w:eastAsia="en-GB"/>
        </w:rPr>
        <w:t>Engagement of former Staff Members in receipt of a UN Pension</w:t>
      </w:r>
      <w:r>
        <w:rPr>
          <w:rFonts w:ascii="Calibri" w:eastAsia="SimSun" w:hAnsi="Calibri" w:cs="Calibri" w:hint="eastAsia"/>
          <w:sz w:val="22"/>
          <w:szCs w:val="22"/>
          <w:u w:val="single"/>
          <w:lang w:eastAsia="zh-CN"/>
        </w:rPr>
        <w:t>:</w:t>
      </w:r>
    </w:p>
    <w:p w14:paraId="5B740A85"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0DC482CF" w14:textId="77777777" w:rsidR="00804AF0" w:rsidRDefault="009A47D6">
      <w:pPr>
        <w:numPr>
          <w:ilvl w:val="0"/>
          <w:numId w:val="4"/>
        </w:numPr>
        <w:jc w:val="both"/>
        <w:textAlignment w:val="baseline"/>
        <w:rPr>
          <w:rFonts w:ascii="Calibri" w:hAnsi="Calibri" w:cs="Calibri"/>
          <w:sz w:val="22"/>
          <w:szCs w:val="22"/>
          <w:lang w:eastAsia="en-GB"/>
        </w:rPr>
      </w:pPr>
      <w:bookmarkStart w:id="28" w:name="OLE_LINK19"/>
      <w:r>
        <w:rPr>
          <w:rFonts w:ascii="Calibri" w:hAnsi="Calibri" w:cs="Calibri"/>
          <w:sz w:val="22"/>
          <w:szCs w:val="22"/>
          <w:lang w:eastAsia="en-GB"/>
        </w:rPr>
        <w:t>Former staff members in receipt of a UN pension benefit, may be engaged under IPSA only if:</w:t>
      </w:r>
    </w:p>
    <w:bookmarkEnd w:id="28"/>
    <w:p w14:paraId="46DB07A8" w14:textId="77777777" w:rsidR="00804AF0" w:rsidRDefault="00804AF0">
      <w:pPr>
        <w:ind w:left="360" w:firstLine="60"/>
        <w:jc w:val="both"/>
        <w:textAlignment w:val="baseline"/>
        <w:rPr>
          <w:rFonts w:ascii="Calibri" w:hAnsi="Calibri" w:cs="Calibri"/>
          <w:sz w:val="22"/>
          <w:szCs w:val="22"/>
          <w:lang w:eastAsia="en-GB"/>
        </w:rPr>
      </w:pPr>
    </w:p>
    <w:p w14:paraId="5BC1844F" w14:textId="77777777" w:rsidR="00804AF0" w:rsidRDefault="009A47D6">
      <w:pPr>
        <w:numPr>
          <w:ilvl w:val="0"/>
          <w:numId w:val="10"/>
        </w:numPr>
        <w:jc w:val="both"/>
        <w:textAlignment w:val="baseline"/>
        <w:rPr>
          <w:rFonts w:ascii="Calibri" w:hAnsi="Calibri" w:cs="Calibri"/>
          <w:sz w:val="22"/>
          <w:szCs w:val="22"/>
          <w:lang w:eastAsia="en-GB"/>
        </w:rPr>
      </w:pPr>
      <w:r>
        <w:rPr>
          <w:rFonts w:ascii="Calibri" w:hAnsi="Calibri" w:cs="Calibri"/>
          <w:sz w:val="22"/>
          <w:szCs w:val="22"/>
          <w:lang w:eastAsia="en-GB"/>
        </w:rPr>
        <w:t xml:space="preserve"> The engagement represents both a cost-effective and a compliant solution to meet the service needs of the hiring business unit;</w:t>
      </w:r>
    </w:p>
    <w:p w14:paraId="29FDA118" w14:textId="77777777" w:rsidR="00804AF0" w:rsidRDefault="009A47D6">
      <w:pPr>
        <w:numPr>
          <w:ilvl w:val="0"/>
          <w:numId w:val="10"/>
        </w:numPr>
        <w:jc w:val="both"/>
        <w:textAlignment w:val="baseline"/>
        <w:rPr>
          <w:rFonts w:ascii="Calibri" w:hAnsi="Calibri" w:cs="Calibri"/>
          <w:sz w:val="22"/>
          <w:szCs w:val="22"/>
          <w:lang w:eastAsia="en-GB"/>
        </w:rPr>
      </w:pPr>
      <w:r>
        <w:rPr>
          <w:rFonts w:ascii="Calibri" w:hAnsi="Calibri" w:cs="Calibri"/>
          <w:sz w:val="22"/>
          <w:szCs w:val="22"/>
          <w:lang w:eastAsia="en-GB"/>
        </w:rPr>
        <w:t>A competitive process was carried out and is properly documented;</w:t>
      </w:r>
    </w:p>
    <w:p w14:paraId="0219D9C2" w14:textId="77777777" w:rsidR="00804AF0" w:rsidRDefault="009A47D6">
      <w:pPr>
        <w:numPr>
          <w:ilvl w:val="0"/>
          <w:numId w:val="10"/>
        </w:numPr>
        <w:jc w:val="both"/>
        <w:textAlignment w:val="baseline"/>
        <w:rPr>
          <w:rFonts w:ascii="Calibri" w:hAnsi="Calibri" w:cs="Calibri"/>
          <w:sz w:val="22"/>
          <w:szCs w:val="22"/>
          <w:lang w:eastAsia="en-GB"/>
        </w:rPr>
      </w:pPr>
      <w:r>
        <w:rPr>
          <w:rFonts w:ascii="Calibri" w:hAnsi="Calibri" w:cs="Calibri"/>
          <w:sz w:val="22"/>
          <w:szCs w:val="22"/>
          <w:lang w:eastAsia="en-GB"/>
        </w:rPr>
        <w:t xml:space="preserve"> </w:t>
      </w:r>
      <w:bookmarkStart w:id="29" w:name="OLE_LINK20"/>
      <w:r>
        <w:rPr>
          <w:rFonts w:ascii="Calibri" w:hAnsi="Calibri" w:cs="Calibri"/>
          <w:sz w:val="22"/>
          <w:szCs w:val="22"/>
          <w:lang w:eastAsia="en-GB"/>
        </w:rPr>
        <w:t>The 30-day break in service requirement is met (not applicable to temporary appointments);</w:t>
      </w:r>
      <w:bookmarkEnd w:id="29"/>
    </w:p>
    <w:p w14:paraId="34C39842" w14:textId="77777777" w:rsidR="00804AF0" w:rsidRDefault="009A47D6">
      <w:pPr>
        <w:numPr>
          <w:ilvl w:val="0"/>
          <w:numId w:val="10"/>
        </w:numPr>
        <w:jc w:val="both"/>
        <w:textAlignment w:val="baseline"/>
        <w:rPr>
          <w:rFonts w:ascii="Calibri" w:hAnsi="Calibri" w:cs="Calibri"/>
          <w:sz w:val="22"/>
          <w:szCs w:val="22"/>
          <w:lang w:eastAsia="en-GB"/>
        </w:rPr>
      </w:pPr>
      <w:r>
        <w:rPr>
          <w:rFonts w:ascii="Calibri" w:hAnsi="Calibri" w:cs="Calibri"/>
          <w:sz w:val="22"/>
          <w:szCs w:val="22"/>
          <w:lang w:eastAsia="en-GB"/>
        </w:rPr>
        <w:t>The former staff member in receipt of a UN pension benefit was not separated on grounds of disciplinary action or unsatisfactory performance; and</w:t>
      </w:r>
    </w:p>
    <w:p w14:paraId="4EB4D8F8" w14:textId="77777777" w:rsidR="00804AF0" w:rsidRDefault="009A47D6">
      <w:pPr>
        <w:numPr>
          <w:ilvl w:val="0"/>
          <w:numId w:val="10"/>
        </w:numPr>
        <w:jc w:val="both"/>
        <w:textAlignment w:val="baseline"/>
        <w:rPr>
          <w:rFonts w:ascii="Calibri" w:hAnsi="Calibri" w:cs="Calibri"/>
          <w:sz w:val="22"/>
          <w:szCs w:val="22"/>
          <w:lang w:eastAsia="en-GB"/>
        </w:rPr>
      </w:pPr>
      <w:r>
        <w:rPr>
          <w:rFonts w:ascii="Calibri" w:hAnsi="Calibri" w:cs="Calibri"/>
          <w:sz w:val="22"/>
          <w:szCs w:val="22"/>
          <w:lang w:eastAsia="en-GB"/>
        </w:rPr>
        <w:t>The individual is medically certified as fit.</w:t>
      </w:r>
    </w:p>
    <w:p w14:paraId="0AF48D65" w14:textId="77777777" w:rsidR="00804AF0" w:rsidRDefault="00804AF0">
      <w:pPr>
        <w:ind w:left="720" w:firstLine="60"/>
        <w:textAlignment w:val="baseline"/>
        <w:rPr>
          <w:rFonts w:ascii="Calibri" w:hAnsi="Calibri" w:cs="Calibri"/>
          <w:sz w:val="22"/>
          <w:szCs w:val="22"/>
          <w:lang w:eastAsia="en-GB"/>
        </w:rPr>
      </w:pPr>
    </w:p>
    <w:p w14:paraId="62E1135C"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The Head of the Business Unit (as the term is defined below) must ensure that the remuneration of a UNDP (or UN and its funds and programmes) retiree does not exceed the limits set for those receiving a UNJSPF pension benefit.</w:t>
      </w:r>
    </w:p>
    <w:p w14:paraId="6FB0AF0C" w14:textId="77777777" w:rsidR="00804AF0" w:rsidRDefault="00804AF0">
      <w:pPr>
        <w:jc w:val="both"/>
        <w:textAlignment w:val="baseline"/>
        <w:rPr>
          <w:rFonts w:ascii="Calibri" w:hAnsi="Calibri" w:cs="Calibri"/>
          <w:sz w:val="22"/>
          <w:szCs w:val="22"/>
          <w:lang w:eastAsia="en-GB"/>
        </w:rPr>
      </w:pPr>
    </w:p>
    <w:p w14:paraId="68385E83" w14:textId="77777777" w:rsidR="00804AF0" w:rsidRDefault="009A47D6">
      <w:pPr>
        <w:numPr>
          <w:ilvl w:val="0"/>
          <w:numId w:val="4"/>
        </w:numPr>
        <w:jc w:val="both"/>
        <w:textAlignment w:val="baseline"/>
        <w:rPr>
          <w:rFonts w:ascii="Calibri" w:hAnsi="Calibri" w:cs="Calibri"/>
          <w:sz w:val="22"/>
          <w:szCs w:val="22"/>
          <w:lang w:eastAsia="en-GB"/>
        </w:rPr>
      </w:pPr>
      <w:bookmarkStart w:id="30" w:name="OLE_LINK21"/>
      <w:r>
        <w:rPr>
          <w:rFonts w:ascii="Calibri" w:hAnsi="Calibri" w:cs="Calibri"/>
          <w:sz w:val="22"/>
          <w:szCs w:val="22"/>
          <w:lang w:eastAsia="en-GB"/>
        </w:rPr>
        <w:lastRenderedPageBreak/>
        <w:t xml:space="preserve">Engagements of former staff in receipt of a UNJSPF pension benefit must not exceed the total duration of 6 months, </w:t>
      </w:r>
      <w:r>
        <w:rPr>
          <w:rFonts w:ascii="Calibri" w:hAnsi="Calibri" w:cs="Calibri"/>
          <w:sz w:val="22"/>
          <w:szCs w:val="22"/>
        </w:rPr>
        <w:t>or total UN derived remuneration of USD 50,000 within one calendar year, whichever comes first, and are non-renewable</w:t>
      </w:r>
      <w:r>
        <w:rPr>
          <w:rFonts w:ascii="Calibri" w:hAnsi="Calibri" w:cs="Calibri"/>
          <w:sz w:val="22"/>
          <w:szCs w:val="22"/>
          <w:lang w:eastAsia="en-GB"/>
        </w:rPr>
        <w:t xml:space="preserve"> within one calendar year. </w:t>
      </w:r>
    </w:p>
    <w:bookmarkEnd w:id="30"/>
    <w:p w14:paraId="558EAADE" w14:textId="77777777" w:rsidR="00804AF0" w:rsidRDefault="00804AF0">
      <w:pPr>
        <w:ind w:left="720"/>
        <w:textAlignment w:val="baseline"/>
        <w:rPr>
          <w:rFonts w:ascii="Calibri" w:hAnsi="Calibri" w:cs="Calibri"/>
          <w:sz w:val="22"/>
          <w:szCs w:val="22"/>
          <w:lang w:eastAsia="en-GB"/>
        </w:rPr>
      </w:pPr>
    </w:p>
    <w:p w14:paraId="5D3DFA56" w14:textId="77777777" w:rsidR="00804AF0" w:rsidRDefault="009A47D6">
      <w:pPr>
        <w:pStyle w:val="Heading1"/>
        <w:numPr>
          <w:ilvl w:val="0"/>
          <w:numId w:val="2"/>
        </w:numPr>
        <w:jc w:val="left"/>
        <w:rPr>
          <w:rFonts w:ascii="Calibri" w:hAnsi="Calibri" w:cs="Calibri"/>
          <w:b/>
          <w:bCs/>
          <w:sz w:val="22"/>
          <w:szCs w:val="22"/>
          <w:lang w:eastAsia="en-GB"/>
        </w:rPr>
      </w:pPr>
      <w:bookmarkStart w:id="31" w:name="_Toc161312420"/>
      <w:r>
        <w:rPr>
          <w:rFonts w:ascii="Calibri" w:hAnsi="Calibri" w:cs="Calibri"/>
          <w:b/>
          <w:bCs/>
          <w:sz w:val="22"/>
          <w:szCs w:val="22"/>
          <w:lang w:eastAsia="en-GB"/>
        </w:rPr>
        <w:t>Engaging Close Relatives of UNDP Personnel</w:t>
      </w:r>
      <w:bookmarkEnd w:id="31"/>
      <w:r>
        <w:rPr>
          <w:rFonts w:ascii="Calibri" w:hAnsi="Calibri" w:cs="Calibri"/>
          <w:b/>
          <w:bCs/>
          <w:sz w:val="22"/>
          <w:szCs w:val="22"/>
          <w:lang w:eastAsia="en-GB"/>
        </w:rPr>
        <w:t> </w:t>
      </w:r>
    </w:p>
    <w:p w14:paraId="2DB9A077" w14:textId="77777777" w:rsidR="00804AF0" w:rsidRDefault="009A47D6">
      <w:pPr>
        <w:textAlignment w:val="baseline"/>
        <w:rPr>
          <w:rFonts w:ascii="Calibri" w:hAnsi="Calibri" w:cs="Calibri"/>
          <w:sz w:val="22"/>
          <w:szCs w:val="22"/>
          <w:lang w:eastAsia="en-GB"/>
        </w:rPr>
      </w:pPr>
      <w:r>
        <w:rPr>
          <w:rFonts w:ascii="Calibri" w:hAnsi="Calibri" w:cs="Calibri"/>
          <w:b/>
          <w:bCs/>
          <w:sz w:val="22"/>
          <w:szCs w:val="22"/>
          <w:lang w:eastAsia="en-GB"/>
        </w:rPr>
        <w:t> </w:t>
      </w:r>
      <w:r>
        <w:rPr>
          <w:rFonts w:ascii="Calibri" w:hAnsi="Calibri" w:cs="Calibri"/>
          <w:sz w:val="22"/>
          <w:szCs w:val="22"/>
          <w:lang w:eastAsia="en-GB"/>
        </w:rPr>
        <w:t> </w:t>
      </w:r>
    </w:p>
    <w:p w14:paraId="454DCC4C" w14:textId="77777777" w:rsidR="00804AF0" w:rsidRDefault="009A47D6">
      <w:pPr>
        <w:numPr>
          <w:ilvl w:val="0"/>
          <w:numId w:val="4"/>
        </w:numPr>
        <w:jc w:val="both"/>
        <w:textAlignment w:val="baseline"/>
        <w:rPr>
          <w:rFonts w:ascii="Calibri" w:hAnsi="Calibri" w:cs="Calibri"/>
          <w:sz w:val="22"/>
          <w:szCs w:val="22"/>
          <w:lang w:eastAsia="en-GB"/>
        </w:rPr>
      </w:pPr>
      <w:bookmarkStart w:id="32" w:name="OLE_LINK22"/>
      <w:r>
        <w:rPr>
          <w:rFonts w:ascii="Calibri" w:hAnsi="Calibri" w:cs="Calibri"/>
          <w:sz w:val="22"/>
          <w:szCs w:val="22"/>
          <w:lang w:eastAsia="en-GB"/>
        </w:rPr>
        <w:t>IPSA holders are subject to UNDP’s policy on Family Relationships. </w:t>
      </w:r>
      <w:bookmarkEnd w:id="32"/>
    </w:p>
    <w:p w14:paraId="54A35BFF" w14:textId="77777777" w:rsidR="00804AF0" w:rsidRDefault="00804AF0">
      <w:pPr>
        <w:jc w:val="both"/>
        <w:textAlignment w:val="baseline"/>
        <w:rPr>
          <w:rFonts w:ascii="Calibri" w:hAnsi="Calibri" w:cs="Calibri"/>
          <w:sz w:val="22"/>
          <w:szCs w:val="22"/>
          <w:lang w:eastAsia="en-GB"/>
        </w:rPr>
      </w:pPr>
    </w:p>
    <w:p w14:paraId="1A0D1E0E" w14:textId="77777777" w:rsidR="00804AF0" w:rsidRDefault="009A47D6">
      <w:pPr>
        <w:numPr>
          <w:ilvl w:val="0"/>
          <w:numId w:val="4"/>
        </w:numPr>
        <w:jc w:val="both"/>
        <w:textAlignment w:val="baseline"/>
        <w:rPr>
          <w:rFonts w:ascii="Calibri" w:hAnsi="Calibri" w:cs="Calibri"/>
          <w:sz w:val="22"/>
          <w:szCs w:val="22"/>
          <w:lang w:eastAsia="en-GB"/>
        </w:rPr>
      </w:pPr>
      <w:bookmarkStart w:id="33" w:name="OLE_LINK23"/>
      <w:r>
        <w:rPr>
          <w:rFonts w:ascii="Calibri" w:hAnsi="Calibri" w:cs="Calibri"/>
          <w:sz w:val="22"/>
          <w:szCs w:val="22"/>
          <w:lang w:eastAsia="en-GB"/>
        </w:rPr>
        <w:t xml:space="preserve">Notwithstanding the foregoing, the Head of the Business Unit must at all times ensure adherence to the requirements in the Staff Regulations and Rules relating to conflict of interest (refer to Staff Regulations and Rules 1.2 g m). </w:t>
      </w:r>
      <w:r>
        <w:rPr>
          <w:rFonts w:ascii="Calibri" w:hAnsi="Calibri" w:cs="Calibri"/>
          <w:sz w:val="22"/>
          <w:szCs w:val="22"/>
        </w:rPr>
        <w:t>If in doubt, the Ethics Office should be consulted for support.</w:t>
      </w:r>
    </w:p>
    <w:bookmarkEnd w:id="33"/>
    <w:p w14:paraId="0446BF74" w14:textId="77777777" w:rsidR="00804AF0" w:rsidRDefault="00804AF0">
      <w:pPr>
        <w:pStyle w:val="ListParagraph"/>
        <w:ind w:left="720"/>
        <w:textAlignment w:val="baseline"/>
        <w:rPr>
          <w:rFonts w:ascii="Calibri" w:hAnsi="Calibri" w:cs="Calibri"/>
          <w:sz w:val="22"/>
          <w:szCs w:val="22"/>
          <w:lang w:eastAsia="en-GB"/>
        </w:rPr>
      </w:pPr>
    </w:p>
    <w:p w14:paraId="292B79BE" w14:textId="77777777" w:rsidR="00804AF0" w:rsidRDefault="009A47D6">
      <w:pPr>
        <w:pStyle w:val="Heading1"/>
        <w:numPr>
          <w:ilvl w:val="0"/>
          <w:numId w:val="2"/>
        </w:numPr>
        <w:jc w:val="left"/>
        <w:rPr>
          <w:rFonts w:ascii="Calibri" w:hAnsi="Calibri" w:cs="Calibri"/>
          <w:b/>
          <w:bCs/>
          <w:sz w:val="22"/>
          <w:szCs w:val="22"/>
          <w:lang w:eastAsia="en-GB"/>
        </w:rPr>
      </w:pPr>
      <w:bookmarkStart w:id="34" w:name="_Toc161312421"/>
      <w:r>
        <w:rPr>
          <w:rFonts w:ascii="Calibri" w:hAnsi="Calibri" w:cs="Calibri"/>
          <w:b/>
          <w:bCs/>
          <w:sz w:val="22"/>
          <w:szCs w:val="22"/>
          <w:lang w:eastAsia="en-GB"/>
        </w:rPr>
        <w:t>Authority for the Issuance of IPSA</w:t>
      </w:r>
      <w:bookmarkEnd w:id="34"/>
      <w:r>
        <w:rPr>
          <w:rFonts w:ascii="Calibri" w:hAnsi="Calibri" w:cs="Calibri"/>
          <w:b/>
          <w:bCs/>
          <w:sz w:val="22"/>
          <w:szCs w:val="22"/>
          <w:lang w:eastAsia="en-GB"/>
        </w:rPr>
        <w:t> </w:t>
      </w:r>
    </w:p>
    <w:p w14:paraId="03EA3522" w14:textId="77777777" w:rsidR="00804AF0" w:rsidRDefault="009A47D6">
      <w:pPr>
        <w:jc w:val="both"/>
        <w:textAlignment w:val="baseline"/>
        <w:rPr>
          <w:rFonts w:ascii="Calibri" w:hAnsi="Calibri" w:cs="Calibri"/>
          <w:sz w:val="22"/>
          <w:szCs w:val="22"/>
          <w:lang w:eastAsia="en-GB"/>
        </w:rPr>
      </w:pPr>
      <w:r>
        <w:rPr>
          <w:rFonts w:ascii="Calibri" w:hAnsi="Calibri" w:cs="Calibri"/>
          <w:b/>
          <w:bCs/>
          <w:sz w:val="22"/>
          <w:szCs w:val="22"/>
          <w:lang w:eastAsia="en-GB"/>
        </w:rPr>
        <w:t> </w:t>
      </w:r>
      <w:r>
        <w:rPr>
          <w:rFonts w:ascii="Calibri" w:hAnsi="Calibri" w:cs="Calibri"/>
          <w:sz w:val="22"/>
          <w:szCs w:val="22"/>
          <w:lang w:eastAsia="en-GB"/>
        </w:rPr>
        <w:t> </w:t>
      </w:r>
    </w:p>
    <w:p w14:paraId="4B051B4A"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The authority to create any IPSA position classified as up to and including the IPSA 11 category, as well as the decision to award such an agreement to the selected individual, is delegated to the Resident Representative in Country Offices, and to the Bureau Director or his/her Deputy for non-country office duty stations (HQ, liaison offices, RSCs, policy centers, etc.), as well as UNV/UNCDF Executive Coordinator, and UNOSSC Director, or his/her deputy.</w:t>
      </w:r>
    </w:p>
    <w:p w14:paraId="1DF4B9BB" w14:textId="77777777" w:rsidR="00804AF0" w:rsidRDefault="00804AF0">
      <w:pPr>
        <w:jc w:val="both"/>
        <w:textAlignment w:val="baseline"/>
        <w:rPr>
          <w:rFonts w:ascii="Calibri" w:hAnsi="Calibri" w:cs="Calibri"/>
          <w:sz w:val="22"/>
          <w:szCs w:val="22"/>
          <w:lang w:eastAsia="en-GB"/>
        </w:rPr>
      </w:pPr>
    </w:p>
    <w:p w14:paraId="5085F839"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The authority to create positions and issue any IPSA classified IPSA 12 or above is delegated to the Bureau Director or his/her Deputy, as well as UNV/UNCDF Executive Coordinator, and UNOSSC Director, or his/her Deputy through the Regional HR Business Partners, for the business unit seeking such a position.</w:t>
      </w:r>
    </w:p>
    <w:p w14:paraId="3E9092E0"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4B5F71FE" w14:textId="77777777" w:rsidR="00804AF0" w:rsidRDefault="009A47D6">
      <w:pPr>
        <w:pStyle w:val="Heading1"/>
        <w:numPr>
          <w:ilvl w:val="0"/>
          <w:numId w:val="2"/>
        </w:numPr>
        <w:jc w:val="left"/>
        <w:rPr>
          <w:rFonts w:ascii="Calibri" w:hAnsi="Calibri" w:cs="Calibri"/>
          <w:b/>
          <w:bCs/>
          <w:sz w:val="22"/>
          <w:szCs w:val="22"/>
          <w:lang w:eastAsia="en-GB"/>
        </w:rPr>
      </w:pPr>
      <w:bookmarkStart w:id="35" w:name="_Toc161312422"/>
      <w:r>
        <w:rPr>
          <w:rFonts w:ascii="Calibri" w:hAnsi="Calibri" w:cs="Calibri"/>
          <w:b/>
          <w:bCs/>
          <w:sz w:val="22"/>
          <w:szCs w:val="22"/>
          <w:lang w:eastAsia="en-GB"/>
        </w:rPr>
        <w:t>Responsibility and Accountability</w:t>
      </w:r>
      <w:bookmarkEnd w:id="35"/>
    </w:p>
    <w:p w14:paraId="27A4F637" w14:textId="77777777" w:rsidR="00804AF0" w:rsidRDefault="00804AF0">
      <w:pPr>
        <w:jc w:val="both"/>
        <w:textAlignment w:val="baseline"/>
        <w:rPr>
          <w:rFonts w:ascii="Calibri" w:hAnsi="Calibri" w:cs="Calibri"/>
          <w:sz w:val="22"/>
          <w:szCs w:val="22"/>
          <w:lang w:eastAsia="en-GB"/>
        </w:rPr>
      </w:pPr>
    </w:p>
    <w:p w14:paraId="7E8666C1" w14:textId="77777777" w:rsidR="00804AF0" w:rsidRDefault="009A47D6">
      <w:pPr>
        <w:numPr>
          <w:ilvl w:val="0"/>
          <w:numId w:val="4"/>
        </w:numPr>
        <w:jc w:val="both"/>
        <w:textAlignment w:val="baseline"/>
        <w:rPr>
          <w:rFonts w:ascii="Calibri" w:hAnsi="Calibri" w:cs="Calibri"/>
          <w:sz w:val="22"/>
          <w:szCs w:val="22"/>
          <w:lang w:eastAsia="en-GB"/>
        </w:rPr>
      </w:pPr>
      <w:bookmarkStart w:id="36" w:name="_Hlk59873385"/>
      <w:r>
        <w:rPr>
          <w:rFonts w:ascii="Calibri" w:hAnsi="Calibri" w:cs="Calibri"/>
          <w:sz w:val="22"/>
          <w:szCs w:val="22"/>
          <w:lang w:eastAsia="en-GB"/>
        </w:rPr>
        <w:t>IPSA holders like all other UNDP personnel are accountable to the Administrator for the regularity of actions undertaken by them in the course of official duties. IPSA holders involved in any action that is contrary to the Financial Regulations and Rules, or to organizational policies, or other prescriptive guidance (i.e., the POPP) may be held personally responsible and financially liable for the consequences arising therefrom.</w:t>
      </w:r>
    </w:p>
    <w:bookmarkEnd w:id="36"/>
    <w:p w14:paraId="052104F6"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5EC7F4CF"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Responsibility for the correct and effective application and proper management of the IPSA policy and procedures, as well as the creation, issuance and management of individual IPSAs, is distributed to various roles in the organization, subject to oversight by BMS/OHR. Responsibilities and roles are described in Section XXXIV (34) in this policy.</w:t>
      </w:r>
    </w:p>
    <w:p w14:paraId="38077FD1"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12BF4DDE"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 xml:space="preserve">UNDP, as the steward and utilization of public funds in its operations and administration, must use due care to ensure funds are utilized only for their intended purpose. Individuals holding a Delegation of Authority must be particularly careful to ensure actions undertaken by themselves or </w:t>
      </w:r>
      <w:proofErr w:type="gramStart"/>
      <w:r>
        <w:rPr>
          <w:rFonts w:ascii="Calibri" w:hAnsi="Calibri" w:cs="Calibri"/>
          <w:sz w:val="22"/>
          <w:szCs w:val="22"/>
          <w:lang w:eastAsia="en-GB"/>
        </w:rPr>
        <w:t>persons</w:t>
      </w:r>
      <w:proofErr w:type="gramEnd"/>
      <w:r>
        <w:rPr>
          <w:rFonts w:ascii="Calibri" w:hAnsi="Calibri" w:cs="Calibri"/>
          <w:sz w:val="22"/>
          <w:szCs w:val="22"/>
          <w:lang w:eastAsia="en-GB"/>
        </w:rPr>
        <w:t xml:space="preserve"> under their supervision </w:t>
      </w:r>
      <w:proofErr w:type="gramStart"/>
      <w:r>
        <w:rPr>
          <w:rFonts w:ascii="Calibri" w:hAnsi="Calibri" w:cs="Calibri"/>
          <w:sz w:val="22"/>
          <w:szCs w:val="22"/>
          <w:lang w:eastAsia="en-GB"/>
        </w:rPr>
        <w:t>are in compliance with</w:t>
      </w:r>
      <w:proofErr w:type="gramEnd"/>
      <w:r>
        <w:rPr>
          <w:rFonts w:ascii="Calibri" w:hAnsi="Calibri" w:cs="Calibri"/>
          <w:sz w:val="22"/>
          <w:szCs w:val="22"/>
          <w:lang w:eastAsia="en-GB"/>
        </w:rPr>
        <w:t xml:space="preserve"> the Financial Regulations and Rules, Programme and Operations Policies and Procedures (POPP), organizational directives, policies and prescriptive guidance applicable to UNDP.</w:t>
      </w:r>
    </w:p>
    <w:p w14:paraId="501B086D" w14:textId="77777777" w:rsidR="00804AF0" w:rsidRDefault="00804AF0">
      <w:pPr>
        <w:jc w:val="both"/>
        <w:textAlignment w:val="baseline"/>
        <w:rPr>
          <w:rFonts w:ascii="Calibri" w:hAnsi="Calibri" w:cs="Calibri"/>
          <w:sz w:val="22"/>
          <w:szCs w:val="22"/>
          <w:lang w:eastAsia="en-GB"/>
        </w:rPr>
      </w:pPr>
    </w:p>
    <w:p w14:paraId="381F2214"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Persons with delegated authority will be held accountable for the regularity of their actions relating to management of IPSAs in their respective business unit.</w:t>
      </w:r>
    </w:p>
    <w:p w14:paraId="1D6B22FF" w14:textId="77777777" w:rsidR="00804AF0" w:rsidRDefault="00804AF0">
      <w:pPr>
        <w:jc w:val="both"/>
        <w:textAlignment w:val="baseline"/>
        <w:rPr>
          <w:rFonts w:ascii="Calibri" w:hAnsi="Calibri" w:cs="Calibri"/>
          <w:sz w:val="22"/>
          <w:szCs w:val="22"/>
          <w:lang w:eastAsia="en-GB"/>
        </w:rPr>
      </w:pPr>
    </w:p>
    <w:p w14:paraId="322A6049" w14:textId="77777777" w:rsidR="00804AF0" w:rsidRDefault="009A47D6">
      <w:pPr>
        <w:pStyle w:val="Heading1"/>
        <w:numPr>
          <w:ilvl w:val="0"/>
          <w:numId w:val="2"/>
        </w:numPr>
        <w:jc w:val="left"/>
        <w:rPr>
          <w:rFonts w:ascii="Calibri" w:hAnsi="Calibri" w:cs="Calibri"/>
          <w:b/>
          <w:bCs/>
          <w:sz w:val="22"/>
          <w:szCs w:val="22"/>
          <w:lang w:eastAsia="en-GB"/>
        </w:rPr>
      </w:pPr>
      <w:bookmarkStart w:id="37" w:name="_Toc161312423"/>
      <w:r>
        <w:rPr>
          <w:rFonts w:ascii="Calibri" w:hAnsi="Calibri" w:cs="Calibri"/>
          <w:b/>
          <w:bCs/>
          <w:sz w:val="22"/>
          <w:szCs w:val="22"/>
          <w:lang w:eastAsia="en-GB"/>
        </w:rPr>
        <w:t>Classification &amp; Established Scales</w:t>
      </w:r>
      <w:bookmarkEnd w:id="37"/>
    </w:p>
    <w:p w14:paraId="1EBCAD95"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475BF788" w14:textId="77777777" w:rsidR="00804AF0" w:rsidRDefault="009A47D6">
      <w:pPr>
        <w:numPr>
          <w:ilvl w:val="0"/>
          <w:numId w:val="4"/>
        </w:numPr>
        <w:jc w:val="both"/>
        <w:textAlignment w:val="baseline"/>
        <w:rPr>
          <w:rFonts w:ascii="Calibri" w:hAnsi="Calibri" w:cs="Calibri"/>
          <w:sz w:val="22"/>
          <w:szCs w:val="22"/>
          <w:lang w:eastAsia="en-GB"/>
        </w:rPr>
      </w:pPr>
      <w:bookmarkStart w:id="38" w:name="_Hlk56981627"/>
      <w:bookmarkStart w:id="39" w:name="OLE_LINK24"/>
      <w:bookmarkStart w:id="40" w:name="OLE_LINK46"/>
      <w:r>
        <w:rPr>
          <w:rFonts w:ascii="Calibri" w:hAnsi="Calibri" w:cs="Calibri"/>
          <w:sz w:val="22"/>
          <w:szCs w:val="22"/>
          <w:lang w:eastAsia="en-GB"/>
        </w:rPr>
        <w:t>The IPSA (Regular and Short-term) consists of a number of levels at which IPSA holders are recruited. The levels are established with broad reference to the International Professional grades and correspond to them in terms of methodology of classification. All IPSA Terms of Reference use UNDP’s competency framework, and positions are classified using standards and frames of reference used within the UN system</w:t>
      </w:r>
      <w:r>
        <w:rPr>
          <w:rFonts w:ascii="Calibri" w:hAnsi="Calibri" w:cs="Calibri"/>
          <w:color w:val="000000"/>
          <w:sz w:val="22"/>
          <w:szCs w:val="22"/>
          <w:lang w:eastAsia="en-GB"/>
        </w:rPr>
        <w:t>.</w:t>
      </w:r>
    </w:p>
    <w:bookmarkEnd w:id="38"/>
    <w:bookmarkEnd w:id="39"/>
    <w:bookmarkEnd w:id="40"/>
    <w:p w14:paraId="2E340468" w14:textId="77777777" w:rsidR="00804AF0" w:rsidRDefault="00804AF0">
      <w:pPr>
        <w:ind w:left="425"/>
        <w:jc w:val="both"/>
        <w:textAlignment w:val="baseline"/>
        <w:rPr>
          <w:rFonts w:ascii="Calibri" w:hAnsi="Calibri" w:cs="Calibri"/>
          <w:sz w:val="22"/>
          <w:szCs w:val="22"/>
          <w:lang w:eastAsia="en-GB"/>
        </w:rPr>
      </w:pPr>
    </w:p>
    <w:p w14:paraId="1C99E81E"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576A94AC"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The following levels and classifications scale are established:</w:t>
      </w:r>
    </w:p>
    <w:p w14:paraId="2ED67928"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74F2B1DE" w14:textId="77777777" w:rsidR="00804AF0" w:rsidRDefault="009A47D6">
      <w:pPr>
        <w:ind w:left="1440" w:firstLine="1440"/>
        <w:jc w:val="both"/>
        <w:textAlignment w:val="baseline"/>
        <w:rPr>
          <w:rFonts w:ascii="Calibri" w:hAnsi="Calibri" w:cs="Calibri"/>
          <w:sz w:val="22"/>
          <w:szCs w:val="22"/>
          <w:lang w:eastAsia="en-GB"/>
        </w:rPr>
      </w:pPr>
      <w:r>
        <w:rPr>
          <w:rFonts w:ascii="Calibri" w:hAnsi="Calibri" w:cs="Calibri"/>
          <w:sz w:val="22"/>
          <w:szCs w:val="22"/>
          <w:lang w:eastAsia="en-GB"/>
        </w:rPr>
        <w:t>IPSA8 (equivalent to P1)</w:t>
      </w:r>
    </w:p>
    <w:p w14:paraId="1D9E96A6" w14:textId="77777777" w:rsidR="00804AF0" w:rsidRDefault="009A47D6">
      <w:pPr>
        <w:ind w:left="1440" w:firstLine="1440"/>
        <w:jc w:val="both"/>
        <w:textAlignment w:val="baseline"/>
        <w:rPr>
          <w:rFonts w:ascii="Calibri" w:hAnsi="Calibri" w:cs="Calibri"/>
          <w:sz w:val="22"/>
          <w:szCs w:val="22"/>
          <w:lang w:eastAsia="en-GB"/>
        </w:rPr>
      </w:pPr>
      <w:r>
        <w:rPr>
          <w:rFonts w:ascii="Calibri" w:hAnsi="Calibri" w:cs="Calibri"/>
          <w:sz w:val="22"/>
          <w:szCs w:val="22"/>
          <w:lang w:eastAsia="en-GB"/>
        </w:rPr>
        <w:t>IPSA9 (equivalent to P2)</w:t>
      </w:r>
    </w:p>
    <w:p w14:paraId="680621AA" w14:textId="77777777" w:rsidR="00804AF0" w:rsidRDefault="009A47D6">
      <w:pPr>
        <w:ind w:left="1440" w:firstLine="1440"/>
        <w:jc w:val="both"/>
        <w:textAlignment w:val="baseline"/>
        <w:rPr>
          <w:rFonts w:ascii="Calibri" w:hAnsi="Calibri" w:cs="Calibri"/>
          <w:sz w:val="22"/>
          <w:szCs w:val="22"/>
          <w:lang w:eastAsia="en-GB"/>
        </w:rPr>
      </w:pPr>
      <w:r>
        <w:rPr>
          <w:rFonts w:ascii="Calibri" w:hAnsi="Calibri" w:cs="Calibri"/>
          <w:sz w:val="22"/>
          <w:szCs w:val="22"/>
          <w:lang w:eastAsia="en-GB"/>
        </w:rPr>
        <w:t>IPSA10 (equivalent to P3)</w:t>
      </w:r>
    </w:p>
    <w:p w14:paraId="4E465BE9" w14:textId="77777777" w:rsidR="00804AF0" w:rsidRDefault="009A47D6">
      <w:pPr>
        <w:ind w:left="1440" w:firstLine="1440"/>
        <w:jc w:val="both"/>
        <w:textAlignment w:val="baseline"/>
        <w:rPr>
          <w:rFonts w:ascii="Calibri" w:hAnsi="Calibri" w:cs="Calibri"/>
          <w:sz w:val="22"/>
          <w:szCs w:val="22"/>
          <w:lang w:eastAsia="en-GB"/>
        </w:rPr>
      </w:pPr>
      <w:r>
        <w:rPr>
          <w:rFonts w:ascii="Calibri" w:hAnsi="Calibri" w:cs="Calibri"/>
          <w:sz w:val="22"/>
          <w:szCs w:val="22"/>
          <w:lang w:eastAsia="en-GB"/>
        </w:rPr>
        <w:t>IPSA11 (equivalent to P4)</w:t>
      </w:r>
    </w:p>
    <w:p w14:paraId="7C40DBB9" w14:textId="77777777" w:rsidR="00804AF0" w:rsidRDefault="009A47D6">
      <w:pPr>
        <w:ind w:left="1440" w:firstLine="1440"/>
        <w:jc w:val="both"/>
        <w:textAlignment w:val="baseline"/>
        <w:rPr>
          <w:rFonts w:ascii="Calibri" w:hAnsi="Calibri" w:cs="Calibri"/>
          <w:sz w:val="22"/>
          <w:szCs w:val="22"/>
          <w:lang w:eastAsia="en-GB"/>
        </w:rPr>
      </w:pPr>
      <w:r>
        <w:rPr>
          <w:rFonts w:ascii="Calibri" w:hAnsi="Calibri" w:cs="Calibri"/>
          <w:sz w:val="22"/>
          <w:szCs w:val="22"/>
          <w:lang w:eastAsia="en-GB"/>
        </w:rPr>
        <w:t>IPSA12 (equivalent to P5)</w:t>
      </w:r>
    </w:p>
    <w:p w14:paraId="5F3A3F7E" w14:textId="77777777" w:rsidR="00804AF0" w:rsidRDefault="009A47D6">
      <w:pPr>
        <w:ind w:left="1440" w:firstLine="1440"/>
        <w:jc w:val="both"/>
        <w:textAlignment w:val="baseline"/>
        <w:rPr>
          <w:rFonts w:ascii="Calibri" w:hAnsi="Calibri" w:cs="Calibri"/>
          <w:sz w:val="22"/>
          <w:szCs w:val="22"/>
          <w:lang w:eastAsia="en-GB"/>
        </w:rPr>
      </w:pPr>
      <w:r>
        <w:rPr>
          <w:rFonts w:ascii="Calibri" w:hAnsi="Calibri" w:cs="Calibri"/>
          <w:sz w:val="22"/>
          <w:szCs w:val="22"/>
          <w:lang w:eastAsia="en-GB"/>
        </w:rPr>
        <w:t>IPSA13 (equivalent to D1)</w:t>
      </w:r>
    </w:p>
    <w:p w14:paraId="58A2A534" w14:textId="77777777" w:rsidR="00804AF0" w:rsidRDefault="009A47D6">
      <w:pPr>
        <w:ind w:left="1440" w:firstLine="1440"/>
        <w:jc w:val="both"/>
        <w:textAlignment w:val="baseline"/>
        <w:rPr>
          <w:rFonts w:ascii="Calibri" w:hAnsi="Calibri" w:cs="Calibri"/>
          <w:sz w:val="22"/>
          <w:szCs w:val="22"/>
          <w:lang w:eastAsia="en-GB"/>
        </w:rPr>
      </w:pPr>
      <w:r>
        <w:rPr>
          <w:rFonts w:ascii="Calibri" w:hAnsi="Calibri" w:cs="Calibri"/>
          <w:sz w:val="22"/>
          <w:szCs w:val="22"/>
          <w:lang w:eastAsia="en-GB"/>
        </w:rPr>
        <w:t>IPSA14 (equivalent to D2)*</w:t>
      </w:r>
    </w:p>
    <w:p w14:paraId="72A8B353" w14:textId="77777777" w:rsidR="00804AF0" w:rsidRDefault="00804AF0">
      <w:pPr>
        <w:ind w:left="1440"/>
        <w:jc w:val="both"/>
        <w:textAlignment w:val="baseline"/>
        <w:rPr>
          <w:rFonts w:ascii="Calibri" w:hAnsi="Calibri" w:cs="Calibri"/>
          <w:sz w:val="22"/>
          <w:szCs w:val="22"/>
          <w:lang w:eastAsia="en-GB"/>
        </w:rPr>
      </w:pPr>
    </w:p>
    <w:p w14:paraId="4CF46585"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Specific senior technical roles, not for functions of a representative or authoritative nature</w:t>
      </w:r>
    </w:p>
    <w:p w14:paraId="56E78E95" w14:textId="77777777" w:rsidR="00804AF0" w:rsidRDefault="00804AF0">
      <w:pPr>
        <w:ind w:left="720" w:firstLine="2160"/>
        <w:jc w:val="both"/>
        <w:textAlignment w:val="baseline"/>
        <w:rPr>
          <w:rFonts w:ascii="Calibri" w:hAnsi="Calibri" w:cs="Calibri"/>
          <w:sz w:val="22"/>
          <w:szCs w:val="22"/>
          <w:lang w:eastAsia="en-GB"/>
        </w:rPr>
      </w:pPr>
    </w:p>
    <w:p w14:paraId="0C55E038" w14:textId="77777777" w:rsidR="00804AF0" w:rsidRDefault="009A47D6">
      <w:pPr>
        <w:pStyle w:val="Heading1"/>
        <w:numPr>
          <w:ilvl w:val="0"/>
          <w:numId w:val="2"/>
        </w:numPr>
        <w:jc w:val="left"/>
        <w:rPr>
          <w:rFonts w:ascii="Calibri" w:hAnsi="Calibri" w:cs="Calibri"/>
          <w:b/>
          <w:bCs/>
          <w:sz w:val="22"/>
          <w:szCs w:val="22"/>
          <w:lang w:eastAsia="en-GB"/>
        </w:rPr>
      </w:pPr>
      <w:bookmarkStart w:id="41" w:name="_Toc161312424"/>
      <w:bookmarkStart w:id="42" w:name="OLE_LINK25"/>
      <w:r>
        <w:rPr>
          <w:rFonts w:ascii="Calibri" w:hAnsi="Calibri" w:cs="Calibri"/>
          <w:b/>
          <w:bCs/>
          <w:sz w:val="22"/>
          <w:szCs w:val="22"/>
          <w:lang w:eastAsia="en-GB"/>
        </w:rPr>
        <w:t>Selection of IPSAs</w:t>
      </w:r>
      <w:bookmarkEnd w:id="41"/>
    </w:p>
    <w:bookmarkEnd w:id="42"/>
    <w:p w14:paraId="55878202" w14:textId="77777777" w:rsidR="00804AF0" w:rsidRDefault="00804AF0">
      <w:pPr>
        <w:jc w:val="both"/>
        <w:textAlignment w:val="baseline"/>
        <w:rPr>
          <w:rFonts w:ascii="Calibri" w:hAnsi="Calibri" w:cs="Calibri"/>
          <w:sz w:val="22"/>
          <w:szCs w:val="22"/>
          <w:lang w:eastAsia="en-GB"/>
        </w:rPr>
      </w:pPr>
    </w:p>
    <w:p w14:paraId="4A93735F" w14:textId="77777777" w:rsidR="00804AF0" w:rsidRDefault="009A47D6">
      <w:pPr>
        <w:numPr>
          <w:ilvl w:val="0"/>
          <w:numId w:val="4"/>
        </w:numPr>
        <w:jc w:val="both"/>
        <w:textAlignment w:val="baseline"/>
        <w:rPr>
          <w:rFonts w:ascii="Calibri" w:hAnsi="Calibri"/>
          <w:sz w:val="22"/>
          <w:szCs w:val="22"/>
        </w:rPr>
      </w:pPr>
      <w:bookmarkStart w:id="43" w:name="OLE_LINK26"/>
      <w:r>
        <w:rPr>
          <w:rFonts w:ascii="Calibri" w:hAnsi="Calibri" w:cs="Calibri"/>
          <w:sz w:val="22"/>
          <w:szCs w:val="22"/>
          <w:lang w:eastAsia="en-GB"/>
        </w:rPr>
        <w:t>UNDP Offices must comply with the principles of UNDP’s recruitment and selection framework, which include transparency and competitive selection, regardless of contract modality.</w:t>
      </w:r>
    </w:p>
    <w:p w14:paraId="15BDEBE4" w14:textId="77777777" w:rsidR="00804AF0" w:rsidRDefault="00804AF0">
      <w:pPr>
        <w:ind w:left="425"/>
        <w:jc w:val="both"/>
        <w:textAlignment w:val="baseline"/>
        <w:rPr>
          <w:rFonts w:ascii="Calibri" w:hAnsi="Calibri"/>
          <w:sz w:val="22"/>
          <w:szCs w:val="22"/>
        </w:rPr>
      </w:pPr>
    </w:p>
    <w:p w14:paraId="320F3E47" w14:textId="77777777" w:rsidR="00804AF0" w:rsidRDefault="009A47D6">
      <w:pPr>
        <w:numPr>
          <w:ilvl w:val="0"/>
          <w:numId w:val="4"/>
        </w:numPr>
        <w:jc w:val="both"/>
        <w:textAlignment w:val="baseline"/>
        <w:rPr>
          <w:rFonts w:ascii="Calibri" w:hAnsi="Calibri"/>
          <w:sz w:val="22"/>
          <w:szCs w:val="22"/>
        </w:rPr>
      </w:pPr>
      <w:bookmarkStart w:id="44" w:name="OLE_LINK27"/>
      <w:r>
        <w:rPr>
          <w:rFonts w:ascii="Calibri" w:hAnsi="Calibri"/>
          <w:sz w:val="22"/>
          <w:szCs w:val="22"/>
        </w:rPr>
        <w:t>The different modalities for the selection of IPSAs</w:t>
      </w:r>
      <w:bookmarkEnd w:id="44"/>
      <w:r>
        <w:rPr>
          <w:rFonts w:ascii="Calibri" w:hAnsi="Calibri"/>
          <w:sz w:val="22"/>
          <w:szCs w:val="22"/>
        </w:rPr>
        <w:t xml:space="preserve"> are outlined in Annex 1 to this policy.</w:t>
      </w:r>
    </w:p>
    <w:p w14:paraId="0DD50954" w14:textId="77777777" w:rsidR="00804AF0" w:rsidRDefault="00804AF0">
      <w:pPr>
        <w:pStyle w:val="ListParagraph"/>
        <w:tabs>
          <w:tab w:val="left" w:pos="1080"/>
        </w:tabs>
        <w:ind w:left="785"/>
        <w:jc w:val="both"/>
        <w:textAlignment w:val="baseline"/>
        <w:rPr>
          <w:rFonts w:ascii="Calibri" w:hAnsi="Calibri" w:cs="Calibri"/>
          <w:sz w:val="22"/>
          <w:szCs w:val="22"/>
        </w:rPr>
      </w:pPr>
    </w:p>
    <w:p w14:paraId="40D3A5B2" w14:textId="77777777" w:rsidR="00804AF0" w:rsidRDefault="009A47D6">
      <w:pPr>
        <w:pStyle w:val="ListParagraph"/>
        <w:numPr>
          <w:ilvl w:val="0"/>
          <w:numId w:val="11"/>
        </w:numPr>
        <w:tabs>
          <w:tab w:val="left" w:pos="0"/>
        </w:tabs>
        <w:jc w:val="both"/>
        <w:textAlignment w:val="baseline"/>
        <w:rPr>
          <w:rFonts w:ascii="Calibri" w:hAnsi="Calibri" w:cs="Calibri"/>
          <w:sz w:val="22"/>
          <w:szCs w:val="22"/>
        </w:rPr>
      </w:pPr>
      <w:r>
        <w:rPr>
          <w:rFonts w:ascii="Calibri" w:hAnsi="Calibri" w:cs="Calibri"/>
          <w:sz w:val="22"/>
          <w:szCs w:val="22"/>
        </w:rPr>
        <w:t>For regular IPSAs the modalities include:</w:t>
      </w:r>
    </w:p>
    <w:p w14:paraId="128870C3" w14:textId="77777777" w:rsidR="00804AF0" w:rsidRDefault="009A47D6">
      <w:pPr>
        <w:pStyle w:val="ListParagraph"/>
        <w:numPr>
          <w:ilvl w:val="0"/>
          <w:numId w:val="12"/>
        </w:numPr>
        <w:jc w:val="both"/>
        <w:textAlignment w:val="baseline"/>
        <w:rPr>
          <w:rFonts w:ascii="Calibri" w:hAnsi="Calibri" w:cs="Calibri"/>
          <w:sz w:val="22"/>
          <w:szCs w:val="22"/>
        </w:rPr>
      </w:pPr>
      <w:r>
        <w:rPr>
          <w:rFonts w:ascii="Calibri" w:hAnsi="Calibri" w:cs="Calibri"/>
          <w:sz w:val="22"/>
          <w:szCs w:val="22"/>
        </w:rPr>
        <w:t>Competitive, via a Vacancy Announcement (VA);</w:t>
      </w:r>
    </w:p>
    <w:p w14:paraId="175AAD2D" w14:textId="77777777" w:rsidR="00804AF0" w:rsidRDefault="009A47D6">
      <w:pPr>
        <w:pStyle w:val="ListParagraph"/>
        <w:numPr>
          <w:ilvl w:val="0"/>
          <w:numId w:val="12"/>
        </w:numPr>
        <w:jc w:val="both"/>
        <w:textAlignment w:val="baseline"/>
        <w:rPr>
          <w:rFonts w:ascii="Calibri" w:hAnsi="Calibri" w:cs="Calibri"/>
          <w:sz w:val="22"/>
          <w:szCs w:val="22"/>
        </w:rPr>
      </w:pPr>
      <w:r>
        <w:rPr>
          <w:rFonts w:ascii="Calibri" w:hAnsi="Calibri" w:cs="Calibri"/>
          <w:sz w:val="22"/>
          <w:szCs w:val="22"/>
        </w:rPr>
        <w:t>Using a candidate that has been pre-assessed in a previous competitive process at the same grade level, in the last 36 months;</w:t>
      </w:r>
    </w:p>
    <w:p w14:paraId="0CB26401" w14:textId="77777777" w:rsidR="00804AF0" w:rsidRDefault="009A47D6">
      <w:pPr>
        <w:pStyle w:val="ListParagraph"/>
        <w:numPr>
          <w:ilvl w:val="0"/>
          <w:numId w:val="12"/>
        </w:numPr>
        <w:jc w:val="both"/>
        <w:textAlignment w:val="baseline"/>
        <w:rPr>
          <w:rFonts w:ascii="Calibri" w:hAnsi="Calibri" w:cs="Calibri"/>
          <w:sz w:val="22"/>
          <w:szCs w:val="22"/>
        </w:rPr>
      </w:pPr>
      <w:r>
        <w:rPr>
          <w:rFonts w:ascii="Calibri" w:hAnsi="Calibri" w:cs="Calibri"/>
          <w:sz w:val="22"/>
          <w:szCs w:val="22"/>
        </w:rPr>
        <w:t>Direct selection from an HR or other approved Roster;</w:t>
      </w:r>
    </w:p>
    <w:p w14:paraId="32B326DF" w14:textId="77777777" w:rsidR="00804AF0" w:rsidRDefault="009A47D6">
      <w:pPr>
        <w:pStyle w:val="ListParagraph"/>
        <w:numPr>
          <w:ilvl w:val="0"/>
          <w:numId w:val="12"/>
        </w:numPr>
        <w:jc w:val="both"/>
        <w:textAlignment w:val="baseline"/>
        <w:rPr>
          <w:rFonts w:ascii="Calibri" w:hAnsi="Calibri" w:cs="Calibri"/>
          <w:sz w:val="22"/>
          <w:szCs w:val="22"/>
        </w:rPr>
      </w:pPr>
      <w:r>
        <w:rPr>
          <w:rFonts w:ascii="Calibri" w:hAnsi="Calibri" w:cs="Calibri"/>
          <w:sz w:val="22"/>
          <w:szCs w:val="22"/>
        </w:rPr>
        <w:t xml:space="preserve"> Lateral move from another IPSA position to a substantially similar role at the same level; and</w:t>
      </w:r>
    </w:p>
    <w:p w14:paraId="1DE70ECF" w14:textId="77777777" w:rsidR="00804AF0" w:rsidRDefault="009A47D6">
      <w:pPr>
        <w:pStyle w:val="ListParagraph"/>
        <w:numPr>
          <w:ilvl w:val="0"/>
          <w:numId w:val="12"/>
        </w:numPr>
        <w:jc w:val="both"/>
        <w:textAlignment w:val="baseline"/>
        <w:rPr>
          <w:rFonts w:ascii="Calibri" w:hAnsi="Calibri" w:cs="Calibri"/>
          <w:sz w:val="22"/>
          <w:szCs w:val="22"/>
        </w:rPr>
      </w:pPr>
      <w:r>
        <w:rPr>
          <w:rFonts w:ascii="Calibri" w:hAnsi="Calibri" w:cs="Calibri"/>
          <w:sz w:val="22"/>
          <w:szCs w:val="22"/>
        </w:rPr>
        <w:t>Direct selection upon approval of the  Bureau Director.</w:t>
      </w:r>
    </w:p>
    <w:p w14:paraId="442FCDDA" w14:textId="77777777" w:rsidR="00804AF0" w:rsidRDefault="00804AF0">
      <w:pPr>
        <w:pStyle w:val="ListParagraph"/>
        <w:tabs>
          <w:tab w:val="left" w:pos="1080"/>
          <w:tab w:val="left" w:pos="3240"/>
          <w:tab w:val="left" w:pos="3960"/>
        </w:tabs>
        <w:ind w:left="1440"/>
        <w:jc w:val="both"/>
        <w:textAlignment w:val="baseline"/>
        <w:rPr>
          <w:rFonts w:ascii="Calibri" w:hAnsi="Calibri" w:cs="Calibri"/>
          <w:sz w:val="22"/>
          <w:szCs w:val="22"/>
        </w:rPr>
      </w:pPr>
    </w:p>
    <w:p w14:paraId="78F8F5F0" w14:textId="77777777" w:rsidR="00804AF0" w:rsidRDefault="009A47D6">
      <w:pPr>
        <w:pStyle w:val="ListParagraph"/>
        <w:numPr>
          <w:ilvl w:val="0"/>
          <w:numId w:val="11"/>
        </w:numPr>
        <w:tabs>
          <w:tab w:val="left" w:pos="0"/>
        </w:tabs>
        <w:jc w:val="both"/>
        <w:textAlignment w:val="baseline"/>
        <w:rPr>
          <w:rFonts w:ascii="Calibri" w:hAnsi="Calibri" w:cs="Calibri"/>
          <w:sz w:val="22"/>
          <w:szCs w:val="22"/>
        </w:rPr>
      </w:pPr>
      <w:r>
        <w:rPr>
          <w:rFonts w:ascii="Calibri" w:hAnsi="Calibri" w:cs="Calibri"/>
          <w:sz w:val="22"/>
          <w:szCs w:val="22"/>
        </w:rPr>
        <w:t>In addition to the modalities listed in i), for short-term IPSAs, the modalities include:</w:t>
      </w:r>
    </w:p>
    <w:p w14:paraId="01FFFEEA" w14:textId="77777777" w:rsidR="00804AF0" w:rsidRDefault="009A47D6">
      <w:pPr>
        <w:pStyle w:val="ListParagraph"/>
        <w:numPr>
          <w:ilvl w:val="0"/>
          <w:numId w:val="13"/>
        </w:numPr>
        <w:jc w:val="both"/>
        <w:textAlignment w:val="baseline"/>
        <w:rPr>
          <w:rFonts w:ascii="Calibri" w:hAnsi="Calibri" w:cs="Calibri"/>
          <w:sz w:val="22"/>
          <w:szCs w:val="22"/>
        </w:rPr>
      </w:pPr>
      <w:r>
        <w:rPr>
          <w:rFonts w:ascii="Calibri" w:hAnsi="Calibri" w:cs="Calibri"/>
          <w:sz w:val="22"/>
          <w:szCs w:val="22"/>
        </w:rPr>
        <w:t>Direct selection from a procurement roster, i.e., GPN;</w:t>
      </w:r>
    </w:p>
    <w:p w14:paraId="54E2FAE6" w14:textId="77777777" w:rsidR="00804AF0" w:rsidRDefault="009A47D6">
      <w:pPr>
        <w:pStyle w:val="ListParagraph"/>
        <w:numPr>
          <w:ilvl w:val="0"/>
          <w:numId w:val="13"/>
        </w:numPr>
        <w:jc w:val="both"/>
        <w:textAlignment w:val="baseline"/>
        <w:rPr>
          <w:rFonts w:ascii="Calibri" w:hAnsi="Calibri" w:cs="Calibri"/>
          <w:sz w:val="22"/>
          <w:szCs w:val="22"/>
        </w:rPr>
      </w:pPr>
      <w:r>
        <w:rPr>
          <w:rFonts w:ascii="Calibri" w:hAnsi="Calibri" w:cs="Calibri"/>
          <w:sz w:val="22"/>
          <w:szCs w:val="22"/>
        </w:rPr>
        <w:t>Direct selection of an individual serving as an IC holder in 2021 or thereafter; and</w:t>
      </w:r>
    </w:p>
    <w:p w14:paraId="22C0239F" w14:textId="77777777" w:rsidR="00804AF0" w:rsidRDefault="009A47D6">
      <w:pPr>
        <w:pStyle w:val="ListParagraph"/>
        <w:numPr>
          <w:ilvl w:val="0"/>
          <w:numId w:val="13"/>
        </w:numPr>
        <w:jc w:val="both"/>
        <w:textAlignment w:val="baseline"/>
        <w:rPr>
          <w:rFonts w:ascii="Calibri" w:hAnsi="Calibri" w:cs="Calibri"/>
          <w:sz w:val="22"/>
          <w:szCs w:val="22"/>
        </w:rPr>
      </w:pPr>
      <w:r>
        <w:rPr>
          <w:rFonts w:ascii="Calibri" w:hAnsi="Calibri" w:cs="Calibri"/>
          <w:sz w:val="22"/>
          <w:szCs w:val="22"/>
        </w:rPr>
        <w:t>Review and assessment of candidate CVs/P11s.</w:t>
      </w:r>
    </w:p>
    <w:p w14:paraId="402361FB" w14:textId="77777777" w:rsidR="00804AF0" w:rsidRDefault="00804AF0">
      <w:pPr>
        <w:pStyle w:val="ListParagraph"/>
        <w:tabs>
          <w:tab w:val="left" w:pos="1080"/>
          <w:tab w:val="left" w:pos="3240"/>
          <w:tab w:val="left" w:pos="3960"/>
        </w:tabs>
        <w:ind w:left="1440"/>
        <w:jc w:val="both"/>
        <w:textAlignment w:val="baseline"/>
        <w:rPr>
          <w:rFonts w:ascii="Calibri" w:hAnsi="Calibri" w:cs="Calibri"/>
          <w:sz w:val="22"/>
          <w:szCs w:val="22"/>
        </w:rPr>
      </w:pPr>
    </w:p>
    <w:p w14:paraId="28729E25"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For competitive recruitment processes, one or more assessment methods must be used. These can include, among others, panel interviews, tests, desk reviews, technical assessments.</w:t>
      </w:r>
    </w:p>
    <w:p w14:paraId="5029C19D" w14:textId="77777777" w:rsidR="00804AF0" w:rsidRDefault="00804AF0">
      <w:pPr>
        <w:ind w:left="425"/>
        <w:jc w:val="both"/>
        <w:textAlignment w:val="baseline"/>
        <w:rPr>
          <w:rFonts w:ascii="Calibri" w:hAnsi="Calibri" w:cs="Calibri"/>
          <w:sz w:val="22"/>
          <w:szCs w:val="22"/>
          <w:lang w:eastAsia="en-GB"/>
        </w:rPr>
      </w:pPr>
    </w:p>
    <w:p w14:paraId="6CF58B82" w14:textId="77777777" w:rsidR="00804AF0" w:rsidRDefault="009A47D6">
      <w:pPr>
        <w:pStyle w:val="Heading1"/>
        <w:numPr>
          <w:ilvl w:val="0"/>
          <w:numId w:val="2"/>
        </w:numPr>
        <w:jc w:val="left"/>
        <w:rPr>
          <w:rFonts w:ascii="Calibri" w:hAnsi="Calibri" w:cs="Calibri"/>
          <w:b/>
          <w:bCs/>
          <w:sz w:val="22"/>
          <w:szCs w:val="22"/>
          <w:lang w:eastAsia="en-GB"/>
        </w:rPr>
      </w:pPr>
      <w:bookmarkStart w:id="45" w:name="_Toc161312425"/>
      <w:bookmarkEnd w:id="43"/>
      <w:r>
        <w:rPr>
          <w:rFonts w:ascii="Calibri" w:hAnsi="Calibri" w:cs="Calibri"/>
          <w:b/>
          <w:bCs/>
          <w:sz w:val="22"/>
          <w:szCs w:val="22"/>
          <w:lang w:eastAsia="en-GB"/>
        </w:rPr>
        <w:lastRenderedPageBreak/>
        <w:t>Medical Clearance</w:t>
      </w:r>
      <w:bookmarkEnd w:id="45"/>
      <w:r>
        <w:rPr>
          <w:rFonts w:ascii="Calibri" w:hAnsi="Calibri" w:cs="Calibri"/>
          <w:b/>
          <w:bCs/>
          <w:sz w:val="22"/>
          <w:szCs w:val="22"/>
          <w:lang w:eastAsia="en-GB"/>
        </w:rPr>
        <w:t> </w:t>
      </w:r>
    </w:p>
    <w:p w14:paraId="22F5F483"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50B209D9"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Individuals are responsible to ensure that their medical state is suitable and adequate to perform the functions they have applied for or have agreed to perform.</w:t>
      </w:r>
    </w:p>
    <w:p w14:paraId="5930B5E1" w14:textId="77777777" w:rsidR="00804AF0" w:rsidRDefault="00804AF0">
      <w:pPr>
        <w:jc w:val="both"/>
        <w:textAlignment w:val="baseline"/>
        <w:rPr>
          <w:rFonts w:ascii="Calibri" w:hAnsi="Calibri" w:cs="Calibri"/>
          <w:sz w:val="22"/>
          <w:szCs w:val="22"/>
          <w:lang w:eastAsia="en-GB"/>
        </w:rPr>
      </w:pPr>
    </w:p>
    <w:p w14:paraId="3CBE4FBB" w14:textId="7F64B7E9"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 xml:space="preserve">A </w:t>
      </w:r>
      <w:hyperlink r:id="rId8" w:history="1">
        <w:r>
          <w:rPr>
            <w:rStyle w:val="Hyperlink"/>
            <w:rFonts w:ascii="Calibri" w:hAnsi="Calibri" w:cs="Calibri"/>
            <w:sz w:val="22"/>
            <w:szCs w:val="22"/>
            <w:lang w:eastAsia="en-GB"/>
          </w:rPr>
          <w:t>medical certificate</w:t>
        </w:r>
      </w:hyperlink>
      <w:r>
        <w:rPr>
          <w:rFonts w:ascii="Calibri" w:hAnsi="Calibri" w:cs="Calibri"/>
          <w:sz w:val="22"/>
          <w:szCs w:val="22"/>
          <w:lang w:eastAsia="en-GB"/>
        </w:rPr>
        <w:t xml:space="preserve"> from a physician certifying the mental and physical health of the individual is suitable for the performance of the duties and responsibilities, as well as the working environment in terms of location, are required, and should be submitted by the individual prior to any contractual engagement. The cost of the medical examination should be charged to the same source of funding as the IPSA itself, and the medical certification should be placed in the relevant file of the IPSA holder.</w:t>
      </w:r>
    </w:p>
    <w:p w14:paraId="6C058E59" w14:textId="77777777" w:rsidR="00804AF0" w:rsidRDefault="00804AF0">
      <w:pPr>
        <w:jc w:val="both"/>
        <w:textAlignment w:val="baseline"/>
        <w:rPr>
          <w:rFonts w:ascii="Calibri" w:hAnsi="Calibri" w:cs="Calibri"/>
          <w:sz w:val="22"/>
          <w:szCs w:val="22"/>
          <w:lang w:eastAsia="en-GB"/>
        </w:rPr>
      </w:pPr>
    </w:p>
    <w:p w14:paraId="2C32EF3C"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IPSA holders may be required, at any time, to undergo a medical examination when requested to do so to protect their health and safety, to follow-up on chronic health conditions, or to assess how a change in health circumstances since a prior certification might affect an IPSA holder’s capability to fulfill the functions for which they were contracted.</w:t>
      </w:r>
    </w:p>
    <w:p w14:paraId="391090DC" w14:textId="77777777" w:rsidR="00804AF0" w:rsidRDefault="00804AF0">
      <w:pPr>
        <w:jc w:val="both"/>
        <w:textAlignment w:val="baseline"/>
        <w:rPr>
          <w:rFonts w:ascii="Calibri" w:hAnsi="Calibri" w:cs="Calibri"/>
          <w:b/>
          <w:bCs/>
          <w:sz w:val="22"/>
          <w:szCs w:val="22"/>
          <w:lang w:eastAsia="en-GB"/>
        </w:rPr>
      </w:pPr>
    </w:p>
    <w:p w14:paraId="4B922D60" w14:textId="77777777" w:rsidR="00804AF0" w:rsidRDefault="009A47D6">
      <w:pPr>
        <w:pStyle w:val="Heading1"/>
        <w:numPr>
          <w:ilvl w:val="0"/>
          <w:numId w:val="2"/>
        </w:numPr>
        <w:jc w:val="left"/>
        <w:rPr>
          <w:rFonts w:ascii="Calibri" w:hAnsi="Calibri" w:cs="Calibri"/>
          <w:b/>
          <w:bCs/>
          <w:sz w:val="22"/>
          <w:szCs w:val="22"/>
          <w:lang w:eastAsia="en-GB"/>
        </w:rPr>
      </w:pPr>
      <w:bookmarkStart w:id="46" w:name="_Toc161312426"/>
      <w:r>
        <w:rPr>
          <w:rFonts w:ascii="Calibri" w:hAnsi="Calibri" w:cs="Calibri"/>
          <w:b/>
          <w:bCs/>
          <w:sz w:val="22"/>
          <w:szCs w:val="22"/>
          <w:lang w:eastAsia="en-GB"/>
        </w:rPr>
        <w:t>Part-time work</w:t>
      </w:r>
      <w:bookmarkEnd w:id="46"/>
    </w:p>
    <w:p w14:paraId="41E39377" w14:textId="77777777" w:rsidR="00804AF0" w:rsidRDefault="00804AF0">
      <w:pPr>
        <w:ind w:left="720"/>
        <w:jc w:val="both"/>
        <w:textAlignment w:val="baseline"/>
        <w:rPr>
          <w:rFonts w:ascii="Calibri" w:hAnsi="Calibri" w:cs="Calibri"/>
          <w:sz w:val="22"/>
          <w:szCs w:val="22"/>
          <w:lang w:eastAsia="en-GB"/>
        </w:rPr>
      </w:pPr>
    </w:p>
    <w:p w14:paraId="529D2308"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The hiring business unit may deem that the functions and activities appropriate for the IPSA modality may be performed on a part-time basis. The basic principle for establishing the pay for part-time remuneration is that of pro-rating the pay from full-time pay for comparable work. For example, if an IPSA holder is engaged to work a four-day week (with normal working hours) the pay would be set at 80% of the pay for an IPSA with the same terms of reference on a full-time basis. Similarly, any other elements in the pay package (e.g. the organization’s portion of the subsidy for health insurance; group life and disability insurance etc. will be 80%) are to be pro-rated in the same manner.</w:t>
      </w:r>
    </w:p>
    <w:p w14:paraId="7155CBD6" w14:textId="77777777" w:rsidR="00804AF0" w:rsidRDefault="00804AF0">
      <w:pPr>
        <w:jc w:val="both"/>
        <w:textAlignment w:val="baseline"/>
        <w:rPr>
          <w:rFonts w:ascii="Calibri" w:hAnsi="Calibri" w:cs="Calibri"/>
          <w:sz w:val="22"/>
          <w:szCs w:val="22"/>
          <w:lang w:eastAsia="en-GB"/>
        </w:rPr>
      </w:pPr>
    </w:p>
    <w:p w14:paraId="0379BA18"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The precise working arrangements of the part-time work must be clearly specified in the agreement and understood by the IPSA holder and the immediate supervisor. Any change to the hours of work and pay must be made by an amendment to the agreement.</w:t>
      </w:r>
    </w:p>
    <w:p w14:paraId="6FE4ED2D" w14:textId="77777777" w:rsidR="00804AF0" w:rsidRDefault="00804AF0">
      <w:pPr>
        <w:jc w:val="both"/>
        <w:textAlignment w:val="baseline"/>
        <w:rPr>
          <w:rFonts w:ascii="Calibri" w:hAnsi="Calibri" w:cs="Calibri"/>
          <w:sz w:val="22"/>
          <w:szCs w:val="22"/>
          <w:lang w:eastAsia="en-GB"/>
        </w:rPr>
      </w:pPr>
    </w:p>
    <w:p w14:paraId="3C6BDBF9" w14:textId="77777777" w:rsidR="00804AF0" w:rsidRDefault="009A47D6">
      <w:pPr>
        <w:pStyle w:val="Heading1"/>
        <w:numPr>
          <w:ilvl w:val="0"/>
          <w:numId w:val="2"/>
        </w:numPr>
        <w:jc w:val="left"/>
        <w:rPr>
          <w:rFonts w:ascii="Calibri" w:hAnsi="Calibri" w:cs="Calibri"/>
          <w:b/>
          <w:bCs/>
          <w:sz w:val="22"/>
          <w:szCs w:val="22"/>
          <w:lang w:eastAsia="en-GB"/>
        </w:rPr>
      </w:pPr>
      <w:bookmarkStart w:id="47" w:name="_Toc161312427"/>
      <w:r>
        <w:rPr>
          <w:rFonts w:ascii="Calibri" w:hAnsi="Calibri" w:cs="Calibri"/>
          <w:b/>
          <w:bCs/>
          <w:sz w:val="22"/>
          <w:szCs w:val="22"/>
          <w:lang w:eastAsia="en-GB"/>
        </w:rPr>
        <w:t>IPSA Extension, Expiration and Termination:</w:t>
      </w:r>
      <w:bookmarkEnd w:id="47"/>
    </w:p>
    <w:p w14:paraId="10E2A66B" w14:textId="77777777" w:rsidR="00804AF0" w:rsidRDefault="00804AF0">
      <w:pPr>
        <w:jc w:val="both"/>
        <w:textAlignment w:val="baseline"/>
        <w:rPr>
          <w:rFonts w:ascii="Calibri" w:hAnsi="Calibri" w:cs="Calibri"/>
          <w:sz w:val="22"/>
          <w:szCs w:val="22"/>
          <w:lang w:eastAsia="en-GB"/>
        </w:rPr>
      </w:pPr>
    </w:p>
    <w:p w14:paraId="62170ADF" w14:textId="77777777" w:rsidR="00804AF0" w:rsidRDefault="009A47D6">
      <w:pPr>
        <w:jc w:val="both"/>
        <w:textAlignment w:val="baseline"/>
        <w:rPr>
          <w:rFonts w:ascii="Calibri" w:hAnsi="Calibri" w:cs="Calibri"/>
          <w:sz w:val="22"/>
          <w:szCs w:val="22"/>
          <w:lang w:eastAsia="en-GB"/>
        </w:rPr>
      </w:pPr>
      <w:r>
        <w:rPr>
          <w:rFonts w:ascii="Calibri" w:hAnsi="Calibri" w:cs="Calibri"/>
          <w:b/>
          <w:bCs/>
          <w:sz w:val="22"/>
          <w:szCs w:val="22"/>
          <w:lang w:eastAsia="en-GB"/>
        </w:rPr>
        <w:t>IPSA Extension (Regular IPSAs)</w:t>
      </w:r>
    </w:p>
    <w:p w14:paraId="2908E91A" w14:textId="77777777" w:rsidR="00804AF0" w:rsidRDefault="00804AF0">
      <w:pPr>
        <w:jc w:val="both"/>
        <w:textAlignment w:val="baseline"/>
        <w:rPr>
          <w:rFonts w:ascii="Calibri" w:hAnsi="Calibri" w:cs="Calibri"/>
          <w:sz w:val="22"/>
          <w:szCs w:val="22"/>
          <w:lang w:eastAsia="en-GB"/>
        </w:rPr>
      </w:pPr>
    </w:p>
    <w:p w14:paraId="55E346FD" w14:textId="77777777" w:rsidR="00804AF0" w:rsidRDefault="009A47D6">
      <w:pPr>
        <w:numPr>
          <w:ilvl w:val="0"/>
          <w:numId w:val="4"/>
        </w:numPr>
        <w:jc w:val="both"/>
        <w:textAlignment w:val="baseline"/>
        <w:rPr>
          <w:rFonts w:ascii="Calibri" w:hAnsi="Calibri" w:cs="Calibri"/>
          <w:sz w:val="22"/>
          <w:szCs w:val="22"/>
          <w:lang w:eastAsia="en-GB"/>
        </w:rPr>
      </w:pPr>
      <w:bookmarkStart w:id="48" w:name="OLE_LINK28"/>
      <w:r>
        <w:rPr>
          <w:rFonts w:ascii="Calibri" w:hAnsi="Calibri" w:cs="Calibri"/>
          <w:sz w:val="22"/>
          <w:szCs w:val="22"/>
          <w:lang w:eastAsia="en-GB"/>
        </w:rPr>
        <w:t>If a decision is taken to extend an IPSA, it is an opportunity to discuss and review the terms of reference, and whether any modifications are needed, bearing in mind that significant modification may require a new agreement altogether. Changes of more than two main functions are considered significant modifications and require a new hiring process.</w:t>
      </w:r>
      <w:bookmarkEnd w:id="48"/>
    </w:p>
    <w:p w14:paraId="0B2728C3" w14:textId="77777777" w:rsidR="00804AF0" w:rsidRDefault="00804AF0">
      <w:pPr>
        <w:ind w:left="1080" w:firstLine="60"/>
        <w:jc w:val="both"/>
        <w:textAlignment w:val="baseline"/>
        <w:rPr>
          <w:rFonts w:ascii="Calibri" w:hAnsi="Calibri" w:cs="Calibri"/>
          <w:sz w:val="22"/>
          <w:szCs w:val="22"/>
          <w:lang w:eastAsia="en-GB"/>
        </w:rPr>
      </w:pPr>
    </w:p>
    <w:p w14:paraId="785373F0"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 xml:space="preserve">An IPSA can be renewed for periods up to one year at a time, in line with fund availability and suitability of performance. </w:t>
      </w:r>
    </w:p>
    <w:p w14:paraId="3493B9BF" w14:textId="77777777" w:rsidR="00804AF0" w:rsidRDefault="009A47D6">
      <w:pPr>
        <w:jc w:val="both"/>
        <w:textAlignment w:val="baseline"/>
        <w:rPr>
          <w:rFonts w:ascii="Calibri" w:hAnsi="Calibri" w:cs="Calibri"/>
          <w:b/>
          <w:bCs/>
          <w:color w:val="000000"/>
          <w:sz w:val="22"/>
          <w:szCs w:val="22"/>
          <w:lang w:eastAsia="en-GB"/>
        </w:rPr>
      </w:pPr>
      <w:r>
        <w:rPr>
          <w:rFonts w:ascii="Calibri" w:hAnsi="Calibri" w:cs="Calibri"/>
          <w:b/>
          <w:bCs/>
          <w:color w:val="000000"/>
          <w:sz w:val="22"/>
          <w:szCs w:val="22"/>
          <w:lang w:eastAsia="en-GB"/>
        </w:rPr>
        <w:t> </w:t>
      </w:r>
    </w:p>
    <w:p w14:paraId="22499C18" w14:textId="77777777" w:rsidR="00804AF0" w:rsidRDefault="009A47D6">
      <w:pPr>
        <w:jc w:val="both"/>
        <w:textAlignment w:val="baseline"/>
        <w:rPr>
          <w:rFonts w:ascii="Calibri" w:hAnsi="Calibri" w:cs="Calibri"/>
          <w:sz w:val="22"/>
          <w:szCs w:val="22"/>
          <w:lang w:eastAsia="en-GB"/>
        </w:rPr>
      </w:pPr>
      <w:r>
        <w:rPr>
          <w:rFonts w:ascii="Calibri" w:hAnsi="Calibri" w:cs="Calibri"/>
          <w:b/>
          <w:bCs/>
          <w:sz w:val="22"/>
          <w:szCs w:val="22"/>
          <w:lang w:eastAsia="en-GB"/>
        </w:rPr>
        <w:t>Expiration of IPSAs</w:t>
      </w:r>
    </w:p>
    <w:p w14:paraId="7CF61809" w14:textId="77777777" w:rsidR="00804AF0" w:rsidRDefault="00804AF0">
      <w:pPr>
        <w:ind w:left="1080" w:firstLine="60"/>
        <w:jc w:val="both"/>
        <w:textAlignment w:val="baseline"/>
        <w:rPr>
          <w:rFonts w:ascii="Calibri" w:hAnsi="Calibri" w:cs="Calibri"/>
          <w:sz w:val="22"/>
          <w:szCs w:val="22"/>
          <w:lang w:eastAsia="en-GB"/>
        </w:rPr>
      </w:pPr>
    </w:p>
    <w:p w14:paraId="080510E0" w14:textId="77777777" w:rsidR="00804AF0" w:rsidRDefault="009A47D6">
      <w:pPr>
        <w:numPr>
          <w:ilvl w:val="0"/>
          <w:numId w:val="4"/>
        </w:numPr>
        <w:jc w:val="both"/>
        <w:textAlignment w:val="baseline"/>
        <w:rPr>
          <w:rFonts w:ascii="Calibri" w:hAnsi="Calibri" w:cs="Calibri"/>
          <w:sz w:val="22"/>
          <w:szCs w:val="22"/>
          <w:lang w:eastAsia="en-GB"/>
        </w:rPr>
      </w:pPr>
      <w:bookmarkStart w:id="49" w:name="_Hlk56978970"/>
      <w:r>
        <w:rPr>
          <w:rFonts w:ascii="Calibri" w:hAnsi="Calibri" w:cs="Calibri"/>
          <w:sz w:val="22"/>
          <w:szCs w:val="22"/>
          <w:lang w:eastAsia="en-GB"/>
        </w:rPr>
        <w:t xml:space="preserve">IPSAs carry no expectation of renewal beyond </w:t>
      </w:r>
      <w:proofErr w:type="gramStart"/>
      <w:r>
        <w:rPr>
          <w:rFonts w:ascii="Calibri" w:hAnsi="Calibri" w:cs="Calibri"/>
          <w:sz w:val="22"/>
          <w:szCs w:val="22"/>
          <w:lang w:eastAsia="en-GB"/>
        </w:rPr>
        <w:t>its</w:t>
      </w:r>
      <w:proofErr w:type="gramEnd"/>
      <w:r>
        <w:rPr>
          <w:rFonts w:ascii="Calibri" w:hAnsi="Calibri" w:cs="Calibri"/>
          <w:sz w:val="22"/>
          <w:szCs w:val="22"/>
          <w:lang w:eastAsia="en-GB"/>
        </w:rPr>
        <w:t xml:space="preserve"> expiration date. Should the supervisor wish to extend the IPSA beyond its expiration date, a request for extension should be made, </w:t>
      </w:r>
      <w:r>
        <w:rPr>
          <w:rFonts w:ascii="Calibri" w:hAnsi="Calibri" w:cs="Calibri"/>
          <w:sz w:val="22"/>
          <w:szCs w:val="22"/>
          <w:lang w:eastAsia="en-GB"/>
        </w:rPr>
        <w:lastRenderedPageBreak/>
        <w:t>following communication with the IPSA holder and as early as possible before the expiration date of the IPSA.</w:t>
      </w:r>
    </w:p>
    <w:bookmarkEnd w:id="49"/>
    <w:p w14:paraId="456521BD" w14:textId="77777777" w:rsidR="00804AF0" w:rsidRDefault="00804AF0">
      <w:pPr>
        <w:jc w:val="both"/>
        <w:textAlignment w:val="baseline"/>
        <w:rPr>
          <w:rFonts w:ascii="Calibri" w:hAnsi="Calibri" w:cs="Calibri"/>
          <w:sz w:val="22"/>
          <w:szCs w:val="22"/>
          <w:lang w:eastAsia="en-GB"/>
        </w:rPr>
      </w:pPr>
    </w:p>
    <w:p w14:paraId="53CC2A9F"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 xml:space="preserve">In the event that a regular IPSA is not renewed, the supervisor must inform the operational units (HR/Finance/IT) to ensure that necessary actions are taken, e.g. recovery of any indebtedness to the organization, return of UNDP property such as computers/laptops, building access ID cards, keys, badges, etc. and release of final pay. </w:t>
      </w:r>
    </w:p>
    <w:p w14:paraId="5A8C033B" w14:textId="77777777" w:rsidR="00804AF0" w:rsidRDefault="00804AF0">
      <w:pPr>
        <w:jc w:val="both"/>
        <w:textAlignment w:val="baseline"/>
        <w:rPr>
          <w:rFonts w:ascii="Calibri" w:hAnsi="Calibri" w:cs="Calibri"/>
          <w:sz w:val="22"/>
          <w:szCs w:val="22"/>
          <w:lang w:eastAsia="en-GB"/>
        </w:rPr>
      </w:pPr>
    </w:p>
    <w:p w14:paraId="4864D6BC"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The UNDP Office may provide a letter of service upon request.</w:t>
      </w:r>
    </w:p>
    <w:p w14:paraId="5F8EBE24" w14:textId="77777777" w:rsidR="00804AF0" w:rsidRDefault="00804AF0">
      <w:pPr>
        <w:ind w:firstLine="720"/>
        <w:jc w:val="both"/>
        <w:textAlignment w:val="baseline"/>
        <w:rPr>
          <w:rFonts w:ascii="Calibri" w:hAnsi="Calibri" w:cs="Calibri"/>
          <w:b/>
          <w:bCs/>
          <w:sz w:val="22"/>
          <w:szCs w:val="22"/>
          <w:lang w:eastAsia="en-GB"/>
        </w:rPr>
      </w:pPr>
    </w:p>
    <w:p w14:paraId="02214EBD" w14:textId="77777777" w:rsidR="00804AF0" w:rsidRDefault="009A47D6">
      <w:pPr>
        <w:jc w:val="both"/>
        <w:textAlignment w:val="baseline"/>
        <w:rPr>
          <w:rFonts w:ascii="Calibri" w:hAnsi="Calibri" w:cs="Calibri"/>
          <w:sz w:val="22"/>
          <w:szCs w:val="22"/>
          <w:lang w:eastAsia="en-GB"/>
        </w:rPr>
      </w:pPr>
      <w:bookmarkStart w:id="50" w:name="OLE_LINK30"/>
      <w:r>
        <w:rPr>
          <w:rFonts w:ascii="Calibri" w:hAnsi="Calibri" w:cs="Calibri"/>
          <w:b/>
          <w:bCs/>
          <w:sz w:val="22"/>
          <w:szCs w:val="22"/>
          <w:lang w:eastAsia="en-GB"/>
        </w:rPr>
        <w:t>Termination of Agreement &amp; Termination indemnity</w:t>
      </w:r>
    </w:p>
    <w:bookmarkEnd w:id="50"/>
    <w:p w14:paraId="52D64C1A" w14:textId="77777777" w:rsidR="00804AF0" w:rsidRDefault="00804AF0">
      <w:pPr>
        <w:ind w:left="360"/>
        <w:jc w:val="both"/>
        <w:textAlignment w:val="baseline"/>
        <w:rPr>
          <w:rFonts w:ascii="Calibri" w:hAnsi="Calibri" w:cs="Calibri"/>
          <w:sz w:val="22"/>
          <w:szCs w:val="22"/>
          <w:lang w:eastAsia="en-GB"/>
        </w:rPr>
      </w:pPr>
    </w:p>
    <w:p w14:paraId="02325812"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Either party may terminate the IPSA before the expiry date of the agreement by giving a minimum period of 30 calendar days’ notice in writing to the other party (IPSA holder and Hiring Manager).</w:t>
      </w:r>
    </w:p>
    <w:p w14:paraId="60694DC1" w14:textId="77777777" w:rsidR="00804AF0" w:rsidRDefault="00804AF0">
      <w:pPr>
        <w:jc w:val="both"/>
        <w:textAlignment w:val="baseline"/>
        <w:rPr>
          <w:rFonts w:ascii="Calibri" w:hAnsi="Calibri" w:cs="Calibri"/>
          <w:sz w:val="22"/>
          <w:szCs w:val="22"/>
          <w:lang w:eastAsia="en-GB"/>
        </w:rPr>
      </w:pPr>
    </w:p>
    <w:p w14:paraId="42D8CD31" w14:textId="77777777" w:rsidR="00804AF0" w:rsidRDefault="009A47D6">
      <w:pPr>
        <w:numPr>
          <w:ilvl w:val="0"/>
          <w:numId w:val="4"/>
        </w:numPr>
        <w:jc w:val="both"/>
        <w:textAlignment w:val="baseline"/>
        <w:rPr>
          <w:rFonts w:ascii="Calibri" w:hAnsi="Calibri" w:cs="Calibri"/>
          <w:sz w:val="22"/>
          <w:szCs w:val="22"/>
          <w:lang w:eastAsia="en-GB"/>
        </w:rPr>
      </w:pPr>
      <w:bookmarkStart w:id="51" w:name="OLE_LINK33"/>
      <w:bookmarkStart w:id="52" w:name="OLE_LINK29"/>
      <w:r>
        <w:rPr>
          <w:rFonts w:ascii="Calibri" w:hAnsi="Calibri" w:cs="Calibri"/>
          <w:sz w:val="22"/>
          <w:szCs w:val="22"/>
          <w:lang w:eastAsia="en-GB"/>
        </w:rPr>
        <w:t>BMS/OLS must be consulted prior to the termination of an IPSA by UNDP</w:t>
      </w:r>
      <w:bookmarkEnd w:id="51"/>
      <w:r>
        <w:rPr>
          <w:rFonts w:ascii="Calibri" w:hAnsi="Calibri" w:cs="Calibri"/>
          <w:sz w:val="22"/>
          <w:szCs w:val="22"/>
          <w:lang w:eastAsia="en-GB"/>
        </w:rPr>
        <w:t>, unless the separation is mutually agreed to in writing by both the IPSA holder and the UNDP Office involved.</w:t>
      </w:r>
    </w:p>
    <w:bookmarkEnd w:id="52"/>
    <w:p w14:paraId="1244A6BF" w14:textId="77777777" w:rsidR="00804AF0" w:rsidRDefault="00804AF0">
      <w:pPr>
        <w:jc w:val="both"/>
        <w:textAlignment w:val="baseline"/>
        <w:rPr>
          <w:rFonts w:ascii="Calibri" w:hAnsi="Calibri" w:cs="Calibri"/>
          <w:sz w:val="22"/>
          <w:szCs w:val="22"/>
          <w:lang w:eastAsia="en-GB"/>
        </w:rPr>
      </w:pPr>
    </w:p>
    <w:p w14:paraId="6EBDADF9"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In the event that the IPSA is foreshortened by UNDP without cause (i.e., through no fault of the IPSA holder), an IPSA holder is entitled to a termination indemnity equivalent to one month of net pay.</w:t>
      </w:r>
    </w:p>
    <w:p w14:paraId="7DC81952" w14:textId="77777777" w:rsidR="00804AF0" w:rsidRDefault="00804AF0">
      <w:pPr>
        <w:jc w:val="both"/>
        <w:textAlignment w:val="baseline"/>
        <w:rPr>
          <w:rFonts w:ascii="Calibri" w:hAnsi="Calibri" w:cs="Calibri"/>
          <w:sz w:val="22"/>
          <w:szCs w:val="22"/>
          <w:lang w:eastAsia="en-GB"/>
        </w:rPr>
      </w:pPr>
    </w:p>
    <w:p w14:paraId="00806657"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 xml:space="preserve">If UNDP terminates the IPSA for cause (i.e., </w:t>
      </w:r>
      <w:proofErr w:type="gramStart"/>
      <w:r>
        <w:rPr>
          <w:rFonts w:ascii="Calibri" w:hAnsi="Calibri" w:cs="Calibri"/>
          <w:sz w:val="22"/>
          <w:szCs w:val="22"/>
          <w:lang w:eastAsia="en-GB"/>
        </w:rPr>
        <w:t>as a result of</w:t>
      </w:r>
      <w:proofErr w:type="gramEnd"/>
      <w:r>
        <w:rPr>
          <w:rFonts w:ascii="Calibri" w:hAnsi="Calibri" w:cs="Calibri"/>
          <w:sz w:val="22"/>
          <w:szCs w:val="22"/>
          <w:lang w:eastAsia="en-GB"/>
        </w:rPr>
        <w:t xml:space="preserve"> violation of the standards of conduct or breach of other material terms of the IPSA), the IPSA holder will not be entitled to either a period of notice or other </w:t>
      </w:r>
      <w:proofErr w:type="gramStart"/>
      <w:r>
        <w:rPr>
          <w:rFonts w:ascii="Calibri" w:hAnsi="Calibri" w:cs="Calibri"/>
          <w:sz w:val="22"/>
          <w:szCs w:val="22"/>
          <w:lang w:eastAsia="en-GB"/>
        </w:rPr>
        <w:t>compensation, and</w:t>
      </w:r>
      <w:proofErr w:type="gramEnd"/>
      <w:r>
        <w:rPr>
          <w:rFonts w:ascii="Calibri" w:hAnsi="Calibri" w:cs="Calibri"/>
          <w:sz w:val="22"/>
          <w:szCs w:val="22"/>
          <w:lang w:eastAsia="en-GB"/>
        </w:rPr>
        <w:t xml:space="preserve"> will not be eligible for any future contract of engagement of any type. </w:t>
      </w:r>
    </w:p>
    <w:p w14:paraId="58E2BB58" w14:textId="77777777" w:rsidR="00804AF0" w:rsidRDefault="00804AF0">
      <w:pPr>
        <w:ind w:left="360" w:firstLine="60"/>
        <w:jc w:val="both"/>
        <w:textAlignment w:val="baseline"/>
        <w:rPr>
          <w:rFonts w:ascii="Calibri" w:hAnsi="Calibri" w:cs="Calibri"/>
          <w:sz w:val="22"/>
          <w:szCs w:val="22"/>
          <w:lang w:eastAsia="en-GB"/>
        </w:rPr>
      </w:pPr>
    </w:p>
    <w:p w14:paraId="0D3A1177" w14:textId="77777777" w:rsidR="00804AF0" w:rsidRDefault="009A47D6">
      <w:pPr>
        <w:numPr>
          <w:ilvl w:val="0"/>
          <w:numId w:val="4"/>
        </w:numPr>
        <w:jc w:val="both"/>
        <w:textAlignment w:val="baseline"/>
        <w:rPr>
          <w:rFonts w:ascii="Calibri" w:hAnsi="Calibri" w:cs="Calibri"/>
          <w:sz w:val="22"/>
          <w:szCs w:val="22"/>
          <w:lang w:eastAsia="en-GB"/>
        </w:rPr>
      </w:pPr>
      <w:bookmarkStart w:id="53" w:name="_Hlk56979219"/>
      <w:r>
        <w:rPr>
          <w:rFonts w:ascii="Calibri" w:hAnsi="Calibri" w:cs="Calibri"/>
          <w:sz w:val="22"/>
          <w:szCs w:val="22"/>
          <w:lang w:eastAsia="en-GB"/>
        </w:rPr>
        <w:t>No compensation or termination indemnity payment shall be made in the event that the IPSA holder terminates the IPSA, or upon its natural expiration.</w:t>
      </w:r>
    </w:p>
    <w:bookmarkEnd w:id="53"/>
    <w:p w14:paraId="07BCAFCA" w14:textId="77777777" w:rsidR="00804AF0" w:rsidRDefault="00804AF0">
      <w:pPr>
        <w:jc w:val="both"/>
        <w:textAlignment w:val="baseline"/>
        <w:rPr>
          <w:rFonts w:ascii="Calibri" w:hAnsi="Calibri" w:cs="Calibri"/>
          <w:sz w:val="22"/>
          <w:szCs w:val="22"/>
          <w:lang w:eastAsia="en-GB"/>
        </w:rPr>
      </w:pPr>
    </w:p>
    <w:p w14:paraId="6CB09CA4"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The Head of the Business Unit must terminate the IPSA in the following circumstances:</w:t>
      </w:r>
    </w:p>
    <w:p w14:paraId="4E762BA0" w14:textId="77777777" w:rsidR="00804AF0" w:rsidRDefault="00804AF0">
      <w:pPr>
        <w:ind w:left="1800" w:firstLine="60"/>
        <w:jc w:val="both"/>
        <w:textAlignment w:val="baseline"/>
        <w:rPr>
          <w:rFonts w:ascii="Calibri" w:hAnsi="Calibri" w:cs="Calibri"/>
          <w:sz w:val="22"/>
          <w:szCs w:val="22"/>
          <w:lang w:eastAsia="en-GB"/>
        </w:rPr>
      </w:pPr>
    </w:p>
    <w:p w14:paraId="26747045" w14:textId="77777777" w:rsidR="00804AF0" w:rsidRDefault="009A47D6">
      <w:pPr>
        <w:numPr>
          <w:ilvl w:val="0"/>
          <w:numId w:val="14"/>
        </w:numPr>
        <w:jc w:val="both"/>
        <w:textAlignment w:val="baseline"/>
        <w:rPr>
          <w:rFonts w:ascii="Calibri" w:hAnsi="Calibri" w:cs="Calibri"/>
          <w:sz w:val="22"/>
          <w:szCs w:val="22"/>
          <w:lang w:eastAsia="en-GB"/>
        </w:rPr>
      </w:pPr>
      <w:r>
        <w:rPr>
          <w:rFonts w:ascii="Calibri" w:hAnsi="Calibri" w:cs="Calibri"/>
          <w:sz w:val="22"/>
          <w:szCs w:val="22"/>
          <w:lang w:eastAsia="en-GB"/>
        </w:rPr>
        <w:t>Abandonment of functions, i.e., when the IPSA holder is absent from duty without approval for more than five consecutive days;</w:t>
      </w:r>
    </w:p>
    <w:p w14:paraId="5C03C40F" w14:textId="77777777" w:rsidR="00804AF0" w:rsidRDefault="00804AF0">
      <w:pPr>
        <w:ind w:left="720" w:firstLine="60"/>
        <w:jc w:val="both"/>
        <w:textAlignment w:val="baseline"/>
        <w:rPr>
          <w:rFonts w:ascii="Calibri" w:hAnsi="Calibri" w:cs="Calibri"/>
          <w:sz w:val="22"/>
          <w:szCs w:val="22"/>
          <w:lang w:eastAsia="en-GB"/>
        </w:rPr>
      </w:pPr>
    </w:p>
    <w:p w14:paraId="178547BF" w14:textId="77777777" w:rsidR="00804AF0" w:rsidRDefault="009A47D6">
      <w:pPr>
        <w:numPr>
          <w:ilvl w:val="0"/>
          <w:numId w:val="14"/>
        </w:numPr>
        <w:jc w:val="both"/>
        <w:textAlignment w:val="baseline"/>
        <w:rPr>
          <w:rFonts w:ascii="Calibri" w:hAnsi="Calibri" w:cs="Calibri"/>
          <w:sz w:val="22"/>
          <w:szCs w:val="22"/>
          <w:lang w:eastAsia="en-GB"/>
        </w:rPr>
      </w:pPr>
      <w:r>
        <w:rPr>
          <w:rFonts w:ascii="Calibri" w:hAnsi="Calibri" w:cs="Calibri"/>
          <w:sz w:val="22"/>
          <w:szCs w:val="22"/>
          <w:lang w:eastAsia="en-GB"/>
        </w:rPr>
        <w:t>Violation of the standards of conduct or other material terms of the IPSA, including, but not limited to, acts of fraud or misrepresentation;</w:t>
      </w:r>
    </w:p>
    <w:p w14:paraId="6F1E2B1F" w14:textId="77777777" w:rsidR="00804AF0" w:rsidRDefault="00804AF0">
      <w:pPr>
        <w:ind w:firstLine="60"/>
        <w:jc w:val="both"/>
        <w:textAlignment w:val="baseline"/>
        <w:rPr>
          <w:rFonts w:ascii="Calibri" w:hAnsi="Calibri" w:cs="Calibri"/>
          <w:sz w:val="22"/>
          <w:szCs w:val="22"/>
          <w:lang w:eastAsia="en-GB"/>
        </w:rPr>
      </w:pPr>
    </w:p>
    <w:p w14:paraId="73694210" w14:textId="77777777" w:rsidR="00804AF0" w:rsidRDefault="009A47D6">
      <w:pPr>
        <w:numPr>
          <w:ilvl w:val="0"/>
          <w:numId w:val="14"/>
        </w:numPr>
        <w:jc w:val="both"/>
        <w:textAlignment w:val="baseline"/>
        <w:rPr>
          <w:rFonts w:ascii="Calibri" w:hAnsi="Calibri" w:cs="Calibri"/>
          <w:sz w:val="22"/>
          <w:szCs w:val="22"/>
          <w:lang w:eastAsia="en-GB"/>
        </w:rPr>
      </w:pPr>
      <w:r>
        <w:rPr>
          <w:rFonts w:ascii="Calibri" w:hAnsi="Calibri" w:cs="Calibri"/>
          <w:sz w:val="22"/>
          <w:szCs w:val="22"/>
          <w:lang w:eastAsia="en-GB"/>
        </w:rPr>
        <w:t>In event of unsatisfactory performance, where the Head of the Business Unit should consult with BMS/OHR and BMS/OLS before deciding whether to terminate the agreement.</w:t>
      </w:r>
    </w:p>
    <w:p w14:paraId="28185F1E" w14:textId="77777777" w:rsidR="00804AF0" w:rsidRDefault="00804AF0">
      <w:pPr>
        <w:ind w:left="720" w:firstLine="60"/>
        <w:textAlignment w:val="baseline"/>
        <w:rPr>
          <w:rFonts w:ascii="Calibri" w:hAnsi="Calibri" w:cs="Calibri"/>
          <w:sz w:val="22"/>
          <w:szCs w:val="22"/>
          <w:lang w:eastAsia="en-GB"/>
        </w:rPr>
      </w:pPr>
    </w:p>
    <w:p w14:paraId="4A05CCC0"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 xml:space="preserve">There is zero tolerance for acts of fraud and violations of the standards of conduct, and any such suspicions must be referred to OAI for review, and if the IPSA holder is found to have engaged in these acts, the Business Unit after consultation with the Legal </w:t>
      </w:r>
      <w:proofErr w:type="gramStart"/>
      <w:r>
        <w:rPr>
          <w:rFonts w:ascii="Calibri" w:hAnsi="Calibri" w:cs="Calibri"/>
          <w:sz w:val="22"/>
          <w:szCs w:val="22"/>
          <w:lang w:eastAsia="en-GB"/>
        </w:rPr>
        <w:t>Office,</w:t>
      </w:r>
      <w:proofErr w:type="gramEnd"/>
      <w:r>
        <w:rPr>
          <w:rFonts w:ascii="Calibri" w:hAnsi="Calibri" w:cs="Calibri"/>
          <w:sz w:val="22"/>
          <w:szCs w:val="22"/>
          <w:lang w:eastAsia="en-GB"/>
        </w:rPr>
        <w:t xml:space="preserve"> is expected </w:t>
      </w:r>
      <w:r>
        <w:rPr>
          <w:rFonts w:ascii="Calibri" w:hAnsi="Calibri" w:cs="Calibri"/>
          <w:sz w:val="22"/>
          <w:szCs w:val="22"/>
          <w:lang w:eastAsia="en-GB"/>
        </w:rPr>
        <w:lastRenderedPageBreak/>
        <w:t>to terminate the agreement. Advice must be sought from the Legal Office prior to taking any decision on such an action.</w:t>
      </w:r>
    </w:p>
    <w:p w14:paraId="5B8CCD32" w14:textId="77777777" w:rsidR="00804AF0" w:rsidRDefault="00804AF0">
      <w:pPr>
        <w:ind w:left="720"/>
        <w:textAlignment w:val="baseline"/>
        <w:rPr>
          <w:rFonts w:ascii="Calibri" w:hAnsi="Calibri" w:cs="Calibri"/>
          <w:sz w:val="22"/>
          <w:szCs w:val="22"/>
          <w:lang w:eastAsia="en-GB"/>
        </w:rPr>
      </w:pPr>
    </w:p>
    <w:p w14:paraId="43A8E323" w14:textId="77777777" w:rsidR="00804AF0" w:rsidRDefault="009A47D6">
      <w:pPr>
        <w:pStyle w:val="Heading1"/>
        <w:numPr>
          <w:ilvl w:val="0"/>
          <w:numId w:val="2"/>
        </w:numPr>
        <w:jc w:val="left"/>
        <w:rPr>
          <w:rFonts w:ascii="Calibri" w:hAnsi="Calibri" w:cs="Calibri"/>
          <w:b/>
          <w:bCs/>
          <w:sz w:val="22"/>
          <w:szCs w:val="22"/>
          <w:lang w:eastAsia="en-GB"/>
        </w:rPr>
      </w:pPr>
      <w:bookmarkStart w:id="54" w:name="_Toc161312428"/>
      <w:r>
        <w:rPr>
          <w:rFonts w:ascii="Calibri" w:hAnsi="Calibri" w:cs="Calibri"/>
          <w:b/>
          <w:bCs/>
          <w:sz w:val="22"/>
          <w:szCs w:val="22"/>
          <w:lang w:eastAsia="en-GB"/>
        </w:rPr>
        <w:t>Remuneration Scales, Bands, and Remuneration setting for IPSAs</w:t>
      </w:r>
      <w:bookmarkEnd w:id="54"/>
    </w:p>
    <w:p w14:paraId="411E85BD" w14:textId="77777777" w:rsidR="00804AF0" w:rsidRDefault="00804AF0">
      <w:pPr>
        <w:jc w:val="both"/>
        <w:textAlignment w:val="baseline"/>
        <w:rPr>
          <w:rFonts w:ascii="Calibri" w:hAnsi="Calibri" w:cs="Calibri"/>
          <w:sz w:val="22"/>
          <w:szCs w:val="22"/>
          <w:lang w:eastAsia="en-GB"/>
        </w:rPr>
      </w:pPr>
    </w:p>
    <w:p w14:paraId="4AFD7D33"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The remuneration scale for IPSAs will be set globally by the Director of BMS.</w:t>
      </w:r>
    </w:p>
    <w:p w14:paraId="79B8E9B0" w14:textId="77777777" w:rsidR="00804AF0" w:rsidRDefault="00804AF0">
      <w:pPr>
        <w:jc w:val="both"/>
        <w:textAlignment w:val="baseline"/>
        <w:rPr>
          <w:rFonts w:ascii="Calibri" w:hAnsi="Calibri" w:cs="Calibri"/>
          <w:sz w:val="22"/>
          <w:szCs w:val="22"/>
          <w:lang w:eastAsia="en-GB"/>
        </w:rPr>
      </w:pPr>
    </w:p>
    <w:p w14:paraId="45E9EED0"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The IPSA comprises a number of levels at which IPSA holders can be appointed. The classification of these levels is aligned to the corresponding UNDP grade levels and is set out in the form of broad bands, as shown in the table below. They provide a necessary degree of flexibility for hiring managers to adjust the pay according to skills and market circumstances.</w:t>
      </w:r>
    </w:p>
    <w:p w14:paraId="3A7B6E5D" w14:textId="77777777" w:rsidR="00804AF0" w:rsidRDefault="00804AF0">
      <w:pPr>
        <w:jc w:val="both"/>
        <w:textAlignment w:val="baseline"/>
        <w:rPr>
          <w:rFonts w:ascii="Calibri" w:hAnsi="Calibri" w:cs="Calibri"/>
          <w:sz w:val="22"/>
          <w:szCs w:val="22"/>
          <w:lang w:eastAsia="en-GB"/>
        </w:rPr>
      </w:pPr>
    </w:p>
    <w:p w14:paraId="2C45C698"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The pay of IPSAs will be set at a point between the minimum and the maximum within each band (the range), and the classified level of the position would serve as an indicator for the level of remuneration for individual IPSAs. The lower of the two levels should normally be set anywhere between the minimum and mid-point of the band, and the higher of the two levels around the mid-point.</w:t>
      </w:r>
    </w:p>
    <w:p w14:paraId="0BE082C6" w14:textId="77777777" w:rsidR="00804AF0" w:rsidRDefault="00804AF0">
      <w:pPr>
        <w:jc w:val="both"/>
        <w:textAlignment w:val="baseline"/>
        <w:rPr>
          <w:rFonts w:ascii="Calibri" w:hAnsi="Calibri" w:cs="Calibri"/>
          <w:sz w:val="22"/>
          <w:szCs w:val="22"/>
          <w:lang w:eastAsia="en-GB"/>
        </w:rPr>
      </w:pPr>
    </w:p>
    <w:p w14:paraId="3F059955" w14:textId="77777777" w:rsidR="00804AF0" w:rsidRDefault="009A47D6">
      <w:pPr>
        <w:ind w:left="720" w:firstLine="720"/>
        <w:jc w:val="both"/>
        <w:textAlignment w:val="baseline"/>
        <w:rPr>
          <w:rFonts w:ascii="Calibri" w:hAnsi="Calibri" w:cs="Calibri"/>
          <w:sz w:val="22"/>
          <w:szCs w:val="22"/>
          <w:lang w:eastAsia="en-GB"/>
        </w:rPr>
      </w:pPr>
      <w:r>
        <w:rPr>
          <w:rFonts w:ascii="Calibri" w:hAnsi="Calibri" w:cs="Calibri"/>
          <w:sz w:val="22"/>
          <w:szCs w:val="22"/>
          <w:u w:val="single"/>
          <w:lang w:eastAsia="en-GB"/>
        </w:rPr>
        <w:t>The Bands:</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5"/>
        <w:gridCol w:w="2115"/>
        <w:gridCol w:w="2430"/>
      </w:tblGrid>
      <w:tr w:rsidR="00804AF0" w14:paraId="01CD5DA5" w14:textId="77777777">
        <w:trPr>
          <w:tblHeader/>
          <w:jc w:val="center"/>
        </w:trPr>
        <w:tc>
          <w:tcPr>
            <w:tcW w:w="6090" w:type="dxa"/>
            <w:gridSpan w:val="3"/>
            <w:tcBorders>
              <w:top w:val="single" w:sz="6" w:space="0" w:color="auto"/>
              <w:left w:val="single" w:sz="6" w:space="0" w:color="auto"/>
              <w:bottom w:val="single" w:sz="6" w:space="0" w:color="auto"/>
              <w:right w:val="single" w:sz="6" w:space="0" w:color="auto"/>
            </w:tcBorders>
            <w:shd w:val="clear" w:color="auto" w:fill="BFBFBF"/>
          </w:tcPr>
          <w:p w14:paraId="54D81C95" w14:textId="77777777" w:rsidR="00804AF0" w:rsidRDefault="009A47D6">
            <w:pPr>
              <w:jc w:val="center"/>
              <w:textAlignment w:val="baseline"/>
              <w:rPr>
                <w:rFonts w:ascii="Calibri" w:hAnsi="Calibri" w:cs="Calibri"/>
                <w:sz w:val="22"/>
                <w:szCs w:val="22"/>
                <w:lang w:eastAsia="en-GB"/>
              </w:rPr>
            </w:pPr>
            <w:r>
              <w:rPr>
                <w:rFonts w:ascii="Calibri" w:hAnsi="Calibri" w:cs="Calibri"/>
                <w:b/>
                <w:bCs/>
                <w:sz w:val="22"/>
                <w:szCs w:val="22"/>
                <w:u w:val="single"/>
                <w:lang w:eastAsia="en-GB"/>
              </w:rPr>
              <w:t>International PSA</w:t>
            </w:r>
          </w:p>
        </w:tc>
      </w:tr>
      <w:tr w:rsidR="00804AF0" w14:paraId="7B693B8A" w14:textId="77777777">
        <w:trPr>
          <w:jc w:val="center"/>
        </w:trPr>
        <w:tc>
          <w:tcPr>
            <w:tcW w:w="1545" w:type="dxa"/>
            <w:tcBorders>
              <w:top w:val="nil"/>
              <w:left w:val="single" w:sz="6" w:space="0" w:color="auto"/>
              <w:bottom w:val="single" w:sz="6" w:space="0" w:color="auto"/>
              <w:right w:val="single" w:sz="6" w:space="0" w:color="auto"/>
            </w:tcBorders>
            <w:shd w:val="clear" w:color="auto" w:fill="BFBFBF"/>
          </w:tcPr>
          <w:p w14:paraId="3E8E2A6E" w14:textId="77777777" w:rsidR="00804AF0" w:rsidRDefault="009A47D6">
            <w:pPr>
              <w:jc w:val="center"/>
              <w:textAlignment w:val="baseline"/>
              <w:rPr>
                <w:rFonts w:ascii="Calibri" w:hAnsi="Calibri" w:cs="Calibri"/>
                <w:sz w:val="22"/>
                <w:szCs w:val="22"/>
                <w:lang w:eastAsia="en-GB"/>
              </w:rPr>
            </w:pPr>
            <w:r>
              <w:rPr>
                <w:rFonts w:ascii="Calibri" w:hAnsi="Calibri" w:cs="Calibri"/>
                <w:i/>
                <w:iCs/>
                <w:sz w:val="22"/>
                <w:szCs w:val="22"/>
                <w:u w:val="single"/>
                <w:lang w:eastAsia="en-GB"/>
              </w:rPr>
              <w:t>Band</w:t>
            </w:r>
          </w:p>
        </w:tc>
        <w:tc>
          <w:tcPr>
            <w:tcW w:w="2115" w:type="dxa"/>
            <w:tcBorders>
              <w:top w:val="nil"/>
              <w:left w:val="nil"/>
              <w:bottom w:val="single" w:sz="6" w:space="0" w:color="auto"/>
              <w:right w:val="single" w:sz="6" w:space="0" w:color="auto"/>
            </w:tcBorders>
            <w:shd w:val="clear" w:color="auto" w:fill="BFBFBF"/>
          </w:tcPr>
          <w:p w14:paraId="6EFE8D3C" w14:textId="77777777" w:rsidR="00804AF0" w:rsidRDefault="009A47D6">
            <w:pPr>
              <w:jc w:val="center"/>
              <w:textAlignment w:val="baseline"/>
              <w:rPr>
                <w:rFonts w:ascii="Calibri" w:hAnsi="Calibri" w:cs="Calibri"/>
                <w:sz w:val="22"/>
                <w:szCs w:val="22"/>
                <w:lang w:eastAsia="en-GB"/>
              </w:rPr>
            </w:pPr>
            <w:r>
              <w:rPr>
                <w:rFonts w:ascii="Calibri" w:hAnsi="Calibri" w:cs="Calibri"/>
                <w:i/>
                <w:iCs/>
                <w:sz w:val="22"/>
                <w:szCs w:val="22"/>
                <w:u w:val="single"/>
                <w:lang w:eastAsia="en-GB"/>
              </w:rPr>
              <w:t>Classified As</w:t>
            </w:r>
          </w:p>
        </w:tc>
        <w:tc>
          <w:tcPr>
            <w:tcW w:w="2400" w:type="dxa"/>
            <w:tcBorders>
              <w:top w:val="nil"/>
              <w:left w:val="nil"/>
              <w:bottom w:val="single" w:sz="6" w:space="0" w:color="auto"/>
              <w:right w:val="single" w:sz="6" w:space="0" w:color="auto"/>
            </w:tcBorders>
            <w:shd w:val="clear" w:color="auto" w:fill="BFBFBF"/>
          </w:tcPr>
          <w:p w14:paraId="367D2E62" w14:textId="77777777" w:rsidR="00804AF0" w:rsidRDefault="009A47D6">
            <w:pPr>
              <w:jc w:val="center"/>
              <w:textAlignment w:val="baseline"/>
              <w:rPr>
                <w:rFonts w:ascii="Calibri" w:hAnsi="Calibri" w:cs="Calibri"/>
                <w:sz w:val="22"/>
                <w:szCs w:val="22"/>
                <w:lang w:eastAsia="en-GB"/>
              </w:rPr>
            </w:pPr>
            <w:r>
              <w:rPr>
                <w:rFonts w:ascii="Calibri" w:hAnsi="Calibri" w:cs="Calibri"/>
                <w:i/>
                <w:iCs/>
                <w:sz w:val="22"/>
                <w:szCs w:val="22"/>
                <w:u w:val="single"/>
                <w:lang w:eastAsia="en-GB"/>
              </w:rPr>
              <w:t>Corresponding UNDP grade level</w:t>
            </w:r>
          </w:p>
        </w:tc>
      </w:tr>
      <w:tr w:rsidR="00804AF0" w14:paraId="0A86BA81" w14:textId="77777777">
        <w:trPr>
          <w:jc w:val="center"/>
        </w:trPr>
        <w:tc>
          <w:tcPr>
            <w:tcW w:w="1545" w:type="dxa"/>
            <w:tcBorders>
              <w:top w:val="nil"/>
              <w:left w:val="single" w:sz="6" w:space="0" w:color="auto"/>
              <w:bottom w:val="single" w:sz="6" w:space="0" w:color="auto"/>
              <w:right w:val="single" w:sz="6" w:space="0" w:color="auto"/>
            </w:tcBorders>
            <w:shd w:val="clear" w:color="auto" w:fill="BFBFBF"/>
          </w:tcPr>
          <w:p w14:paraId="0F1E2A73" w14:textId="77777777" w:rsidR="00804AF0" w:rsidRDefault="00804AF0">
            <w:pPr>
              <w:jc w:val="center"/>
              <w:textAlignment w:val="baseline"/>
              <w:rPr>
                <w:rFonts w:ascii="Calibri" w:hAnsi="Calibri" w:cs="Calibri"/>
                <w:sz w:val="22"/>
                <w:szCs w:val="22"/>
                <w:lang w:eastAsia="en-GB"/>
              </w:rPr>
            </w:pPr>
          </w:p>
          <w:p w14:paraId="134F476F"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u w:val="single"/>
                <w:lang w:eastAsia="en-GB"/>
              </w:rPr>
              <w:t>IB1</w:t>
            </w:r>
          </w:p>
          <w:p w14:paraId="63743601"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u w:val="single"/>
                <w:lang w:eastAsia="en-GB"/>
              </w:rPr>
              <w:t>IB2</w:t>
            </w:r>
          </w:p>
          <w:p w14:paraId="7C48A58B"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u w:val="single"/>
                <w:lang w:eastAsia="en-GB"/>
              </w:rPr>
              <w:t>IB3</w:t>
            </w:r>
          </w:p>
          <w:p w14:paraId="0A03B5E4"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u w:val="single"/>
                <w:lang w:eastAsia="en-GB"/>
              </w:rPr>
              <w:t>IB4</w:t>
            </w:r>
          </w:p>
          <w:p w14:paraId="4B65B0FD" w14:textId="77777777" w:rsidR="00804AF0" w:rsidRDefault="00804AF0">
            <w:pPr>
              <w:jc w:val="center"/>
              <w:textAlignment w:val="baseline"/>
              <w:rPr>
                <w:rFonts w:ascii="Calibri" w:hAnsi="Calibri" w:cs="Calibri"/>
                <w:sz w:val="22"/>
                <w:szCs w:val="22"/>
                <w:lang w:eastAsia="en-GB"/>
              </w:rPr>
            </w:pPr>
          </w:p>
        </w:tc>
        <w:tc>
          <w:tcPr>
            <w:tcW w:w="2115" w:type="dxa"/>
            <w:tcBorders>
              <w:top w:val="nil"/>
              <w:left w:val="nil"/>
              <w:bottom w:val="single" w:sz="6" w:space="0" w:color="auto"/>
              <w:right w:val="single" w:sz="6" w:space="0" w:color="auto"/>
            </w:tcBorders>
            <w:shd w:val="clear" w:color="auto" w:fill="BFBFBF"/>
          </w:tcPr>
          <w:p w14:paraId="1743A67D" w14:textId="77777777" w:rsidR="00804AF0" w:rsidRDefault="00804AF0">
            <w:pPr>
              <w:jc w:val="center"/>
              <w:textAlignment w:val="baseline"/>
              <w:rPr>
                <w:rFonts w:ascii="Calibri" w:hAnsi="Calibri" w:cs="Calibri"/>
                <w:sz w:val="22"/>
                <w:szCs w:val="22"/>
                <w:lang w:eastAsia="en-GB"/>
              </w:rPr>
            </w:pPr>
          </w:p>
          <w:p w14:paraId="1956D551"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u w:val="single"/>
                <w:lang w:eastAsia="en-GB"/>
              </w:rPr>
              <w:t>IPSA 8-9</w:t>
            </w:r>
          </w:p>
          <w:p w14:paraId="334237FA"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u w:val="single"/>
                <w:lang w:eastAsia="en-GB"/>
              </w:rPr>
              <w:t>IPSA 10-11</w:t>
            </w:r>
          </w:p>
          <w:p w14:paraId="0E6A4A77"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u w:val="single"/>
                <w:lang w:eastAsia="en-GB"/>
              </w:rPr>
              <w:t>IPSA 12-13</w:t>
            </w:r>
          </w:p>
          <w:p w14:paraId="1EB76623"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u w:val="single"/>
                <w:lang w:eastAsia="en-GB"/>
              </w:rPr>
              <w:t>IPSA 13-14</w:t>
            </w:r>
          </w:p>
        </w:tc>
        <w:tc>
          <w:tcPr>
            <w:tcW w:w="2400" w:type="dxa"/>
            <w:tcBorders>
              <w:top w:val="nil"/>
              <w:left w:val="nil"/>
              <w:bottom w:val="single" w:sz="6" w:space="0" w:color="auto"/>
              <w:right w:val="single" w:sz="6" w:space="0" w:color="auto"/>
            </w:tcBorders>
            <w:shd w:val="clear" w:color="auto" w:fill="BFBFBF"/>
          </w:tcPr>
          <w:p w14:paraId="7CD61B50" w14:textId="77777777" w:rsidR="00804AF0" w:rsidRDefault="00804AF0">
            <w:pPr>
              <w:jc w:val="center"/>
              <w:textAlignment w:val="baseline"/>
              <w:rPr>
                <w:rFonts w:ascii="Calibri" w:hAnsi="Calibri" w:cs="Calibri"/>
                <w:sz w:val="22"/>
                <w:szCs w:val="22"/>
                <w:lang w:eastAsia="en-GB"/>
              </w:rPr>
            </w:pPr>
          </w:p>
          <w:p w14:paraId="3CE2BAA8"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u w:val="single"/>
                <w:lang w:eastAsia="en-GB"/>
              </w:rPr>
              <w:t>P-1 to P-2</w:t>
            </w:r>
          </w:p>
          <w:p w14:paraId="611F9CC4"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u w:val="single"/>
                <w:lang w:eastAsia="en-GB"/>
              </w:rPr>
              <w:t>P-3 to P-4</w:t>
            </w:r>
          </w:p>
          <w:p w14:paraId="14CDEDF6"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u w:val="single"/>
                <w:lang w:eastAsia="en-GB"/>
              </w:rPr>
              <w:t>P-5 to D-1</w:t>
            </w:r>
          </w:p>
          <w:p w14:paraId="3B2EB947"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u w:val="single"/>
                <w:lang w:eastAsia="en-GB"/>
              </w:rPr>
              <w:t>D-1 to D-2</w:t>
            </w:r>
          </w:p>
        </w:tc>
      </w:tr>
    </w:tbl>
    <w:p w14:paraId="6DAD94F1"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3737D697"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74302E34"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IPSA holders’ remuneration is set following pay ranges, and the pay is determined by the hiring manager based on contingencies of service including budget, availability of technical expertise in the market, and based on the special skills the individual brings with him/her to the position and to the organization. The remuneration may be anywhere between the minimum and maximum for each band range.</w:t>
      </w:r>
    </w:p>
    <w:p w14:paraId="77696870" w14:textId="77777777" w:rsidR="00804AF0" w:rsidRDefault="00804AF0">
      <w:pPr>
        <w:jc w:val="both"/>
        <w:textAlignment w:val="baseline"/>
        <w:rPr>
          <w:rFonts w:ascii="Calibri" w:hAnsi="Calibri" w:cs="Calibri"/>
          <w:sz w:val="22"/>
          <w:szCs w:val="22"/>
          <w:lang w:eastAsia="en-GB"/>
        </w:rPr>
      </w:pPr>
    </w:p>
    <w:p w14:paraId="21D89217"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 xml:space="preserve">The </w:t>
      </w:r>
      <w:hyperlink r:id="rId9" w:history="1">
        <w:r>
          <w:rPr>
            <w:rFonts w:ascii="Calibri" w:hAnsi="Calibri" w:cs="Calibri"/>
            <w:sz w:val="22"/>
            <w:szCs w:val="22"/>
            <w:lang w:eastAsia="en-GB"/>
          </w:rPr>
          <w:t>pay-setting system</w:t>
        </w:r>
      </w:hyperlink>
      <w:r>
        <w:rPr>
          <w:rFonts w:ascii="Calibri" w:hAnsi="Calibri" w:cs="Calibri"/>
          <w:sz w:val="22"/>
          <w:szCs w:val="22"/>
          <w:lang w:eastAsia="en-GB"/>
        </w:rPr>
        <w:t xml:space="preserve"> is provided to assist hiring managers in setting the approximate remuneration range, using the following parameters:</w:t>
      </w:r>
    </w:p>
    <w:p w14:paraId="0C694A82"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3E5C2203" w14:textId="77777777" w:rsidR="00804AF0" w:rsidRDefault="009A47D6">
      <w:pPr>
        <w:pStyle w:val="ListParagraph"/>
        <w:numPr>
          <w:ilvl w:val="0"/>
          <w:numId w:val="15"/>
        </w:numPr>
        <w:jc w:val="both"/>
        <w:textAlignment w:val="baseline"/>
        <w:rPr>
          <w:rFonts w:ascii="Calibri" w:hAnsi="Calibri" w:cs="Calibri"/>
          <w:sz w:val="22"/>
          <w:szCs w:val="22"/>
          <w:lang w:eastAsia="en-GB"/>
        </w:rPr>
      </w:pPr>
      <w:r>
        <w:rPr>
          <w:rFonts w:ascii="Calibri" w:hAnsi="Calibri" w:cs="Calibri"/>
          <w:sz w:val="22"/>
          <w:szCs w:val="22"/>
          <w:lang w:eastAsia="en-GB"/>
        </w:rPr>
        <w:t>Basic remuneration</w:t>
      </w:r>
    </w:p>
    <w:p w14:paraId="6F919D30" w14:textId="77777777" w:rsidR="00804AF0" w:rsidRDefault="009A47D6">
      <w:pPr>
        <w:numPr>
          <w:ilvl w:val="0"/>
          <w:numId w:val="15"/>
        </w:numPr>
        <w:ind w:left="360" w:firstLine="0"/>
        <w:jc w:val="both"/>
        <w:textAlignment w:val="baseline"/>
        <w:rPr>
          <w:rFonts w:ascii="Calibri" w:hAnsi="Calibri" w:cs="Calibri"/>
          <w:sz w:val="22"/>
          <w:szCs w:val="22"/>
          <w:lang w:eastAsia="en-GB"/>
        </w:rPr>
      </w:pPr>
      <w:r>
        <w:rPr>
          <w:rFonts w:ascii="Calibri" w:hAnsi="Calibri" w:cs="Calibri"/>
          <w:sz w:val="22"/>
          <w:szCs w:val="22"/>
          <w:lang w:eastAsia="en-GB"/>
        </w:rPr>
        <w:t>Cost of living (COL) component</w:t>
      </w:r>
    </w:p>
    <w:p w14:paraId="40481AF2" w14:textId="77777777" w:rsidR="00804AF0" w:rsidRDefault="009A47D6">
      <w:pPr>
        <w:numPr>
          <w:ilvl w:val="0"/>
          <w:numId w:val="15"/>
        </w:numPr>
        <w:ind w:left="360" w:firstLine="0"/>
        <w:jc w:val="both"/>
        <w:textAlignment w:val="baseline"/>
        <w:rPr>
          <w:rFonts w:ascii="Calibri" w:hAnsi="Calibri" w:cs="Calibri"/>
          <w:sz w:val="22"/>
          <w:szCs w:val="22"/>
          <w:lang w:eastAsia="en-GB"/>
        </w:rPr>
      </w:pPr>
      <w:r>
        <w:rPr>
          <w:rFonts w:ascii="Calibri" w:hAnsi="Calibri" w:cs="Calibri"/>
          <w:sz w:val="22"/>
          <w:szCs w:val="22"/>
          <w:lang w:eastAsia="en-GB"/>
        </w:rPr>
        <w:t>Hardship Element in specific duty stations</w:t>
      </w:r>
    </w:p>
    <w:p w14:paraId="293E8DF5" w14:textId="77777777" w:rsidR="00804AF0" w:rsidRDefault="009A47D6">
      <w:pPr>
        <w:numPr>
          <w:ilvl w:val="0"/>
          <w:numId w:val="15"/>
        </w:numPr>
        <w:ind w:left="360" w:firstLine="0"/>
        <w:jc w:val="both"/>
        <w:textAlignment w:val="baseline"/>
        <w:rPr>
          <w:rFonts w:ascii="Calibri" w:hAnsi="Calibri" w:cs="Calibri"/>
          <w:sz w:val="22"/>
          <w:szCs w:val="22"/>
          <w:lang w:eastAsia="en-GB"/>
        </w:rPr>
      </w:pPr>
      <w:r>
        <w:rPr>
          <w:rFonts w:ascii="Calibri" w:hAnsi="Calibri" w:cs="Calibri"/>
          <w:sz w:val="22"/>
          <w:szCs w:val="22"/>
          <w:lang w:eastAsia="en-GB"/>
        </w:rPr>
        <w:t>Additional fixed lumpsum to subsidize medical insurance</w:t>
      </w:r>
    </w:p>
    <w:p w14:paraId="5FD8B3E3" w14:textId="77777777" w:rsidR="00804AF0" w:rsidRDefault="00804AF0">
      <w:pPr>
        <w:ind w:left="360"/>
        <w:jc w:val="both"/>
        <w:textAlignment w:val="baseline"/>
        <w:rPr>
          <w:rFonts w:ascii="Calibri" w:hAnsi="Calibri" w:cs="Calibri"/>
          <w:sz w:val="22"/>
          <w:szCs w:val="22"/>
          <w:lang w:eastAsia="en-GB"/>
        </w:rPr>
      </w:pPr>
    </w:p>
    <w:p w14:paraId="1779FB09"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The basic remuneration represents the basis of the calculation and is relevant to the classified level of the position.</w:t>
      </w:r>
    </w:p>
    <w:p w14:paraId="3DA04D81" w14:textId="77777777" w:rsidR="00804AF0" w:rsidRDefault="00804AF0">
      <w:pPr>
        <w:jc w:val="both"/>
        <w:textAlignment w:val="baseline"/>
        <w:rPr>
          <w:rFonts w:ascii="Calibri" w:hAnsi="Calibri" w:cs="Calibri"/>
          <w:sz w:val="22"/>
          <w:szCs w:val="22"/>
          <w:lang w:eastAsia="en-GB"/>
        </w:rPr>
      </w:pPr>
    </w:p>
    <w:p w14:paraId="49CA2168"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lastRenderedPageBreak/>
        <w:t xml:space="preserve">The </w:t>
      </w:r>
      <w:proofErr w:type="gramStart"/>
      <w:r>
        <w:rPr>
          <w:rFonts w:ascii="Calibri" w:hAnsi="Calibri" w:cs="Calibri"/>
          <w:sz w:val="22"/>
          <w:szCs w:val="22"/>
          <w:lang w:eastAsia="en-GB"/>
        </w:rPr>
        <w:t>cost of living</w:t>
      </w:r>
      <w:proofErr w:type="gramEnd"/>
      <w:r>
        <w:rPr>
          <w:rFonts w:ascii="Calibri" w:hAnsi="Calibri" w:cs="Calibri"/>
          <w:sz w:val="22"/>
          <w:szCs w:val="22"/>
          <w:lang w:eastAsia="en-GB"/>
        </w:rPr>
        <w:t xml:space="preserve"> component is based on the UN post adjustment as a reference to the applicable post adjustment rate applicable to the duty station where the functions are expected to be performed. The maximum payable COL component is set at 50%. While the UN post adjustment may fluctuate on a monthly basis, it remains static for the duration of the agreement unless it increases or decreases by more than 20% compared to the rate applicable at the start of the IPSA. In this case, the agreement may be amended, and the increase or decrease will be applied from that point onwards and for the remaining period of the agreement. For home-based IPSA holders, the home of the individual is also the duty station.</w:t>
      </w:r>
    </w:p>
    <w:p w14:paraId="6A7080EC" w14:textId="77777777" w:rsidR="00804AF0" w:rsidRDefault="00804AF0">
      <w:pPr>
        <w:jc w:val="both"/>
        <w:textAlignment w:val="baseline"/>
        <w:rPr>
          <w:rFonts w:ascii="Calibri" w:hAnsi="Calibri" w:cs="Calibri"/>
          <w:sz w:val="22"/>
          <w:szCs w:val="22"/>
          <w:lang w:eastAsia="en-GB"/>
        </w:rPr>
      </w:pPr>
    </w:p>
    <w:p w14:paraId="790EDE62"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The hardship element component adds any costs associated with the level of hardship and danger of the duty station.</w:t>
      </w:r>
    </w:p>
    <w:p w14:paraId="4A765115" w14:textId="77777777" w:rsidR="00804AF0" w:rsidRDefault="00804AF0">
      <w:pPr>
        <w:jc w:val="both"/>
        <w:textAlignment w:val="baseline"/>
        <w:rPr>
          <w:rFonts w:ascii="Calibri" w:hAnsi="Calibri" w:cs="Calibri"/>
          <w:sz w:val="22"/>
          <w:szCs w:val="22"/>
          <w:lang w:eastAsia="en-GB"/>
        </w:rPr>
      </w:pPr>
    </w:p>
    <w:p w14:paraId="381179A8" w14:textId="77777777" w:rsidR="00804AF0" w:rsidRDefault="009A47D6">
      <w:pPr>
        <w:pStyle w:val="ListParagraph"/>
        <w:numPr>
          <w:ilvl w:val="0"/>
          <w:numId w:val="16"/>
        </w:numPr>
        <w:jc w:val="both"/>
        <w:textAlignment w:val="baseline"/>
        <w:rPr>
          <w:rFonts w:ascii="Calibri" w:eastAsia="Times New Roman" w:hAnsi="Calibri" w:cs="Calibri"/>
          <w:b/>
          <w:bCs/>
          <w:sz w:val="22"/>
          <w:szCs w:val="22"/>
          <w:lang w:eastAsia="en-GB"/>
        </w:rPr>
      </w:pPr>
      <w:r>
        <w:rPr>
          <w:rFonts w:ascii="Calibri" w:eastAsia="Times New Roman" w:hAnsi="Calibri" w:cs="Calibri"/>
          <w:b/>
          <w:bCs/>
          <w:sz w:val="22"/>
          <w:szCs w:val="22"/>
          <w:lang w:eastAsia="en-GB"/>
        </w:rPr>
        <w:t>Base remuneration:</w:t>
      </w:r>
    </w:p>
    <w:p w14:paraId="1174F282" w14:textId="77777777" w:rsidR="00804AF0" w:rsidRDefault="009A47D6">
      <w:pPr>
        <w:ind w:left="360"/>
        <w:jc w:val="both"/>
        <w:rPr>
          <w:rFonts w:ascii="Calibri" w:hAnsi="Calibri" w:cs="Calibri"/>
          <w:bCs/>
          <w:sz w:val="22"/>
          <w:szCs w:val="22"/>
          <w:lang w:eastAsia="en-GB"/>
        </w:rPr>
      </w:pPr>
      <w:r>
        <w:rPr>
          <w:rFonts w:ascii="Calibri" w:hAnsi="Calibri" w:cs="Calibri"/>
          <w:bCs/>
          <w:sz w:val="22"/>
          <w:szCs w:val="22"/>
          <w:lang w:eastAsia="en-GB"/>
        </w:rPr>
        <w:t>Each band comprises a range to allow hiring managers to determine the applicable remuneration depending on budget availability, level of skills of the individual, availability of skills in the market, complexity, qualifications and experience, and any other considerations the hiring manager may have.</w:t>
      </w:r>
    </w:p>
    <w:p w14:paraId="4E881BD9" w14:textId="77777777" w:rsidR="00804AF0" w:rsidRDefault="00804AF0">
      <w:pPr>
        <w:ind w:left="360"/>
        <w:jc w:val="both"/>
        <w:rPr>
          <w:rFonts w:ascii="Calibri" w:hAnsi="Calibri" w:cs="Calibri"/>
          <w:bCs/>
          <w:sz w:val="22"/>
          <w:szCs w:val="22"/>
          <w:lang w:eastAsia="en-GB"/>
        </w:rPr>
      </w:pPr>
    </w:p>
    <w:p w14:paraId="56A13DA1" w14:textId="77777777" w:rsidR="00804AF0" w:rsidRDefault="009A47D6">
      <w:pPr>
        <w:ind w:left="360"/>
        <w:jc w:val="both"/>
        <w:rPr>
          <w:rFonts w:ascii="Calibri" w:hAnsi="Calibri" w:cs="Calibri"/>
          <w:bCs/>
          <w:sz w:val="22"/>
          <w:szCs w:val="22"/>
          <w:lang w:eastAsia="en-GB"/>
        </w:rPr>
      </w:pPr>
      <w:r>
        <w:rPr>
          <w:rFonts w:ascii="Calibri" w:hAnsi="Calibri" w:cs="Calibri"/>
          <w:bCs/>
          <w:sz w:val="22"/>
          <w:szCs w:val="22"/>
          <w:lang w:eastAsia="en-GB"/>
        </w:rPr>
        <w:t xml:space="preserve">Deviations from the above (below the minimum or above the maximum) may be authorized by the Bureau Director or </w:t>
      </w:r>
      <w:r>
        <w:rPr>
          <w:rFonts w:ascii="Calibri" w:hAnsi="Calibri" w:cs="Calibri"/>
          <w:bCs/>
          <w:sz w:val="22"/>
          <w:szCs w:val="22"/>
        </w:rPr>
        <w:t xml:space="preserve">UNV/UNCDF Executive Coordinator, </w:t>
      </w:r>
      <w:r>
        <w:rPr>
          <w:rFonts w:ascii="Calibri" w:hAnsi="Calibri" w:cs="Calibri"/>
          <w:bCs/>
          <w:sz w:val="22"/>
          <w:szCs w:val="22"/>
          <w:lang w:eastAsia="en-GB"/>
        </w:rPr>
        <w:t xml:space="preserve">UNOSSC Director, </w:t>
      </w:r>
      <w:r>
        <w:rPr>
          <w:rFonts w:ascii="Calibri" w:hAnsi="Calibri" w:cs="Calibri"/>
          <w:bCs/>
          <w:sz w:val="22"/>
          <w:szCs w:val="22"/>
        </w:rPr>
        <w:t>and his/her Deputy</w:t>
      </w:r>
      <w:r>
        <w:rPr>
          <w:rFonts w:ascii="Calibri" w:hAnsi="Calibri" w:cs="Calibri"/>
          <w:bCs/>
          <w:sz w:val="22"/>
          <w:szCs w:val="22"/>
          <w:lang w:eastAsia="en-GB"/>
        </w:rPr>
        <w:t xml:space="preserve"> or his/her delegated authority.</w:t>
      </w:r>
    </w:p>
    <w:p w14:paraId="02C6359D" w14:textId="77777777" w:rsidR="00804AF0" w:rsidRDefault="00804AF0">
      <w:pPr>
        <w:ind w:left="2340"/>
        <w:jc w:val="both"/>
        <w:textAlignment w:val="baseline"/>
        <w:rPr>
          <w:rFonts w:ascii="Calibri" w:hAnsi="Calibri" w:cs="Calibri"/>
          <w:sz w:val="22"/>
          <w:szCs w:val="22"/>
          <w:lang w:eastAsia="en-GB"/>
        </w:rPr>
      </w:pPr>
    </w:p>
    <w:p w14:paraId="09037FA3" w14:textId="77777777" w:rsidR="00804AF0" w:rsidRDefault="009A47D6">
      <w:pPr>
        <w:pStyle w:val="ListParagraph"/>
        <w:numPr>
          <w:ilvl w:val="0"/>
          <w:numId w:val="16"/>
        </w:numPr>
        <w:jc w:val="both"/>
        <w:textAlignment w:val="baseline"/>
        <w:rPr>
          <w:rFonts w:ascii="Calibri" w:eastAsia="Times New Roman" w:hAnsi="Calibri" w:cs="Calibri"/>
          <w:b/>
          <w:bCs/>
          <w:sz w:val="22"/>
          <w:szCs w:val="22"/>
          <w:lang w:eastAsia="en-GB"/>
        </w:rPr>
      </w:pPr>
      <w:r>
        <w:rPr>
          <w:rFonts w:ascii="Calibri" w:eastAsia="Times New Roman" w:hAnsi="Calibri" w:cs="Calibri"/>
          <w:b/>
          <w:bCs/>
          <w:sz w:val="22"/>
          <w:szCs w:val="22"/>
          <w:lang w:eastAsia="en-GB"/>
        </w:rPr>
        <w:t>Cost of Living Component:</w:t>
      </w:r>
    </w:p>
    <w:p w14:paraId="66443B26" w14:textId="77777777" w:rsidR="00804AF0" w:rsidRDefault="00804AF0">
      <w:pPr>
        <w:pStyle w:val="ListParagraph"/>
        <w:ind w:left="720"/>
        <w:jc w:val="both"/>
        <w:textAlignment w:val="baseline"/>
        <w:rPr>
          <w:rFonts w:ascii="Calibri" w:eastAsia="Times New Roman" w:hAnsi="Calibri" w:cs="Calibri"/>
          <w:sz w:val="22"/>
          <w:szCs w:val="22"/>
          <w:lang w:eastAsia="en-GB"/>
        </w:rPr>
      </w:pPr>
    </w:p>
    <w:p w14:paraId="629E14B5" w14:textId="77777777" w:rsidR="00804AF0" w:rsidRDefault="009A47D6">
      <w:pPr>
        <w:ind w:left="360"/>
        <w:jc w:val="both"/>
        <w:rPr>
          <w:rFonts w:ascii="Calibri" w:hAnsi="Calibri" w:cs="Calibri"/>
          <w:bCs/>
          <w:sz w:val="22"/>
          <w:szCs w:val="22"/>
          <w:lang w:eastAsia="en-GB"/>
        </w:rPr>
      </w:pPr>
      <w:r>
        <w:rPr>
          <w:rFonts w:ascii="Calibri" w:hAnsi="Calibri" w:cs="Calibri"/>
          <w:bCs/>
          <w:sz w:val="22"/>
          <w:szCs w:val="22"/>
          <w:lang w:eastAsia="en-GB"/>
        </w:rPr>
        <w:t>The cost of living component represents a mirror of the post adjustment for the duty station of the month of January of each year, and is applied equally for all IPSAs issued throughout that year. The cost of living component is capped and may only reach a maximum of 50%.</w:t>
      </w:r>
    </w:p>
    <w:p w14:paraId="658D5498" w14:textId="77777777" w:rsidR="00804AF0" w:rsidRDefault="00804AF0">
      <w:pPr>
        <w:ind w:left="360"/>
        <w:jc w:val="both"/>
        <w:rPr>
          <w:rFonts w:ascii="Calibri" w:hAnsi="Calibri" w:cs="Calibri"/>
          <w:bCs/>
          <w:sz w:val="22"/>
          <w:szCs w:val="22"/>
          <w:lang w:eastAsia="en-GB"/>
        </w:rPr>
      </w:pPr>
    </w:p>
    <w:p w14:paraId="79F33A2F" w14:textId="77777777" w:rsidR="00804AF0" w:rsidRDefault="009A47D6">
      <w:pPr>
        <w:ind w:left="360"/>
        <w:jc w:val="both"/>
        <w:rPr>
          <w:rFonts w:ascii="Calibri" w:hAnsi="Calibri" w:cs="Calibri"/>
          <w:bCs/>
          <w:sz w:val="22"/>
          <w:szCs w:val="22"/>
          <w:lang w:eastAsia="en-GB"/>
        </w:rPr>
      </w:pPr>
      <w:r>
        <w:rPr>
          <w:rFonts w:ascii="Calibri" w:hAnsi="Calibri" w:cs="Calibri"/>
          <w:bCs/>
          <w:sz w:val="22"/>
          <w:szCs w:val="22"/>
          <w:lang w:eastAsia="en-GB"/>
        </w:rPr>
        <w:t>It is fixed for the duration of the agreement regardless of fluctuations during the IPSA period. Only in case where the post adjustment changes significantly during the period of the agreement, i.e. more than 20%, the remuneration may be re-calculated and adjusted upwards or downwards.</w:t>
      </w:r>
    </w:p>
    <w:p w14:paraId="030C1DA8" w14:textId="77777777" w:rsidR="00804AF0" w:rsidRDefault="00804AF0">
      <w:pPr>
        <w:ind w:left="2340"/>
        <w:jc w:val="both"/>
        <w:textAlignment w:val="baseline"/>
        <w:rPr>
          <w:rFonts w:ascii="Calibri" w:hAnsi="Calibri" w:cs="Calibri"/>
          <w:sz w:val="22"/>
          <w:szCs w:val="22"/>
          <w:lang w:eastAsia="en-GB"/>
        </w:rPr>
      </w:pPr>
    </w:p>
    <w:p w14:paraId="02DA5DD2" w14:textId="77777777" w:rsidR="00804AF0" w:rsidRDefault="009A47D6">
      <w:pPr>
        <w:pStyle w:val="ListParagraph"/>
        <w:numPr>
          <w:ilvl w:val="0"/>
          <w:numId w:val="16"/>
        </w:numPr>
        <w:jc w:val="both"/>
        <w:textAlignment w:val="baseline"/>
        <w:rPr>
          <w:rFonts w:ascii="Calibri" w:eastAsia="Times New Roman" w:hAnsi="Calibri" w:cs="Calibri"/>
          <w:b/>
          <w:bCs/>
          <w:sz w:val="22"/>
          <w:szCs w:val="22"/>
          <w:lang w:eastAsia="en-GB"/>
        </w:rPr>
      </w:pPr>
      <w:r>
        <w:rPr>
          <w:rFonts w:ascii="Calibri" w:eastAsia="Times New Roman" w:hAnsi="Calibri" w:cs="Calibri"/>
          <w:b/>
          <w:bCs/>
          <w:sz w:val="22"/>
          <w:szCs w:val="22"/>
          <w:lang w:eastAsia="en-GB"/>
        </w:rPr>
        <w:t>Hardship Element:</w:t>
      </w:r>
    </w:p>
    <w:p w14:paraId="0E4E0614" w14:textId="77777777" w:rsidR="00804AF0" w:rsidRDefault="00804AF0">
      <w:pPr>
        <w:pStyle w:val="ListParagraph"/>
        <w:ind w:left="720"/>
        <w:jc w:val="both"/>
        <w:textAlignment w:val="baseline"/>
        <w:rPr>
          <w:rFonts w:ascii="Calibri" w:eastAsia="Times New Roman" w:hAnsi="Calibri" w:cs="Calibri"/>
          <w:sz w:val="22"/>
          <w:szCs w:val="22"/>
          <w:lang w:eastAsia="en-GB"/>
        </w:rPr>
      </w:pPr>
    </w:p>
    <w:p w14:paraId="624BEDFF" w14:textId="77777777" w:rsidR="00804AF0" w:rsidRDefault="009A47D6">
      <w:pPr>
        <w:ind w:left="360"/>
        <w:jc w:val="both"/>
        <w:rPr>
          <w:rFonts w:ascii="Calibri" w:hAnsi="Calibri" w:cs="Calibri"/>
          <w:bCs/>
          <w:sz w:val="22"/>
          <w:szCs w:val="22"/>
          <w:lang w:eastAsia="en-GB"/>
        </w:rPr>
      </w:pPr>
      <w:r>
        <w:rPr>
          <w:rFonts w:ascii="Calibri" w:hAnsi="Calibri" w:cs="Calibri"/>
          <w:bCs/>
          <w:sz w:val="22"/>
          <w:szCs w:val="22"/>
          <w:lang w:eastAsia="en-GB"/>
        </w:rPr>
        <w:t>The hardship element consists of a hardship and/or a danger allowance, where applicable. The Hardship Allowance is only applicable in the country where the IPSA holders will perform their functions if this is classified as a duty station D or E. Danger Allowance is applicable in duty stations where Danger Pay is receivable by staff.</w:t>
      </w:r>
    </w:p>
    <w:p w14:paraId="15F645D2" w14:textId="77777777" w:rsidR="00804AF0" w:rsidRDefault="00804AF0">
      <w:pPr>
        <w:jc w:val="both"/>
        <w:textAlignment w:val="baseline"/>
        <w:rPr>
          <w:rFonts w:ascii="Calibri" w:hAnsi="Calibri" w:cs="Calibri"/>
          <w:sz w:val="22"/>
          <w:szCs w:val="22"/>
          <w:lang w:eastAsia="en-GB"/>
        </w:rPr>
      </w:pPr>
    </w:p>
    <w:p w14:paraId="23E1460F"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 xml:space="preserve">A chart with the IPSA pay ranges and how to identify the correct levels, as well as amounts payable under the hardship element is provided in </w:t>
      </w:r>
      <w:bookmarkStart w:id="55" w:name="OLE_LINK1"/>
      <w:r>
        <w:rPr>
          <w:rFonts w:ascii="Calibri" w:hAnsi="Calibri" w:cs="Calibri"/>
          <w:sz w:val="22"/>
          <w:szCs w:val="22"/>
          <w:lang w:eastAsia="en-GB"/>
        </w:rPr>
        <w:fldChar w:fldCharType="begin"/>
      </w:r>
      <w:r>
        <w:rPr>
          <w:rFonts w:ascii="Calibri" w:hAnsi="Calibri" w:cs="Calibri"/>
          <w:sz w:val="22"/>
          <w:szCs w:val="22"/>
          <w:lang w:eastAsia="en-GB"/>
        </w:rPr>
        <w:instrText xml:space="preserve"> HYPERLINK \l "_Annex 5: IPSA Pay Ranges and Identifying the right level" </w:instrText>
      </w:r>
      <w:r>
        <w:rPr>
          <w:rFonts w:ascii="Calibri" w:hAnsi="Calibri" w:cs="Calibri"/>
          <w:sz w:val="22"/>
          <w:szCs w:val="22"/>
          <w:lang w:eastAsia="en-GB"/>
        </w:rPr>
      </w:r>
      <w:r>
        <w:rPr>
          <w:rFonts w:ascii="Calibri" w:hAnsi="Calibri" w:cs="Calibri"/>
          <w:sz w:val="22"/>
          <w:szCs w:val="22"/>
          <w:lang w:eastAsia="en-GB"/>
        </w:rPr>
        <w:fldChar w:fldCharType="separate"/>
      </w:r>
      <w:r>
        <w:rPr>
          <w:rStyle w:val="Hyperlink"/>
          <w:rFonts w:ascii="Calibri" w:hAnsi="Calibri" w:cs="Calibri"/>
          <w:sz w:val="22"/>
          <w:szCs w:val="22"/>
          <w:lang w:eastAsia="en-GB"/>
        </w:rPr>
        <w:t>Annex 4</w:t>
      </w:r>
      <w:bookmarkEnd w:id="55"/>
      <w:r>
        <w:rPr>
          <w:rFonts w:ascii="Calibri" w:hAnsi="Calibri" w:cs="Calibri"/>
          <w:sz w:val="22"/>
          <w:szCs w:val="22"/>
          <w:lang w:eastAsia="en-GB"/>
        </w:rPr>
        <w:fldChar w:fldCharType="end"/>
      </w:r>
      <w:r>
        <w:rPr>
          <w:rFonts w:ascii="Calibri" w:hAnsi="Calibri" w:cs="Calibri"/>
          <w:sz w:val="22"/>
          <w:szCs w:val="22"/>
          <w:lang w:eastAsia="en-GB"/>
        </w:rPr>
        <w:t xml:space="preserve"> to this policy.</w:t>
      </w:r>
    </w:p>
    <w:p w14:paraId="14496CD7" w14:textId="77777777" w:rsidR="00804AF0" w:rsidRDefault="00804AF0">
      <w:pPr>
        <w:jc w:val="both"/>
        <w:textAlignment w:val="baseline"/>
        <w:rPr>
          <w:rFonts w:ascii="Calibri" w:hAnsi="Calibri" w:cs="Calibri"/>
          <w:sz w:val="22"/>
          <w:szCs w:val="22"/>
          <w:lang w:eastAsia="en-GB"/>
        </w:rPr>
      </w:pPr>
    </w:p>
    <w:p w14:paraId="5FE14134" w14:textId="77777777" w:rsidR="00804AF0" w:rsidRDefault="009A47D6">
      <w:pPr>
        <w:numPr>
          <w:ilvl w:val="0"/>
          <w:numId w:val="4"/>
        </w:numPr>
        <w:jc w:val="both"/>
        <w:textAlignment w:val="baseline"/>
        <w:rPr>
          <w:rFonts w:ascii="Calibri" w:hAnsi="Calibri" w:cs="Calibri"/>
          <w:sz w:val="22"/>
          <w:szCs w:val="22"/>
          <w:lang w:eastAsia="en-GB"/>
        </w:rPr>
      </w:pPr>
      <w:bookmarkStart w:id="56" w:name="OLE_LINK2"/>
      <w:r>
        <w:rPr>
          <w:rFonts w:ascii="Calibri" w:hAnsi="Calibri" w:cs="Calibri"/>
          <w:sz w:val="22"/>
          <w:szCs w:val="22"/>
          <w:lang w:eastAsia="en-GB"/>
        </w:rPr>
        <w:t>IPSAs are not entitled for Daily Subsistence Allowance (DSA) in addition to their paid fee while in their duty station.</w:t>
      </w:r>
    </w:p>
    <w:p w14:paraId="110F908A" w14:textId="77777777" w:rsidR="000A158C" w:rsidRDefault="000A158C" w:rsidP="0020638C">
      <w:pPr>
        <w:pStyle w:val="ListParagraph"/>
        <w:rPr>
          <w:rFonts w:ascii="Calibri" w:hAnsi="Calibri" w:cs="Calibri"/>
          <w:sz w:val="22"/>
          <w:szCs w:val="22"/>
          <w:lang w:eastAsia="en-GB"/>
        </w:rPr>
      </w:pPr>
    </w:p>
    <w:p w14:paraId="443416C3" w14:textId="77777777" w:rsidR="000A158C" w:rsidRDefault="000A158C" w:rsidP="000A158C">
      <w:pPr>
        <w:ind w:left="425"/>
        <w:jc w:val="both"/>
        <w:textAlignment w:val="baseline"/>
        <w:rPr>
          <w:rFonts w:ascii="Calibri" w:hAnsi="Calibri" w:cs="Calibri"/>
          <w:sz w:val="22"/>
          <w:szCs w:val="22"/>
          <w:lang w:eastAsia="en-GB"/>
        </w:rPr>
      </w:pPr>
    </w:p>
    <w:bookmarkEnd w:id="56"/>
    <w:p w14:paraId="5F8F6492"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lastRenderedPageBreak/>
        <w:t> </w:t>
      </w:r>
    </w:p>
    <w:p w14:paraId="1B121879" w14:textId="77777777" w:rsidR="00804AF0" w:rsidRDefault="009A47D6">
      <w:pPr>
        <w:numPr>
          <w:ilvl w:val="0"/>
          <w:numId w:val="4"/>
        </w:numPr>
        <w:jc w:val="both"/>
        <w:textAlignment w:val="baseline"/>
        <w:rPr>
          <w:rFonts w:ascii="Calibri" w:hAnsi="Calibri" w:cs="Calibri"/>
          <w:b/>
          <w:bCs/>
          <w:sz w:val="22"/>
          <w:szCs w:val="22"/>
          <w:lang w:eastAsia="en-GB"/>
        </w:rPr>
      </w:pPr>
      <w:r>
        <w:rPr>
          <w:rFonts w:ascii="Calibri" w:hAnsi="Calibri" w:cs="Calibri"/>
          <w:b/>
          <w:bCs/>
          <w:sz w:val="22"/>
          <w:szCs w:val="22"/>
          <w:lang w:eastAsia="en-GB"/>
        </w:rPr>
        <w:t>Currency of Remuneration</w:t>
      </w:r>
    </w:p>
    <w:p w14:paraId="20418EDC" w14:textId="77777777" w:rsidR="00804AF0" w:rsidRDefault="00804AF0">
      <w:pPr>
        <w:jc w:val="both"/>
        <w:textAlignment w:val="baseline"/>
        <w:rPr>
          <w:rFonts w:ascii="Calibri" w:hAnsi="Calibri" w:cs="Calibri"/>
          <w:sz w:val="22"/>
          <w:szCs w:val="22"/>
          <w:lang w:eastAsia="en-GB"/>
        </w:rPr>
      </w:pPr>
    </w:p>
    <w:p w14:paraId="0E124A8B" w14:textId="77777777" w:rsidR="00804AF0" w:rsidRDefault="009A47D6">
      <w:pPr>
        <w:pStyle w:val="ListParagraph"/>
        <w:numPr>
          <w:ilvl w:val="0"/>
          <w:numId w:val="17"/>
        </w:numPr>
        <w:jc w:val="both"/>
        <w:textAlignment w:val="baseline"/>
        <w:rPr>
          <w:rFonts w:ascii="Calibri" w:hAnsi="Calibri" w:cs="Calibri"/>
          <w:sz w:val="22"/>
          <w:szCs w:val="22"/>
          <w:lang w:eastAsia="en-GB"/>
        </w:rPr>
      </w:pPr>
      <w:r>
        <w:rPr>
          <w:rFonts w:ascii="Calibri" w:hAnsi="Calibri" w:cs="Calibri"/>
          <w:sz w:val="22"/>
          <w:szCs w:val="22"/>
          <w:lang w:eastAsia="en-GB"/>
        </w:rPr>
        <w:t>The IPSA stipulates a fixed level of remuneration in the currency stated in the agreement, with the default being United States Dollars.</w:t>
      </w:r>
    </w:p>
    <w:p w14:paraId="6EC267F2" w14:textId="77777777" w:rsidR="00804AF0" w:rsidRDefault="00804AF0">
      <w:pPr>
        <w:pStyle w:val="ListParagraph"/>
        <w:ind w:left="1080"/>
        <w:jc w:val="both"/>
        <w:textAlignment w:val="baseline"/>
        <w:rPr>
          <w:rFonts w:ascii="Calibri" w:hAnsi="Calibri" w:cs="Calibri"/>
          <w:sz w:val="22"/>
          <w:szCs w:val="22"/>
          <w:lang w:eastAsia="en-GB"/>
        </w:rPr>
      </w:pPr>
    </w:p>
    <w:p w14:paraId="331AAA9F" w14:textId="77777777" w:rsidR="00804AF0" w:rsidRDefault="009A47D6">
      <w:pPr>
        <w:pStyle w:val="ListParagraph"/>
        <w:numPr>
          <w:ilvl w:val="0"/>
          <w:numId w:val="17"/>
        </w:numPr>
        <w:jc w:val="both"/>
        <w:textAlignment w:val="baseline"/>
        <w:rPr>
          <w:rFonts w:ascii="Calibri" w:hAnsi="Calibri" w:cs="Calibri"/>
          <w:sz w:val="22"/>
          <w:szCs w:val="22"/>
          <w:lang w:eastAsia="en-GB"/>
        </w:rPr>
      </w:pPr>
      <w:r>
        <w:rPr>
          <w:rFonts w:ascii="Calibri" w:hAnsi="Calibri" w:cs="Calibri"/>
          <w:sz w:val="22"/>
          <w:szCs w:val="22"/>
          <w:lang w:eastAsia="en-GB"/>
        </w:rPr>
        <w:t>IPSAs may request that their salaries are distributed to up to two bank accounts, regardless of duty station or country.</w:t>
      </w:r>
    </w:p>
    <w:p w14:paraId="21106B68" w14:textId="77777777" w:rsidR="00804AF0" w:rsidRDefault="00804AF0">
      <w:pPr>
        <w:jc w:val="both"/>
        <w:textAlignment w:val="baseline"/>
        <w:rPr>
          <w:rFonts w:ascii="Calibri" w:hAnsi="Calibri" w:cs="Calibri"/>
          <w:b/>
          <w:bCs/>
          <w:sz w:val="22"/>
          <w:szCs w:val="22"/>
          <w:lang w:eastAsia="en-GB"/>
        </w:rPr>
      </w:pPr>
    </w:p>
    <w:p w14:paraId="0DF53FDD" w14:textId="77777777" w:rsidR="00804AF0" w:rsidRDefault="009A47D6">
      <w:pPr>
        <w:numPr>
          <w:ilvl w:val="0"/>
          <w:numId w:val="4"/>
        </w:numPr>
        <w:jc w:val="both"/>
        <w:textAlignment w:val="baseline"/>
        <w:rPr>
          <w:rFonts w:ascii="Calibri" w:hAnsi="Calibri" w:cs="Calibri"/>
          <w:b/>
          <w:bCs/>
          <w:sz w:val="22"/>
          <w:szCs w:val="22"/>
          <w:lang w:eastAsia="en-GB"/>
        </w:rPr>
      </w:pPr>
      <w:r>
        <w:rPr>
          <w:rFonts w:ascii="Calibri" w:hAnsi="Calibri" w:cs="Calibri"/>
          <w:b/>
          <w:bCs/>
          <w:sz w:val="22"/>
          <w:szCs w:val="22"/>
          <w:lang w:eastAsia="en-GB"/>
        </w:rPr>
        <w:t>Remuneration Subject to Taxation</w:t>
      </w:r>
    </w:p>
    <w:p w14:paraId="149FB4EA" w14:textId="77777777" w:rsidR="00804AF0" w:rsidRDefault="00804AF0">
      <w:pPr>
        <w:jc w:val="both"/>
        <w:textAlignment w:val="baseline"/>
        <w:rPr>
          <w:rFonts w:ascii="Calibri" w:hAnsi="Calibri" w:cs="Calibri"/>
          <w:b/>
          <w:bCs/>
          <w:sz w:val="22"/>
          <w:szCs w:val="22"/>
          <w:lang w:eastAsia="en-GB"/>
        </w:rPr>
      </w:pPr>
    </w:p>
    <w:p w14:paraId="4DEC2E41" w14:textId="77777777" w:rsidR="00804AF0" w:rsidRDefault="009A47D6">
      <w:pPr>
        <w:pStyle w:val="ListParagraph"/>
        <w:numPr>
          <w:ilvl w:val="0"/>
          <w:numId w:val="18"/>
        </w:numPr>
        <w:jc w:val="both"/>
        <w:textAlignment w:val="baseline"/>
        <w:rPr>
          <w:rFonts w:ascii="Calibri" w:hAnsi="Calibri" w:cs="Calibri"/>
          <w:sz w:val="22"/>
          <w:szCs w:val="22"/>
          <w:lang w:eastAsia="en-GB"/>
        </w:rPr>
      </w:pPr>
      <w:r>
        <w:rPr>
          <w:rFonts w:ascii="Calibri" w:hAnsi="Calibri" w:cs="Calibri"/>
          <w:sz w:val="22"/>
          <w:szCs w:val="22"/>
          <w:lang w:eastAsia="en-GB"/>
        </w:rPr>
        <w:t>Taxation on remuneration paid to individuals engaged under an IPSA is the sole responsibility of the IPSA holder.</w:t>
      </w:r>
    </w:p>
    <w:p w14:paraId="78B744C2" w14:textId="77777777" w:rsidR="00804AF0" w:rsidRDefault="00804AF0">
      <w:pPr>
        <w:ind w:left="1080" w:firstLine="60"/>
        <w:jc w:val="both"/>
        <w:textAlignment w:val="baseline"/>
        <w:rPr>
          <w:rFonts w:ascii="Calibri" w:hAnsi="Calibri" w:cs="Calibri"/>
          <w:sz w:val="22"/>
          <w:szCs w:val="22"/>
          <w:lang w:eastAsia="en-GB"/>
        </w:rPr>
      </w:pPr>
    </w:p>
    <w:p w14:paraId="29D5BBD1" w14:textId="77777777" w:rsidR="00804AF0" w:rsidRDefault="009A47D6">
      <w:pPr>
        <w:pStyle w:val="ListParagraph"/>
        <w:numPr>
          <w:ilvl w:val="0"/>
          <w:numId w:val="18"/>
        </w:numPr>
        <w:jc w:val="both"/>
        <w:textAlignment w:val="baseline"/>
        <w:rPr>
          <w:rFonts w:ascii="Calibri" w:hAnsi="Calibri" w:cs="Calibri"/>
          <w:sz w:val="22"/>
          <w:szCs w:val="22"/>
          <w:lang w:eastAsia="en-GB"/>
        </w:rPr>
      </w:pPr>
      <w:r>
        <w:rPr>
          <w:rFonts w:ascii="Calibri" w:hAnsi="Calibri" w:cs="Calibri"/>
          <w:sz w:val="22"/>
          <w:szCs w:val="22"/>
          <w:lang w:eastAsia="en-GB"/>
        </w:rPr>
        <w:t>The total remuneration paid to individuals engaged under an IPSA must be specified in gross terms. The remuneration paid to the IPSA holder is not exempt from national or local taxation. UNDP is not responsible for payment of tax on earnings or other taxes due on the remuneration of the IPSA holder, nor is UNDP responsible for reimbursement of taxes paid by IPSA holders in respect of earnings received under IPSA with UNDP. The IPSA holder must provide periodic proof of payment of taxes, and UNDP reserves the right to request proof of payment of taxes by the IPSA holder. Some national governments may exempt IPSA holders from payment of taxes. Such an exemption is solely within the purview of the respective national government and cannot be based on representations by UNDP that IPSA holders are exempt.</w:t>
      </w:r>
    </w:p>
    <w:p w14:paraId="079305CA" w14:textId="77777777" w:rsidR="00804AF0" w:rsidRDefault="00804AF0">
      <w:pPr>
        <w:pStyle w:val="ListParagraph"/>
        <w:ind w:left="1080"/>
        <w:jc w:val="both"/>
        <w:textAlignment w:val="baseline"/>
        <w:rPr>
          <w:rFonts w:ascii="Calibri" w:hAnsi="Calibri" w:cs="Calibri"/>
          <w:sz w:val="22"/>
          <w:szCs w:val="22"/>
          <w:lang w:eastAsia="en-GB"/>
        </w:rPr>
      </w:pPr>
    </w:p>
    <w:p w14:paraId="2E51C716" w14:textId="77777777" w:rsidR="00804AF0" w:rsidRDefault="009A47D6">
      <w:pPr>
        <w:pStyle w:val="ListParagraph"/>
        <w:numPr>
          <w:ilvl w:val="0"/>
          <w:numId w:val="18"/>
        </w:numPr>
        <w:jc w:val="both"/>
        <w:textAlignment w:val="baseline"/>
        <w:rPr>
          <w:rFonts w:ascii="Calibri" w:hAnsi="Calibri" w:cs="Calibri"/>
          <w:sz w:val="22"/>
          <w:szCs w:val="22"/>
          <w:lang w:eastAsia="en-GB"/>
        </w:rPr>
      </w:pPr>
      <w:r>
        <w:rPr>
          <w:rFonts w:ascii="Calibri" w:hAnsi="Calibri" w:cs="Calibri"/>
          <w:sz w:val="22"/>
          <w:szCs w:val="22"/>
          <w:lang w:eastAsia="en-GB"/>
        </w:rPr>
        <w:t xml:space="preserve">The UNDP Office must not be involved in making payroll deductions for the purpose of remitting monies to the national tax authorities, nor is it required to report the earnings of IPSA holders to the tax authorities. The UNDP Office must emphasise to the IPSA holder upon entry on duty that the IPSA holder must </w:t>
      </w:r>
      <w:proofErr w:type="gramStart"/>
      <w:r>
        <w:rPr>
          <w:rFonts w:ascii="Calibri" w:hAnsi="Calibri" w:cs="Calibri"/>
          <w:sz w:val="22"/>
          <w:szCs w:val="22"/>
          <w:lang w:eastAsia="en-GB"/>
        </w:rPr>
        <w:t>be in compliance with</w:t>
      </w:r>
      <w:proofErr w:type="gramEnd"/>
      <w:r>
        <w:rPr>
          <w:rFonts w:ascii="Calibri" w:hAnsi="Calibri" w:cs="Calibri"/>
          <w:sz w:val="22"/>
          <w:szCs w:val="22"/>
          <w:lang w:eastAsia="en-GB"/>
        </w:rPr>
        <w:t xml:space="preserve"> their national taxation obligations. This requirement will also be set out in the </w:t>
      </w:r>
      <w:hyperlink r:id="rId10" w:history="1">
        <w:r>
          <w:t>IPSA template</w:t>
        </w:r>
      </w:hyperlink>
      <w:r>
        <w:rPr>
          <w:rFonts w:ascii="Calibri" w:hAnsi="Calibri" w:cs="Calibri"/>
          <w:sz w:val="22"/>
          <w:szCs w:val="22"/>
          <w:lang w:eastAsia="en-GB"/>
        </w:rPr>
        <w:t>.</w:t>
      </w:r>
    </w:p>
    <w:p w14:paraId="124F7362" w14:textId="77777777" w:rsidR="00804AF0" w:rsidRDefault="00804AF0">
      <w:pPr>
        <w:ind w:left="720"/>
        <w:textAlignment w:val="baseline"/>
        <w:rPr>
          <w:rFonts w:ascii="Calibri" w:hAnsi="Calibri" w:cs="Calibri"/>
          <w:sz w:val="22"/>
          <w:szCs w:val="22"/>
          <w:lang w:eastAsia="en-GB"/>
        </w:rPr>
      </w:pPr>
    </w:p>
    <w:p w14:paraId="0D0A28A8" w14:textId="77777777" w:rsidR="00804AF0" w:rsidRDefault="009A47D6">
      <w:pPr>
        <w:pStyle w:val="Heading1"/>
        <w:numPr>
          <w:ilvl w:val="0"/>
          <w:numId w:val="2"/>
        </w:numPr>
        <w:jc w:val="left"/>
        <w:rPr>
          <w:rFonts w:ascii="Calibri" w:hAnsi="Calibri" w:cs="Calibri"/>
          <w:b/>
          <w:bCs/>
          <w:sz w:val="22"/>
          <w:szCs w:val="22"/>
          <w:lang w:eastAsia="en-GB"/>
        </w:rPr>
      </w:pPr>
      <w:bookmarkStart w:id="57" w:name="_Toc161312429"/>
      <w:r>
        <w:rPr>
          <w:rFonts w:ascii="Calibri" w:hAnsi="Calibri" w:cs="Calibri"/>
          <w:b/>
          <w:bCs/>
          <w:sz w:val="22"/>
          <w:szCs w:val="22"/>
          <w:lang w:eastAsia="en-GB"/>
        </w:rPr>
        <w:t>Recourse/Settlement of disputes</w:t>
      </w:r>
      <w:bookmarkEnd w:id="57"/>
    </w:p>
    <w:p w14:paraId="59C67565" w14:textId="77777777" w:rsidR="00804AF0" w:rsidRDefault="00804AF0">
      <w:pPr>
        <w:ind w:firstLine="60"/>
        <w:jc w:val="both"/>
        <w:textAlignment w:val="baseline"/>
        <w:rPr>
          <w:rFonts w:ascii="Calibri" w:hAnsi="Calibri" w:cs="Calibri"/>
          <w:sz w:val="22"/>
          <w:szCs w:val="22"/>
          <w:lang w:eastAsia="en-GB"/>
        </w:rPr>
      </w:pPr>
    </w:p>
    <w:p w14:paraId="2D927EA8"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In the event of any dispute arising out of the IPSA, the dispute must be resolved in accordance with the conditions set out in the IPSA on dispute settlement.</w:t>
      </w:r>
    </w:p>
    <w:p w14:paraId="6811BA23" w14:textId="77777777" w:rsidR="00804AF0" w:rsidRDefault="00804AF0">
      <w:pPr>
        <w:jc w:val="both"/>
        <w:textAlignment w:val="baseline"/>
        <w:rPr>
          <w:rFonts w:ascii="Calibri" w:hAnsi="Calibri" w:cs="Calibri"/>
          <w:sz w:val="22"/>
          <w:szCs w:val="22"/>
          <w:lang w:eastAsia="en-GB"/>
        </w:rPr>
      </w:pPr>
    </w:p>
    <w:p w14:paraId="0B1EB905"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Hiring offices/managers should consult and seek the advice of the Legal Office in cases involving issues of breach of agreement, and report to the Office of Audit and Investigations, including cases where misconduct is involved.</w:t>
      </w:r>
    </w:p>
    <w:p w14:paraId="34ACA24D" w14:textId="77777777" w:rsidR="00804AF0" w:rsidRDefault="00804AF0">
      <w:pPr>
        <w:jc w:val="both"/>
        <w:textAlignment w:val="baseline"/>
        <w:rPr>
          <w:rFonts w:ascii="Calibri" w:hAnsi="Calibri" w:cs="Calibri"/>
          <w:sz w:val="22"/>
          <w:szCs w:val="22"/>
          <w:lang w:eastAsia="en-GB"/>
        </w:rPr>
      </w:pPr>
    </w:p>
    <w:p w14:paraId="5DDB2143"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sz w:val="22"/>
          <w:szCs w:val="22"/>
          <w:lang w:eastAsia="en-GB"/>
        </w:rPr>
        <w:t>IPSA holders can report workplace issues as follows:</w:t>
      </w:r>
    </w:p>
    <w:p w14:paraId="3A97F782" w14:textId="77777777" w:rsidR="00804AF0" w:rsidRDefault="00804AF0">
      <w:pPr>
        <w:ind w:left="360" w:firstLine="60"/>
        <w:jc w:val="both"/>
        <w:textAlignment w:val="baseline"/>
        <w:rPr>
          <w:rFonts w:ascii="Calibri" w:hAnsi="Calibri" w:cs="Calibri"/>
          <w:sz w:val="22"/>
          <w:szCs w:val="22"/>
          <w:lang w:eastAsia="en-GB"/>
        </w:rPr>
      </w:pPr>
    </w:p>
    <w:p w14:paraId="72FF0CD7" w14:textId="77777777" w:rsidR="00804AF0" w:rsidRDefault="009A47D6">
      <w:pPr>
        <w:numPr>
          <w:ilvl w:val="0"/>
          <w:numId w:val="19"/>
        </w:numPr>
        <w:jc w:val="both"/>
        <w:textAlignment w:val="baseline"/>
        <w:rPr>
          <w:rFonts w:ascii="Calibri" w:hAnsi="Calibri" w:cs="Calibri"/>
          <w:sz w:val="22"/>
          <w:szCs w:val="22"/>
          <w:lang w:eastAsia="en-GB"/>
        </w:rPr>
      </w:pPr>
      <w:r>
        <w:rPr>
          <w:rFonts w:ascii="Calibri" w:hAnsi="Calibri" w:cs="Calibri"/>
          <w:sz w:val="22"/>
          <w:szCs w:val="22"/>
          <w:lang w:eastAsia="en-GB"/>
        </w:rPr>
        <w:t xml:space="preserve">Allegations of workplace harassment, sexual harassment and abuse authority, through </w:t>
      </w:r>
      <w:hyperlink r:id="rId11" w:history="1">
        <w:r>
          <w:rPr>
            <w:rStyle w:val="Hyperlink"/>
            <w:rFonts w:ascii="Calibri" w:hAnsi="Calibri" w:cs="Calibri"/>
            <w:sz w:val="22"/>
            <w:szCs w:val="22"/>
            <w:lang w:eastAsia="en-GB"/>
          </w:rPr>
          <w:t>harassment.support@undp.org</w:t>
        </w:r>
      </w:hyperlink>
      <w:r>
        <w:rPr>
          <w:rFonts w:ascii="Calibri" w:hAnsi="Calibri" w:cs="Calibri"/>
          <w:sz w:val="22"/>
          <w:szCs w:val="22"/>
          <w:lang w:eastAsia="en-GB"/>
        </w:rPr>
        <w:t>;</w:t>
      </w:r>
      <w:r>
        <w:rPr>
          <w:rFonts w:ascii="Calibri" w:hAnsi="Calibri" w:cs="Calibri"/>
          <w:color w:val="0070C0"/>
          <w:sz w:val="22"/>
          <w:szCs w:val="22"/>
          <w:lang w:eastAsia="en-GB"/>
        </w:rPr>
        <w:t xml:space="preserve"> </w:t>
      </w:r>
      <w:r>
        <w:rPr>
          <w:rFonts w:ascii="Calibri" w:hAnsi="Calibri" w:cs="Calibri"/>
          <w:sz w:val="22"/>
          <w:szCs w:val="22"/>
          <w:lang w:eastAsia="en-GB"/>
        </w:rPr>
        <w:t>or</w:t>
      </w:r>
    </w:p>
    <w:p w14:paraId="3D9C9369" w14:textId="77777777" w:rsidR="00804AF0" w:rsidRDefault="00804AF0">
      <w:pPr>
        <w:ind w:left="2160" w:firstLine="60"/>
        <w:jc w:val="both"/>
        <w:textAlignment w:val="baseline"/>
        <w:rPr>
          <w:rFonts w:ascii="Calibri" w:hAnsi="Calibri" w:cs="Calibri"/>
          <w:sz w:val="22"/>
          <w:szCs w:val="22"/>
          <w:lang w:eastAsia="en-GB"/>
        </w:rPr>
      </w:pPr>
    </w:p>
    <w:p w14:paraId="3ACFEE00" w14:textId="77777777" w:rsidR="00804AF0" w:rsidRDefault="009A47D6">
      <w:pPr>
        <w:numPr>
          <w:ilvl w:val="0"/>
          <w:numId w:val="19"/>
        </w:numPr>
        <w:jc w:val="both"/>
        <w:textAlignment w:val="baseline"/>
        <w:rPr>
          <w:rFonts w:ascii="Calibri" w:hAnsi="Calibri" w:cs="Calibri"/>
          <w:sz w:val="22"/>
          <w:szCs w:val="22"/>
          <w:lang w:eastAsia="en-GB"/>
        </w:rPr>
      </w:pPr>
      <w:r>
        <w:rPr>
          <w:rFonts w:ascii="Calibri" w:hAnsi="Calibri" w:cs="Calibri"/>
          <w:sz w:val="22"/>
          <w:szCs w:val="22"/>
          <w:lang w:eastAsia="en-GB"/>
        </w:rPr>
        <w:lastRenderedPageBreak/>
        <w:t xml:space="preserve">Allegations of fraud or mismanagement of UNDP funds, through </w:t>
      </w:r>
      <w:hyperlink r:id="rId12" w:history="1">
        <w:r>
          <w:rPr>
            <w:rStyle w:val="Hyperlink"/>
            <w:rFonts w:ascii="Calibri" w:hAnsi="Calibri" w:cs="Calibri"/>
            <w:sz w:val="22"/>
            <w:szCs w:val="22"/>
            <w:lang w:eastAsia="en-GB"/>
          </w:rPr>
          <w:t>reportmisconduct@undp.org</w:t>
        </w:r>
      </w:hyperlink>
      <w:r>
        <w:rPr>
          <w:rFonts w:ascii="Calibri" w:hAnsi="Calibri" w:cs="Calibri"/>
          <w:sz w:val="22"/>
          <w:szCs w:val="22"/>
          <w:lang w:eastAsia="en-GB"/>
        </w:rPr>
        <w:t>.</w:t>
      </w:r>
    </w:p>
    <w:p w14:paraId="55EA3B15" w14:textId="77777777" w:rsidR="00804AF0" w:rsidRDefault="00804AF0">
      <w:pPr>
        <w:ind w:left="720"/>
        <w:jc w:val="both"/>
        <w:textAlignment w:val="baseline"/>
        <w:rPr>
          <w:rFonts w:ascii="Calibri" w:hAnsi="Calibri" w:cs="Calibri"/>
          <w:sz w:val="22"/>
          <w:szCs w:val="22"/>
          <w:lang w:eastAsia="en-GB"/>
        </w:rPr>
      </w:pPr>
    </w:p>
    <w:p w14:paraId="15E9809A" w14:textId="77777777" w:rsidR="00804AF0" w:rsidRDefault="009A47D6">
      <w:pPr>
        <w:ind w:left="720"/>
        <w:jc w:val="both"/>
        <w:textAlignment w:val="baseline"/>
        <w:rPr>
          <w:rFonts w:ascii="Calibri" w:hAnsi="Calibri" w:cs="Calibri"/>
          <w:sz w:val="22"/>
          <w:szCs w:val="22"/>
          <w:lang w:eastAsia="en-GB"/>
        </w:rPr>
      </w:pPr>
      <w:r>
        <w:rPr>
          <w:rFonts w:ascii="Calibri" w:hAnsi="Calibri" w:cs="Calibri"/>
          <w:sz w:val="22"/>
          <w:szCs w:val="22"/>
          <w:lang w:eastAsia="en-GB"/>
        </w:rPr>
        <w:t>Further details and information can be found under the ‘Accountability’ section on UNDP’s website.</w:t>
      </w:r>
    </w:p>
    <w:p w14:paraId="39F763F8" w14:textId="77777777" w:rsidR="00804AF0" w:rsidRDefault="00804AF0">
      <w:pPr>
        <w:ind w:left="1440"/>
        <w:jc w:val="both"/>
        <w:textAlignment w:val="baseline"/>
        <w:rPr>
          <w:rFonts w:ascii="Calibri" w:hAnsi="Calibri" w:cs="Calibri"/>
          <w:sz w:val="22"/>
          <w:szCs w:val="22"/>
          <w:lang w:eastAsia="en-GB"/>
        </w:rPr>
      </w:pPr>
    </w:p>
    <w:p w14:paraId="62C2FAA2" w14:textId="77777777" w:rsidR="00804AF0" w:rsidRDefault="009A47D6">
      <w:pPr>
        <w:numPr>
          <w:ilvl w:val="0"/>
          <w:numId w:val="19"/>
        </w:numPr>
        <w:jc w:val="both"/>
        <w:textAlignment w:val="baseline"/>
        <w:rPr>
          <w:rFonts w:ascii="Calibri" w:hAnsi="Calibri" w:cs="Calibri"/>
          <w:sz w:val="22"/>
          <w:szCs w:val="22"/>
          <w:lang w:eastAsia="en-GB"/>
        </w:rPr>
      </w:pPr>
      <w:r>
        <w:rPr>
          <w:rFonts w:ascii="Calibri" w:hAnsi="Calibri" w:cs="Calibri"/>
          <w:sz w:val="22"/>
          <w:szCs w:val="22"/>
          <w:lang w:eastAsia="en-GB"/>
        </w:rPr>
        <w:t xml:space="preserve">Such allegations must be reported in good faith and with substantiating and detailed information and documentation. Reporting may also be done anonymously, and IPSA holders </w:t>
      </w:r>
      <w:r>
        <w:rPr>
          <w:rFonts w:ascii="Calibri" w:hAnsi="Calibri" w:cs="Calibri"/>
          <w:sz w:val="22"/>
          <w:szCs w:val="22"/>
        </w:rPr>
        <w:t xml:space="preserve">who work exclusively for UNDP (i.e., not assigned to work for a Partner Agency) </w:t>
      </w:r>
      <w:r>
        <w:rPr>
          <w:rFonts w:ascii="Calibri" w:hAnsi="Calibri" w:cs="Calibri"/>
          <w:sz w:val="22"/>
          <w:szCs w:val="22"/>
          <w:lang w:eastAsia="en-GB"/>
        </w:rPr>
        <w:t>are equally protected by UNDP’s Protection against Retaliation Policy.</w:t>
      </w:r>
    </w:p>
    <w:p w14:paraId="6D15F503" w14:textId="77777777" w:rsidR="00804AF0" w:rsidRDefault="00804AF0">
      <w:pPr>
        <w:ind w:left="1080"/>
        <w:jc w:val="both"/>
        <w:textAlignment w:val="baseline"/>
        <w:rPr>
          <w:rFonts w:ascii="Calibri" w:hAnsi="Calibri" w:cs="Calibri"/>
          <w:sz w:val="22"/>
          <w:szCs w:val="22"/>
          <w:lang w:eastAsia="en-GB"/>
        </w:rPr>
      </w:pPr>
    </w:p>
    <w:p w14:paraId="7E655DF6" w14:textId="77777777" w:rsidR="00804AF0" w:rsidRDefault="009A47D6">
      <w:pPr>
        <w:pStyle w:val="Heading1"/>
        <w:numPr>
          <w:ilvl w:val="0"/>
          <w:numId w:val="2"/>
        </w:numPr>
        <w:jc w:val="left"/>
        <w:rPr>
          <w:rFonts w:ascii="Calibri" w:hAnsi="Calibri" w:cs="Calibri"/>
          <w:b/>
          <w:bCs/>
          <w:sz w:val="22"/>
          <w:szCs w:val="22"/>
          <w:lang w:eastAsia="en-GB"/>
        </w:rPr>
      </w:pPr>
      <w:bookmarkStart w:id="58" w:name="_Toc161312430"/>
      <w:r>
        <w:rPr>
          <w:rFonts w:ascii="Calibri" w:hAnsi="Calibri" w:cs="Calibri"/>
          <w:b/>
          <w:bCs/>
          <w:sz w:val="22"/>
          <w:szCs w:val="22"/>
          <w:lang w:eastAsia="en-GB"/>
        </w:rPr>
        <w:t>Overtime</w:t>
      </w:r>
      <w:bookmarkEnd w:id="58"/>
      <w:r>
        <w:rPr>
          <w:rFonts w:ascii="Calibri" w:hAnsi="Calibri" w:cs="Calibri"/>
          <w:b/>
          <w:bCs/>
          <w:sz w:val="22"/>
          <w:szCs w:val="22"/>
          <w:lang w:eastAsia="en-GB"/>
        </w:rPr>
        <w:t>  </w:t>
      </w:r>
    </w:p>
    <w:p w14:paraId="11D29989"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5758D74A" w14:textId="77777777" w:rsidR="00804AF0" w:rsidRDefault="009A47D6">
      <w:pPr>
        <w:numPr>
          <w:ilvl w:val="0"/>
          <w:numId w:val="4"/>
        </w:numPr>
        <w:jc w:val="both"/>
        <w:textAlignment w:val="baseline"/>
        <w:rPr>
          <w:rFonts w:ascii="Calibri" w:hAnsi="Calibri" w:cs="Calibri"/>
          <w:color w:val="000000"/>
          <w:sz w:val="22"/>
          <w:szCs w:val="22"/>
          <w:lang w:val="en-CA" w:eastAsia="en-GB"/>
        </w:rPr>
      </w:pPr>
      <w:r>
        <w:rPr>
          <w:rFonts w:ascii="Calibri" w:hAnsi="Calibri" w:cs="Calibri"/>
          <w:color w:val="000000"/>
          <w:sz w:val="22"/>
          <w:szCs w:val="22"/>
          <w:lang w:val="en-CA" w:eastAsia="en-GB"/>
        </w:rPr>
        <w:t>IPSA holders are not entitled to overtime payments or to compensatory time off in lieu if hours performed beyond the regular official working hours.</w:t>
      </w:r>
    </w:p>
    <w:p w14:paraId="06480668"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142A7310" w14:textId="77777777" w:rsidR="00804AF0" w:rsidRDefault="009A47D6">
      <w:pPr>
        <w:pStyle w:val="Heading1"/>
        <w:numPr>
          <w:ilvl w:val="0"/>
          <w:numId w:val="2"/>
        </w:numPr>
        <w:jc w:val="left"/>
        <w:rPr>
          <w:rFonts w:ascii="Calibri" w:hAnsi="Calibri" w:cs="Calibri"/>
          <w:b/>
          <w:bCs/>
          <w:sz w:val="22"/>
          <w:szCs w:val="22"/>
          <w:lang w:eastAsia="en-GB"/>
        </w:rPr>
      </w:pPr>
      <w:bookmarkStart w:id="59" w:name="_Hlk56454246"/>
      <w:bookmarkStart w:id="60" w:name="_Toc161312431"/>
      <w:r>
        <w:rPr>
          <w:rFonts w:ascii="Calibri" w:hAnsi="Calibri" w:cs="Calibri"/>
          <w:b/>
          <w:bCs/>
          <w:sz w:val="22"/>
          <w:szCs w:val="22"/>
          <w:lang w:eastAsia="en-GB"/>
        </w:rPr>
        <w:t xml:space="preserve">Hardship and </w:t>
      </w:r>
      <w:bookmarkEnd w:id="59"/>
      <w:r>
        <w:rPr>
          <w:rFonts w:ascii="Calibri" w:hAnsi="Calibri" w:cs="Calibri"/>
          <w:b/>
          <w:bCs/>
          <w:sz w:val="22"/>
          <w:szCs w:val="22"/>
          <w:lang w:eastAsia="en-GB"/>
        </w:rPr>
        <w:t>Danger Allowance</w:t>
      </w:r>
      <w:bookmarkEnd w:id="60"/>
    </w:p>
    <w:p w14:paraId="3B8CF7E4" w14:textId="77777777" w:rsidR="00804AF0" w:rsidRDefault="00804AF0">
      <w:pPr>
        <w:jc w:val="both"/>
        <w:textAlignment w:val="baseline"/>
        <w:rPr>
          <w:rFonts w:ascii="Calibri" w:hAnsi="Calibri" w:cs="Calibri"/>
          <w:b/>
          <w:bCs/>
          <w:sz w:val="22"/>
          <w:szCs w:val="22"/>
          <w:lang w:eastAsia="en-GB"/>
        </w:rPr>
      </w:pPr>
    </w:p>
    <w:p w14:paraId="2A0EBFD2" w14:textId="77777777" w:rsidR="00804AF0" w:rsidRDefault="009A47D6">
      <w:pPr>
        <w:jc w:val="both"/>
        <w:textAlignment w:val="baseline"/>
        <w:rPr>
          <w:rFonts w:ascii="Calibri" w:hAnsi="Calibri" w:cs="Calibri"/>
          <w:color w:val="000000"/>
          <w:sz w:val="22"/>
          <w:szCs w:val="22"/>
          <w:u w:val="single"/>
          <w:lang w:val="en-CA" w:eastAsia="en-GB"/>
        </w:rPr>
      </w:pPr>
      <w:bookmarkStart w:id="61" w:name="_Hlk56454272"/>
      <w:r>
        <w:rPr>
          <w:rFonts w:ascii="Calibri" w:hAnsi="Calibri" w:cs="Calibri"/>
          <w:color w:val="000000"/>
          <w:sz w:val="22"/>
          <w:szCs w:val="22"/>
          <w:u w:val="single"/>
          <w:lang w:val="en-CA" w:eastAsia="en-GB"/>
        </w:rPr>
        <w:t>Hardship Allowance</w:t>
      </w:r>
    </w:p>
    <w:p w14:paraId="12E1948A" w14:textId="77777777" w:rsidR="00804AF0" w:rsidRDefault="00804AF0">
      <w:pPr>
        <w:pStyle w:val="ListParagraph"/>
        <w:jc w:val="both"/>
        <w:textAlignment w:val="baseline"/>
        <w:rPr>
          <w:rFonts w:ascii="Calibri" w:eastAsia="Times New Roman" w:hAnsi="Calibri" w:cs="Calibri"/>
          <w:color w:val="000000"/>
          <w:sz w:val="22"/>
          <w:szCs w:val="22"/>
          <w:lang w:val="en-CA" w:eastAsia="en-GB"/>
        </w:rPr>
      </w:pPr>
    </w:p>
    <w:p w14:paraId="730C1CEA" w14:textId="77777777" w:rsidR="00804AF0" w:rsidRDefault="009A47D6">
      <w:pPr>
        <w:numPr>
          <w:ilvl w:val="0"/>
          <w:numId w:val="4"/>
        </w:numPr>
        <w:jc w:val="both"/>
        <w:textAlignment w:val="baseline"/>
        <w:rPr>
          <w:rFonts w:ascii="Calibri" w:hAnsi="Calibri" w:cs="Calibri"/>
          <w:b/>
          <w:bCs/>
          <w:sz w:val="22"/>
          <w:szCs w:val="22"/>
          <w:lang w:eastAsia="en-GB"/>
        </w:rPr>
      </w:pPr>
      <w:r>
        <w:rPr>
          <w:rFonts w:ascii="Calibri" w:hAnsi="Calibri" w:cs="Calibri"/>
          <w:color w:val="000000"/>
          <w:sz w:val="22"/>
          <w:szCs w:val="22"/>
          <w:lang w:val="en-CA" w:eastAsia="en-GB"/>
        </w:rPr>
        <w:t xml:space="preserve">In addition to the base monthly remuneration and the </w:t>
      </w:r>
      <w:proofErr w:type="gramStart"/>
      <w:r>
        <w:rPr>
          <w:rFonts w:ascii="Calibri" w:hAnsi="Calibri" w:cs="Calibri"/>
          <w:color w:val="000000"/>
          <w:sz w:val="22"/>
          <w:szCs w:val="22"/>
          <w:lang w:val="en-CA" w:eastAsia="en-GB"/>
        </w:rPr>
        <w:t>cost of living</w:t>
      </w:r>
      <w:proofErr w:type="gramEnd"/>
      <w:r>
        <w:rPr>
          <w:rFonts w:ascii="Calibri" w:hAnsi="Calibri" w:cs="Calibri"/>
          <w:color w:val="000000"/>
          <w:sz w:val="22"/>
          <w:szCs w:val="22"/>
          <w:lang w:val="en-CA" w:eastAsia="en-GB"/>
        </w:rPr>
        <w:t xml:space="preserve"> component, IPSA holders who serve in locations classified as D and E are also entitled to a hardship allowance. The hardship allowance is fixed as a lump sum amount specified i</w:t>
      </w:r>
      <w:r>
        <w:rPr>
          <w:rFonts w:ascii="Calibri" w:hAnsi="Calibri" w:cs="Calibri"/>
          <w:color w:val="000000"/>
          <w:sz w:val="22"/>
          <w:szCs w:val="22"/>
          <w:lang w:eastAsia="en-GB"/>
        </w:rPr>
        <w:t xml:space="preserve">n </w:t>
      </w:r>
      <w:bookmarkStart w:id="62" w:name="OLE_LINK7"/>
      <w:r>
        <w:rPr>
          <w:rFonts w:ascii="Calibri" w:hAnsi="Calibri" w:cs="Calibri"/>
          <w:sz w:val="22"/>
          <w:szCs w:val="22"/>
          <w:lang w:eastAsia="en-GB"/>
        </w:rPr>
        <w:fldChar w:fldCharType="begin"/>
      </w:r>
      <w:r>
        <w:rPr>
          <w:rFonts w:ascii="Calibri" w:hAnsi="Calibri" w:cs="Calibri"/>
          <w:sz w:val="22"/>
          <w:szCs w:val="22"/>
          <w:lang w:eastAsia="en-GB"/>
        </w:rPr>
        <w:instrText xml:space="preserve"> HYPERLINK \l "_Annex 2: Overview of IPSA benefits" </w:instrText>
      </w:r>
      <w:r>
        <w:rPr>
          <w:rFonts w:ascii="Calibri" w:hAnsi="Calibri" w:cs="Calibri"/>
          <w:sz w:val="22"/>
          <w:szCs w:val="22"/>
          <w:lang w:eastAsia="en-GB"/>
        </w:rPr>
      </w:r>
      <w:r>
        <w:rPr>
          <w:rFonts w:ascii="Calibri" w:hAnsi="Calibri" w:cs="Calibri"/>
          <w:sz w:val="22"/>
          <w:szCs w:val="22"/>
          <w:lang w:eastAsia="en-GB"/>
        </w:rPr>
        <w:fldChar w:fldCharType="separate"/>
      </w:r>
      <w:r>
        <w:rPr>
          <w:rStyle w:val="Hyperlink"/>
          <w:rFonts w:ascii="Calibri" w:hAnsi="Calibri" w:cs="Calibri"/>
          <w:sz w:val="22"/>
          <w:szCs w:val="22"/>
          <w:lang w:eastAsia="en-GB"/>
        </w:rPr>
        <w:t>Annex 2</w:t>
      </w:r>
      <w:bookmarkEnd w:id="62"/>
      <w:r>
        <w:rPr>
          <w:rFonts w:ascii="Calibri" w:hAnsi="Calibri" w:cs="Calibri"/>
          <w:sz w:val="22"/>
          <w:szCs w:val="22"/>
          <w:lang w:eastAsia="en-GB"/>
        </w:rPr>
        <w:fldChar w:fldCharType="end"/>
      </w:r>
      <w:r>
        <w:rPr>
          <w:rFonts w:ascii="Calibri" w:hAnsi="Calibri" w:cs="Calibri"/>
          <w:sz w:val="22"/>
          <w:szCs w:val="22"/>
          <w:lang w:eastAsia="en-GB"/>
        </w:rPr>
        <w:t>.</w:t>
      </w:r>
    </w:p>
    <w:p w14:paraId="32BE3259" w14:textId="77777777" w:rsidR="00804AF0" w:rsidRDefault="00804AF0">
      <w:pPr>
        <w:jc w:val="both"/>
        <w:textAlignment w:val="baseline"/>
        <w:rPr>
          <w:rFonts w:ascii="Calibri" w:hAnsi="Calibri" w:cs="Calibri"/>
          <w:b/>
          <w:bCs/>
          <w:sz w:val="22"/>
          <w:szCs w:val="22"/>
          <w:lang w:eastAsia="en-GB"/>
        </w:rPr>
      </w:pPr>
    </w:p>
    <w:p w14:paraId="459E4531" w14:textId="77777777" w:rsidR="00804AF0" w:rsidRDefault="009A47D6">
      <w:pPr>
        <w:jc w:val="both"/>
        <w:textAlignment w:val="baseline"/>
        <w:rPr>
          <w:rFonts w:ascii="Calibri" w:hAnsi="Calibri" w:cs="Calibri"/>
          <w:color w:val="000000"/>
          <w:sz w:val="22"/>
          <w:szCs w:val="22"/>
          <w:u w:val="single"/>
          <w:lang w:val="en-CA" w:eastAsia="en-GB"/>
        </w:rPr>
      </w:pPr>
      <w:r>
        <w:rPr>
          <w:rFonts w:ascii="Calibri" w:hAnsi="Calibri" w:cs="Calibri"/>
          <w:color w:val="000000"/>
          <w:sz w:val="22"/>
          <w:szCs w:val="22"/>
          <w:u w:val="single"/>
          <w:lang w:val="en-CA" w:eastAsia="en-GB"/>
        </w:rPr>
        <w:t>Danger Allowance</w:t>
      </w:r>
    </w:p>
    <w:p w14:paraId="63D13FDE" w14:textId="77777777" w:rsidR="00804AF0" w:rsidRDefault="00804AF0">
      <w:pPr>
        <w:jc w:val="both"/>
        <w:textAlignment w:val="baseline"/>
        <w:rPr>
          <w:rFonts w:ascii="Calibri" w:hAnsi="Calibri" w:cs="Calibri"/>
          <w:sz w:val="22"/>
          <w:szCs w:val="22"/>
          <w:lang w:eastAsia="en-GB"/>
        </w:rPr>
      </w:pPr>
    </w:p>
    <w:p w14:paraId="6D8C0408" w14:textId="77777777" w:rsidR="00804AF0" w:rsidRDefault="009A47D6">
      <w:pPr>
        <w:numPr>
          <w:ilvl w:val="0"/>
          <w:numId w:val="4"/>
        </w:numPr>
        <w:jc w:val="both"/>
        <w:textAlignment w:val="baseline"/>
        <w:rPr>
          <w:rFonts w:ascii="Calibri" w:hAnsi="Calibri" w:cs="Calibri"/>
          <w:sz w:val="22"/>
          <w:szCs w:val="22"/>
          <w:lang w:eastAsia="en-GB"/>
        </w:rPr>
      </w:pPr>
      <w:r>
        <w:rPr>
          <w:rFonts w:ascii="Calibri" w:hAnsi="Calibri" w:cs="Calibri"/>
          <w:color w:val="000000"/>
          <w:sz w:val="22"/>
          <w:szCs w:val="22"/>
          <w:lang w:val="en-CA" w:eastAsia="en-GB"/>
        </w:rPr>
        <w:t>An additional component to the Hardship Allowance, and in duty stations where danger pay is receivable by staff, IPSA holders who serve in the same duty station are also entitled to a danger allowance. The Danger Allowance is fixed as a lump sum amount specified in</w:t>
      </w:r>
      <w:bookmarkEnd w:id="61"/>
      <w:r>
        <w:rPr>
          <w:rFonts w:ascii="Calibri" w:hAnsi="Calibri" w:cs="Calibri"/>
          <w:color w:val="000000"/>
          <w:sz w:val="22"/>
          <w:szCs w:val="22"/>
          <w:lang w:eastAsia="en-GB"/>
        </w:rPr>
        <w:t xml:space="preserve"> </w:t>
      </w:r>
      <w:hyperlink w:anchor="_Annex 2: Overview of IPSA benefits" w:history="1">
        <w:r>
          <w:rPr>
            <w:rStyle w:val="Hyperlink"/>
            <w:rFonts w:ascii="Calibri" w:hAnsi="Calibri" w:cs="Calibri"/>
            <w:sz w:val="22"/>
            <w:szCs w:val="22"/>
            <w:lang w:eastAsia="en-GB"/>
          </w:rPr>
          <w:t>Annex 2</w:t>
        </w:r>
      </w:hyperlink>
      <w:r>
        <w:rPr>
          <w:rFonts w:ascii="Calibri" w:hAnsi="Calibri" w:cs="Calibri"/>
          <w:sz w:val="22"/>
          <w:szCs w:val="22"/>
          <w:lang w:eastAsia="en-GB"/>
        </w:rPr>
        <w:t>.</w:t>
      </w:r>
    </w:p>
    <w:p w14:paraId="2F83A5B0" w14:textId="77777777" w:rsidR="00804AF0" w:rsidRDefault="00804AF0">
      <w:pPr>
        <w:jc w:val="both"/>
        <w:textAlignment w:val="baseline"/>
        <w:rPr>
          <w:rFonts w:ascii="Calibri" w:hAnsi="Calibri" w:cs="Calibri"/>
          <w:sz w:val="22"/>
          <w:szCs w:val="22"/>
          <w:lang w:eastAsia="en-GB"/>
        </w:rPr>
      </w:pPr>
    </w:p>
    <w:p w14:paraId="6878114C" w14:textId="77777777" w:rsidR="00804AF0" w:rsidRDefault="009A47D6">
      <w:pPr>
        <w:numPr>
          <w:ilvl w:val="0"/>
          <w:numId w:val="4"/>
        </w:numPr>
        <w:jc w:val="both"/>
        <w:textAlignment w:val="baseline"/>
        <w:rPr>
          <w:rFonts w:ascii="Calibri" w:hAnsi="Calibri" w:cs="Calibri"/>
          <w:color w:val="000000"/>
          <w:sz w:val="22"/>
          <w:szCs w:val="22"/>
          <w:lang w:val="en-CA" w:eastAsia="en-GB"/>
        </w:rPr>
      </w:pPr>
      <w:r>
        <w:rPr>
          <w:rFonts w:ascii="Calibri" w:hAnsi="Calibri" w:cs="Calibri"/>
          <w:color w:val="000000"/>
          <w:sz w:val="22"/>
          <w:szCs w:val="22"/>
          <w:lang w:val="en-CA" w:eastAsia="en-GB"/>
        </w:rPr>
        <w:t xml:space="preserve">The Hardship and Danger Allowances are payable based on presence at the duty station. IPSA holders on maternity, paternity, annual or sick leave continue to be eligible </w:t>
      </w:r>
      <w:proofErr w:type="gramStart"/>
      <w:r>
        <w:rPr>
          <w:rFonts w:ascii="Calibri" w:hAnsi="Calibri" w:cs="Calibri"/>
          <w:color w:val="000000"/>
          <w:sz w:val="22"/>
          <w:szCs w:val="22"/>
          <w:lang w:val="en-CA" w:eastAsia="en-GB"/>
        </w:rPr>
        <w:t>as long as</w:t>
      </w:r>
      <w:proofErr w:type="gramEnd"/>
      <w:r>
        <w:rPr>
          <w:rFonts w:ascii="Calibri" w:hAnsi="Calibri" w:cs="Calibri"/>
          <w:color w:val="000000"/>
          <w:sz w:val="22"/>
          <w:szCs w:val="22"/>
          <w:lang w:val="en-CA" w:eastAsia="en-GB"/>
        </w:rPr>
        <w:t xml:space="preserve"> they remain in the duty station. The </w:t>
      </w:r>
      <w:bookmarkStart w:id="63" w:name="_Hlk56454425"/>
      <w:r>
        <w:rPr>
          <w:rFonts w:ascii="Calibri" w:hAnsi="Calibri" w:cs="Calibri"/>
          <w:color w:val="000000"/>
          <w:sz w:val="22"/>
          <w:szCs w:val="22"/>
          <w:lang w:val="en-CA" w:eastAsia="en-GB"/>
        </w:rPr>
        <w:t>Hardship and</w:t>
      </w:r>
      <w:bookmarkEnd w:id="63"/>
      <w:r>
        <w:rPr>
          <w:rFonts w:ascii="Calibri" w:hAnsi="Calibri" w:cs="Calibri"/>
          <w:color w:val="000000"/>
          <w:sz w:val="22"/>
          <w:szCs w:val="22"/>
          <w:lang w:val="en-CA" w:eastAsia="en-GB"/>
        </w:rPr>
        <w:t xml:space="preserve"> Danger </w:t>
      </w:r>
      <w:bookmarkStart w:id="64" w:name="_Hlk56454439"/>
      <w:r>
        <w:rPr>
          <w:rFonts w:ascii="Calibri" w:hAnsi="Calibri" w:cs="Calibri"/>
          <w:color w:val="000000"/>
          <w:sz w:val="22"/>
          <w:szCs w:val="22"/>
          <w:lang w:val="en-CA" w:eastAsia="en-GB"/>
        </w:rPr>
        <w:t>Allowances, where applicable, are</w:t>
      </w:r>
      <w:bookmarkEnd w:id="64"/>
      <w:r>
        <w:rPr>
          <w:rFonts w:ascii="Calibri" w:hAnsi="Calibri" w:cs="Calibri"/>
          <w:color w:val="000000"/>
          <w:sz w:val="22"/>
          <w:szCs w:val="22"/>
          <w:lang w:val="en-CA" w:eastAsia="en-GB"/>
        </w:rPr>
        <w:t xml:space="preserve"> also payable for time away from the designated duty station on official duty travel up to a maximum of seven consecutive calendar days including weekends and holidays falling during that period. Payment of the Danger Allowance ceases from the eighth day of official duty travel. If the IPSA holder travels on mission to another location that qualifies for </w:t>
      </w:r>
      <w:bookmarkStart w:id="65" w:name="_Hlk56454490"/>
      <w:r>
        <w:rPr>
          <w:rFonts w:ascii="Calibri" w:hAnsi="Calibri" w:cs="Calibri"/>
          <w:color w:val="000000"/>
          <w:sz w:val="22"/>
          <w:szCs w:val="22"/>
          <w:lang w:val="en-CA" w:eastAsia="en-GB"/>
        </w:rPr>
        <w:t xml:space="preserve">Hardship and/or </w:t>
      </w:r>
      <w:bookmarkEnd w:id="65"/>
      <w:r>
        <w:rPr>
          <w:rFonts w:ascii="Calibri" w:hAnsi="Calibri" w:cs="Calibri"/>
          <w:color w:val="000000"/>
          <w:sz w:val="22"/>
          <w:szCs w:val="22"/>
          <w:lang w:val="en-CA" w:eastAsia="en-GB"/>
        </w:rPr>
        <w:t xml:space="preserve">Danger Allowance, they will continue to receive these allowances accordingly. </w:t>
      </w:r>
    </w:p>
    <w:p w14:paraId="613C91EF" w14:textId="77777777" w:rsidR="00804AF0" w:rsidRDefault="00804AF0">
      <w:pPr>
        <w:ind w:left="720"/>
        <w:textAlignment w:val="baseline"/>
        <w:rPr>
          <w:rFonts w:ascii="Calibri" w:hAnsi="Calibri" w:cs="Calibri"/>
          <w:sz w:val="22"/>
          <w:szCs w:val="22"/>
          <w:lang w:eastAsia="en-GB"/>
        </w:rPr>
      </w:pPr>
    </w:p>
    <w:p w14:paraId="6BB76B4B" w14:textId="77777777" w:rsidR="00804AF0" w:rsidRDefault="009A47D6">
      <w:pPr>
        <w:pStyle w:val="Heading1"/>
        <w:numPr>
          <w:ilvl w:val="0"/>
          <w:numId w:val="2"/>
        </w:numPr>
        <w:jc w:val="left"/>
        <w:rPr>
          <w:rFonts w:ascii="Calibri" w:hAnsi="Calibri" w:cs="Calibri"/>
          <w:b/>
          <w:bCs/>
          <w:sz w:val="22"/>
          <w:szCs w:val="22"/>
          <w:lang w:eastAsia="en-GB"/>
        </w:rPr>
      </w:pPr>
      <w:bookmarkStart w:id="66" w:name="_Toc161312432"/>
      <w:r>
        <w:rPr>
          <w:rFonts w:ascii="Calibri" w:hAnsi="Calibri" w:cs="Calibri"/>
          <w:b/>
          <w:bCs/>
          <w:sz w:val="22"/>
          <w:szCs w:val="22"/>
          <w:lang w:eastAsia="en-GB"/>
        </w:rPr>
        <w:t>IPSA Remuneration Advances</w:t>
      </w:r>
      <w:bookmarkEnd w:id="66"/>
    </w:p>
    <w:p w14:paraId="769C048B" w14:textId="77777777" w:rsidR="00804AF0" w:rsidRDefault="009A47D6">
      <w:pPr>
        <w:jc w:val="both"/>
        <w:textAlignment w:val="baseline"/>
        <w:rPr>
          <w:rFonts w:ascii="Calibri" w:hAnsi="Calibri" w:cs="Calibri"/>
          <w:b/>
          <w:bCs/>
          <w:color w:val="000000"/>
          <w:sz w:val="22"/>
          <w:szCs w:val="22"/>
          <w:lang w:eastAsia="en-GB"/>
        </w:rPr>
      </w:pPr>
      <w:r>
        <w:rPr>
          <w:rFonts w:ascii="Calibri" w:hAnsi="Calibri" w:cs="Calibri"/>
          <w:b/>
          <w:bCs/>
          <w:color w:val="000000"/>
          <w:sz w:val="22"/>
          <w:szCs w:val="22"/>
          <w:lang w:eastAsia="en-GB"/>
        </w:rPr>
        <w:t> </w:t>
      </w:r>
    </w:p>
    <w:p w14:paraId="5A6742B4" w14:textId="77777777" w:rsidR="00804AF0" w:rsidRDefault="009A47D6">
      <w:pPr>
        <w:numPr>
          <w:ilvl w:val="0"/>
          <w:numId w:val="4"/>
        </w:numPr>
        <w:jc w:val="both"/>
        <w:textAlignment w:val="baseline"/>
        <w:rPr>
          <w:rFonts w:ascii="Calibri" w:hAnsi="Calibri" w:cs="Calibri"/>
          <w:color w:val="000000"/>
          <w:sz w:val="22"/>
          <w:szCs w:val="22"/>
          <w:lang w:val="en-CA" w:eastAsia="en-GB"/>
        </w:rPr>
      </w:pPr>
      <w:r>
        <w:rPr>
          <w:rFonts w:ascii="Calibri" w:hAnsi="Calibri" w:cs="Calibri"/>
          <w:color w:val="000000"/>
          <w:sz w:val="22"/>
          <w:szCs w:val="22"/>
          <w:lang w:val="en-CA" w:eastAsia="en-GB"/>
        </w:rPr>
        <w:t xml:space="preserve">IPSA holders may request remuneration advances in emergency situations, provided the project duration, the IPSA duration and the availability of funding cover the amount and the intended period of repayment. </w:t>
      </w:r>
      <w:proofErr w:type="gramStart"/>
      <w:r>
        <w:rPr>
          <w:rFonts w:ascii="Calibri" w:hAnsi="Calibri" w:cs="Calibri"/>
          <w:color w:val="000000"/>
          <w:sz w:val="22"/>
          <w:szCs w:val="22"/>
          <w:lang w:val="en-CA" w:eastAsia="en-GB"/>
        </w:rPr>
        <w:t>In the event that</w:t>
      </w:r>
      <w:proofErr w:type="gramEnd"/>
      <w:r>
        <w:rPr>
          <w:rFonts w:ascii="Calibri" w:hAnsi="Calibri" w:cs="Calibri"/>
          <w:color w:val="000000"/>
          <w:sz w:val="22"/>
          <w:szCs w:val="22"/>
          <w:lang w:val="en-CA" w:eastAsia="en-GB"/>
        </w:rPr>
        <w:t xml:space="preserve"> remuneration advances are approved by the supervisor, the same conditions of request and repayment shall apply as for </w:t>
      </w:r>
      <w:proofErr w:type="gramStart"/>
      <w:r>
        <w:rPr>
          <w:rFonts w:ascii="Calibri" w:hAnsi="Calibri" w:cs="Calibri"/>
          <w:color w:val="000000"/>
          <w:sz w:val="22"/>
          <w:szCs w:val="22"/>
          <w:lang w:val="en-CA" w:eastAsia="en-GB"/>
        </w:rPr>
        <w:t>staff  salary</w:t>
      </w:r>
      <w:proofErr w:type="gramEnd"/>
      <w:r>
        <w:rPr>
          <w:rFonts w:ascii="Calibri" w:hAnsi="Calibri" w:cs="Calibri"/>
          <w:color w:val="000000"/>
          <w:sz w:val="22"/>
          <w:szCs w:val="22"/>
          <w:lang w:val="en-CA" w:eastAsia="en-GB"/>
        </w:rPr>
        <w:t xml:space="preserve"> advances.</w:t>
      </w:r>
    </w:p>
    <w:p w14:paraId="4676D71F"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58279109" w14:textId="77777777" w:rsidR="00804AF0" w:rsidRDefault="009A47D6">
      <w:pPr>
        <w:pStyle w:val="Heading1"/>
        <w:numPr>
          <w:ilvl w:val="0"/>
          <w:numId w:val="2"/>
        </w:numPr>
        <w:jc w:val="left"/>
        <w:rPr>
          <w:rFonts w:ascii="Calibri" w:hAnsi="Calibri" w:cs="Calibri"/>
          <w:b/>
          <w:bCs/>
          <w:sz w:val="22"/>
          <w:szCs w:val="22"/>
          <w:lang w:eastAsia="en-GB"/>
        </w:rPr>
      </w:pPr>
      <w:bookmarkStart w:id="67" w:name="_Toc161312433"/>
      <w:r>
        <w:rPr>
          <w:rFonts w:ascii="Calibri" w:hAnsi="Calibri" w:cs="Calibri"/>
          <w:b/>
          <w:bCs/>
          <w:sz w:val="22"/>
          <w:szCs w:val="22"/>
          <w:lang w:eastAsia="en-GB"/>
        </w:rPr>
        <w:lastRenderedPageBreak/>
        <w:t>Mandatory subsidized coverage not commutable to cash</w:t>
      </w:r>
      <w:bookmarkEnd w:id="67"/>
    </w:p>
    <w:p w14:paraId="00F3D8C5" w14:textId="77777777" w:rsidR="00804AF0" w:rsidRDefault="00804AF0">
      <w:pPr>
        <w:jc w:val="both"/>
        <w:textAlignment w:val="baseline"/>
        <w:rPr>
          <w:rFonts w:ascii="Calibri" w:hAnsi="Calibri" w:cs="Calibri"/>
          <w:sz w:val="22"/>
          <w:szCs w:val="22"/>
          <w:lang w:eastAsia="en-GB"/>
        </w:rPr>
      </w:pPr>
    </w:p>
    <w:p w14:paraId="25CFB085" w14:textId="77777777" w:rsidR="00804AF0" w:rsidRDefault="009A47D6">
      <w:pPr>
        <w:numPr>
          <w:ilvl w:val="0"/>
          <w:numId w:val="4"/>
        </w:numPr>
        <w:jc w:val="both"/>
        <w:textAlignment w:val="baseline"/>
        <w:rPr>
          <w:rFonts w:ascii="Calibri" w:hAnsi="Calibri" w:cs="Calibri"/>
          <w:color w:val="000000"/>
          <w:sz w:val="22"/>
          <w:szCs w:val="22"/>
          <w:lang w:val="en-CA" w:eastAsia="en-GB"/>
        </w:rPr>
      </w:pPr>
      <w:r>
        <w:rPr>
          <w:rFonts w:ascii="Calibri" w:hAnsi="Calibri" w:cs="Calibri"/>
          <w:color w:val="000000"/>
          <w:sz w:val="22"/>
          <w:szCs w:val="22"/>
          <w:lang w:val="en-CA" w:eastAsia="en-GB"/>
        </w:rPr>
        <w:t xml:space="preserve">The following subsidized coverage is provided by </w:t>
      </w:r>
      <w:proofErr w:type="gramStart"/>
      <w:r>
        <w:rPr>
          <w:rFonts w:ascii="Calibri" w:hAnsi="Calibri" w:cs="Calibri"/>
          <w:color w:val="000000"/>
          <w:sz w:val="22"/>
          <w:szCs w:val="22"/>
          <w:lang w:val="en-CA" w:eastAsia="en-GB"/>
        </w:rPr>
        <w:t>UNDP, and</w:t>
      </w:r>
      <w:proofErr w:type="gramEnd"/>
      <w:r>
        <w:rPr>
          <w:rFonts w:ascii="Calibri" w:hAnsi="Calibri" w:cs="Calibri"/>
          <w:color w:val="000000"/>
          <w:sz w:val="22"/>
          <w:szCs w:val="22"/>
          <w:lang w:val="en-CA" w:eastAsia="en-GB"/>
        </w:rPr>
        <w:t xml:space="preserve"> is mandatory to cover possible risks against the individual or the organization. These benefits may not be commuted to cash and are mandatory and applicable as stated below.</w:t>
      </w:r>
    </w:p>
    <w:p w14:paraId="2BB3A593"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25E3D3C8" w14:textId="77777777" w:rsidR="00804AF0" w:rsidRDefault="009A47D6">
      <w:pPr>
        <w:numPr>
          <w:ilvl w:val="0"/>
          <w:numId w:val="4"/>
        </w:numPr>
        <w:jc w:val="both"/>
        <w:textAlignment w:val="baseline"/>
        <w:rPr>
          <w:rFonts w:ascii="Calibri" w:hAnsi="Calibri" w:cs="Calibri"/>
          <w:b/>
          <w:bCs/>
          <w:color w:val="000000"/>
          <w:sz w:val="22"/>
          <w:szCs w:val="22"/>
          <w:lang w:val="en-CA" w:eastAsia="en-GB"/>
        </w:rPr>
      </w:pPr>
      <w:r>
        <w:rPr>
          <w:rFonts w:ascii="Calibri" w:hAnsi="Calibri" w:cs="Calibri"/>
          <w:b/>
          <w:bCs/>
          <w:color w:val="000000"/>
          <w:sz w:val="22"/>
          <w:szCs w:val="22"/>
          <w:lang w:val="en-CA" w:eastAsia="en-GB"/>
        </w:rPr>
        <w:t>Group Life and Disability Insurance</w:t>
      </w:r>
    </w:p>
    <w:p w14:paraId="3040538C" w14:textId="77777777" w:rsidR="00804AF0" w:rsidRDefault="009A47D6">
      <w:pPr>
        <w:jc w:val="both"/>
        <w:textAlignment w:val="baseline"/>
        <w:rPr>
          <w:rFonts w:ascii="Calibri" w:hAnsi="Calibri" w:cs="Calibri"/>
          <w:sz w:val="22"/>
          <w:szCs w:val="22"/>
          <w:lang w:eastAsia="en-GB"/>
        </w:rPr>
      </w:pPr>
      <w:r>
        <w:rPr>
          <w:rFonts w:ascii="Calibri" w:hAnsi="Calibri" w:cs="Calibri"/>
          <w:color w:val="000000"/>
          <w:sz w:val="22"/>
          <w:szCs w:val="22"/>
          <w:lang w:eastAsia="en-GB"/>
        </w:rPr>
        <w:t> </w:t>
      </w:r>
    </w:p>
    <w:p w14:paraId="2ED1E050" w14:textId="77777777" w:rsidR="00804AF0" w:rsidRDefault="009A47D6">
      <w:pPr>
        <w:numPr>
          <w:ilvl w:val="0"/>
          <w:numId w:val="20"/>
        </w:numPr>
        <w:jc w:val="both"/>
        <w:textAlignment w:val="baseline"/>
        <w:rPr>
          <w:rFonts w:ascii="Calibri" w:hAnsi="Calibri" w:cs="Calibri"/>
          <w:sz w:val="22"/>
          <w:szCs w:val="22"/>
          <w:lang w:eastAsia="en-GB"/>
        </w:rPr>
      </w:pPr>
      <w:r>
        <w:rPr>
          <w:rFonts w:ascii="Calibri" w:hAnsi="Calibri" w:cs="Calibri"/>
          <w:sz w:val="22"/>
          <w:szCs w:val="22"/>
          <w:lang w:eastAsia="en-GB"/>
        </w:rPr>
        <w:t>All persons hired on an IPSA will be covered for service incurred disability/injury/death, at no cost to the IPSA holder.</w:t>
      </w:r>
    </w:p>
    <w:p w14:paraId="449732F8" w14:textId="77777777" w:rsidR="00804AF0" w:rsidRDefault="00804AF0">
      <w:pPr>
        <w:ind w:left="720" w:firstLine="50"/>
        <w:jc w:val="both"/>
        <w:textAlignment w:val="baseline"/>
        <w:rPr>
          <w:rFonts w:ascii="Calibri" w:hAnsi="Calibri" w:cs="Calibri"/>
          <w:sz w:val="22"/>
          <w:szCs w:val="22"/>
          <w:lang w:eastAsia="en-GB"/>
        </w:rPr>
      </w:pPr>
    </w:p>
    <w:p w14:paraId="778B2460" w14:textId="77777777" w:rsidR="00804AF0" w:rsidRDefault="009A47D6">
      <w:pPr>
        <w:numPr>
          <w:ilvl w:val="0"/>
          <w:numId w:val="20"/>
        </w:numPr>
        <w:jc w:val="both"/>
        <w:textAlignment w:val="baseline"/>
        <w:rPr>
          <w:rFonts w:ascii="Calibri" w:hAnsi="Calibri" w:cs="Calibri"/>
          <w:sz w:val="22"/>
          <w:szCs w:val="22"/>
          <w:lang w:eastAsia="en-GB"/>
        </w:rPr>
      </w:pPr>
      <w:r>
        <w:rPr>
          <w:rFonts w:ascii="Calibri" w:hAnsi="Calibri" w:cs="Calibri"/>
          <w:sz w:val="22"/>
          <w:szCs w:val="22"/>
          <w:lang w:eastAsia="en-GB"/>
        </w:rPr>
        <w:t>IPSA holders must be enrolled in the global Cigna “Group Life &amp; Disability” insurance plan prescribed by UNDP which provides cover for death and permanent disability as a result of any cause. In the event of death and disability as a result of any cause, a claim must be submitted under the “Group Service-Incurred Death and Disability Insurance Plan” for compensation through Cigna.</w:t>
      </w:r>
    </w:p>
    <w:p w14:paraId="2FFF7BF3" w14:textId="77777777" w:rsidR="00804AF0" w:rsidRDefault="00804AF0">
      <w:pPr>
        <w:ind w:left="360" w:firstLine="50"/>
        <w:jc w:val="both"/>
        <w:textAlignment w:val="baseline"/>
        <w:rPr>
          <w:rFonts w:ascii="Calibri" w:hAnsi="Calibri" w:cs="Calibri"/>
          <w:sz w:val="22"/>
          <w:szCs w:val="22"/>
          <w:lang w:eastAsia="en-GB"/>
        </w:rPr>
      </w:pPr>
    </w:p>
    <w:p w14:paraId="7742E387" w14:textId="77777777" w:rsidR="00804AF0" w:rsidRDefault="009A47D6">
      <w:pPr>
        <w:numPr>
          <w:ilvl w:val="0"/>
          <w:numId w:val="20"/>
        </w:numPr>
        <w:jc w:val="both"/>
        <w:textAlignment w:val="baseline"/>
        <w:rPr>
          <w:rFonts w:ascii="Calibri" w:hAnsi="Calibri" w:cs="Calibri"/>
          <w:sz w:val="22"/>
          <w:szCs w:val="22"/>
          <w:lang w:eastAsia="en-GB"/>
        </w:rPr>
      </w:pPr>
      <w:r>
        <w:rPr>
          <w:rFonts w:ascii="Calibri" w:hAnsi="Calibri" w:cs="Calibri"/>
          <w:sz w:val="22"/>
          <w:szCs w:val="22"/>
          <w:lang w:eastAsia="en-GB"/>
        </w:rPr>
        <w:t>The premium for the Cigna scheme must be paid by the UNDP Office in respect of each IPSA holder. The premium is established in US dollars. The local currency value must be determined monthly on the basis of the UN operational rate of exchange. The premium must be collected and remitted monthly at the time of processing the remuneration.</w:t>
      </w:r>
    </w:p>
    <w:p w14:paraId="5C1FB278" w14:textId="77777777" w:rsidR="00804AF0" w:rsidRDefault="00804AF0">
      <w:pPr>
        <w:ind w:left="360" w:firstLine="50"/>
        <w:jc w:val="both"/>
        <w:textAlignment w:val="baseline"/>
        <w:rPr>
          <w:rFonts w:ascii="Calibri" w:hAnsi="Calibri" w:cs="Calibri"/>
          <w:sz w:val="22"/>
          <w:szCs w:val="22"/>
          <w:lang w:eastAsia="en-GB"/>
        </w:rPr>
      </w:pPr>
    </w:p>
    <w:p w14:paraId="470E8C52" w14:textId="77777777" w:rsidR="00804AF0" w:rsidRDefault="009A47D6">
      <w:pPr>
        <w:numPr>
          <w:ilvl w:val="0"/>
          <w:numId w:val="20"/>
        </w:numPr>
        <w:jc w:val="both"/>
        <w:textAlignment w:val="baseline"/>
        <w:rPr>
          <w:rFonts w:ascii="Calibri" w:hAnsi="Calibri" w:cs="Calibri"/>
          <w:sz w:val="22"/>
          <w:szCs w:val="22"/>
          <w:lang w:eastAsia="en-GB"/>
        </w:rPr>
      </w:pPr>
      <w:r>
        <w:rPr>
          <w:rFonts w:ascii="Calibri" w:hAnsi="Calibri" w:cs="Calibri"/>
          <w:sz w:val="22"/>
          <w:szCs w:val="22"/>
          <w:lang w:eastAsia="en-GB"/>
        </w:rPr>
        <w:t>The UNDP Office must maintain a record in its ERP system of amounts collected, should there be any questions or audit at a later date.</w:t>
      </w:r>
    </w:p>
    <w:p w14:paraId="142A00C1" w14:textId="77777777" w:rsidR="00804AF0" w:rsidRDefault="00804AF0">
      <w:pPr>
        <w:ind w:left="360" w:firstLine="50"/>
        <w:jc w:val="both"/>
        <w:textAlignment w:val="baseline"/>
        <w:rPr>
          <w:rFonts w:ascii="Calibri" w:hAnsi="Calibri" w:cs="Calibri"/>
          <w:sz w:val="22"/>
          <w:szCs w:val="22"/>
          <w:lang w:eastAsia="en-GB"/>
        </w:rPr>
      </w:pPr>
    </w:p>
    <w:p w14:paraId="2A6BB339" w14:textId="77777777" w:rsidR="00804AF0" w:rsidRDefault="009A47D6">
      <w:pPr>
        <w:numPr>
          <w:ilvl w:val="0"/>
          <w:numId w:val="20"/>
        </w:numPr>
        <w:jc w:val="both"/>
        <w:textAlignment w:val="baseline"/>
        <w:rPr>
          <w:rFonts w:ascii="Calibri" w:hAnsi="Calibri" w:cs="Calibri"/>
          <w:sz w:val="22"/>
          <w:szCs w:val="22"/>
          <w:lang w:eastAsia="en-GB"/>
        </w:rPr>
      </w:pPr>
      <w:r>
        <w:rPr>
          <w:rFonts w:ascii="Calibri" w:hAnsi="Calibri" w:cs="Calibri"/>
          <w:sz w:val="22"/>
          <w:szCs w:val="22"/>
          <w:lang w:eastAsia="en-GB"/>
        </w:rPr>
        <w:t>For this premium amount, subject to the Cigna policies in place, the IPSA holder would be eligible to receive up to the ceiling established under this benefit for permanent total disability and, in the event of the IPSA holder’s death, the surviving spouse and/or dependents would receive up to the ceiling established under this benefit.</w:t>
      </w:r>
    </w:p>
    <w:p w14:paraId="00C753A6" w14:textId="77777777" w:rsidR="00804AF0" w:rsidRDefault="00804AF0">
      <w:pPr>
        <w:ind w:left="720" w:firstLine="50"/>
        <w:textAlignment w:val="baseline"/>
        <w:rPr>
          <w:rFonts w:ascii="Calibri" w:hAnsi="Calibri" w:cs="Calibri"/>
          <w:sz w:val="22"/>
          <w:szCs w:val="22"/>
          <w:lang w:eastAsia="en-GB"/>
        </w:rPr>
      </w:pPr>
    </w:p>
    <w:p w14:paraId="79E0B4C8" w14:textId="77777777" w:rsidR="00804AF0" w:rsidRDefault="009A47D6">
      <w:pPr>
        <w:numPr>
          <w:ilvl w:val="0"/>
          <w:numId w:val="4"/>
        </w:numPr>
        <w:jc w:val="both"/>
        <w:textAlignment w:val="baseline"/>
        <w:rPr>
          <w:rFonts w:ascii="Calibri" w:hAnsi="Calibri" w:cs="Calibri"/>
          <w:b/>
          <w:bCs/>
          <w:color w:val="000000"/>
          <w:sz w:val="22"/>
          <w:szCs w:val="22"/>
          <w:lang w:val="en-CA" w:eastAsia="en-GB"/>
        </w:rPr>
      </w:pPr>
      <w:r>
        <w:rPr>
          <w:rFonts w:ascii="Calibri" w:hAnsi="Calibri" w:cs="Calibri"/>
          <w:b/>
          <w:bCs/>
          <w:color w:val="000000"/>
          <w:sz w:val="22"/>
          <w:szCs w:val="22"/>
          <w:lang w:val="en-CA" w:eastAsia="en-GB"/>
        </w:rPr>
        <w:t>Claims for Death or Disability </w:t>
      </w:r>
    </w:p>
    <w:p w14:paraId="3C8466AD" w14:textId="77777777" w:rsidR="00804AF0" w:rsidRDefault="009A47D6">
      <w:pPr>
        <w:jc w:val="both"/>
        <w:textAlignment w:val="baseline"/>
        <w:rPr>
          <w:rFonts w:ascii="Calibri" w:hAnsi="Calibri" w:cs="Calibri"/>
          <w:sz w:val="22"/>
          <w:szCs w:val="22"/>
          <w:lang w:eastAsia="en-GB"/>
        </w:rPr>
      </w:pPr>
      <w:r>
        <w:rPr>
          <w:rFonts w:ascii="Calibri" w:hAnsi="Calibri" w:cs="Calibri"/>
          <w:color w:val="0000FF"/>
          <w:sz w:val="22"/>
          <w:szCs w:val="22"/>
          <w:lang w:eastAsia="en-GB"/>
        </w:rPr>
        <w:t> </w:t>
      </w:r>
    </w:p>
    <w:p w14:paraId="3E63D031" w14:textId="77777777" w:rsidR="00804AF0" w:rsidRDefault="009A47D6">
      <w:pPr>
        <w:numPr>
          <w:ilvl w:val="0"/>
          <w:numId w:val="21"/>
        </w:numPr>
        <w:jc w:val="both"/>
        <w:textAlignment w:val="baseline"/>
        <w:rPr>
          <w:rFonts w:ascii="Calibri" w:hAnsi="Calibri" w:cs="Calibri"/>
          <w:sz w:val="22"/>
          <w:szCs w:val="22"/>
          <w:lang w:eastAsia="en-GB"/>
        </w:rPr>
      </w:pPr>
      <w:r>
        <w:rPr>
          <w:rFonts w:ascii="Calibri" w:hAnsi="Calibri" w:cs="Calibri"/>
          <w:sz w:val="22"/>
          <w:szCs w:val="22"/>
          <w:lang w:eastAsia="en-GB"/>
        </w:rPr>
        <w:t>In the event of death of an IPSA holder, the UNDP Office must promptly notify the insurance company. Information surrounding the death, contractual status and other documentation must be provided by the UNDP Office as requested by the insurance company.</w:t>
      </w:r>
    </w:p>
    <w:p w14:paraId="1636BD5F" w14:textId="77777777" w:rsidR="00804AF0" w:rsidRDefault="00804AF0">
      <w:pPr>
        <w:ind w:left="360" w:firstLine="50"/>
        <w:jc w:val="both"/>
        <w:textAlignment w:val="baseline"/>
        <w:rPr>
          <w:rFonts w:ascii="Calibri" w:hAnsi="Calibri" w:cs="Calibri"/>
          <w:sz w:val="22"/>
          <w:szCs w:val="22"/>
          <w:lang w:eastAsia="en-GB"/>
        </w:rPr>
      </w:pPr>
    </w:p>
    <w:p w14:paraId="4D0BA99F" w14:textId="77777777" w:rsidR="00804AF0" w:rsidRDefault="009A47D6">
      <w:pPr>
        <w:numPr>
          <w:ilvl w:val="0"/>
          <w:numId w:val="21"/>
        </w:numPr>
        <w:jc w:val="both"/>
        <w:textAlignment w:val="baseline"/>
        <w:rPr>
          <w:rFonts w:ascii="Calibri" w:hAnsi="Calibri" w:cs="Calibri"/>
          <w:sz w:val="22"/>
          <w:szCs w:val="22"/>
          <w:lang w:eastAsia="en-GB"/>
        </w:rPr>
      </w:pPr>
      <w:r>
        <w:rPr>
          <w:rFonts w:ascii="Calibri" w:hAnsi="Calibri" w:cs="Calibri"/>
          <w:sz w:val="22"/>
          <w:szCs w:val="22"/>
          <w:lang w:eastAsia="en-GB"/>
        </w:rPr>
        <w:t>In the event of a service incurred disability which prevents the IPSA holder from continuing to perform according to their agreement, a claim can be submitted under the “Group Service-Incurred Death and Disability Insurance Plan” for compensation through Cigna, or under the local scheme established by the UNDP Office.</w:t>
      </w:r>
    </w:p>
    <w:p w14:paraId="537716DF" w14:textId="77777777" w:rsidR="00804AF0" w:rsidRDefault="00804AF0">
      <w:pPr>
        <w:ind w:left="360" w:firstLine="50"/>
        <w:jc w:val="both"/>
        <w:textAlignment w:val="baseline"/>
        <w:rPr>
          <w:rFonts w:ascii="Calibri" w:hAnsi="Calibri" w:cs="Calibri"/>
          <w:sz w:val="22"/>
          <w:szCs w:val="22"/>
          <w:lang w:eastAsia="en-GB"/>
        </w:rPr>
      </w:pPr>
    </w:p>
    <w:p w14:paraId="1AB54840" w14:textId="77777777" w:rsidR="00804AF0" w:rsidRDefault="009A47D6">
      <w:pPr>
        <w:numPr>
          <w:ilvl w:val="0"/>
          <w:numId w:val="21"/>
        </w:numPr>
        <w:jc w:val="both"/>
        <w:textAlignment w:val="baseline"/>
        <w:rPr>
          <w:rFonts w:ascii="Calibri" w:hAnsi="Calibri" w:cs="Calibri"/>
          <w:sz w:val="22"/>
          <w:szCs w:val="22"/>
          <w:lang w:eastAsia="en-GB"/>
        </w:rPr>
      </w:pPr>
      <w:r>
        <w:rPr>
          <w:rFonts w:ascii="Calibri" w:hAnsi="Calibri" w:cs="Calibri"/>
          <w:sz w:val="22"/>
          <w:szCs w:val="22"/>
          <w:lang w:eastAsia="en-GB"/>
        </w:rPr>
        <w:t>Each UNDP Office must ensure it has a copy of the policy on file since the claim procedure is set forth therein. The current certification required by Cigna for settlement of death, service-incurred injury or disability claims is:</w:t>
      </w:r>
    </w:p>
    <w:p w14:paraId="37A16D8E" w14:textId="77777777" w:rsidR="00804AF0" w:rsidRDefault="00804AF0">
      <w:pPr>
        <w:ind w:left="360"/>
        <w:jc w:val="both"/>
        <w:textAlignment w:val="baseline"/>
        <w:rPr>
          <w:rFonts w:ascii="Calibri" w:hAnsi="Calibri" w:cs="Calibri"/>
          <w:sz w:val="22"/>
          <w:szCs w:val="22"/>
          <w:lang w:eastAsia="en-GB"/>
        </w:rPr>
      </w:pPr>
    </w:p>
    <w:p w14:paraId="46F4C42A" w14:textId="77777777" w:rsidR="00804AF0" w:rsidRDefault="009A47D6">
      <w:pPr>
        <w:numPr>
          <w:ilvl w:val="1"/>
          <w:numId w:val="22"/>
        </w:numPr>
        <w:jc w:val="both"/>
        <w:textAlignment w:val="baseline"/>
        <w:rPr>
          <w:rFonts w:ascii="Calibri" w:hAnsi="Calibri" w:cs="Calibri"/>
          <w:sz w:val="22"/>
          <w:szCs w:val="22"/>
          <w:lang w:eastAsia="en-GB"/>
        </w:rPr>
      </w:pPr>
      <w:r>
        <w:rPr>
          <w:rFonts w:ascii="Calibri" w:hAnsi="Calibri" w:cs="Calibri"/>
          <w:sz w:val="22"/>
          <w:szCs w:val="22"/>
          <w:lang w:eastAsia="en-GB"/>
        </w:rPr>
        <w:t>A report from the UN examining physician;</w:t>
      </w:r>
    </w:p>
    <w:p w14:paraId="37166875" w14:textId="77777777" w:rsidR="00804AF0" w:rsidRDefault="00804AF0">
      <w:pPr>
        <w:ind w:left="1440"/>
        <w:jc w:val="both"/>
        <w:textAlignment w:val="baseline"/>
        <w:rPr>
          <w:rFonts w:ascii="Calibri" w:hAnsi="Calibri" w:cs="Calibri"/>
          <w:sz w:val="22"/>
          <w:szCs w:val="22"/>
          <w:lang w:eastAsia="en-GB"/>
        </w:rPr>
      </w:pPr>
    </w:p>
    <w:p w14:paraId="71B22B3D" w14:textId="77777777" w:rsidR="00804AF0" w:rsidRDefault="009A47D6">
      <w:pPr>
        <w:numPr>
          <w:ilvl w:val="1"/>
          <w:numId w:val="22"/>
        </w:numPr>
        <w:jc w:val="both"/>
        <w:textAlignment w:val="baseline"/>
        <w:rPr>
          <w:rFonts w:ascii="Calibri" w:hAnsi="Calibri" w:cs="Calibri"/>
          <w:sz w:val="22"/>
          <w:szCs w:val="22"/>
          <w:lang w:eastAsia="en-GB"/>
        </w:rPr>
      </w:pPr>
      <w:r>
        <w:rPr>
          <w:rFonts w:ascii="Calibri" w:hAnsi="Calibri" w:cs="Calibri"/>
          <w:sz w:val="22"/>
          <w:szCs w:val="22"/>
          <w:lang w:eastAsia="en-GB"/>
        </w:rPr>
        <w:t xml:space="preserve">Evidence of valid IPSA at the time of death or disability; </w:t>
      </w:r>
      <w:r>
        <w:rPr>
          <w:rFonts w:ascii="Calibri" w:hAnsi="Calibri" w:cs="Calibri"/>
          <w:i/>
          <w:iCs/>
          <w:sz w:val="22"/>
          <w:szCs w:val="22"/>
          <w:lang w:eastAsia="en-GB"/>
        </w:rPr>
        <w:t>and</w:t>
      </w:r>
    </w:p>
    <w:p w14:paraId="5B31C216" w14:textId="77777777" w:rsidR="00804AF0" w:rsidRDefault="00804AF0">
      <w:pPr>
        <w:ind w:left="1440"/>
        <w:jc w:val="both"/>
        <w:textAlignment w:val="baseline"/>
        <w:rPr>
          <w:rFonts w:ascii="Calibri" w:hAnsi="Calibri" w:cs="Calibri"/>
          <w:sz w:val="22"/>
          <w:szCs w:val="22"/>
          <w:lang w:eastAsia="en-GB"/>
        </w:rPr>
      </w:pPr>
    </w:p>
    <w:p w14:paraId="1EEFBACF" w14:textId="77777777" w:rsidR="00804AF0" w:rsidRDefault="009A47D6">
      <w:pPr>
        <w:numPr>
          <w:ilvl w:val="1"/>
          <w:numId w:val="22"/>
        </w:numPr>
        <w:jc w:val="both"/>
        <w:textAlignment w:val="baseline"/>
        <w:rPr>
          <w:rFonts w:ascii="Calibri" w:hAnsi="Calibri" w:cs="Calibri"/>
          <w:sz w:val="22"/>
          <w:szCs w:val="22"/>
          <w:lang w:eastAsia="en-GB"/>
        </w:rPr>
      </w:pPr>
      <w:r>
        <w:rPr>
          <w:rFonts w:ascii="Calibri" w:hAnsi="Calibri" w:cs="Calibri"/>
          <w:sz w:val="22"/>
          <w:szCs w:val="22"/>
          <w:lang w:eastAsia="en-GB"/>
        </w:rPr>
        <w:t>An indication that the premiums have been paid throughout the agreement.</w:t>
      </w:r>
    </w:p>
    <w:p w14:paraId="6DDE517E" w14:textId="77777777" w:rsidR="00804AF0" w:rsidRDefault="009A47D6">
      <w:pPr>
        <w:ind w:left="360"/>
        <w:jc w:val="both"/>
        <w:textAlignment w:val="baseline"/>
        <w:rPr>
          <w:rFonts w:ascii="Calibri" w:hAnsi="Calibri" w:cs="Calibri"/>
          <w:sz w:val="22"/>
          <w:szCs w:val="22"/>
          <w:lang w:eastAsia="en-GB"/>
        </w:rPr>
      </w:pPr>
      <w:r>
        <w:rPr>
          <w:rFonts w:ascii="Calibri" w:hAnsi="Calibri" w:cs="Calibri"/>
          <w:sz w:val="22"/>
          <w:szCs w:val="22"/>
          <w:lang w:eastAsia="en-GB"/>
        </w:rPr>
        <w:t> </w:t>
      </w:r>
    </w:p>
    <w:p w14:paraId="04E934C1" w14:textId="77777777" w:rsidR="00804AF0" w:rsidRDefault="009A47D6">
      <w:pPr>
        <w:numPr>
          <w:ilvl w:val="0"/>
          <w:numId w:val="21"/>
        </w:numPr>
        <w:jc w:val="both"/>
        <w:textAlignment w:val="baseline"/>
        <w:rPr>
          <w:rFonts w:ascii="Calibri" w:hAnsi="Calibri" w:cs="Calibri"/>
          <w:sz w:val="22"/>
          <w:szCs w:val="22"/>
          <w:lang w:eastAsia="en-GB"/>
        </w:rPr>
      </w:pPr>
      <w:r>
        <w:rPr>
          <w:rFonts w:ascii="Calibri" w:hAnsi="Calibri" w:cs="Calibri"/>
          <w:sz w:val="22"/>
          <w:szCs w:val="22"/>
          <w:lang w:eastAsia="en-GB"/>
        </w:rPr>
        <w:t>The UNDP administering unit (GSSU) must have on file the original entry medical certification of the IPSA holder.</w:t>
      </w:r>
    </w:p>
    <w:p w14:paraId="01998BD6" w14:textId="77777777" w:rsidR="00804AF0" w:rsidRDefault="00804AF0">
      <w:pPr>
        <w:ind w:left="720"/>
        <w:jc w:val="both"/>
        <w:textAlignment w:val="baseline"/>
        <w:rPr>
          <w:rFonts w:ascii="Calibri" w:hAnsi="Calibri" w:cs="Calibri"/>
          <w:sz w:val="22"/>
          <w:szCs w:val="22"/>
          <w:lang w:eastAsia="en-GB"/>
        </w:rPr>
      </w:pPr>
    </w:p>
    <w:p w14:paraId="7A963B4C" w14:textId="77777777" w:rsidR="00804AF0" w:rsidRDefault="009A47D6">
      <w:pPr>
        <w:numPr>
          <w:ilvl w:val="0"/>
          <w:numId w:val="4"/>
        </w:numPr>
        <w:jc w:val="both"/>
        <w:textAlignment w:val="baseline"/>
        <w:rPr>
          <w:rFonts w:ascii="Calibri" w:hAnsi="Calibri" w:cs="Calibri"/>
          <w:b/>
          <w:bCs/>
          <w:color w:val="000000"/>
          <w:sz w:val="22"/>
          <w:szCs w:val="22"/>
          <w:lang w:val="en-CA" w:eastAsia="en-GB"/>
        </w:rPr>
      </w:pPr>
      <w:r>
        <w:rPr>
          <w:rFonts w:ascii="Calibri" w:hAnsi="Calibri" w:cs="Calibri"/>
          <w:b/>
          <w:bCs/>
          <w:color w:val="000000"/>
          <w:sz w:val="22"/>
          <w:szCs w:val="22"/>
          <w:lang w:val="en-CA" w:eastAsia="en-GB"/>
        </w:rPr>
        <w:t>Malicious Acts Insurance Policy (MAIP)</w:t>
      </w:r>
    </w:p>
    <w:p w14:paraId="706DD967" w14:textId="77777777" w:rsidR="00804AF0" w:rsidRDefault="00804AF0">
      <w:pPr>
        <w:jc w:val="both"/>
        <w:textAlignment w:val="baseline"/>
        <w:rPr>
          <w:rFonts w:ascii="Calibri" w:hAnsi="Calibri" w:cs="Calibri"/>
          <w:sz w:val="22"/>
          <w:szCs w:val="22"/>
          <w:lang w:eastAsia="en-GB"/>
        </w:rPr>
      </w:pPr>
    </w:p>
    <w:p w14:paraId="413A4778" w14:textId="77777777" w:rsidR="00804AF0" w:rsidRDefault="009A47D6">
      <w:pPr>
        <w:pStyle w:val="ListParagraph"/>
        <w:numPr>
          <w:ilvl w:val="0"/>
          <w:numId w:val="23"/>
        </w:numPr>
        <w:jc w:val="both"/>
        <w:textAlignment w:val="baseline"/>
        <w:rPr>
          <w:rFonts w:ascii="Calibri" w:hAnsi="Calibri" w:cs="Calibri"/>
          <w:sz w:val="22"/>
          <w:szCs w:val="22"/>
          <w:lang w:eastAsia="en-GB"/>
        </w:rPr>
      </w:pPr>
      <w:r>
        <w:rPr>
          <w:rFonts w:ascii="Calibri" w:hAnsi="Calibri" w:cs="Calibri"/>
          <w:sz w:val="22"/>
          <w:szCs w:val="22"/>
          <w:lang w:eastAsia="en-GB"/>
        </w:rPr>
        <w:t>IPSA holders who serve at, or travel at UNDP ’s expense to, a designated hazardous duty station are automatically covered by the Malicious Acts Insurance Policy (MAIP) and must therefore be included under the safety and security measures implemented by the UNDP Country Office under the Security Plan. Failure to comply with security instructions may render the insurance coverage null and void in so far as it relates to the IPSA holder in question. Furthermore, non-compliance with security instructions is grounds for termination of the IPSA for cause. The UNDP Office must therefore ensure that the information on MAIP and the relevant security instructions are available to IPSA holders.</w:t>
      </w:r>
    </w:p>
    <w:p w14:paraId="73D49497" w14:textId="77777777" w:rsidR="00804AF0" w:rsidRDefault="00804AF0">
      <w:pPr>
        <w:ind w:left="720"/>
        <w:jc w:val="both"/>
        <w:textAlignment w:val="baseline"/>
        <w:rPr>
          <w:rFonts w:ascii="Calibri" w:hAnsi="Calibri" w:cs="Calibri"/>
          <w:sz w:val="22"/>
          <w:szCs w:val="22"/>
          <w:lang w:eastAsia="en-GB"/>
        </w:rPr>
      </w:pPr>
    </w:p>
    <w:p w14:paraId="3D55686E" w14:textId="77777777" w:rsidR="00804AF0" w:rsidRDefault="009A47D6">
      <w:pPr>
        <w:pStyle w:val="ListParagraph"/>
        <w:numPr>
          <w:ilvl w:val="0"/>
          <w:numId w:val="23"/>
        </w:numPr>
        <w:jc w:val="both"/>
        <w:textAlignment w:val="baseline"/>
        <w:rPr>
          <w:rFonts w:ascii="Calibri" w:hAnsi="Calibri" w:cs="Calibri"/>
          <w:sz w:val="22"/>
          <w:szCs w:val="22"/>
          <w:lang w:eastAsia="en-GB"/>
        </w:rPr>
      </w:pPr>
      <w:r>
        <w:rPr>
          <w:rFonts w:ascii="Calibri" w:hAnsi="Calibri" w:cs="Calibri"/>
          <w:sz w:val="22"/>
          <w:szCs w:val="22"/>
          <w:lang w:eastAsia="en-GB"/>
        </w:rPr>
        <w:t>All claims, together with supporting documentation, must be submitted by the IPSA holder to the local Human Resources Administrator, who is responsible for reviewing such claims and forwarding them to the HR Advisor at Headquarters serving the duty station in question.</w:t>
      </w:r>
    </w:p>
    <w:p w14:paraId="10941C4E" w14:textId="77777777" w:rsidR="00804AF0" w:rsidRDefault="00804AF0">
      <w:pPr>
        <w:ind w:left="720"/>
        <w:textAlignment w:val="baseline"/>
        <w:rPr>
          <w:rFonts w:ascii="Calibri" w:hAnsi="Calibri" w:cs="Calibri"/>
          <w:sz w:val="22"/>
          <w:szCs w:val="22"/>
          <w:lang w:eastAsia="en-GB"/>
        </w:rPr>
      </w:pPr>
    </w:p>
    <w:p w14:paraId="1D0E95BC" w14:textId="77777777" w:rsidR="00804AF0" w:rsidRDefault="009A47D6">
      <w:pPr>
        <w:pStyle w:val="Heading1"/>
        <w:numPr>
          <w:ilvl w:val="0"/>
          <w:numId w:val="2"/>
        </w:numPr>
        <w:jc w:val="left"/>
        <w:rPr>
          <w:rFonts w:ascii="Calibri" w:hAnsi="Calibri" w:cs="Calibri"/>
          <w:b/>
          <w:bCs/>
          <w:sz w:val="22"/>
          <w:szCs w:val="22"/>
          <w:lang w:eastAsia="en-GB"/>
        </w:rPr>
      </w:pPr>
      <w:bookmarkStart w:id="68" w:name="_Toc161312434"/>
      <w:r>
        <w:rPr>
          <w:rFonts w:ascii="Calibri" w:hAnsi="Calibri" w:cs="Calibri"/>
          <w:b/>
          <w:bCs/>
          <w:sz w:val="22"/>
          <w:szCs w:val="22"/>
          <w:lang w:eastAsia="en-GB"/>
        </w:rPr>
        <w:t>Mandatory partially subsidized (lump sum) coverage not commutable to cash</w:t>
      </w:r>
      <w:bookmarkEnd w:id="68"/>
      <w:r>
        <w:rPr>
          <w:rFonts w:ascii="Calibri" w:hAnsi="Calibri" w:cs="Calibri"/>
          <w:b/>
          <w:bCs/>
          <w:sz w:val="22"/>
          <w:szCs w:val="22"/>
          <w:lang w:eastAsia="en-GB"/>
        </w:rPr>
        <w:t> </w:t>
      </w:r>
    </w:p>
    <w:p w14:paraId="53930604" w14:textId="77777777" w:rsidR="00804AF0" w:rsidRDefault="00804AF0">
      <w:pPr>
        <w:jc w:val="both"/>
        <w:textAlignment w:val="baseline"/>
        <w:rPr>
          <w:rFonts w:ascii="Calibri" w:hAnsi="Calibri" w:cs="Calibri"/>
          <w:sz w:val="22"/>
          <w:szCs w:val="22"/>
          <w:lang w:eastAsia="en-GB"/>
        </w:rPr>
      </w:pPr>
    </w:p>
    <w:p w14:paraId="4A5AB48C" w14:textId="77777777" w:rsidR="00804AF0" w:rsidRDefault="009A47D6">
      <w:pPr>
        <w:jc w:val="both"/>
        <w:textAlignment w:val="baseline"/>
        <w:rPr>
          <w:rFonts w:ascii="Calibri" w:hAnsi="Calibri" w:cs="Calibri"/>
          <w:color w:val="000000"/>
          <w:sz w:val="22"/>
          <w:szCs w:val="22"/>
          <w:lang w:val="en-CA" w:eastAsia="en-GB"/>
        </w:rPr>
      </w:pPr>
      <w:r>
        <w:rPr>
          <w:rFonts w:ascii="Calibri" w:hAnsi="Calibri" w:cs="Calibri"/>
          <w:color w:val="000000"/>
          <w:sz w:val="22"/>
          <w:szCs w:val="22"/>
          <w:lang w:val="en-CA" w:eastAsia="en-GB"/>
        </w:rPr>
        <w:t xml:space="preserve">The following </w:t>
      </w:r>
      <w:proofErr w:type="gramStart"/>
      <w:r>
        <w:rPr>
          <w:rFonts w:ascii="Calibri" w:hAnsi="Calibri" w:cs="Calibri"/>
          <w:color w:val="000000"/>
          <w:sz w:val="22"/>
          <w:szCs w:val="22"/>
          <w:lang w:val="en-CA" w:eastAsia="en-GB"/>
        </w:rPr>
        <w:t>partially-subsidized</w:t>
      </w:r>
      <w:proofErr w:type="gramEnd"/>
      <w:r>
        <w:rPr>
          <w:rFonts w:ascii="Calibri" w:hAnsi="Calibri" w:cs="Calibri"/>
          <w:color w:val="000000"/>
          <w:sz w:val="22"/>
          <w:szCs w:val="22"/>
          <w:lang w:val="en-CA" w:eastAsia="en-GB"/>
        </w:rPr>
        <w:t xml:space="preserve"> coverage is provided by UNDP in form of a lump sum, and is mandatory for the IPSA to ensure coverage, to cover possible risks against the individual or the organization. These benefits are mandatory and applicable as stated below.</w:t>
      </w:r>
    </w:p>
    <w:p w14:paraId="14CD4AAF" w14:textId="77777777" w:rsidR="00804AF0" w:rsidRDefault="009A47D6">
      <w:pPr>
        <w:ind w:left="360"/>
        <w:jc w:val="both"/>
        <w:textAlignment w:val="baseline"/>
        <w:rPr>
          <w:rFonts w:ascii="Calibri" w:hAnsi="Calibri" w:cs="Calibri"/>
          <w:sz w:val="22"/>
          <w:szCs w:val="22"/>
          <w:lang w:eastAsia="en-GB"/>
        </w:rPr>
      </w:pPr>
      <w:r>
        <w:rPr>
          <w:rFonts w:ascii="Calibri" w:hAnsi="Calibri" w:cs="Calibri"/>
          <w:sz w:val="22"/>
          <w:szCs w:val="22"/>
          <w:lang w:eastAsia="en-GB"/>
        </w:rPr>
        <w:t> </w:t>
      </w:r>
    </w:p>
    <w:p w14:paraId="22B6DDAA" w14:textId="77777777" w:rsidR="00804AF0" w:rsidRDefault="009A47D6">
      <w:pPr>
        <w:numPr>
          <w:ilvl w:val="0"/>
          <w:numId w:val="4"/>
        </w:numPr>
        <w:jc w:val="both"/>
        <w:textAlignment w:val="baseline"/>
        <w:rPr>
          <w:rFonts w:ascii="Calibri" w:hAnsi="Calibri" w:cs="Calibri"/>
          <w:b/>
          <w:bCs/>
          <w:color w:val="000000"/>
          <w:sz w:val="22"/>
          <w:szCs w:val="22"/>
          <w:lang w:val="en-CA" w:eastAsia="en-GB"/>
        </w:rPr>
      </w:pPr>
      <w:r>
        <w:rPr>
          <w:rFonts w:ascii="Calibri" w:hAnsi="Calibri" w:cs="Calibri"/>
          <w:b/>
          <w:bCs/>
          <w:color w:val="000000"/>
          <w:sz w:val="22"/>
          <w:szCs w:val="22"/>
          <w:lang w:val="en-CA" w:eastAsia="en-GB"/>
        </w:rPr>
        <w:t>Medical Insurance </w:t>
      </w:r>
    </w:p>
    <w:p w14:paraId="5C627E2D" w14:textId="77777777" w:rsidR="00804AF0" w:rsidRDefault="00804AF0">
      <w:pPr>
        <w:ind w:left="360"/>
        <w:jc w:val="both"/>
        <w:textAlignment w:val="baseline"/>
        <w:rPr>
          <w:rFonts w:ascii="Calibri" w:hAnsi="Calibri" w:cs="Calibri"/>
          <w:sz w:val="22"/>
          <w:szCs w:val="22"/>
          <w:lang w:eastAsia="en-GB"/>
        </w:rPr>
      </w:pPr>
    </w:p>
    <w:p w14:paraId="498F5FC3" w14:textId="77777777" w:rsidR="00804AF0" w:rsidRDefault="009A47D6">
      <w:pPr>
        <w:numPr>
          <w:ilvl w:val="0"/>
          <w:numId w:val="24"/>
        </w:numPr>
        <w:jc w:val="both"/>
        <w:textAlignment w:val="baseline"/>
        <w:rPr>
          <w:rFonts w:ascii="Calibri" w:hAnsi="Calibri" w:cs="Calibri"/>
          <w:sz w:val="22"/>
          <w:szCs w:val="22"/>
          <w:lang w:eastAsia="en-GB"/>
        </w:rPr>
      </w:pPr>
      <w:r>
        <w:rPr>
          <w:rFonts w:ascii="Calibri" w:hAnsi="Calibri" w:cs="Calibri"/>
          <w:sz w:val="22"/>
          <w:szCs w:val="22"/>
          <w:lang w:eastAsia="en-GB"/>
        </w:rPr>
        <w:t>Medical insurance is mandatory. IPSAs holders must have adequate medical insurance throughout their IPSA period with UNDP.</w:t>
      </w:r>
    </w:p>
    <w:p w14:paraId="1C598665" w14:textId="77777777" w:rsidR="00804AF0" w:rsidRDefault="00804AF0">
      <w:pPr>
        <w:ind w:left="360" w:firstLine="50"/>
        <w:jc w:val="both"/>
        <w:textAlignment w:val="baseline"/>
        <w:rPr>
          <w:rFonts w:ascii="Calibri" w:hAnsi="Calibri" w:cs="Calibri"/>
          <w:sz w:val="22"/>
          <w:szCs w:val="22"/>
          <w:lang w:eastAsia="en-GB"/>
        </w:rPr>
      </w:pPr>
    </w:p>
    <w:p w14:paraId="3185A044" w14:textId="77777777" w:rsidR="00804AF0" w:rsidRDefault="009A47D6">
      <w:pPr>
        <w:numPr>
          <w:ilvl w:val="0"/>
          <w:numId w:val="24"/>
        </w:numPr>
        <w:jc w:val="both"/>
        <w:textAlignment w:val="baseline"/>
        <w:rPr>
          <w:rFonts w:ascii="Calibri" w:hAnsi="Calibri" w:cs="Calibri"/>
          <w:sz w:val="22"/>
          <w:szCs w:val="22"/>
          <w:lang w:eastAsia="en-GB"/>
        </w:rPr>
      </w:pPr>
      <w:r>
        <w:rPr>
          <w:rFonts w:ascii="Calibri" w:hAnsi="Calibri" w:cs="Calibri"/>
          <w:sz w:val="22"/>
          <w:szCs w:val="22"/>
          <w:lang w:eastAsia="en-GB"/>
        </w:rPr>
        <w:t>UNDP will provide a subsidy in the form of a fixed monthly lump sum specified in the table of entitlements (</w:t>
      </w:r>
      <w:bookmarkStart w:id="69" w:name="OLE_LINK9"/>
      <w:r>
        <w:rPr>
          <w:rFonts w:ascii="Calibri" w:hAnsi="Calibri" w:cs="Calibri"/>
          <w:sz w:val="22"/>
          <w:szCs w:val="22"/>
          <w:lang w:eastAsia="en-GB"/>
        </w:rPr>
        <w:fldChar w:fldCharType="begin"/>
      </w:r>
      <w:r>
        <w:rPr>
          <w:rFonts w:ascii="Calibri" w:hAnsi="Calibri" w:cs="Calibri"/>
          <w:sz w:val="22"/>
          <w:szCs w:val="22"/>
          <w:lang w:eastAsia="en-GB"/>
        </w:rPr>
        <w:instrText xml:space="preserve"> HYPERLINK \l "_Annex 2: Overview of IPSA benefits" </w:instrText>
      </w:r>
      <w:r>
        <w:rPr>
          <w:rFonts w:ascii="Calibri" w:hAnsi="Calibri" w:cs="Calibri"/>
          <w:sz w:val="22"/>
          <w:szCs w:val="22"/>
          <w:lang w:eastAsia="en-GB"/>
        </w:rPr>
      </w:r>
      <w:r>
        <w:rPr>
          <w:rFonts w:ascii="Calibri" w:hAnsi="Calibri" w:cs="Calibri"/>
          <w:sz w:val="22"/>
          <w:szCs w:val="22"/>
          <w:lang w:eastAsia="en-GB"/>
        </w:rPr>
        <w:fldChar w:fldCharType="separate"/>
      </w:r>
      <w:bookmarkEnd w:id="69"/>
      <w:r>
        <w:rPr>
          <w:rStyle w:val="Hyperlink"/>
          <w:rFonts w:ascii="Calibri" w:hAnsi="Calibri" w:cs="Calibri"/>
          <w:sz w:val="22"/>
          <w:szCs w:val="22"/>
          <w:lang w:eastAsia="en-GB"/>
        </w:rPr>
        <w:t>Annex</w:t>
      </w:r>
      <w:r>
        <w:rPr>
          <w:rFonts w:ascii="Calibri" w:hAnsi="Calibri" w:cs="Calibri"/>
          <w:sz w:val="22"/>
          <w:szCs w:val="22"/>
          <w:lang w:eastAsia="en-GB"/>
        </w:rPr>
        <w:fldChar w:fldCharType="end"/>
      </w:r>
      <w:r>
        <w:rPr>
          <w:rFonts w:ascii="Calibri" w:hAnsi="Calibri" w:cs="Calibri"/>
          <w:sz w:val="22"/>
          <w:szCs w:val="22"/>
          <w:lang w:eastAsia="en-GB"/>
        </w:rPr>
        <w:t xml:space="preserve"> 2), to subsidize part of the cost of the medical insurance.</w:t>
      </w:r>
    </w:p>
    <w:p w14:paraId="6E6226CB" w14:textId="77777777" w:rsidR="00804AF0" w:rsidRDefault="00804AF0">
      <w:pPr>
        <w:ind w:left="720" w:firstLine="50"/>
        <w:textAlignment w:val="baseline"/>
        <w:rPr>
          <w:rFonts w:ascii="Calibri" w:hAnsi="Calibri" w:cs="Calibri"/>
          <w:sz w:val="22"/>
          <w:szCs w:val="22"/>
          <w:lang w:eastAsia="en-GB"/>
        </w:rPr>
      </w:pPr>
    </w:p>
    <w:p w14:paraId="46772EA2" w14:textId="77777777" w:rsidR="00804AF0" w:rsidRDefault="009A47D6">
      <w:pPr>
        <w:numPr>
          <w:ilvl w:val="0"/>
          <w:numId w:val="24"/>
        </w:numPr>
        <w:jc w:val="both"/>
        <w:textAlignment w:val="baseline"/>
        <w:rPr>
          <w:rFonts w:ascii="Calibri" w:hAnsi="Calibri" w:cs="Calibri"/>
          <w:sz w:val="22"/>
          <w:szCs w:val="22"/>
          <w:lang w:eastAsia="en-GB"/>
        </w:rPr>
      </w:pPr>
      <w:r>
        <w:rPr>
          <w:rFonts w:ascii="Calibri" w:hAnsi="Calibri" w:cs="Calibri"/>
          <w:sz w:val="22"/>
          <w:szCs w:val="22"/>
          <w:lang w:eastAsia="en-GB"/>
        </w:rPr>
        <w:t>In order to ensure that the coverage is adequate to UNDP’s global standards for personnel coverage, UNDP shall make available several schemes for the IPSA holder to select from.</w:t>
      </w:r>
    </w:p>
    <w:p w14:paraId="6544E47A" w14:textId="77777777" w:rsidR="00804AF0" w:rsidRDefault="00804AF0">
      <w:pPr>
        <w:ind w:left="720" w:firstLine="50"/>
        <w:textAlignment w:val="baseline"/>
        <w:rPr>
          <w:rFonts w:ascii="Calibri" w:hAnsi="Calibri" w:cs="Calibri"/>
          <w:sz w:val="22"/>
          <w:szCs w:val="22"/>
          <w:lang w:eastAsia="en-GB"/>
        </w:rPr>
      </w:pPr>
    </w:p>
    <w:p w14:paraId="1EFDFE2E" w14:textId="77777777" w:rsidR="00804AF0" w:rsidRDefault="009A47D6">
      <w:pPr>
        <w:numPr>
          <w:ilvl w:val="0"/>
          <w:numId w:val="24"/>
        </w:numPr>
        <w:jc w:val="both"/>
        <w:textAlignment w:val="baseline"/>
        <w:rPr>
          <w:rFonts w:ascii="Calibri" w:hAnsi="Calibri" w:cs="Calibri"/>
          <w:sz w:val="22"/>
          <w:szCs w:val="22"/>
          <w:lang w:eastAsia="en-GB"/>
        </w:rPr>
      </w:pPr>
      <w:r>
        <w:rPr>
          <w:rFonts w:ascii="Calibri" w:hAnsi="Calibri" w:cs="Calibri"/>
          <w:sz w:val="22"/>
          <w:szCs w:val="22"/>
          <w:lang w:eastAsia="en-GB"/>
        </w:rPr>
        <w:t xml:space="preserve">IPSA holders must present proof of participation and coverage at the commencement of the </w:t>
      </w:r>
      <w:proofErr w:type="gramStart"/>
      <w:r>
        <w:rPr>
          <w:rFonts w:ascii="Calibri" w:hAnsi="Calibri" w:cs="Calibri"/>
          <w:sz w:val="22"/>
          <w:szCs w:val="22"/>
          <w:lang w:eastAsia="en-GB"/>
        </w:rPr>
        <w:t>IPSA, and</w:t>
      </w:r>
      <w:proofErr w:type="gramEnd"/>
      <w:r>
        <w:rPr>
          <w:rFonts w:ascii="Calibri" w:hAnsi="Calibri" w:cs="Calibri"/>
          <w:sz w:val="22"/>
          <w:szCs w:val="22"/>
          <w:lang w:eastAsia="en-GB"/>
        </w:rPr>
        <w:t xml:space="preserve"> take full responsibility for their own coverage and administration of that coverage.</w:t>
      </w:r>
    </w:p>
    <w:p w14:paraId="110CE6BB" w14:textId="77777777" w:rsidR="00804AF0" w:rsidRDefault="00804AF0">
      <w:pPr>
        <w:ind w:left="720"/>
        <w:textAlignment w:val="baseline"/>
        <w:rPr>
          <w:rFonts w:ascii="Calibri" w:hAnsi="Calibri" w:cs="Calibri"/>
          <w:sz w:val="22"/>
          <w:szCs w:val="22"/>
          <w:lang w:eastAsia="en-GB"/>
        </w:rPr>
      </w:pPr>
    </w:p>
    <w:p w14:paraId="36FC5A5E" w14:textId="77777777" w:rsidR="00804AF0" w:rsidRDefault="009A47D6">
      <w:pPr>
        <w:pStyle w:val="Heading1"/>
        <w:numPr>
          <w:ilvl w:val="0"/>
          <w:numId w:val="2"/>
        </w:numPr>
        <w:jc w:val="left"/>
        <w:rPr>
          <w:rFonts w:ascii="Calibri" w:hAnsi="Calibri" w:cs="Calibri"/>
          <w:b/>
          <w:bCs/>
          <w:sz w:val="22"/>
          <w:szCs w:val="22"/>
          <w:lang w:eastAsia="en-GB"/>
        </w:rPr>
      </w:pPr>
      <w:bookmarkStart w:id="70" w:name="_Toc161312435"/>
      <w:proofErr w:type="gramStart"/>
      <w:r>
        <w:rPr>
          <w:rFonts w:ascii="Calibri" w:hAnsi="Calibri" w:cs="Calibri"/>
          <w:b/>
          <w:bCs/>
          <w:sz w:val="22"/>
          <w:szCs w:val="22"/>
          <w:lang w:eastAsia="en-GB"/>
        </w:rPr>
        <w:t>Non subsidized</w:t>
      </w:r>
      <w:proofErr w:type="gramEnd"/>
      <w:r>
        <w:rPr>
          <w:rFonts w:ascii="Calibri" w:hAnsi="Calibri" w:cs="Calibri"/>
          <w:b/>
          <w:bCs/>
          <w:sz w:val="22"/>
          <w:szCs w:val="22"/>
          <w:lang w:eastAsia="en-GB"/>
        </w:rPr>
        <w:t xml:space="preserve"> </w:t>
      </w:r>
      <w:proofErr w:type="gramStart"/>
      <w:r>
        <w:rPr>
          <w:rFonts w:ascii="Calibri" w:hAnsi="Calibri" w:cs="Calibri"/>
          <w:b/>
          <w:bCs/>
          <w:sz w:val="22"/>
          <w:szCs w:val="22"/>
          <w:lang w:eastAsia="en-GB"/>
        </w:rPr>
        <w:t>coverages</w:t>
      </w:r>
      <w:bookmarkEnd w:id="70"/>
      <w:proofErr w:type="gramEnd"/>
    </w:p>
    <w:p w14:paraId="0A23981A" w14:textId="77777777" w:rsidR="00804AF0" w:rsidRDefault="00804AF0">
      <w:pPr>
        <w:jc w:val="both"/>
        <w:textAlignment w:val="baseline"/>
        <w:rPr>
          <w:rFonts w:ascii="Calibri" w:hAnsi="Calibri" w:cs="Calibri"/>
          <w:sz w:val="22"/>
          <w:szCs w:val="22"/>
          <w:lang w:eastAsia="en-GB"/>
        </w:rPr>
      </w:pPr>
    </w:p>
    <w:p w14:paraId="128EC9A8" w14:textId="77777777" w:rsidR="00804AF0" w:rsidRDefault="009A47D6">
      <w:pPr>
        <w:jc w:val="both"/>
        <w:textAlignment w:val="baseline"/>
        <w:rPr>
          <w:rFonts w:ascii="Calibri" w:hAnsi="Calibri" w:cs="Calibri"/>
          <w:color w:val="000000"/>
          <w:sz w:val="22"/>
          <w:szCs w:val="22"/>
          <w:lang w:val="en-CA" w:eastAsia="en-GB"/>
        </w:rPr>
      </w:pPr>
      <w:r>
        <w:rPr>
          <w:rFonts w:ascii="Calibri" w:hAnsi="Calibri" w:cs="Calibri"/>
          <w:color w:val="000000"/>
          <w:sz w:val="22"/>
          <w:szCs w:val="22"/>
          <w:lang w:val="en-CA" w:eastAsia="en-GB"/>
        </w:rPr>
        <w:t>The following coverage is to be obtained by the IPSA holder independently:</w:t>
      </w:r>
    </w:p>
    <w:p w14:paraId="0ADAEBF4" w14:textId="77777777" w:rsidR="00804AF0" w:rsidRDefault="009A47D6">
      <w:pPr>
        <w:jc w:val="both"/>
        <w:textAlignment w:val="baseline"/>
        <w:rPr>
          <w:rFonts w:ascii="Calibri" w:hAnsi="Calibri" w:cs="Calibri"/>
          <w:sz w:val="22"/>
          <w:szCs w:val="22"/>
          <w:lang w:eastAsia="en-GB"/>
        </w:rPr>
      </w:pPr>
      <w:r>
        <w:rPr>
          <w:rFonts w:ascii="Calibri" w:hAnsi="Calibri" w:cs="Calibri"/>
          <w:color w:val="333333"/>
          <w:sz w:val="22"/>
          <w:szCs w:val="22"/>
          <w:lang w:eastAsia="en-GB"/>
        </w:rPr>
        <w:lastRenderedPageBreak/>
        <w:t> </w:t>
      </w:r>
    </w:p>
    <w:p w14:paraId="0B9AB2C8" w14:textId="77777777" w:rsidR="00804AF0" w:rsidRDefault="009A47D6">
      <w:pPr>
        <w:numPr>
          <w:ilvl w:val="0"/>
          <w:numId w:val="4"/>
        </w:numPr>
        <w:jc w:val="both"/>
        <w:textAlignment w:val="baseline"/>
        <w:rPr>
          <w:rFonts w:ascii="Calibri" w:hAnsi="Calibri" w:cs="Calibri"/>
          <w:b/>
          <w:bCs/>
          <w:color w:val="000000"/>
          <w:sz w:val="22"/>
          <w:szCs w:val="22"/>
          <w:lang w:val="en-CA" w:eastAsia="en-GB"/>
        </w:rPr>
      </w:pPr>
      <w:r>
        <w:rPr>
          <w:rFonts w:ascii="Calibri" w:hAnsi="Calibri" w:cs="Calibri"/>
          <w:b/>
          <w:bCs/>
          <w:color w:val="000000"/>
          <w:sz w:val="22"/>
          <w:szCs w:val="22"/>
          <w:lang w:val="en-CA" w:eastAsia="en-GB"/>
        </w:rPr>
        <w:t>Medical Evacuation</w:t>
      </w:r>
    </w:p>
    <w:p w14:paraId="48C94C8A" w14:textId="77777777" w:rsidR="00804AF0" w:rsidRDefault="00804AF0">
      <w:pPr>
        <w:jc w:val="both"/>
        <w:textAlignment w:val="baseline"/>
        <w:rPr>
          <w:rFonts w:ascii="Calibri" w:hAnsi="Calibri" w:cs="Calibri"/>
          <w:sz w:val="22"/>
          <w:szCs w:val="22"/>
          <w:lang w:eastAsia="en-GB"/>
        </w:rPr>
      </w:pPr>
    </w:p>
    <w:p w14:paraId="6D8A3893" w14:textId="77777777" w:rsidR="00804AF0" w:rsidRDefault="009A47D6">
      <w:pPr>
        <w:numPr>
          <w:ilvl w:val="0"/>
          <w:numId w:val="25"/>
        </w:numPr>
        <w:jc w:val="both"/>
        <w:textAlignment w:val="baseline"/>
        <w:rPr>
          <w:rFonts w:ascii="Calibri" w:hAnsi="Calibri" w:cs="Calibri"/>
          <w:sz w:val="22"/>
          <w:szCs w:val="22"/>
          <w:lang w:eastAsia="en-GB"/>
        </w:rPr>
      </w:pPr>
      <w:r>
        <w:rPr>
          <w:rFonts w:ascii="Calibri" w:hAnsi="Calibri" w:cs="Calibri"/>
          <w:sz w:val="22"/>
          <w:szCs w:val="22"/>
          <w:lang w:eastAsia="en-GB"/>
        </w:rPr>
        <w:t>Individuals engaged under IPSA are expected to obtain their own medical evacuation insurance as they are generally not eligible for medical evacuation unless they are on official travel status outside the duty station.</w:t>
      </w:r>
    </w:p>
    <w:p w14:paraId="6AA95590" w14:textId="77777777" w:rsidR="00804AF0" w:rsidRDefault="00804AF0">
      <w:pPr>
        <w:ind w:left="1080" w:firstLine="50"/>
        <w:jc w:val="both"/>
        <w:textAlignment w:val="baseline"/>
        <w:rPr>
          <w:rFonts w:ascii="Calibri" w:hAnsi="Calibri" w:cs="Calibri"/>
          <w:sz w:val="22"/>
          <w:szCs w:val="22"/>
          <w:lang w:eastAsia="en-GB"/>
        </w:rPr>
      </w:pPr>
    </w:p>
    <w:p w14:paraId="7D446062" w14:textId="77777777" w:rsidR="00804AF0" w:rsidRDefault="009A47D6">
      <w:pPr>
        <w:numPr>
          <w:ilvl w:val="0"/>
          <w:numId w:val="25"/>
        </w:numPr>
        <w:jc w:val="both"/>
        <w:textAlignment w:val="baseline"/>
        <w:rPr>
          <w:rFonts w:ascii="Calibri" w:hAnsi="Calibri" w:cs="Calibri"/>
          <w:sz w:val="22"/>
          <w:szCs w:val="22"/>
          <w:lang w:eastAsia="en-GB"/>
        </w:rPr>
      </w:pPr>
      <w:r>
        <w:rPr>
          <w:rFonts w:ascii="Calibri" w:hAnsi="Calibri" w:cs="Calibri"/>
          <w:sz w:val="22"/>
          <w:szCs w:val="22"/>
          <w:lang w:eastAsia="en-GB"/>
        </w:rPr>
        <w:t>UNDP office shall make every effort to help facilitate the medical evacuation in cases of an emergency nature, where the service exists and is able to cater for such, and where the local health services are inadequate and the IPSA holder requests the assistance of UNDP. The cost for such medical evacuation shall be facilitated at the full cost of the IPSA holder.</w:t>
      </w:r>
    </w:p>
    <w:p w14:paraId="43327F18" w14:textId="77777777" w:rsidR="00804AF0" w:rsidRDefault="009A47D6">
      <w:pPr>
        <w:ind w:left="360"/>
        <w:jc w:val="both"/>
        <w:textAlignment w:val="baseline"/>
        <w:rPr>
          <w:rFonts w:ascii="Calibri" w:hAnsi="Calibri" w:cs="Calibri"/>
          <w:sz w:val="22"/>
          <w:szCs w:val="22"/>
          <w:lang w:eastAsia="en-GB"/>
        </w:rPr>
      </w:pPr>
      <w:r>
        <w:rPr>
          <w:rFonts w:ascii="Calibri" w:hAnsi="Calibri" w:cs="Calibri"/>
          <w:sz w:val="22"/>
          <w:szCs w:val="22"/>
          <w:lang w:eastAsia="en-GB"/>
        </w:rPr>
        <w:t> </w:t>
      </w:r>
    </w:p>
    <w:p w14:paraId="0342A05A" w14:textId="77777777" w:rsidR="00804AF0" w:rsidRDefault="009A47D6">
      <w:pPr>
        <w:numPr>
          <w:ilvl w:val="0"/>
          <w:numId w:val="4"/>
        </w:numPr>
        <w:jc w:val="both"/>
        <w:textAlignment w:val="baseline"/>
        <w:rPr>
          <w:rFonts w:ascii="Calibri" w:hAnsi="Calibri" w:cs="Calibri"/>
          <w:b/>
          <w:bCs/>
          <w:color w:val="000000"/>
          <w:sz w:val="22"/>
          <w:szCs w:val="22"/>
          <w:lang w:val="en-CA" w:eastAsia="en-GB"/>
        </w:rPr>
      </w:pPr>
      <w:r>
        <w:rPr>
          <w:rFonts w:ascii="Calibri" w:hAnsi="Calibri" w:cs="Calibri"/>
          <w:b/>
          <w:bCs/>
          <w:color w:val="000000"/>
          <w:sz w:val="22"/>
          <w:szCs w:val="22"/>
          <w:lang w:val="en-CA" w:eastAsia="en-GB"/>
        </w:rPr>
        <w:t>Social Security and Pension Fund Arrangements </w:t>
      </w:r>
    </w:p>
    <w:p w14:paraId="2E0E4E00" w14:textId="77777777" w:rsidR="00804AF0" w:rsidRDefault="00804AF0">
      <w:pPr>
        <w:ind w:left="720"/>
        <w:jc w:val="both"/>
        <w:textAlignment w:val="baseline"/>
        <w:rPr>
          <w:rFonts w:ascii="Calibri" w:hAnsi="Calibri" w:cs="Calibri"/>
          <w:sz w:val="22"/>
          <w:szCs w:val="22"/>
          <w:lang w:eastAsia="en-GB"/>
        </w:rPr>
      </w:pPr>
    </w:p>
    <w:p w14:paraId="75D31D68"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UNDP does not make additional payments for social security and pension fund towards IPSAs.</w:t>
      </w:r>
    </w:p>
    <w:p w14:paraId="3F1C1398" w14:textId="77777777" w:rsidR="00804AF0" w:rsidRDefault="00804AF0">
      <w:pPr>
        <w:jc w:val="both"/>
        <w:textAlignment w:val="baseline"/>
        <w:rPr>
          <w:rFonts w:ascii="Calibri" w:hAnsi="Calibri" w:cs="Calibri"/>
          <w:sz w:val="22"/>
          <w:szCs w:val="22"/>
          <w:lang w:eastAsia="en-GB"/>
        </w:rPr>
      </w:pPr>
    </w:p>
    <w:p w14:paraId="33288EF4" w14:textId="77777777" w:rsidR="00804AF0" w:rsidRDefault="009A47D6">
      <w:pPr>
        <w:numPr>
          <w:ilvl w:val="0"/>
          <w:numId w:val="4"/>
        </w:numPr>
        <w:jc w:val="both"/>
        <w:textAlignment w:val="baseline"/>
        <w:rPr>
          <w:rFonts w:ascii="Calibri" w:hAnsi="Calibri" w:cs="Calibri"/>
          <w:b/>
          <w:bCs/>
          <w:color w:val="000000"/>
          <w:sz w:val="22"/>
          <w:szCs w:val="22"/>
          <w:lang w:val="en-CA" w:eastAsia="en-GB"/>
        </w:rPr>
      </w:pPr>
      <w:r>
        <w:rPr>
          <w:rFonts w:ascii="Calibri" w:hAnsi="Calibri" w:cs="Calibri"/>
          <w:b/>
          <w:bCs/>
          <w:color w:val="000000"/>
          <w:sz w:val="22"/>
          <w:szCs w:val="22"/>
          <w:lang w:val="en-CA" w:eastAsia="en-GB"/>
        </w:rPr>
        <w:t>Optional coverage provided but not subsidized by UNDP</w:t>
      </w:r>
    </w:p>
    <w:p w14:paraId="3600ED39" w14:textId="77777777" w:rsidR="00804AF0" w:rsidRDefault="00804AF0">
      <w:pPr>
        <w:jc w:val="both"/>
        <w:textAlignment w:val="baseline"/>
        <w:rPr>
          <w:rFonts w:ascii="Calibri" w:hAnsi="Calibri" w:cs="Calibri"/>
          <w:sz w:val="22"/>
          <w:szCs w:val="22"/>
          <w:lang w:eastAsia="en-GB"/>
        </w:rPr>
      </w:pPr>
    </w:p>
    <w:p w14:paraId="5C998197"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xml:space="preserve">UNDP will make available a range of optional benefits and coverages to be accessed by individuals directly and at their own expense. It is understood that UNDP has entered into an agreement with each of the service providers with no corporate liability on </w:t>
      </w:r>
      <w:proofErr w:type="gramStart"/>
      <w:r>
        <w:rPr>
          <w:rFonts w:ascii="Calibri" w:hAnsi="Calibri" w:cs="Calibri"/>
          <w:sz w:val="22"/>
          <w:szCs w:val="22"/>
          <w:lang w:eastAsia="en-GB"/>
        </w:rPr>
        <w:t>itself, but</w:t>
      </w:r>
      <w:proofErr w:type="gramEnd"/>
      <w:r>
        <w:rPr>
          <w:rFonts w:ascii="Calibri" w:hAnsi="Calibri" w:cs="Calibri"/>
          <w:sz w:val="22"/>
          <w:szCs w:val="22"/>
          <w:lang w:eastAsia="en-GB"/>
        </w:rPr>
        <w:t xml:space="preserve"> is only availing of these services for the direct benefit and at the full cost and responsibility of the IPSA holder.</w:t>
      </w:r>
    </w:p>
    <w:p w14:paraId="080D6E8D" w14:textId="77777777" w:rsidR="00804AF0" w:rsidRDefault="00804AF0">
      <w:pPr>
        <w:jc w:val="both"/>
        <w:textAlignment w:val="baseline"/>
        <w:rPr>
          <w:rFonts w:ascii="Calibri" w:hAnsi="Calibri" w:cs="Calibri"/>
          <w:sz w:val="22"/>
          <w:szCs w:val="22"/>
          <w:lang w:eastAsia="en-GB"/>
        </w:rPr>
      </w:pPr>
    </w:p>
    <w:p w14:paraId="0656D1E5" w14:textId="77777777" w:rsidR="00804AF0" w:rsidRDefault="009A47D6">
      <w:pPr>
        <w:pStyle w:val="Heading1"/>
        <w:numPr>
          <w:ilvl w:val="0"/>
          <w:numId w:val="2"/>
        </w:numPr>
        <w:jc w:val="left"/>
        <w:rPr>
          <w:rFonts w:ascii="Calibri" w:hAnsi="Calibri" w:cs="Calibri"/>
          <w:b/>
          <w:bCs/>
          <w:sz w:val="22"/>
          <w:szCs w:val="22"/>
          <w:lang w:eastAsia="en-GB"/>
        </w:rPr>
      </w:pPr>
      <w:bookmarkStart w:id="71" w:name="_Toc161312436"/>
      <w:r>
        <w:rPr>
          <w:rFonts w:ascii="Calibri" w:hAnsi="Calibri" w:cs="Calibri"/>
          <w:b/>
          <w:bCs/>
          <w:sz w:val="22"/>
          <w:szCs w:val="22"/>
          <w:lang w:eastAsia="en-GB"/>
        </w:rPr>
        <w:t>Working Hours</w:t>
      </w:r>
      <w:bookmarkEnd w:id="71"/>
      <w:r>
        <w:rPr>
          <w:rFonts w:ascii="Calibri" w:hAnsi="Calibri" w:cs="Calibri"/>
          <w:b/>
          <w:bCs/>
          <w:sz w:val="22"/>
          <w:szCs w:val="22"/>
          <w:lang w:eastAsia="en-GB"/>
        </w:rPr>
        <w:t> </w:t>
      </w:r>
    </w:p>
    <w:p w14:paraId="4BBEFA49" w14:textId="77777777" w:rsidR="00804AF0" w:rsidRDefault="00804AF0">
      <w:pPr>
        <w:jc w:val="both"/>
        <w:textAlignment w:val="baseline"/>
        <w:rPr>
          <w:rFonts w:ascii="Calibri" w:hAnsi="Calibri" w:cs="Calibri"/>
          <w:sz w:val="22"/>
          <w:szCs w:val="22"/>
          <w:lang w:eastAsia="en-GB"/>
        </w:rPr>
      </w:pPr>
    </w:p>
    <w:p w14:paraId="78948FEB" w14:textId="77777777" w:rsidR="00804AF0" w:rsidRDefault="009A47D6">
      <w:pPr>
        <w:numPr>
          <w:ilvl w:val="0"/>
          <w:numId w:val="4"/>
        </w:numPr>
        <w:jc w:val="both"/>
        <w:textAlignment w:val="baseline"/>
        <w:rPr>
          <w:rFonts w:ascii="Calibri" w:hAnsi="Calibri" w:cs="Calibri"/>
          <w:color w:val="000000"/>
          <w:sz w:val="22"/>
          <w:szCs w:val="22"/>
          <w:lang w:val="en-CA" w:eastAsia="en-GB"/>
        </w:rPr>
      </w:pPr>
      <w:r>
        <w:rPr>
          <w:rFonts w:ascii="Calibri" w:hAnsi="Calibri" w:cs="Calibri"/>
          <w:color w:val="000000"/>
          <w:sz w:val="22"/>
          <w:szCs w:val="22"/>
          <w:lang w:val="en-CA" w:eastAsia="en-GB"/>
        </w:rPr>
        <w:t>The working hours, UN official holidays and weekends for regular IPSA holders are aligned with those applicable to staff and other personnel in the duty station.</w:t>
      </w:r>
    </w:p>
    <w:p w14:paraId="76621C8F"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2CEE9342" w14:textId="77777777" w:rsidR="00804AF0" w:rsidRDefault="009A47D6">
      <w:pPr>
        <w:pStyle w:val="Heading1"/>
        <w:numPr>
          <w:ilvl w:val="0"/>
          <w:numId w:val="2"/>
        </w:numPr>
        <w:jc w:val="left"/>
        <w:rPr>
          <w:rFonts w:ascii="Calibri" w:hAnsi="Calibri" w:cs="Calibri"/>
          <w:b/>
          <w:bCs/>
          <w:sz w:val="22"/>
          <w:szCs w:val="22"/>
          <w:lang w:eastAsia="en-GB"/>
        </w:rPr>
      </w:pPr>
      <w:bookmarkStart w:id="72" w:name="_Toc161312437"/>
      <w:r>
        <w:rPr>
          <w:rFonts w:ascii="Calibri" w:hAnsi="Calibri" w:cs="Calibri"/>
          <w:b/>
          <w:bCs/>
          <w:sz w:val="22"/>
          <w:szCs w:val="22"/>
          <w:lang w:eastAsia="en-GB"/>
        </w:rPr>
        <w:t>Leave</w:t>
      </w:r>
      <w:bookmarkEnd w:id="72"/>
    </w:p>
    <w:p w14:paraId="579427D0" w14:textId="77777777" w:rsidR="00804AF0" w:rsidRDefault="00804AF0">
      <w:pPr>
        <w:jc w:val="both"/>
        <w:textAlignment w:val="baseline"/>
        <w:rPr>
          <w:rFonts w:ascii="Calibri" w:hAnsi="Calibri" w:cs="Calibri"/>
          <w:sz w:val="22"/>
          <w:szCs w:val="22"/>
          <w:lang w:eastAsia="en-GB"/>
        </w:rPr>
      </w:pPr>
    </w:p>
    <w:p w14:paraId="69C8326C" w14:textId="77777777" w:rsidR="00804AF0" w:rsidRDefault="009A47D6">
      <w:pPr>
        <w:numPr>
          <w:ilvl w:val="0"/>
          <w:numId w:val="4"/>
        </w:numPr>
        <w:jc w:val="both"/>
        <w:textAlignment w:val="baseline"/>
        <w:rPr>
          <w:rFonts w:ascii="Calibri" w:hAnsi="Calibri" w:cs="Calibri"/>
          <w:b/>
          <w:bCs/>
          <w:color w:val="000000"/>
          <w:sz w:val="22"/>
          <w:szCs w:val="22"/>
          <w:lang w:val="en-CA" w:eastAsia="en-GB"/>
        </w:rPr>
      </w:pPr>
      <w:bookmarkStart w:id="73" w:name="OLE_LINK31"/>
      <w:r>
        <w:rPr>
          <w:rFonts w:ascii="Calibri" w:hAnsi="Calibri" w:cs="Calibri"/>
          <w:b/>
          <w:bCs/>
          <w:color w:val="000000"/>
          <w:sz w:val="22"/>
          <w:szCs w:val="22"/>
          <w:lang w:val="en-CA" w:eastAsia="en-GB"/>
        </w:rPr>
        <w:t>Annual leave</w:t>
      </w:r>
    </w:p>
    <w:bookmarkEnd w:id="73"/>
    <w:p w14:paraId="40434D99" w14:textId="77777777" w:rsidR="00804AF0" w:rsidRDefault="00804AF0">
      <w:pPr>
        <w:jc w:val="both"/>
        <w:textAlignment w:val="baseline"/>
        <w:rPr>
          <w:rFonts w:ascii="Calibri" w:hAnsi="Calibri" w:cs="Calibri"/>
          <w:b/>
          <w:bCs/>
          <w:sz w:val="22"/>
          <w:szCs w:val="22"/>
          <w:lang w:eastAsia="en-GB"/>
        </w:rPr>
      </w:pPr>
    </w:p>
    <w:p w14:paraId="7104C3CA" w14:textId="77777777" w:rsidR="00804AF0" w:rsidRDefault="009A47D6">
      <w:pPr>
        <w:numPr>
          <w:ilvl w:val="0"/>
          <w:numId w:val="26"/>
        </w:numPr>
        <w:jc w:val="both"/>
        <w:textAlignment w:val="baseline"/>
        <w:rPr>
          <w:rFonts w:ascii="Calibri" w:hAnsi="Calibri" w:cs="Calibri"/>
          <w:sz w:val="22"/>
          <w:szCs w:val="22"/>
          <w:lang w:eastAsia="en-GB"/>
        </w:rPr>
      </w:pPr>
      <w:r>
        <w:rPr>
          <w:rFonts w:ascii="Calibri" w:hAnsi="Calibri" w:cs="Calibri"/>
          <w:sz w:val="22"/>
          <w:szCs w:val="22"/>
          <w:lang w:eastAsia="en-GB"/>
        </w:rPr>
        <w:t>IPSA holders with regular IPSAs are eligible for paid annual leave of two and a half working days per month for rest purposes, which may be accumulated during the IPSA period, as specified below.</w:t>
      </w:r>
    </w:p>
    <w:p w14:paraId="5ED81B16" w14:textId="77777777" w:rsidR="00804AF0" w:rsidRDefault="00804AF0">
      <w:pPr>
        <w:jc w:val="both"/>
        <w:textAlignment w:val="baseline"/>
        <w:rPr>
          <w:rFonts w:ascii="Calibri" w:hAnsi="Calibri" w:cs="Calibri"/>
          <w:sz w:val="22"/>
          <w:szCs w:val="22"/>
          <w:lang w:eastAsia="en-GB"/>
        </w:rPr>
      </w:pPr>
    </w:p>
    <w:p w14:paraId="2393FAD4" w14:textId="77777777" w:rsidR="00804AF0" w:rsidRDefault="009A47D6">
      <w:pPr>
        <w:numPr>
          <w:ilvl w:val="0"/>
          <w:numId w:val="26"/>
        </w:numPr>
        <w:jc w:val="both"/>
        <w:textAlignment w:val="baseline"/>
        <w:rPr>
          <w:rFonts w:ascii="Calibri" w:hAnsi="Calibri" w:cs="Calibri"/>
          <w:sz w:val="22"/>
          <w:szCs w:val="22"/>
          <w:lang w:eastAsia="en-GB"/>
        </w:rPr>
      </w:pPr>
      <w:r>
        <w:rPr>
          <w:rFonts w:ascii="Calibri" w:hAnsi="Calibri" w:cs="Calibri"/>
          <w:sz w:val="22"/>
          <w:szCs w:val="22"/>
          <w:lang w:eastAsia="en-GB"/>
        </w:rPr>
        <w:t>All annual leave is expected to be taken within the period of the IPSA agreement. If the IPSA agreement is extended for an additional period and funded from the same funding source/project, the IPSA may carry over accrued annual leave to the subsequent IPSA period. As of the annual leave cut-off date of 1 April of any given year, the annual leave balance (if any) will be re-set to a maximum of 24 days. </w:t>
      </w:r>
    </w:p>
    <w:p w14:paraId="7F0A56B3" w14:textId="77777777" w:rsidR="00804AF0" w:rsidRDefault="00804AF0">
      <w:pPr>
        <w:jc w:val="both"/>
        <w:textAlignment w:val="baseline"/>
        <w:rPr>
          <w:rFonts w:ascii="Calibri" w:hAnsi="Calibri" w:cs="Calibri"/>
          <w:sz w:val="22"/>
          <w:szCs w:val="22"/>
          <w:lang w:eastAsia="en-GB"/>
        </w:rPr>
      </w:pPr>
    </w:p>
    <w:p w14:paraId="4AAD205D" w14:textId="77777777" w:rsidR="00804AF0" w:rsidRDefault="009A47D6">
      <w:pPr>
        <w:numPr>
          <w:ilvl w:val="0"/>
          <w:numId w:val="26"/>
        </w:numPr>
        <w:jc w:val="both"/>
        <w:textAlignment w:val="baseline"/>
        <w:rPr>
          <w:rFonts w:ascii="Calibri" w:hAnsi="Calibri" w:cs="Calibri"/>
          <w:sz w:val="22"/>
          <w:szCs w:val="22"/>
          <w:lang w:eastAsia="en-GB"/>
        </w:rPr>
      </w:pPr>
      <w:bookmarkStart w:id="74" w:name="OLE_LINK32"/>
      <w:r>
        <w:rPr>
          <w:rFonts w:ascii="Calibri" w:hAnsi="Calibri" w:cs="Calibri"/>
          <w:sz w:val="22"/>
          <w:szCs w:val="22"/>
          <w:lang w:eastAsia="en-GB"/>
        </w:rPr>
        <w:t xml:space="preserve">Unused paid annual leave is not commutable to cash unless it is approved and/or requested by the supervisor, for example, when the presence of the IPSA holder is required to perform their functions prior to separation within the notice period given, and where the budget is able to cater for this payment and charged fully to the current budget </w:t>
      </w:r>
      <w:r>
        <w:rPr>
          <w:rFonts w:ascii="Calibri" w:hAnsi="Calibri" w:cs="Calibri"/>
          <w:sz w:val="22"/>
          <w:szCs w:val="22"/>
          <w:lang w:eastAsia="en-GB"/>
        </w:rPr>
        <w:lastRenderedPageBreak/>
        <w:t xml:space="preserve">period of the funding source. The maximum number of annual leave days that may be commuted to cash is twenty-four (24). </w:t>
      </w:r>
    </w:p>
    <w:bookmarkEnd w:id="74"/>
    <w:p w14:paraId="6EBF7C0E" w14:textId="77777777" w:rsidR="00804AF0" w:rsidRDefault="00804AF0">
      <w:pPr>
        <w:jc w:val="both"/>
        <w:textAlignment w:val="baseline"/>
        <w:rPr>
          <w:rFonts w:ascii="Calibri" w:hAnsi="Calibri" w:cs="Calibri"/>
          <w:sz w:val="22"/>
          <w:szCs w:val="22"/>
          <w:lang w:eastAsia="en-GB"/>
        </w:rPr>
      </w:pPr>
    </w:p>
    <w:p w14:paraId="430710FC" w14:textId="77777777" w:rsidR="00804AF0" w:rsidRDefault="009A47D6">
      <w:pPr>
        <w:numPr>
          <w:ilvl w:val="0"/>
          <w:numId w:val="26"/>
        </w:numPr>
        <w:jc w:val="both"/>
        <w:textAlignment w:val="baseline"/>
        <w:rPr>
          <w:rFonts w:ascii="Calibri" w:hAnsi="Calibri" w:cs="Calibri"/>
          <w:sz w:val="22"/>
          <w:szCs w:val="22"/>
          <w:lang w:eastAsia="en-GB"/>
        </w:rPr>
      </w:pPr>
      <w:r>
        <w:rPr>
          <w:rFonts w:ascii="Calibri" w:hAnsi="Calibri" w:cs="Calibri"/>
          <w:sz w:val="22"/>
          <w:szCs w:val="22"/>
          <w:lang w:eastAsia="en-GB"/>
        </w:rPr>
        <w:t>Any absence from duty not specifically authorized, including any absence beyond the allowable time-off in accordance with this policy, will be treated as unauthorized absence and must be charged to unpaid leave.</w:t>
      </w:r>
    </w:p>
    <w:p w14:paraId="01235C9B"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44A45D9B" w14:textId="77777777" w:rsidR="00804AF0" w:rsidRDefault="009A47D6">
      <w:pPr>
        <w:numPr>
          <w:ilvl w:val="0"/>
          <w:numId w:val="4"/>
        </w:numPr>
        <w:jc w:val="both"/>
        <w:textAlignment w:val="baseline"/>
        <w:rPr>
          <w:rFonts w:ascii="Calibri" w:hAnsi="Calibri" w:cs="Calibri"/>
          <w:b/>
          <w:bCs/>
          <w:color w:val="000000"/>
          <w:sz w:val="22"/>
          <w:szCs w:val="22"/>
          <w:lang w:val="en-CA" w:eastAsia="en-GB"/>
        </w:rPr>
      </w:pPr>
      <w:bookmarkStart w:id="75" w:name="OLE_LINK35"/>
      <w:r>
        <w:rPr>
          <w:rFonts w:ascii="Calibri" w:hAnsi="Calibri" w:cs="Calibri"/>
          <w:b/>
          <w:bCs/>
          <w:color w:val="000000"/>
          <w:sz w:val="22"/>
          <w:szCs w:val="22"/>
          <w:lang w:val="en-CA" w:eastAsia="en-GB"/>
        </w:rPr>
        <w:t>Sick Leave</w:t>
      </w:r>
    </w:p>
    <w:bookmarkEnd w:id="75"/>
    <w:p w14:paraId="70A7DF18" w14:textId="77777777" w:rsidR="00804AF0" w:rsidRDefault="00804AF0">
      <w:pPr>
        <w:jc w:val="both"/>
        <w:textAlignment w:val="baseline"/>
        <w:rPr>
          <w:rFonts w:ascii="Calibri" w:hAnsi="Calibri" w:cs="Calibri"/>
          <w:b/>
          <w:bCs/>
          <w:sz w:val="22"/>
          <w:szCs w:val="22"/>
          <w:lang w:eastAsia="en-GB"/>
        </w:rPr>
      </w:pPr>
    </w:p>
    <w:p w14:paraId="73269493" w14:textId="77777777" w:rsidR="00804AF0" w:rsidRDefault="009A47D6">
      <w:pPr>
        <w:numPr>
          <w:ilvl w:val="0"/>
          <w:numId w:val="27"/>
        </w:numPr>
        <w:jc w:val="both"/>
        <w:textAlignment w:val="baseline"/>
        <w:rPr>
          <w:rFonts w:ascii="Calibri" w:hAnsi="Calibri" w:cs="Calibri"/>
          <w:sz w:val="22"/>
          <w:szCs w:val="22"/>
          <w:lang w:eastAsia="en-GB"/>
        </w:rPr>
      </w:pPr>
      <w:r>
        <w:rPr>
          <w:rFonts w:ascii="Calibri" w:hAnsi="Calibri" w:cs="Calibri"/>
          <w:sz w:val="22"/>
          <w:szCs w:val="22"/>
          <w:lang w:eastAsia="en-GB"/>
        </w:rPr>
        <w:t>Eligible individuals who are unable to perform their duties because of illness or injury or whose attendance at work is prevented by public health requirements shall be granted sick leave in accordance with the terms of their IPSA.</w:t>
      </w:r>
    </w:p>
    <w:p w14:paraId="2A1ECB28" w14:textId="77777777" w:rsidR="00804AF0" w:rsidRDefault="00804AF0">
      <w:pPr>
        <w:jc w:val="both"/>
        <w:textAlignment w:val="baseline"/>
        <w:rPr>
          <w:rFonts w:ascii="Calibri" w:hAnsi="Calibri" w:cs="Calibri"/>
          <w:sz w:val="22"/>
          <w:szCs w:val="22"/>
          <w:lang w:eastAsia="en-GB"/>
        </w:rPr>
      </w:pPr>
    </w:p>
    <w:p w14:paraId="7A648BD4" w14:textId="77777777" w:rsidR="00804AF0" w:rsidRDefault="009A47D6">
      <w:pPr>
        <w:numPr>
          <w:ilvl w:val="0"/>
          <w:numId w:val="27"/>
        </w:numPr>
        <w:jc w:val="both"/>
        <w:textAlignment w:val="baseline"/>
        <w:rPr>
          <w:rFonts w:ascii="Calibri" w:hAnsi="Calibri" w:cs="Calibri"/>
          <w:sz w:val="22"/>
          <w:szCs w:val="22"/>
          <w:lang w:eastAsia="en-GB"/>
        </w:rPr>
      </w:pPr>
      <w:r>
        <w:rPr>
          <w:rFonts w:ascii="Calibri" w:hAnsi="Calibri" w:cs="Calibri"/>
          <w:sz w:val="22"/>
          <w:szCs w:val="22"/>
          <w:lang w:eastAsia="en-GB"/>
        </w:rPr>
        <w:t xml:space="preserve">Regular IPSA holders shall accrue credits towards sick leave at the rate of two working days for each month of service up to a maximum of 31 days </w:t>
      </w:r>
      <w:bookmarkStart w:id="76" w:name="_Hlk56980317"/>
      <w:r>
        <w:rPr>
          <w:rFonts w:ascii="Calibri" w:hAnsi="Calibri" w:cs="Calibri"/>
          <w:sz w:val="22"/>
          <w:szCs w:val="22"/>
          <w:lang w:eastAsia="en-GB"/>
        </w:rPr>
        <w:t>(24 certified and 7 uncertified)</w:t>
      </w:r>
      <w:bookmarkEnd w:id="76"/>
      <w:r>
        <w:rPr>
          <w:rFonts w:ascii="Calibri" w:hAnsi="Calibri" w:cs="Calibri"/>
          <w:sz w:val="22"/>
          <w:szCs w:val="22"/>
          <w:lang w:eastAsia="en-GB"/>
        </w:rPr>
        <w:t>. Of those sick leave days accrued, a total of seven working days in an annual cycle starting 1 April of any year (subject to a maximum of two consecutive working days) may be taken as sick leave without providing a medical certificate from a duly recognized medical practitioner; or for family-related emergencies and/or obligations, such as in the event of a death in the IPSA holder’s immediate family or to take care of the IPSA holder’s child or an immediate family member who becomes ill.</w:t>
      </w:r>
    </w:p>
    <w:p w14:paraId="7E553D19" w14:textId="77777777" w:rsidR="00804AF0" w:rsidRDefault="00804AF0">
      <w:pPr>
        <w:jc w:val="both"/>
        <w:textAlignment w:val="baseline"/>
        <w:rPr>
          <w:rFonts w:ascii="Calibri" w:hAnsi="Calibri" w:cs="Calibri"/>
          <w:sz w:val="22"/>
          <w:szCs w:val="22"/>
          <w:lang w:eastAsia="en-GB"/>
        </w:rPr>
      </w:pPr>
    </w:p>
    <w:p w14:paraId="2715D64E" w14:textId="77777777" w:rsidR="00804AF0" w:rsidRDefault="009A47D6">
      <w:pPr>
        <w:numPr>
          <w:ilvl w:val="0"/>
          <w:numId w:val="27"/>
        </w:numPr>
        <w:jc w:val="both"/>
        <w:textAlignment w:val="baseline"/>
        <w:rPr>
          <w:rFonts w:ascii="Calibri" w:hAnsi="Calibri" w:cs="Calibri"/>
          <w:sz w:val="22"/>
          <w:szCs w:val="22"/>
          <w:lang w:eastAsia="en-GB"/>
        </w:rPr>
      </w:pPr>
      <w:r>
        <w:rPr>
          <w:rFonts w:ascii="Calibri" w:hAnsi="Calibri" w:cs="Calibri"/>
          <w:sz w:val="22"/>
          <w:szCs w:val="22"/>
          <w:lang w:eastAsia="en-GB"/>
        </w:rPr>
        <w:t>Any absence supported by a medical certificate from a certified medical practitioner shall be considered as certified sick leave. The sick leave certificate from a certified medical practitioner must state that the individual is unable to perform his or her duties indicating the probable duration of the illness. In the event that the IPSA holder fails to provide the required supporting documents, the absence shall be charged to annual leave. Should the annual leave be exhausted, the absence shall be deducted from remuneration accordingly.</w:t>
      </w:r>
    </w:p>
    <w:p w14:paraId="0BCB294F" w14:textId="77777777" w:rsidR="00804AF0" w:rsidRDefault="00804AF0">
      <w:pPr>
        <w:ind w:left="360"/>
        <w:jc w:val="both"/>
        <w:textAlignment w:val="baseline"/>
        <w:rPr>
          <w:rFonts w:ascii="Calibri" w:hAnsi="Calibri" w:cs="Calibri"/>
          <w:sz w:val="22"/>
          <w:szCs w:val="22"/>
          <w:lang w:eastAsia="en-GB"/>
        </w:rPr>
      </w:pPr>
    </w:p>
    <w:p w14:paraId="0BFC6D4E" w14:textId="77777777" w:rsidR="00804AF0" w:rsidRDefault="009A47D6">
      <w:pPr>
        <w:numPr>
          <w:ilvl w:val="0"/>
          <w:numId w:val="27"/>
        </w:numPr>
        <w:jc w:val="both"/>
        <w:textAlignment w:val="baseline"/>
        <w:rPr>
          <w:rFonts w:ascii="Calibri" w:hAnsi="Calibri" w:cs="Calibri"/>
          <w:sz w:val="22"/>
          <w:szCs w:val="22"/>
          <w:lang w:eastAsia="en-GB"/>
        </w:rPr>
      </w:pPr>
      <w:r>
        <w:rPr>
          <w:rFonts w:ascii="Calibri" w:hAnsi="Calibri" w:cs="Calibri"/>
          <w:sz w:val="22"/>
          <w:szCs w:val="22"/>
          <w:lang w:eastAsia="en-GB"/>
        </w:rPr>
        <w:t>Medical reports must not be shared with non-authorized medical professionals including supervisors and heads of business unit.</w:t>
      </w:r>
    </w:p>
    <w:p w14:paraId="6DFA0640" w14:textId="77777777" w:rsidR="00804AF0" w:rsidRDefault="00804AF0">
      <w:pPr>
        <w:ind w:left="360"/>
        <w:jc w:val="both"/>
        <w:textAlignment w:val="baseline"/>
        <w:rPr>
          <w:rFonts w:ascii="Calibri" w:hAnsi="Calibri" w:cs="Calibri"/>
          <w:sz w:val="22"/>
          <w:szCs w:val="22"/>
          <w:lang w:eastAsia="en-GB"/>
        </w:rPr>
      </w:pPr>
    </w:p>
    <w:p w14:paraId="2BCEB8F1" w14:textId="77777777" w:rsidR="00804AF0" w:rsidRDefault="009A47D6">
      <w:pPr>
        <w:numPr>
          <w:ilvl w:val="0"/>
          <w:numId w:val="27"/>
        </w:numPr>
        <w:jc w:val="both"/>
        <w:textAlignment w:val="baseline"/>
        <w:rPr>
          <w:rFonts w:ascii="Calibri" w:hAnsi="Calibri" w:cs="Calibri"/>
          <w:sz w:val="22"/>
          <w:szCs w:val="22"/>
          <w:lang w:eastAsia="en-GB"/>
        </w:rPr>
      </w:pPr>
      <w:r>
        <w:rPr>
          <w:rFonts w:ascii="Calibri" w:hAnsi="Calibri" w:cs="Calibri"/>
          <w:sz w:val="22"/>
          <w:szCs w:val="22"/>
          <w:lang w:eastAsia="en-GB"/>
        </w:rPr>
        <w:t>IPSA holders must inform their supervisor of absences due to illness or injury on the same day of absence, except in emergency situations where the IPSA holder is unable to communicate this absence.</w:t>
      </w:r>
    </w:p>
    <w:p w14:paraId="3499BA69" w14:textId="77777777" w:rsidR="00804AF0" w:rsidRDefault="00804AF0">
      <w:pPr>
        <w:ind w:left="360"/>
        <w:jc w:val="both"/>
        <w:textAlignment w:val="baseline"/>
        <w:rPr>
          <w:rFonts w:ascii="Calibri" w:hAnsi="Calibri" w:cs="Calibri"/>
          <w:sz w:val="22"/>
          <w:szCs w:val="22"/>
          <w:lang w:eastAsia="en-GB"/>
        </w:rPr>
      </w:pPr>
    </w:p>
    <w:p w14:paraId="08912537" w14:textId="77777777" w:rsidR="00804AF0" w:rsidRDefault="009A47D6">
      <w:pPr>
        <w:numPr>
          <w:ilvl w:val="0"/>
          <w:numId w:val="27"/>
        </w:numPr>
        <w:jc w:val="both"/>
        <w:textAlignment w:val="baseline"/>
        <w:rPr>
          <w:rFonts w:ascii="Calibri" w:hAnsi="Calibri" w:cs="Calibri"/>
          <w:sz w:val="22"/>
          <w:szCs w:val="22"/>
          <w:lang w:eastAsia="en-GB"/>
        </w:rPr>
      </w:pPr>
      <w:r>
        <w:rPr>
          <w:rFonts w:ascii="Calibri" w:hAnsi="Calibri" w:cs="Calibri"/>
          <w:sz w:val="22"/>
          <w:szCs w:val="22"/>
          <w:lang w:eastAsia="en-GB"/>
        </w:rPr>
        <w:t>An IPSA holder may, in exceptional circumstances, be granted advanced sick leave up to a maximum of ten working days, provided that service under the IPSA is expected to continue for the period that is necessary to accrue the sick leave days so advanced.</w:t>
      </w:r>
    </w:p>
    <w:p w14:paraId="434D6501" w14:textId="77777777" w:rsidR="00804AF0" w:rsidRDefault="00804AF0">
      <w:pPr>
        <w:ind w:left="360"/>
        <w:jc w:val="both"/>
        <w:textAlignment w:val="baseline"/>
        <w:rPr>
          <w:rFonts w:ascii="Calibri" w:hAnsi="Calibri" w:cs="Calibri"/>
          <w:sz w:val="22"/>
          <w:szCs w:val="22"/>
          <w:lang w:eastAsia="en-GB"/>
        </w:rPr>
      </w:pPr>
    </w:p>
    <w:p w14:paraId="0B28AFC8" w14:textId="77777777" w:rsidR="00804AF0" w:rsidRDefault="009A47D6">
      <w:pPr>
        <w:numPr>
          <w:ilvl w:val="0"/>
          <w:numId w:val="27"/>
        </w:numPr>
        <w:jc w:val="both"/>
        <w:textAlignment w:val="baseline"/>
        <w:rPr>
          <w:rFonts w:ascii="Calibri" w:hAnsi="Calibri" w:cs="Calibri"/>
          <w:sz w:val="22"/>
          <w:szCs w:val="22"/>
          <w:lang w:eastAsia="en-GB"/>
        </w:rPr>
      </w:pPr>
      <w:r>
        <w:rPr>
          <w:rFonts w:ascii="Calibri" w:hAnsi="Calibri" w:cs="Calibri"/>
          <w:sz w:val="22"/>
          <w:szCs w:val="22"/>
          <w:lang w:eastAsia="en-GB"/>
        </w:rPr>
        <w:t>Certified sick leave shall be recorded in units of full days and/or half-days. </w:t>
      </w:r>
    </w:p>
    <w:p w14:paraId="32EC4C05" w14:textId="77777777" w:rsidR="00804AF0" w:rsidRDefault="00804AF0">
      <w:pPr>
        <w:ind w:left="360"/>
        <w:jc w:val="both"/>
        <w:textAlignment w:val="baseline"/>
        <w:rPr>
          <w:rFonts w:ascii="Calibri" w:hAnsi="Calibri" w:cs="Calibri"/>
          <w:sz w:val="22"/>
          <w:szCs w:val="22"/>
          <w:lang w:eastAsia="en-GB"/>
        </w:rPr>
      </w:pPr>
    </w:p>
    <w:p w14:paraId="2E2D36C8" w14:textId="77777777" w:rsidR="00804AF0" w:rsidRDefault="009A47D6">
      <w:pPr>
        <w:numPr>
          <w:ilvl w:val="0"/>
          <w:numId w:val="27"/>
        </w:numPr>
        <w:jc w:val="both"/>
        <w:textAlignment w:val="baseline"/>
        <w:rPr>
          <w:rFonts w:ascii="Calibri" w:hAnsi="Calibri" w:cs="Calibri"/>
          <w:sz w:val="22"/>
          <w:szCs w:val="22"/>
          <w:lang w:eastAsia="en-GB"/>
        </w:rPr>
      </w:pPr>
      <w:r>
        <w:rPr>
          <w:rFonts w:ascii="Calibri" w:hAnsi="Calibri" w:cs="Calibri"/>
          <w:sz w:val="22"/>
          <w:szCs w:val="22"/>
          <w:lang w:eastAsia="en-GB"/>
        </w:rPr>
        <w:t>In the event that the IPSA is extended for an additional period under the same position, the individual may carry over unused sick leave credits to the subsequent IPSA up to a maximum of 31 days. Sick leave credits will stop accruing when an IPSA holder has a balance of 31 unused sick leave days.</w:t>
      </w:r>
    </w:p>
    <w:p w14:paraId="179B5DC4"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3E68EA24" w14:textId="77777777" w:rsidR="00804AF0" w:rsidRDefault="009A47D6">
      <w:pPr>
        <w:numPr>
          <w:ilvl w:val="0"/>
          <w:numId w:val="27"/>
        </w:numPr>
        <w:jc w:val="both"/>
        <w:textAlignment w:val="baseline"/>
        <w:rPr>
          <w:rFonts w:ascii="Calibri" w:hAnsi="Calibri" w:cs="Calibri"/>
          <w:sz w:val="22"/>
          <w:szCs w:val="22"/>
          <w:lang w:eastAsia="en-GB"/>
        </w:rPr>
      </w:pPr>
      <w:r>
        <w:rPr>
          <w:rFonts w:ascii="Calibri" w:hAnsi="Calibri" w:cs="Calibri"/>
          <w:sz w:val="22"/>
          <w:szCs w:val="22"/>
          <w:lang w:eastAsia="en-GB"/>
        </w:rPr>
        <w:lastRenderedPageBreak/>
        <w:t>Sick leave during annual leave and/or hardship leave: An individual who is sick for more than five working days in any seven-day period while on annual leave and/or hardship leave, shall have that portion of the absence considered as sick leave upon presentation of satisfactory medical certification.</w:t>
      </w:r>
    </w:p>
    <w:p w14:paraId="59EB3AEC" w14:textId="77777777" w:rsidR="00804AF0" w:rsidRDefault="00804AF0">
      <w:pPr>
        <w:ind w:left="360"/>
        <w:jc w:val="both"/>
        <w:textAlignment w:val="baseline"/>
        <w:rPr>
          <w:rFonts w:ascii="Calibri" w:hAnsi="Calibri" w:cs="Calibri"/>
          <w:sz w:val="22"/>
          <w:szCs w:val="22"/>
          <w:lang w:eastAsia="en-GB"/>
        </w:rPr>
      </w:pPr>
    </w:p>
    <w:p w14:paraId="30405364" w14:textId="77777777" w:rsidR="00804AF0" w:rsidRDefault="009A47D6">
      <w:pPr>
        <w:numPr>
          <w:ilvl w:val="0"/>
          <w:numId w:val="27"/>
        </w:numPr>
        <w:jc w:val="both"/>
        <w:textAlignment w:val="baseline"/>
        <w:rPr>
          <w:rFonts w:ascii="Calibri" w:hAnsi="Calibri" w:cs="Calibri"/>
          <w:sz w:val="22"/>
          <w:szCs w:val="22"/>
          <w:lang w:eastAsia="en-GB"/>
        </w:rPr>
      </w:pPr>
      <w:r>
        <w:rPr>
          <w:rFonts w:ascii="Calibri" w:hAnsi="Calibri" w:cs="Calibri"/>
          <w:sz w:val="22"/>
          <w:szCs w:val="22"/>
          <w:lang w:eastAsia="en-GB"/>
        </w:rPr>
        <w:t>Sick leave shall not be granted instead of parental leave for birth parents.</w:t>
      </w:r>
    </w:p>
    <w:p w14:paraId="2ECBED22" w14:textId="77777777" w:rsidR="00804AF0" w:rsidRDefault="00804AF0">
      <w:pPr>
        <w:ind w:left="360"/>
        <w:jc w:val="both"/>
        <w:textAlignment w:val="baseline"/>
        <w:rPr>
          <w:rFonts w:ascii="Calibri" w:hAnsi="Calibri" w:cs="Calibri"/>
          <w:sz w:val="22"/>
          <w:szCs w:val="22"/>
          <w:lang w:eastAsia="en-GB"/>
        </w:rPr>
      </w:pPr>
    </w:p>
    <w:p w14:paraId="605507F8" w14:textId="77777777" w:rsidR="00804AF0" w:rsidRDefault="009A47D6">
      <w:pPr>
        <w:numPr>
          <w:ilvl w:val="0"/>
          <w:numId w:val="27"/>
        </w:numPr>
        <w:jc w:val="both"/>
        <w:textAlignment w:val="baseline"/>
        <w:rPr>
          <w:rFonts w:ascii="Calibri" w:hAnsi="Calibri" w:cs="Calibri"/>
          <w:sz w:val="22"/>
          <w:szCs w:val="22"/>
          <w:lang w:eastAsia="en-GB"/>
        </w:rPr>
      </w:pPr>
      <w:r>
        <w:rPr>
          <w:rFonts w:ascii="Calibri" w:hAnsi="Calibri" w:cs="Calibri"/>
          <w:sz w:val="22"/>
          <w:szCs w:val="22"/>
          <w:lang w:eastAsia="en-GB"/>
        </w:rPr>
        <w:t>Unused sick leave credits are not commutable to cash.</w:t>
      </w:r>
    </w:p>
    <w:p w14:paraId="391F8E09" w14:textId="77777777" w:rsidR="00804AF0" w:rsidRDefault="00804AF0">
      <w:pPr>
        <w:ind w:left="360"/>
        <w:jc w:val="both"/>
        <w:textAlignment w:val="baseline"/>
        <w:rPr>
          <w:rFonts w:ascii="Calibri" w:hAnsi="Calibri" w:cs="Calibri"/>
          <w:sz w:val="22"/>
          <w:szCs w:val="22"/>
          <w:lang w:eastAsia="en-GB"/>
        </w:rPr>
      </w:pPr>
    </w:p>
    <w:p w14:paraId="0A98BA0D" w14:textId="77777777" w:rsidR="00804AF0" w:rsidRDefault="009A47D6">
      <w:pPr>
        <w:numPr>
          <w:ilvl w:val="0"/>
          <w:numId w:val="27"/>
        </w:numPr>
        <w:jc w:val="both"/>
        <w:textAlignment w:val="baseline"/>
        <w:rPr>
          <w:rFonts w:ascii="Calibri" w:hAnsi="Calibri" w:cs="Calibri"/>
          <w:sz w:val="22"/>
          <w:szCs w:val="22"/>
          <w:lang w:eastAsia="en-GB"/>
        </w:rPr>
      </w:pPr>
      <w:r>
        <w:rPr>
          <w:rFonts w:ascii="Calibri" w:hAnsi="Calibri" w:cs="Calibri"/>
          <w:sz w:val="22"/>
          <w:szCs w:val="22"/>
          <w:lang w:eastAsia="en-GB"/>
        </w:rPr>
        <w:t>An IPSA holder may be required at any time to submit a medical report in relation to a health condition or to undergo a medical examination by a certified medical practitioner at the request of the Head of the Business Unit. Costs of the medical report will be reimbursed by UNDP, unless such an exam is covered by an insurance.</w:t>
      </w:r>
    </w:p>
    <w:p w14:paraId="202642D7" w14:textId="77777777" w:rsidR="00804AF0" w:rsidRDefault="00804AF0">
      <w:pPr>
        <w:tabs>
          <w:tab w:val="left" w:pos="994"/>
        </w:tabs>
        <w:ind w:left="360"/>
        <w:jc w:val="both"/>
        <w:textAlignment w:val="baseline"/>
        <w:rPr>
          <w:rFonts w:ascii="Calibri" w:hAnsi="Calibri" w:cs="Calibri"/>
          <w:sz w:val="22"/>
          <w:szCs w:val="22"/>
          <w:lang w:eastAsia="en-GB"/>
        </w:rPr>
      </w:pPr>
    </w:p>
    <w:p w14:paraId="76DEFBD5" w14:textId="77777777" w:rsidR="00804AF0" w:rsidRDefault="009A47D6">
      <w:pPr>
        <w:numPr>
          <w:ilvl w:val="0"/>
          <w:numId w:val="27"/>
        </w:numPr>
        <w:jc w:val="both"/>
        <w:textAlignment w:val="baseline"/>
        <w:rPr>
          <w:rFonts w:ascii="Calibri" w:hAnsi="Calibri" w:cs="Calibri"/>
          <w:sz w:val="22"/>
          <w:szCs w:val="22"/>
          <w:lang w:eastAsia="en-GB"/>
        </w:rPr>
      </w:pPr>
      <w:r>
        <w:rPr>
          <w:rFonts w:ascii="Calibri" w:hAnsi="Calibri" w:cs="Calibri"/>
          <w:sz w:val="22"/>
          <w:szCs w:val="22"/>
          <w:lang w:eastAsia="en-GB"/>
        </w:rPr>
        <w:t>The termination of an IPSA shall, from the date it is effective, terminate any possibility to claim sick leave credits.</w:t>
      </w:r>
    </w:p>
    <w:p w14:paraId="63701064"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5D31A976" w14:textId="77777777" w:rsidR="00804AF0" w:rsidRDefault="009A47D6">
      <w:pPr>
        <w:numPr>
          <w:ilvl w:val="0"/>
          <w:numId w:val="27"/>
        </w:numPr>
        <w:jc w:val="both"/>
        <w:textAlignment w:val="baseline"/>
        <w:rPr>
          <w:rFonts w:ascii="Calibri" w:hAnsi="Calibri" w:cs="Calibri"/>
          <w:sz w:val="22"/>
          <w:szCs w:val="22"/>
          <w:lang w:eastAsia="en-GB"/>
        </w:rPr>
      </w:pPr>
      <w:r>
        <w:rPr>
          <w:rFonts w:ascii="Calibri" w:hAnsi="Calibri" w:cs="Calibri"/>
          <w:sz w:val="22"/>
          <w:szCs w:val="22"/>
          <w:lang w:eastAsia="en-GB"/>
        </w:rPr>
        <w:t>In the event that an individual surpasses the sick leave credits limit during the IPSA period, the excess period will be charged against accrued annual leave. Should the annual leave be exhausted, the IPSA holder may be played on special leave without pay, otherwise any further absence shall be deducted from the remuneration accordingly.</w:t>
      </w:r>
    </w:p>
    <w:p w14:paraId="553F0B9A" w14:textId="77777777" w:rsidR="00804AF0" w:rsidRDefault="00804AF0">
      <w:pPr>
        <w:ind w:left="360"/>
        <w:jc w:val="both"/>
        <w:textAlignment w:val="baseline"/>
        <w:rPr>
          <w:rFonts w:ascii="Calibri" w:hAnsi="Calibri" w:cs="Calibri"/>
          <w:sz w:val="22"/>
          <w:szCs w:val="22"/>
          <w:lang w:eastAsia="en-GB"/>
        </w:rPr>
      </w:pPr>
    </w:p>
    <w:p w14:paraId="6EACF6D2" w14:textId="77777777" w:rsidR="00804AF0" w:rsidRDefault="009A47D6">
      <w:pPr>
        <w:numPr>
          <w:ilvl w:val="0"/>
          <w:numId w:val="27"/>
        </w:numPr>
        <w:jc w:val="both"/>
        <w:textAlignment w:val="baseline"/>
        <w:rPr>
          <w:rFonts w:ascii="Calibri" w:hAnsi="Calibri" w:cs="Calibri"/>
          <w:sz w:val="22"/>
          <w:szCs w:val="22"/>
          <w:lang w:eastAsia="en-GB"/>
        </w:rPr>
      </w:pPr>
      <w:r>
        <w:rPr>
          <w:rFonts w:ascii="Calibri" w:hAnsi="Calibri" w:cs="Calibri"/>
          <w:sz w:val="22"/>
          <w:szCs w:val="22"/>
          <w:lang w:eastAsia="en-GB"/>
        </w:rPr>
        <w:t>If the individual is not eligible for paid sick leave, managers should exercise the highest possible degree of flexibility in accepting unpaid leave due to illness. Only in such cases where the extent or timing of absences prevents the individual from delivering the services as specified in the terms of reference may the manager consider a termination of the IPSA due to illness.</w:t>
      </w:r>
    </w:p>
    <w:p w14:paraId="7C85DB5C"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363D490A" w14:textId="77777777" w:rsidR="00804AF0" w:rsidRDefault="009A47D6">
      <w:pPr>
        <w:numPr>
          <w:ilvl w:val="0"/>
          <w:numId w:val="27"/>
        </w:numPr>
        <w:jc w:val="both"/>
        <w:textAlignment w:val="baseline"/>
        <w:rPr>
          <w:rFonts w:ascii="Calibri" w:hAnsi="Calibri" w:cs="Calibri"/>
          <w:i/>
          <w:iCs/>
          <w:sz w:val="22"/>
          <w:szCs w:val="22"/>
          <w:lang w:eastAsia="en-GB"/>
        </w:rPr>
      </w:pPr>
      <w:r>
        <w:rPr>
          <w:rFonts w:ascii="Calibri" w:hAnsi="Calibri" w:cs="Calibri"/>
          <w:i/>
          <w:iCs/>
          <w:sz w:val="22"/>
          <w:szCs w:val="22"/>
          <w:lang w:eastAsia="en-GB"/>
        </w:rPr>
        <w:t>Computation of Annual and Sick Leave</w:t>
      </w:r>
    </w:p>
    <w:p w14:paraId="6827DEC5" w14:textId="77777777" w:rsidR="00804AF0" w:rsidRDefault="00804AF0">
      <w:pPr>
        <w:jc w:val="both"/>
        <w:textAlignment w:val="baseline"/>
        <w:rPr>
          <w:rFonts w:ascii="Calibri" w:hAnsi="Calibri" w:cs="Calibri"/>
          <w:sz w:val="22"/>
          <w:szCs w:val="22"/>
          <w:lang w:eastAsia="en-GB"/>
        </w:rPr>
      </w:pPr>
    </w:p>
    <w:p w14:paraId="5C9A191C" w14:textId="77777777" w:rsidR="00804AF0" w:rsidRDefault="009A47D6">
      <w:pPr>
        <w:pStyle w:val="ListParagraph"/>
        <w:numPr>
          <w:ilvl w:val="0"/>
          <w:numId w:val="28"/>
        </w:numPr>
        <w:jc w:val="both"/>
        <w:textAlignment w:val="baseline"/>
        <w:rPr>
          <w:rFonts w:ascii="Calibri" w:hAnsi="Calibri" w:cs="Calibri"/>
          <w:sz w:val="22"/>
          <w:szCs w:val="22"/>
          <w:lang w:eastAsia="en-GB"/>
        </w:rPr>
      </w:pPr>
      <w:r>
        <w:rPr>
          <w:rFonts w:ascii="Calibri" w:hAnsi="Calibri" w:cs="Calibri"/>
          <w:sz w:val="22"/>
          <w:szCs w:val="22"/>
          <w:lang w:eastAsia="en-GB"/>
        </w:rPr>
        <w:t xml:space="preserve">When the IPSA start date falls on the 1st of the month: Full leave entitlements. </w:t>
      </w:r>
    </w:p>
    <w:p w14:paraId="1EC23671" w14:textId="77777777" w:rsidR="00804AF0" w:rsidRDefault="00804AF0">
      <w:pPr>
        <w:ind w:left="720"/>
        <w:jc w:val="both"/>
        <w:textAlignment w:val="baseline"/>
        <w:rPr>
          <w:rFonts w:ascii="Calibri" w:hAnsi="Calibri" w:cs="Calibri"/>
          <w:sz w:val="22"/>
          <w:szCs w:val="22"/>
          <w:lang w:eastAsia="en-GB"/>
        </w:rPr>
      </w:pPr>
    </w:p>
    <w:p w14:paraId="1BAF5CC7" w14:textId="77777777" w:rsidR="00804AF0" w:rsidRDefault="009A47D6">
      <w:pPr>
        <w:pStyle w:val="ListParagraph"/>
        <w:numPr>
          <w:ilvl w:val="0"/>
          <w:numId w:val="28"/>
        </w:numPr>
        <w:jc w:val="both"/>
        <w:textAlignment w:val="baseline"/>
        <w:rPr>
          <w:rFonts w:ascii="Calibri" w:hAnsi="Calibri" w:cs="Calibri"/>
          <w:sz w:val="22"/>
          <w:szCs w:val="22"/>
          <w:lang w:eastAsia="en-GB"/>
        </w:rPr>
      </w:pPr>
      <w:r>
        <w:rPr>
          <w:rFonts w:ascii="Calibri" w:hAnsi="Calibri" w:cs="Calibri"/>
          <w:sz w:val="22"/>
          <w:szCs w:val="22"/>
          <w:lang w:eastAsia="en-GB"/>
        </w:rPr>
        <w:t>When the IPSA start date falls between the 2nd and the 16th of the month: two days annual leave and one day sick leave for that calendar month.</w:t>
      </w:r>
    </w:p>
    <w:p w14:paraId="3186FBF6" w14:textId="77777777" w:rsidR="00804AF0" w:rsidRDefault="00804AF0">
      <w:pPr>
        <w:pStyle w:val="ListParagraph"/>
        <w:ind w:left="1080"/>
        <w:jc w:val="both"/>
        <w:textAlignment w:val="baseline"/>
        <w:rPr>
          <w:rFonts w:ascii="Calibri" w:hAnsi="Calibri" w:cs="Calibri"/>
          <w:sz w:val="22"/>
          <w:szCs w:val="22"/>
          <w:lang w:eastAsia="en-GB"/>
        </w:rPr>
      </w:pPr>
    </w:p>
    <w:p w14:paraId="227CD2A7" w14:textId="77777777" w:rsidR="00804AF0" w:rsidRDefault="009A47D6">
      <w:pPr>
        <w:pStyle w:val="ListParagraph"/>
        <w:numPr>
          <w:ilvl w:val="0"/>
          <w:numId w:val="28"/>
        </w:numPr>
        <w:jc w:val="both"/>
        <w:textAlignment w:val="baseline"/>
        <w:rPr>
          <w:rFonts w:ascii="Calibri" w:hAnsi="Calibri" w:cs="Calibri"/>
          <w:sz w:val="22"/>
          <w:szCs w:val="22"/>
          <w:lang w:eastAsia="en-GB"/>
        </w:rPr>
      </w:pPr>
      <w:r>
        <w:rPr>
          <w:rFonts w:ascii="Calibri" w:hAnsi="Calibri" w:cs="Calibri"/>
          <w:sz w:val="22"/>
          <w:szCs w:val="22"/>
          <w:lang w:eastAsia="en-GB"/>
        </w:rPr>
        <w:t>When the IPSA start date falls on the 17th of the month or later: one day annual leave and one day sick leave for that calendar month.</w:t>
      </w:r>
    </w:p>
    <w:p w14:paraId="29AA12AE" w14:textId="77777777" w:rsidR="00804AF0" w:rsidRDefault="00804AF0">
      <w:pPr>
        <w:ind w:left="720"/>
        <w:jc w:val="both"/>
        <w:textAlignment w:val="baseline"/>
        <w:rPr>
          <w:rFonts w:ascii="Calibri" w:hAnsi="Calibri" w:cs="Calibri"/>
          <w:sz w:val="22"/>
          <w:szCs w:val="22"/>
          <w:lang w:eastAsia="en-GB"/>
        </w:rPr>
      </w:pPr>
    </w:p>
    <w:p w14:paraId="7C9B7805" w14:textId="77777777" w:rsidR="00804AF0" w:rsidRDefault="009A47D6">
      <w:pPr>
        <w:pStyle w:val="ListParagraph"/>
        <w:numPr>
          <w:ilvl w:val="0"/>
          <w:numId w:val="28"/>
        </w:numPr>
        <w:jc w:val="both"/>
        <w:textAlignment w:val="baseline"/>
        <w:rPr>
          <w:rFonts w:ascii="Calibri" w:hAnsi="Calibri" w:cs="Calibri"/>
          <w:sz w:val="22"/>
          <w:szCs w:val="22"/>
          <w:lang w:eastAsia="en-GB"/>
        </w:rPr>
      </w:pPr>
      <w:r>
        <w:rPr>
          <w:rFonts w:ascii="Calibri" w:hAnsi="Calibri" w:cs="Calibri"/>
          <w:sz w:val="22"/>
          <w:szCs w:val="22"/>
          <w:lang w:eastAsia="en-GB"/>
        </w:rPr>
        <w:t>When the IPSA end date falls between the 1st and the 16th of the month: one day annual leave and one day sick leave for that calendar month. </w:t>
      </w:r>
    </w:p>
    <w:p w14:paraId="73585DB6" w14:textId="77777777" w:rsidR="00804AF0" w:rsidRDefault="00804AF0">
      <w:pPr>
        <w:pStyle w:val="ListParagraph"/>
        <w:ind w:left="1080"/>
        <w:jc w:val="both"/>
        <w:textAlignment w:val="baseline"/>
        <w:rPr>
          <w:rFonts w:ascii="Calibri" w:hAnsi="Calibri" w:cs="Calibri"/>
          <w:sz w:val="22"/>
          <w:szCs w:val="22"/>
          <w:lang w:eastAsia="en-GB"/>
        </w:rPr>
      </w:pPr>
    </w:p>
    <w:p w14:paraId="200FFFBD" w14:textId="77777777" w:rsidR="00804AF0" w:rsidRDefault="009A47D6">
      <w:pPr>
        <w:pStyle w:val="ListParagraph"/>
        <w:numPr>
          <w:ilvl w:val="0"/>
          <w:numId w:val="28"/>
        </w:numPr>
        <w:jc w:val="both"/>
        <w:textAlignment w:val="baseline"/>
        <w:rPr>
          <w:rFonts w:ascii="Calibri" w:hAnsi="Calibri" w:cs="Calibri"/>
          <w:sz w:val="22"/>
          <w:szCs w:val="22"/>
          <w:lang w:eastAsia="en-GB"/>
        </w:rPr>
      </w:pPr>
      <w:r>
        <w:rPr>
          <w:rFonts w:ascii="Calibri" w:hAnsi="Calibri" w:cs="Calibri"/>
          <w:sz w:val="22"/>
          <w:szCs w:val="22"/>
          <w:lang w:eastAsia="en-GB"/>
        </w:rPr>
        <w:t>When IPSA end date falls on the 17th of the month or later, but not on the last day of the month: two days annual leave and one day sick leave.</w:t>
      </w:r>
    </w:p>
    <w:p w14:paraId="20D2A970" w14:textId="77777777" w:rsidR="00804AF0" w:rsidRDefault="00804AF0">
      <w:pPr>
        <w:pStyle w:val="ListParagraph"/>
        <w:ind w:left="1080"/>
        <w:jc w:val="both"/>
        <w:textAlignment w:val="baseline"/>
        <w:rPr>
          <w:rFonts w:ascii="Calibri" w:hAnsi="Calibri" w:cs="Calibri"/>
          <w:sz w:val="22"/>
          <w:szCs w:val="22"/>
          <w:lang w:eastAsia="en-GB"/>
        </w:rPr>
      </w:pPr>
    </w:p>
    <w:p w14:paraId="4CBAF4DE" w14:textId="77777777" w:rsidR="00804AF0" w:rsidRDefault="009A47D6">
      <w:pPr>
        <w:pStyle w:val="ListParagraph"/>
        <w:numPr>
          <w:ilvl w:val="0"/>
          <w:numId w:val="28"/>
        </w:numPr>
        <w:jc w:val="both"/>
        <w:textAlignment w:val="baseline"/>
        <w:rPr>
          <w:rFonts w:ascii="Calibri" w:hAnsi="Calibri" w:cs="Calibri"/>
          <w:sz w:val="22"/>
          <w:szCs w:val="22"/>
          <w:lang w:eastAsia="en-GB"/>
        </w:rPr>
      </w:pPr>
      <w:bookmarkStart w:id="77" w:name="OLE_LINK34"/>
      <w:r>
        <w:rPr>
          <w:rFonts w:ascii="Calibri" w:hAnsi="Calibri" w:cs="Calibri"/>
          <w:sz w:val="22"/>
          <w:szCs w:val="22"/>
          <w:lang w:eastAsia="en-GB"/>
        </w:rPr>
        <w:t>Part-time IPSAs will have their starting and ending annual and sick leave totals pro-rated to reflect their part-time schedule.</w:t>
      </w:r>
    </w:p>
    <w:bookmarkEnd w:id="77"/>
    <w:p w14:paraId="3B50D7EB"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27782219" w14:textId="77777777" w:rsidR="00804AF0" w:rsidRDefault="00804AF0">
      <w:pPr>
        <w:jc w:val="both"/>
        <w:textAlignment w:val="baseline"/>
        <w:rPr>
          <w:rFonts w:ascii="Calibri" w:hAnsi="Calibri" w:cs="Calibri"/>
          <w:sz w:val="22"/>
          <w:szCs w:val="22"/>
          <w:lang w:eastAsia="en-GB"/>
        </w:rPr>
      </w:pPr>
    </w:p>
    <w:p w14:paraId="46C0D6BF" w14:textId="77777777" w:rsidR="00804AF0" w:rsidRDefault="009A47D6">
      <w:pPr>
        <w:numPr>
          <w:ilvl w:val="0"/>
          <w:numId w:val="4"/>
        </w:numPr>
        <w:jc w:val="both"/>
        <w:textAlignment w:val="baseline"/>
        <w:rPr>
          <w:rFonts w:ascii="Calibri" w:hAnsi="Calibri" w:cs="Calibri"/>
          <w:b/>
          <w:bCs/>
          <w:color w:val="000000"/>
          <w:sz w:val="22"/>
          <w:szCs w:val="22"/>
          <w:lang w:val="en-CA" w:eastAsia="en-GB"/>
        </w:rPr>
      </w:pPr>
      <w:bookmarkStart w:id="78" w:name="OLE_LINK36"/>
      <w:r>
        <w:rPr>
          <w:rFonts w:ascii="Calibri" w:hAnsi="Calibri" w:cs="Calibri"/>
          <w:b/>
          <w:bCs/>
          <w:color w:val="000000"/>
          <w:sz w:val="22"/>
          <w:szCs w:val="22"/>
          <w:lang w:val="en-CA" w:eastAsia="en-GB"/>
        </w:rPr>
        <w:lastRenderedPageBreak/>
        <w:t>Parental Leave (for the birth parent): </w:t>
      </w:r>
    </w:p>
    <w:bookmarkEnd w:id="78"/>
    <w:p w14:paraId="6EFB4A08" w14:textId="77777777" w:rsidR="00804AF0" w:rsidRDefault="00804AF0">
      <w:pPr>
        <w:jc w:val="both"/>
        <w:textAlignment w:val="baseline"/>
        <w:rPr>
          <w:rFonts w:ascii="Calibri" w:hAnsi="Calibri" w:cs="Calibri"/>
          <w:b/>
          <w:bCs/>
          <w:sz w:val="22"/>
          <w:szCs w:val="22"/>
          <w:lang w:eastAsia="en-GB"/>
        </w:rPr>
      </w:pPr>
    </w:p>
    <w:p w14:paraId="3953FD48" w14:textId="77777777" w:rsidR="00804AF0" w:rsidRDefault="009A47D6">
      <w:pPr>
        <w:numPr>
          <w:ilvl w:val="0"/>
          <w:numId w:val="29"/>
        </w:numPr>
        <w:jc w:val="both"/>
        <w:textAlignment w:val="baseline"/>
        <w:rPr>
          <w:rFonts w:ascii="Calibri" w:hAnsi="Calibri" w:cs="Calibri"/>
          <w:sz w:val="22"/>
          <w:szCs w:val="22"/>
          <w:lang w:eastAsia="en-GB"/>
        </w:rPr>
      </w:pPr>
      <w:bookmarkStart w:id="79" w:name="OLE_LINK39"/>
      <w:r>
        <w:rPr>
          <w:rFonts w:ascii="Calibri" w:hAnsi="Calibri" w:cs="Calibri"/>
          <w:sz w:val="22"/>
          <w:szCs w:val="22"/>
          <w:lang w:eastAsia="en-GB"/>
        </w:rPr>
        <w:t>IPSA holders on regular IPSAs are eligible for 16 consecutive weeks of paid parental leave for the birth parent.</w:t>
      </w:r>
    </w:p>
    <w:p w14:paraId="66288E0B" w14:textId="77777777" w:rsidR="00804AF0" w:rsidRDefault="00804AF0">
      <w:pPr>
        <w:tabs>
          <w:tab w:val="left" w:pos="720"/>
        </w:tabs>
        <w:ind w:left="720"/>
        <w:jc w:val="both"/>
        <w:textAlignment w:val="baseline"/>
        <w:rPr>
          <w:rFonts w:ascii="Calibri" w:hAnsi="Calibri" w:cs="Calibri"/>
          <w:sz w:val="22"/>
          <w:szCs w:val="22"/>
          <w:lang w:eastAsia="en-GB"/>
        </w:rPr>
      </w:pPr>
    </w:p>
    <w:p w14:paraId="3CDE2280" w14:textId="77777777" w:rsidR="00804AF0" w:rsidRDefault="009A47D6">
      <w:pPr>
        <w:numPr>
          <w:ilvl w:val="0"/>
          <w:numId w:val="29"/>
        </w:numPr>
        <w:jc w:val="both"/>
        <w:textAlignment w:val="baseline"/>
        <w:rPr>
          <w:rFonts w:ascii="Calibri" w:hAnsi="Calibri" w:cs="Calibri"/>
          <w:sz w:val="22"/>
          <w:szCs w:val="22"/>
          <w:lang w:eastAsia="en-GB"/>
        </w:rPr>
      </w:pPr>
      <w:bookmarkStart w:id="80" w:name="OLE_LINK37"/>
      <w:r>
        <w:rPr>
          <w:rFonts w:ascii="Calibri" w:hAnsi="Calibri"/>
          <w:sz w:val="22"/>
          <w:szCs w:val="22"/>
        </w:rPr>
        <w:t>Extensions of parental leave for birth parents may be granted on the basis of unpaid leave, regardless of contract durations for regular IPSAs</w:t>
      </w:r>
      <w:r>
        <w:rPr>
          <w:rFonts w:ascii="Calibri" w:hAnsi="Calibri" w:cs="Calibri"/>
          <w:sz w:val="22"/>
          <w:szCs w:val="22"/>
          <w:lang w:eastAsia="en-GB"/>
        </w:rPr>
        <w:t>.</w:t>
      </w:r>
    </w:p>
    <w:bookmarkEnd w:id="79"/>
    <w:bookmarkEnd w:id="80"/>
    <w:p w14:paraId="30DE4E8F" w14:textId="77777777" w:rsidR="00804AF0" w:rsidRDefault="00804AF0">
      <w:pPr>
        <w:ind w:left="360"/>
        <w:jc w:val="both"/>
        <w:textAlignment w:val="baseline"/>
        <w:rPr>
          <w:rFonts w:ascii="Calibri" w:hAnsi="Calibri" w:cs="Calibri"/>
          <w:sz w:val="22"/>
          <w:szCs w:val="22"/>
          <w:lang w:eastAsia="en-GB"/>
        </w:rPr>
      </w:pPr>
    </w:p>
    <w:p w14:paraId="5B78976B" w14:textId="77777777" w:rsidR="00804AF0" w:rsidRDefault="009A47D6">
      <w:pPr>
        <w:numPr>
          <w:ilvl w:val="0"/>
          <w:numId w:val="29"/>
        </w:numPr>
        <w:jc w:val="both"/>
        <w:textAlignment w:val="baseline"/>
        <w:rPr>
          <w:rFonts w:ascii="Calibri" w:hAnsi="Calibri" w:cs="Calibri"/>
          <w:sz w:val="22"/>
          <w:szCs w:val="22"/>
          <w:lang w:eastAsia="en-GB"/>
        </w:rPr>
      </w:pPr>
      <w:r>
        <w:rPr>
          <w:rFonts w:ascii="Calibri" w:hAnsi="Calibri" w:cs="Calibri"/>
          <w:sz w:val="22"/>
          <w:szCs w:val="22"/>
          <w:lang w:eastAsia="en-GB"/>
        </w:rPr>
        <w:t xml:space="preserve">Parental leave for the birth parent must fall within and be taken during the IPSA period. Where the parental leave started during the IPSA </w:t>
      </w:r>
      <w:proofErr w:type="gramStart"/>
      <w:r>
        <w:rPr>
          <w:rFonts w:ascii="Calibri" w:hAnsi="Calibri" w:cs="Calibri"/>
          <w:sz w:val="22"/>
          <w:szCs w:val="22"/>
          <w:lang w:eastAsia="en-GB"/>
        </w:rPr>
        <w:t>period</w:t>
      </w:r>
      <w:proofErr w:type="gramEnd"/>
      <w:r>
        <w:rPr>
          <w:rFonts w:ascii="Calibri" w:hAnsi="Calibri" w:cs="Calibri"/>
          <w:sz w:val="22"/>
          <w:szCs w:val="22"/>
          <w:lang w:eastAsia="en-GB"/>
        </w:rPr>
        <w:t xml:space="preserve"> but the IPSA is due to expire during the period of </w:t>
      </w:r>
      <w:proofErr w:type="gramStart"/>
      <w:r>
        <w:rPr>
          <w:rFonts w:ascii="Calibri" w:hAnsi="Calibri" w:cs="Calibri"/>
          <w:sz w:val="22"/>
          <w:szCs w:val="22"/>
          <w:lang w:eastAsia="en-GB"/>
        </w:rPr>
        <w:t>the parental</w:t>
      </w:r>
      <w:proofErr w:type="gramEnd"/>
      <w:r>
        <w:rPr>
          <w:rFonts w:ascii="Calibri" w:hAnsi="Calibri" w:cs="Calibri"/>
          <w:sz w:val="22"/>
          <w:szCs w:val="22"/>
          <w:lang w:eastAsia="en-GB"/>
        </w:rPr>
        <w:t xml:space="preserve"> leave, the IPSA will be extended for the purpose of covering the full 16-week duration of the parental leave.</w:t>
      </w:r>
      <w:bookmarkStart w:id="81" w:name="OLE_LINK38"/>
      <w:r>
        <w:rPr>
          <w:rFonts w:ascii="Calibri" w:hAnsi="Calibri" w:cs="Calibri"/>
          <w:sz w:val="22"/>
          <w:szCs w:val="22"/>
          <w:lang w:eastAsia="en-GB"/>
        </w:rPr>
        <w:t xml:space="preserve"> There is no expectation or obligation to extend beyond the above extension to accommodate the parental leave for the birth parent if the original position was not envisaged to be longer. No leave will be accumulated during the extended period.</w:t>
      </w:r>
    </w:p>
    <w:bookmarkEnd w:id="81"/>
    <w:p w14:paraId="3C55CB0C" w14:textId="77777777" w:rsidR="00804AF0" w:rsidRDefault="00804AF0">
      <w:pPr>
        <w:ind w:left="360"/>
        <w:jc w:val="both"/>
        <w:textAlignment w:val="baseline"/>
        <w:rPr>
          <w:rFonts w:ascii="Calibri" w:hAnsi="Calibri" w:cs="Calibri"/>
          <w:sz w:val="22"/>
          <w:szCs w:val="22"/>
          <w:lang w:eastAsia="en-GB"/>
        </w:rPr>
      </w:pPr>
    </w:p>
    <w:p w14:paraId="425B69C5" w14:textId="77777777" w:rsidR="00804AF0" w:rsidRDefault="009A47D6">
      <w:pPr>
        <w:numPr>
          <w:ilvl w:val="0"/>
          <w:numId w:val="29"/>
        </w:numPr>
        <w:jc w:val="both"/>
        <w:textAlignment w:val="baseline"/>
        <w:rPr>
          <w:rFonts w:ascii="Calibri" w:hAnsi="Calibri" w:cs="Calibri"/>
          <w:sz w:val="22"/>
          <w:szCs w:val="22"/>
          <w:lang w:eastAsia="en-GB"/>
        </w:rPr>
      </w:pPr>
      <w:r>
        <w:rPr>
          <w:rFonts w:ascii="Calibri" w:hAnsi="Calibri" w:cs="Calibri"/>
          <w:sz w:val="22"/>
          <w:szCs w:val="22"/>
          <w:lang w:eastAsia="en-GB"/>
        </w:rPr>
        <w:t>Individuals must submit the request for parental leave at least three months prior to the anticipated start date and the request should be accompanied by a certification from a doctor or midwife stating the Expected Date of Delivery (EDD).</w:t>
      </w:r>
    </w:p>
    <w:p w14:paraId="47F57F4F" w14:textId="77777777" w:rsidR="00804AF0" w:rsidRDefault="00804AF0">
      <w:pPr>
        <w:ind w:left="360"/>
        <w:jc w:val="both"/>
        <w:textAlignment w:val="baseline"/>
        <w:rPr>
          <w:rFonts w:ascii="Calibri" w:hAnsi="Calibri" w:cs="Calibri"/>
          <w:sz w:val="22"/>
          <w:szCs w:val="22"/>
          <w:lang w:eastAsia="en-GB"/>
        </w:rPr>
      </w:pPr>
    </w:p>
    <w:p w14:paraId="3021E440" w14:textId="77777777" w:rsidR="00804AF0" w:rsidRDefault="009A47D6">
      <w:pPr>
        <w:numPr>
          <w:ilvl w:val="0"/>
          <w:numId w:val="29"/>
        </w:numPr>
        <w:jc w:val="both"/>
        <w:textAlignment w:val="baseline"/>
        <w:rPr>
          <w:rFonts w:ascii="Calibri" w:hAnsi="Calibri" w:cs="Calibri"/>
          <w:sz w:val="22"/>
          <w:szCs w:val="22"/>
          <w:lang w:eastAsia="en-GB"/>
        </w:rPr>
      </w:pPr>
      <w:r>
        <w:rPr>
          <w:rFonts w:ascii="Calibri" w:hAnsi="Calibri" w:cs="Calibri"/>
          <w:sz w:val="22"/>
          <w:szCs w:val="22"/>
          <w:lang w:eastAsia="en-GB"/>
        </w:rPr>
        <w:t>Parental leave for birth parents must begin between two and six weeks prior to EDD and be taken in one consecutive period.</w:t>
      </w:r>
    </w:p>
    <w:p w14:paraId="1F3E29F8" w14:textId="77777777" w:rsidR="00804AF0" w:rsidRDefault="00804AF0">
      <w:pPr>
        <w:ind w:left="360"/>
        <w:jc w:val="both"/>
        <w:textAlignment w:val="baseline"/>
        <w:rPr>
          <w:rFonts w:ascii="Calibri" w:hAnsi="Calibri" w:cs="Calibri"/>
          <w:sz w:val="22"/>
          <w:szCs w:val="22"/>
          <w:lang w:eastAsia="en-GB"/>
        </w:rPr>
      </w:pPr>
    </w:p>
    <w:p w14:paraId="2EDCC3D8" w14:textId="77777777" w:rsidR="00804AF0" w:rsidRDefault="009A47D6">
      <w:pPr>
        <w:numPr>
          <w:ilvl w:val="0"/>
          <w:numId w:val="29"/>
        </w:numPr>
        <w:jc w:val="both"/>
        <w:textAlignment w:val="baseline"/>
        <w:rPr>
          <w:rFonts w:ascii="Calibri" w:hAnsi="Calibri" w:cs="Calibri"/>
          <w:sz w:val="22"/>
          <w:szCs w:val="22"/>
          <w:lang w:eastAsia="en-GB"/>
        </w:rPr>
      </w:pPr>
      <w:r>
        <w:rPr>
          <w:rFonts w:ascii="Calibri" w:hAnsi="Calibri" w:cs="Calibri"/>
          <w:sz w:val="22"/>
          <w:szCs w:val="22"/>
          <w:lang w:eastAsia="en-GB"/>
        </w:rPr>
        <w:t>Annual leave will accrue during the period of parental leave.</w:t>
      </w:r>
    </w:p>
    <w:p w14:paraId="66520A83" w14:textId="77777777" w:rsidR="00804AF0" w:rsidRDefault="00804AF0">
      <w:pPr>
        <w:ind w:left="360"/>
        <w:jc w:val="both"/>
        <w:textAlignment w:val="baseline"/>
        <w:rPr>
          <w:rFonts w:ascii="Calibri" w:hAnsi="Calibri" w:cs="Calibri"/>
          <w:sz w:val="22"/>
          <w:szCs w:val="22"/>
          <w:lang w:eastAsia="en-GB"/>
        </w:rPr>
      </w:pPr>
    </w:p>
    <w:p w14:paraId="746A23A5" w14:textId="77777777" w:rsidR="00804AF0" w:rsidRDefault="009A47D6">
      <w:pPr>
        <w:numPr>
          <w:ilvl w:val="0"/>
          <w:numId w:val="29"/>
        </w:numPr>
        <w:jc w:val="both"/>
        <w:textAlignment w:val="baseline"/>
        <w:rPr>
          <w:rFonts w:ascii="Calibri" w:hAnsi="Calibri" w:cs="Calibri"/>
          <w:sz w:val="22"/>
          <w:szCs w:val="22"/>
          <w:lang w:eastAsia="en-GB"/>
        </w:rPr>
      </w:pPr>
      <w:bookmarkStart w:id="82" w:name="OLE_LINK40"/>
      <w:r>
        <w:rPr>
          <w:rFonts w:ascii="Calibri" w:hAnsi="Calibri" w:cs="Calibri"/>
          <w:sz w:val="22"/>
          <w:szCs w:val="22"/>
          <w:lang w:eastAsia="en-GB"/>
        </w:rPr>
        <w:t>Time-off to breastfeed infants up to two years old, is in accordance with UNDP’s policy on Time Off for Breastfeeding.</w:t>
      </w:r>
      <w:bookmarkEnd w:id="82"/>
    </w:p>
    <w:p w14:paraId="26E66BE7"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70C6333D" w14:textId="77777777" w:rsidR="00804AF0" w:rsidRDefault="009A47D6">
      <w:pPr>
        <w:numPr>
          <w:ilvl w:val="0"/>
          <w:numId w:val="4"/>
        </w:numPr>
        <w:jc w:val="both"/>
        <w:textAlignment w:val="baseline"/>
        <w:rPr>
          <w:rFonts w:ascii="Calibri" w:hAnsi="Calibri" w:cs="Calibri"/>
          <w:b/>
          <w:bCs/>
          <w:color w:val="000000"/>
          <w:sz w:val="22"/>
          <w:szCs w:val="22"/>
          <w:lang w:val="en-CA" w:eastAsia="en-GB"/>
        </w:rPr>
      </w:pPr>
      <w:r>
        <w:rPr>
          <w:rFonts w:ascii="Calibri" w:hAnsi="Calibri" w:cs="Calibri"/>
          <w:b/>
          <w:bCs/>
          <w:color w:val="000000"/>
          <w:sz w:val="22"/>
          <w:szCs w:val="22"/>
          <w:lang w:val="en-CA" w:eastAsia="en-GB"/>
        </w:rPr>
        <w:t>Parental Leave (for non-birth parent)</w:t>
      </w:r>
    </w:p>
    <w:p w14:paraId="7EA89F72" w14:textId="77777777" w:rsidR="00804AF0" w:rsidRDefault="00804AF0">
      <w:pPr>
        <w:jc w:val="both"/>
        <w:textAlignment w:val="baseline"/>
        <w:rPr>
          <w:rFonts w:ascii="Calibri" w:hAnsi="Calibri" w:cs="Calibri"/>
          <w:sz w:val="22"/>
          <w:szCs w:val="22"/>
          <w:lang w:eastAsia="en-GB"/>
        </w:rPr>
      </w:pPr>
    </w:p>
    <w:p w14:paraId="25F9D506" w14:textId="77777777" w:rsidR="00804AF0" w:rsidRDefault="009A47D6">
      <w:pPr>
        <w:numPr>
          <w:ilvl w:val="0"/>
          <w:numId w:val="30"/>
        </w:numPr>
        <w:jc w:val="both"/>
        <w:textAlignment w:val="baseline"/>
        <w:rPr>
          <w:rFonts w:ascii="Calibri" w:hAnsi="Calibri" w:cs="Calibri"/>
          <w:sz w:val="22"/>
          <w:szCs w:val="22"/>
          <w:lang w:eastAsia="en-GB"/>
        </w:rPr>
      </w:pPr>
      <w:r>
        <w:rPr>
          <w:rFonts w:ascii="Calibri" w:hAnsi="Calibri" w:cs="Calibri"/>
          <w:sz w:val="22"/>
          <w:szCs w:val="22"/>
          <w:lang w:eastAsia="en-GB"/>
        </w:rPr>
        <w:t>IPSA holders on regular IPSAs are eligible for four weeks of paid parental leave.</w:t>
      </w:r>
    </w:p>
    <w:p w14:paraId="7C6DFD59" w14:textId="77777777" w:rsidR="00804AF0" w:rsidRDefault="00804AF0">
      <w:pPr>
        <w:ind w:left="360"/>
        <w:jc w:val="both"/>
        <w:textAlignment w:val="baseline"/>
        <w:rPr>
          <w:rFonts w:ascii="Calibri" w:hAnsi="Calibri" w:cs="Calibri"/>
          <w:sz w:val="22"/>
          <w:szCs w:val="22"/>
          <w:lang w:eastAsia="en-GB"/>
        </w:rPr>
      </w:pPr>
    </w:p>
    <w:p w14:paraId="229D4C0D" w14:textId="77777777" w:rsidR="00804AF0" w:rsidRDefault="009A47D6">
      <w:pPr>
        <w:numPr>
          <w:ilvl w:val="0"/>
          <w:numId w:val="30"/>
        </w:numPr>
        <w:jc w:val="both"/>
        <w:textAlignment w:val="baseline"/>
        <w:rPr>
          <w:rFonts w:ascii="Calibri" w:hAnsi="Calibri" w:cs="Calibri"/>
          <w:sz w:val="22"/>
          <w:szCs w:val="22"/>
          <w:lang w:eastAsia="en-GB"/>
        </w:rPr>
      </w:pPr>
      <w:r>
        <w:rPr>
          <w:rFonts w:ascii="Calibri" w:hAnsi="Calibri" w:cs="Calibri"/>
          <w:sz w:val="22"/>
          <w:szCs w:val="22"/>
          <w:lang w:eastAsia="en-GB"/>
        </w:rPr>
        <w:t>Parental leave for non-birth parents may be taken in either one or two fixed periods during the first 12 months from the birth of their child.</w:t>
      </w:r>
    </w:p>
    <w:p w14:paraId="077B46FF" w14:textId="77777777" w:rsidR="00804AF0" w:rsidRDefault="00804AF0">
      <w:pPr>
        <w:ind w:left="360"/>
        <w:jc w:val="both"/>
        <w:textAlignment w:val="baseline"/>
        <w:rPr>
          <w:rFonts w:ascii="Calibri" w:hAnsi="Calibri" w:cs="Calibri"/>
          <w:sz w:val="22"/>
          <w:szCs w:val="22"/>
          <w:lang w:eastAsia="en-GB"/>
        </w:rPr>
      </w:pPr>
    </w:p>
    <w:p w14:paraId="1F5F67ED" w14:textId="77777777" w:rsidR="00804AF0" w:rsidRDefault="009A47D6">
      <w:pPr>
        <w:numPr>
          <w:ilvl w:val="0"/>
          <w:numId w:val="30"/>
        </w:numPr>
        <w:jc w:val="both"/>
        <w:textAlignment w:val="baseline"/>
        <w:rPr>
          <w:rFonts w:ascii="Calibri" w:hAnsi="Calibri" w:cs="Calibri"/>
          <w:sz w:val="22"/>
          <w:szCs w:val="22"/>
          <w:lang w:eastAsia="en-GB"/>
        </w:rPr>
      </w:pPr>
      <w:r>
        <w:rPr>
          <w:rFonts w:ascii="Calibri" w:hAnsi="Calibri" w:cs="Calibri"/>
          <w:sz w:val="22"/>
          <w:szCs w:val="22"/>
          <w:lang w:eastAsia="en-GB"/>
        </w:rPr>
        <w:t>IPSA holders must submit their request for parental leave within a reasonable period of not less than two weeks prior to the expected start of the parental leave, in agreement with the supervisor, and the request should be accompanied by a certification from a doctor or midwife stating the EDD to be followed by a copy of the child’s birth certificate.</w:t>
      </w:r>
    </w:p>
    <w:p w14:paraId="2A22A6EC" w14:textId="77777777" w:rsidR="00804AF0" w:rsidRDefault="00804AF0">
      <w:pPr>
        <w:ind w:left="360"/>
        <w:jc w:val="both"/>
        <w:textAlignment w:val="baseline"/>
        <w:rPr>
          <w:rFonts w:ascii="Calibri" w:hAnsi="Calibri" w:cs="Calibri"/>
          <w:sz w:val="22"/>
          <w:szCs w:val="22"/>
          <w:lang w:eastAsia="en-GB"/>
        </w:rPr>
      </w:pPr>
    </w:p>
    <w:p w14:paraId="0E6A6B94" w14:textId="77777777" w:rsidR="00804AF0" w:rsidRDefault="009A47D6">
      <w:pPr>
        <w:numPr>
          <w:ilvl w:val="0"/>
          <w:numId w:val="30"/>
        </w:numPr>
        <w:jc w:val="both"/>
        <w:textAlignment w:val="baseline"/>
        <w:rPr>
          <w:rFonts w:ascii="Calibri" w:hAnsi="Calibri" w:cs="Calibri"/>
          <w:sz w:val="22"/>
          <w:szCs w:val="22"/>
          <w:lang w:eastAsia="en-GB"/>
        </w:rPr>
      </w:pPr>
      <w:r>
        <w:rPr>
          <w:rFonts w:ascii="Calibri" w:hAnsi="Calibri" w:cs="Calibri"/>
          <w:sz w:val="22"/>
          <w:szCs w:val="22"/>
          <w:lang w:eastAsia="en-GB"/>
        </w:rPr>
        <w:t>Parental leave for non-birth parents is limited to one occurrence per 12 months, regardless of the number of children born during that 12-month period.</w:t>
      </w:r>
    </w:p>
    <w:p w14:paraId="23ADB6F4" w14:textId="77777777" w:rsidR="00804AF0" w:rsidRDefault="00804AF0">
      <w:pPr>
        <w:ind w:left="360"/>
        <w:jc w:val="both"/>
        <w:textAlignment w:val="baseline"/>
        <w:rPr>
          <w:rFonts w:ascii="Calibri" w:hAnsi="Calibri" w:cs="Calibri"/>
          <w:sz w:val="22"/>
          <w:szCs w:val="22"/>
          <w:lang w:eastAsia="en-GB"/>
        </w:rPr>
      </w:pPr>
    </w:p>
    <w:p w14:paraId="5A506C3B" w14:textId="77777777" w:rsidR="00804AF0" w:rsidRDefault="009A47D6">
      <w:pPr>
        <w:numPr>
          <w:ilvl w:val="0"/>
          <w:numId w:val="30"/>
        </w:numPr>
        <w:jc w:val="both"/>
        <w:textAlignment w:val="baseline"/>
        <w:rPr>
          <w:rFonts w:ascii="Calibri" w:hAnsi="Calibri" w:cs="Calibri"/>
          <w:sz w:val="22"/>
          <w:szCs w:val="22"/>
          <w:lang w:eastAsia="en-GB"/>
        </w:rPr>
      </w:pPr>
      <w:r>
        <w:rPr>
          <w:rFonts w:ascii="Calibri" w:hAnsi="Calibri" w:cs="Calibri"/>
          <w:sz w:val="22"/>
          <w:szCs w:val="22"/>
          <w:lang w:eastAsia="en-GB"/>
        </w:rPr>
        <w:t xml:space="preserve">Parental leave for non-birth parents must fall within and be taken during the IPSA period. Unused parental leave is not commutable to cash. The IPSA must not be extended solely </w:t>
      </w:r>
      <w:proofErr w:type="gramStart"/>
      <w:r>
        <w:rPr>
          <w:rFonts w:ascii="Calibri" w:hAnsi="Calibri" w:cs="Calibri"/>
          <w:sz w:val="22"/>
          <w:szCs w:val="22"/>
          <w:lang w:eastAsia="en-GB"/>
        </w:rPr>
        <w:t>in order to</w:t>
      </w:r>
      <w:proofErr w:type="gramEnd"/>
      <w:r>
        <w:rPr>
          <w:rFonts w:ascii="Calibri" w:hAnsi="Calibri" w:cs="Calibri"/>
          <w:sz w:val="22"/>
          <w:szCs w:val="22"/>
          <w:lang w:eastAsia="en-GB"/>
        </w:rPr>
        <w:t xml:space="preserve"> exercise the unused portion of the parental leave.</w:t>
      </w:r>
    </w:p>
    <w:p w14:paraId="48731622" w14:textId="77777777" w:rsidR="000A158C" w:rsidRDefault="000A158C" w:rsidP="0020638C">
      <w:pPr>
        <w:pStyle w:val="ListParagraph"/>
        <w:rPr>
          <w:rFonts w:ascii="Calibri" w:hAnsi="Calibri" w:cs="Calibri"/>
          <w:sz w:val="22"/>
          <w:szCs w:val="22"/>
          <w:lang w:eastAsia="en-GB"/>
        </w:rPr>
      </w:pPr>
    </w:p>
    <w:p w14:paraId="0952CC45" w14:textId="77777777" w:rsidR="000A158C" w:rsidRDefault="000A158C" w:rsidP="000A158C">
      <w:pPr>
        <w:tabs>
          <w:tab w:val="left" w:pos="720"/>
        </w:tabs>
        <w:ind w:left="720"/>
        <w:jc w:val="both"/>
        <w:textAlignment w:val="baseline"/>
        <w:rPr>
          <w:rFonts w:ascii="Calibri" w:hAnsi="Calibri" w:cs="Calibri"/>
          <w:sz w:val="22"/>
          <w:szCs w:val="22"/>
          <w:lang w:eastAsia="en-GB"/>
        </w:rPr>
      </w:pPr>
    </w:p>
    <w:p w14:paraId="5A54F91C" w14:textId="77777777" w:rsidR="00804AF0" w:rsidRDefault="00804AF0">
      <w:pPr>
        <w:jc w:val="both"/>
        <w:textAlignment w:val="baseline"/>
        <w:rPr>
          <w:rFonts w:ascii="Calibri" w:hAnsi="Calibri" w:cs="Calibri"/>
          <w:sz w:val="22"/>
          <w:szCs w:val="22"/>
          <w:lang w:eastAsia="en-GB"/>
        </w:rPr>
      </w:pPr>
    </w:p>
    <w:p w14:paraId="08E593AC" w14:textId="77777777" w:rsidR="00804AF0" w:rsidRDefault="009A47D6">
      <w:pPr>
        <w:numPr>
          <w:ilvl w:val="0"/>
          <w:numId w:val="4"/>
        </w:numPr>
        <w:jc w:val="both"/>
        <w:textAlignment w:val="baseline"/>
        <w:rPr>
          <w:rFonts w:ascii="Calibri" w:hAnsi="Calibri" w:cs="Calibri"/>
          <w:b/>
          <w:bCs/>
          <w:color w:val="000000"/>
          <w:sz w:val="22"/>
          <w:szCs w:val="22"/>
          <w:lang w:val="en-CA" w:eastAsia="en-GB"/>
        </w:rPr>
      </w:pPr>
      <w:r>
        <w:rPr>
          <w:rFonts w:ascii="Calibri" w:hAnsi="Calibri" w:cs="Calibri"/>
          <w:b/>
          <w:bCs/>
          <w:color w:val="000000"/>
          <w:sz w:val="22"/>
          <w:szCs w:val="22"/>
          <w:lang w:val="en-CA" w:eastAsia="en-GB"/>
        </w:rPr>
        <w:t>Unpaid Leave:</w:t>
      </w:r>
    </w:p>
    <w:p w14:paraId="6A5EE18F" w14:textId="77777777" w:rsidR="00804AF0" w:rsidRDefault="00804AF0">
      <w:pPr>
        <w:jc w:val="both"/>
        <w:textAlignment w:val="baseline"/>
        <w:rPr>
          <w:rFonts w:ascii="Calibri" w:hAnsi="Calibri" w:cs="Calibri"/>
          <w:b/>
          <w:bCs/>
          <w:sz w:val="22"/>
          <w:szCs w:val="22"/>
          <w:lang w:eastAsia="en-GB"/>
        </w:rPr>
      </w:pPr>
    </w:p>
    <w:p w14:paraId="55000E01" w14:textId="77777777" w:rsidR="00804AF0" w:rsidRDefault="009A47D6">
      <w:pPr>
        <w:numPr>
          <w:ilvl w:val="0"/>
          <w:numId w:val="31"/>
        </w:numPr>
        <w:jc w:val="both"/>
        <w:textAlignment w:val="baseline"/>
        <w:rPr>
          <w:rFonts w:ascii="Calibri" w:hAnsi="Calibri" w:cs="Calibri"/>
          <w:sz w:val="22"/>
          <w:szCs w:val="22"/>
          <w:lang w:eastAsia="en-GB"/>
        </w:rPr>
      </w:pPr>
      <w:r>
        <w:rPr>
          <w:rFonts w:ascii="Calibri" w:hAnsi="Calibri" w:cs="Calibri"/>
          <w:sz w:val="22"/>
          <w:szCs w:val="22"/>
          <w:lang w:eastAsia="en-GB"/>
        </w:rPr>
        <w:t>In emergency situations the Head of the Business Unit may exercise flexibility in allowing unpaid leave for up to twelve months at the IPSA holder’s request, subject to exigencies of service, for individuals who have been on a continuous IPSA for at least 36months.</w:t>
      </w:r>
    </w:p>
    <w:p w14:paraId="7E261B25" w14:textId="77777777" w:rsidR="00804AF0" w:rsidRDefault="00804AF0">
      <w:pPr>
        <w:ind w:left="360"/>
        <w:jc w:val="both"/>
        <w:textAlignment w:val="baseline"/>
        <w:rPr>
          <w:rFonts w:ascii="Calibri" w:hAnsi="Calibri" w:cs="Calibri"/>
          <w:sz w:val="22"/>
          <w:szCs w:val="22"/>
          <w:lang w:eastAsia="en-GB"/>
        </w:rPr>
      </w:pPr>
    </w:p>
    <w:p w14:paraId="16EC5208" w14:textId="77777777" w:rsidR="00804AF0" w:rsidRDefault="009A47D6">
      <w:pPr>
        <w:pStyle w:val="ListParagraph"/>
        <w:numPr>
          <w:ilvl w:val="0"/>
          <w:numId w:val="31"/>
        </w:numPr>
        <w:tabs>
          <w:tab w:val="clear" w:pos="720"/>
        </w:tabs>
        <w:jc w:val="both"/>
        <w:textAlignment w:val="baseline"/>
        <w:rPr>
          <w:rFonts w:ascii="Calibri" w:hAnsi="Calibri" w:cs="Calibri"/>
          <w:sz w:val="22"/>
          <w:szCs w:val="22"/>
        </w:rPr>
      </w:pPr>
      <w:bookmarkStart w:id="83" w:name="OLE_LINK42"/>
      <w:r>
        <w:rPr>
          <w:rFonts w:ascii="Calibri" w:hAnsi="Calibri" w:cs="Calibri"/>
          <w:sz w:val="22"/>
          <w:szCs w:val="22"/>
        </w:rPr>
        <w:t>In conjunction with parental leave of birth parents, IPSA holders may also be eligible for unpaid leave immediately following the parental leave for up to eight additional months. The 36-month eligibility stated above does not apply in such a case.</w:t>
      </w:r>
    </w:p>
    <w:p w14:paraId="0313AC7D" w14:textId="77777777" w:rsidR="00804AF0" w:rsidRDefault="00804AF0">
      <w:pPr>
        <w:pStyle w:val="ListParagraph"/>
        <w:ind w:left="720"/>
        <w:jc w:val="both"/>
        <w:textAlignment w:val="baseline"/>
        <w:rPr>
          <w:rFonts w:ascii="Calibri" w:hAnsi="Calibri" w:cs="Calibri"/>
          <w:sz w:val="22"/>
          <w:szCs w:val="22"/>
        </w:rPr>
      </w:pPr>
    </w:p>
    <w:p w14:paraId="24CCF800" w14:textId="77777777" w:rsidR="00804AF0" w:rsidRDefault="009A47D6">
      <w:pPr>
        <w:pStyle w:val="ListParagraph"/>
        <w:numPr>
          <w:ilvl w:val="0"/>
          <w:numId w:val="31"/>
        </w:numPr>
        <w:tabs>
          <w:tab w:val="clear" w:pos="720"/>
        </w:tabs>
        <w:jc w:val="both"/>
        <w:textAlignment w:val="baseline"/>
        <w:rPr>
          <w:rFonts w:ascii="Calibri" w:hAnsi="Calibri"/>
          <w:sz w:val="22"/>
          <w:szCs w:val="22"/>
        </w:rPr>
      </w:pPr>
      <w:r>
        <w:rPr>
          <w:rFonts w:ascii="Calibri" w:hAnsi="Calibri"/>
          <w:sz w:val="22"/>
          <w:szCs w:val="22"/>
        </w:rPr>
        <w:t xml:space="preserve">The Head of the Business Unit may also exercise at their own decision to apply unpaid leave to an individual on IPSA without any notice period. Such decisions should only be made in cases or serious breach or identified conflict of interest, or of similar seriousness, and only in full consultation with the Office of Legal services and/or Ethics Office. </w:t>
      </w:r>
    </w:p>
    <w:bookmarkEnd w:id="83"/>
    <w:p w14:paraId="6652E181" w14:textId="77777777" w:rsidR="00804AF0" w:rsidRDefault="00804AF0">
      <w:pPr>
        <w:pStyle w:val="ListParagraph"/>
        <w:tabs>
          <w:tab w:val="left" w:pos="720"/>
        </w:tabs>
        <w:ind w:left="720"/>
        <w:jc w:val="both"/>
        <w:textAlignment w:val="baseline"/>
        <w:rPr>
          <w:rFonts w:ascii="Calibri" w:hAnsi="Calibri" w:cs="Calibri"/>
          <w:sz w:val="22"/>
          <w:szCs w:val="22"/>
          <w:lang w:eastAsia="en-GB"/>
        </w:rPr>
      </w:pPr>
    </w:p>
    <w:p w14:paraId="14A209FA" w14:textId="77777777" w:rsidR="00804AF0" w:rsidRDefault="009A47D6">
      <w:pPr>
        <w:numPr>
          <w:ilvl w:val="0"/>
          <w:numId w:val="31"/>
        </w:numPr>
        <w:jc w:val="both"/>
        <w:textAlignment w:val="baseline"/>
        <w:rPr>
          <w:rFonts w:ascii="Calibri" w:hAnsi="Calibri" w:cs="Calibri"/>
          <w:sz w:val="22"/>
          <w:szCs w:val="22"/>
          <w:lang w:eastAsia="en-GB"/>
        </w:rPr>
      </w:pPr>
      <w:r>
        <w:rPr>
          <w:rFonts w:ascii="Calibri" w:hAnsi="Calibri" w:cs="Calibri"/>
          <w:sz w:val="22"/>
          <w:szCs w:val="22"/>
          <w:lang w:eastAsia="en-GB"/>
        </w:rPr>
        <w:t>Unpaid leave shall not be granted until paid leave provisions, when applicable, have been exhausted.</w:t>
      </w:r>
    </w:p>
    <w:p w14:paraId="276575D1" w14:textId="77777777" w:rsidR="00804AF0" w:rsidRDefault="00804AF0">
      <w:pPr>
        <w:ind w:left="360"/>
        <w:jc w:val="both"/>
        <w:textAlignment w:val="baseline"/>
        <w:rPr>
          <w:rFonts w:ascii="Calibri" w:hAnsi="Calibri" w:cs="Calibri"/>
          <w:sz w:val="22"/>
          <w:szCs w:val="22"/>
          <w:lang w:eastAsia="en-GB"/>
        </w:rPr>
      </w:pPr>
    </w:p>
    <w:p w14:paraId="7A659D07" w14:textId="77777777" w:rsidR="00804AF0" w:rsidRDefault="009A47D6">
      <w:pPr>
        <w:numPr>
          <w:ilvl w:val="0"/>
          <w:numId w:val="31"/>
        </w:numPr>
        <w:jc w:val="both"/>
        <w:textAlignment w:val="baseline"/>
        <w:rPr>
          <w:rFonts w:ascii="Calibri" w:hAnsi="Calibri" w:cs="Calibri"/>
          <w:sz w:val="22"/>
          <w:szCs w:val="22"/>
          <w:lang w:eastAsia="en-GB"/>
        </w:rPr>
      </w:pPr>
      <w:r>
        <w:rPr>
          <w:rFonts w:ascii="Calibri" w:hAnsi="Calibri" w:cs="Calibri"/>
          <w:sz w:val="22"/>
          <w:szCs w:val="22"/>
          <w:lang w:eastAsia="en-GB"/>
        </w:rPr>
        <w:t>Unpaid leave must be approved in advance by the supervisor and Head of the Business Unit.</w:t>
      </w:r>
    </w:p>
    <w:p w14:paraId="27460809" w14:textId="77777777" w:rsidR="00804AF0" w:rsidRDefault="00804AF0">
      <w:pPr>
        <w:ind w:left="360"/>
        <w:jc w:val="both"/>
        <w:textAlignment w:val="baseline"/>
        <w:rPr>
          <w:rFonts w:ascii="Calibri" w:hAnsi="Calibri" w:cs="Calibri"/>
          <w:sz w:val="22"/>
          <w:szCs w:val="22"/>
          <w:lang w:eastAsia="en-GB"/>
        </w:rPr>
      </w:pPr>
    </w:p>
    <w:p w14:paraId="44AF09BA" w14:textId="77777777" w:rsidR="00804AF0" w:rsidRDefault="009A47D6">
      <w:pPr>
        <w:numPr>
          <w:ilvl w:val="0"/>
          <w:numId w:val="31"/>
        </w:numPr>
        <w:jc w:val="both"/>
        <w:textAlignment w:val="baseline"/>
        <w:rPr>
          <w:rFonts w:ascii="Calibri" w:hAnsi="Calibri" w:cs="Calibri"/>
          <w:sz w:val="22"/>
          <w:szCs w:val="22"/>
          <w:lang w:eastAsia="en-GB"/>
        </w:rPr>
      </w:pPr>
      <w:r>
        <w:rPr>
          <w:rFonts w:ascii="Calibri" w:hAnsi="Calibri" w:cs="Calibri"/>
          <w:sz w:val="22"/>
          <w:szCs w:val="22"/>
          <w:lang w:eastAsia="en-GB"/>
        </w:rPr>
        <w:t>Unpaid leave will normally only be allowed in the following circumstances:</w:t>
      </w:r>
    </w:p>
    <w:p w14:paraId="0A14F0DA"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60688B39" w14:textId="77777777" w:rsidR="00804AF0" w:rsidRDefault="009A47D6">
      <w:pPr>
        <w:pStyle w:val="ListParagraph"/>
        <w:numPr>
          <w:ilvl w:val="0"/>
          <w:numId w:val="28"/>
        </w:numPr>
        <w:tabs>
          <w:tab w:val="left" w:pos="720"/>
        </w:tabs>
        <w:jc w:val="both"/>
        <w:textAlignment w:val="baseline"/>
        <w:rPr>
          <w:rFonts w:ascii="Calibri" w:hAnsi="Calibri" w:cs="Calibri"/>
          <w:sz w:val="22"/>
          <w:szCs w:val="22"/>
          <w:lang w:eastAsia="en-GB"/>
        </w:rPr>
      </w:pPr>
      <w:r>
        <w:rPr>
          <w:rFonts w:ascii="Calibri" w:hAnsi="Calibri" w:cs="Calibri"/>
          <w:sz w:val="22"/>
          <w:szCs w:val="22"/>
          <w:lang w:eastAsia="en-GB"/>
        </w:rPr>
        <w:t>In connection with parental leave;</w:t>
      </w:r>
    </w:p>
    <w:p w14:paraId="25B1F41B" w14:textId="77777777" w:rsidR="00804AF0" w:rsidRDefault="009A47D6">
      <w:pPr>
        <w:pStyle w:val="ListParagraph"/>
        <w:numPr>
          <w:ilvl w:val="0"/>
          <w:numId w:val="28"/>
        </w:numPr>
        <w:tabs>
          <w:tab w:val="left" w:pos="720"/>
        </w:tabs>
        <w:jc w:val="both"/>
        <w:textAlignment w:val="baseline"/>
        <w:rPr>
          <w:rFonts w:ascii="Calibri" w:hAnsi="Calibri" w:cs="Calibri"/>
          <w:sz w:val="22"/>
          <w:szCs w:val="22"/>
          <w:lang w:eastAsia="en-GB"/>
        </w:rPr>
      </w:pPr>
      <w:r>
        <w:rPr>
          <w:rFonts w:ascii="Calibri" w:hAnsi="Calibri" w:cs="Calibri"/>
          <w:sz w:val="22"/>
          <w:szCs w:val="22"/>
          <w:lang w:eastAsia="en-GB"/>
        </w:rPr>
        <w:t>In relation to illness;</w:t>
      </w:r>
    </w:p>
    <w:p w14:paraId="36EE86F3" w14:textId="77777777" w:rsidR="00804AF0" w:rsidRDefault="009A47D6">
      <w:pPr>
        <w:pStyle w:val="ListParagraph"/>
        <w:numPr>
          <w:ilvl w:val="0"/>
          <w:numId w:val="28"/>
        </w:numPr>
        <w:tabs>
          <w:tab w:val="left" w:pos="720"/>
        </w:tabs>
        <w:jc w:val="both"/>
        <w:textAlignment w:val="baseline"/>
        <w:rPr>
          <w:rFonts w:ascii="Calibri" w:hAnsi="Calibri" w:cs="Calibri"/>
          <w:sz w:val="22"/>
          <w:szCs w:val="22"/>
          <w:lang w:eastAsia="en-GB"/>
        </w:rPr>
      </w:pPr>
      <w:r>
        <w:rPr>
          <w:rFonts w:ascii="Calibri" w:hAnsi="Calibri" w:cs="Calibri"/>
          <w:sz w:val="22"/>
          <w:szCs w:val="22"/>
          <w:lang w:eastAsia="en-GB"/>
        </w:rPr>
        <w:t>In relation to family/personal reasons; and similar emergency situations;</w:t>
      </w:r>
    </w:p>
    <w:p w14:paraId="77BBFBA1" w14:textId="77777777" w:rsidR="00804AF0" w:rsidRDefault="009A47D6">
      <w:pPr>
        <w:pStyle w:val="ListParagraph"/>
        <w:numPr>
          <w:ilvl w:val="0"/>
          <w:numId w:val="28"/>
        </w:numPr>
        <w:ind w:hanging="270"/>
        <w:jc w:val="both"/>
        <w:textAlignment w:val="baseline"/>
        <w:rPr>
          <w:rFonts w:ascii="Calibri" w:hAnsi="Calibri" w:cs="Calibri"/>
          <w:sz w:val="22"/>
          <w:szCs w:val="22"/>
          <w:lang w:eastAsia="en-GB"/>
        </w:rPr>
      </w:pPr>
      <w:r>
        <w:rPr>
          <w:rFonts w:ascii="Calibri" w:hAnsi="Calibri" w:cs="Calibri"/>
          <w:sz w:val="22"/>
          <w:szCs w:val="22"/>
          <w:lang w:eastAsia="en-GB"/>
        </w:rPr>
        <w:t xml:space="preserve">For deployment or assignment to another office within UNDP, academic research, </w:t>
      </w:r>
    </w:p>
    <w:p w14:paraId="01B14A26" w14:textId="77777777" w:rsidR="00804AF0" w:rsidRDefault="009A47D6">
      <w:pPr>
        <w:ind w:left="1080" w:hanging="270"/>
        <w:jc w:val="both"/>
        <w:textAlignment w:val="baseline"/>
        <w:rPr>
          <w:rFonts w:ascii="Calibri" w:hAnsi="Calibri" w:cs="Calibri"/>
          <w:sz w:val="22"/>
          <w:szCs w:val="22"/>
          <w:lang w:eastAsia="en-GB"/>
        </w:rPr>
      </w:pPr>
      <w:r>
        <w:rPr>
          <w:rFonts w:ascii="Calibri" w:hAnsi="Calibri" w:cs="Calibri"/>
          <w:sz w:val="22"/>
          <w:szCs w:val="22"/>
          <w:lang w:eastAsia="en-GB"/>
        </w:rPr>
        <w:t>lecturing or advancement of a relevant expertise through special trainings.</w:t>
      </w:r>
    </w:p>
    <w:p w14:paraId="0976549F" w14:textId="77777777" w:rsidR="00804AF0" w:rsidRDefault="00804AF0">
      <w:pPr>
        <w:ind w:left="360"/>
        <w:jc w:val="both"/>
        <w:textAlignment w:val="baseline"/>
        <w:rPr>
          <w:rFonts w:ascii="Calibri" w:hAnsi="Calibri" w:cs="Calibri"/>
          <w:sz w:val="22"/>
          <w:szCs w:val="22"/>
          <w:lang w:eastAsia="en-GB"/>
        </w:rPr>
      </w:pPr>
    </w:p>
    <w:p w14:paraId="1B990FD0" w14:textId="77777777" w:rsidR="00804AF0" w:rsidRDefault="009A47D6">
      <w:pPr>
        <w:numPr>
          <w:ilvl w:val="0"/>
          <w:numId w:val="31"/>
        </w:numPr>
        <w:jc w:val="both"/>
        <w:textAlignment w:val="baseline"/>
        <w:rPr>
          <w:rFonts w:ascii="Calibri" w:hAnsi="Calibri" w:cs="Calibri"/>
          <w:sz w:val="22"/>
          <w:szCs w:val="22"/>
          <w:lang w:eastAsia="en-GB"/>
        </w:rPr>
      </w:pPr>
      <w:r>
        <w:rPr>
          <w:rFonts w:ascii="Calibri" w:hAnsi="Calibri" w:cs="Calibri"/>
          <w:sz w:val="22"/>
          <w:szCs w:val="22"/>
          <w:lang w:eastAsia="en-GB"/>
        </w:rPr>
        <w:t>When applicable, annual and sick leave will not accumulate during unpaid leave periods of 30 days or longer.</w:t>
      </w:r>
    </w:p>
    <w:p w14:paraId="5A0063EF" w14:textId="77777777" w:rsidR="00804AF0" w:rsidRDefault="00804AF0">
      <w:pPr>
        <w:ind w:left="360"/>
        <w:jc w:val="both"/>
        <w:textAlignment w:val="baseline"/>
        <w:rPr>
          <w:rFonts w:ascii="Calibri" w:hAnsi="Calibri" w:cs="Calibri"/>
          <w:sz w:val="22"/>
          <w:szCs w:val="22"/>
          <w:lang w:eastAsia="en-GB"/>
        </w:rPr>
      </w:pPr>
    </w:p>
    <w:p w14:paraId="5C06C06B" w14:textId="77777777" w:rsidR="00804AF0" w:rsidRDefault="009A47D6">
      <w:pPr>
        <w:numPr>
          <w:ilvl w:val="0"/>
          <w:numId w:val="31"/>
        </w:numPr>
        <w:jc w:val="both"/>
        <w:textAlignment w:val="baseline"/>
        <w:rPr>
          <w:rFonts w:ascii="Calibri" w:hAnsi="Calibri" w:cs="Calibri"/>
          <w:sz w:val="22"/>
          <w:szCs w:val="22"/>
          <w:lang w:eastAsia="en-GB"/>
        </w:rPr>
      </w:pPr>
      <w:r>
        <w:rPr>
          <w:rFonts w:ascii="Calibri" w:hAnsi="Calibri" w:cs="Calibri"/>
          <w:sz w:val="22"/>
          <w:szCs w:val="22"/>
          <w:lang w:eastAsia="en-GB"/>
        </w:rPr>
        <w:t>When applicable, there will not be health or life insurance coverage during periods of unpaid leave of 30 days or longer.</w:t>
      </w:r>
    </w:p>
    <w:p w14:paraId="0A10C34F"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40215988" w14:textId="77777777" w:rsidR="00804AF0" w:rsidRDefault="009A47D6">
      <w:pPr>
        <w:numPr>
          <w:ilvl w:val="0"/>
          <w:numId w:val="4"/>
        </w:numPr>
        <w:jc w:val="both"/>
        <w:textAlignment w:val="baseline"/>
        <w:rPr>
          <w:rFonts w:ascii="Calibri" w:hAnsi="Calibri" w:cs="Calibri"/>
          <w:b/>
          <w:bCs/>
          <w:color w:val="000000"/>
          <w:sz w:val="22"/>
          <w:szCs w:val="22"/>
          <w:lang w:val="en-CA" w:eastAsia="en-GB"/>
        </w:rPr>
      </w:pPr>
      <w:r>
        <w:rPr>
          <w:rFonts w:ascii="Calibri" w:hAnsi="Calibri" w:cs="Calibri"/>
          <w:b/>
          <w:bCs/>
          <w:color w:val="000000"/>
          <w:sz w:val="22"/>
          <w:szCs w:val="22"/>
          <w:lang w:val="en-CA" w:eastAsia="en-GB"/>
        </w:rPr>
        <w:t>Jury Duty, Other Appearances in Court and Military Service: </w:t>
      </w:r>
    </w:p>
    <w:p w14:paraId="5A749A36" w14:textId="77777777" w:rsidR="00804AF0" w:rsidRDefault="00804AF0">
      <w:pPr>
        <w:jc w:val="both"/>
        <w:textAlignment w:val="baseline"/>
        <w:rPr>
          <w:rFonts w:ascii="Calibri" w:hAnsi="Calibri" w:cs="Calibri"/>
          <w:b/>
          <w:bCs/>
          <w:sz w:val="22"/>
          <w:szCs w:val="22"/>
          <w:lang w:eastAsia="en-GB"/>
        </w:rPr>
      </w:pPr>
    </w:p>
    <w:p w14:paraId="464CE15C" w14:textId="77777777" w:rsidR="00804AF0" w:rsidRDefault="009A47D6">
      <w:pPr>
        <w:numPr>
          <w:ilvl w:val="0"/>
          <w:numId w:val="32"/>
        </w:numPr>
        <w:jc w:val="both"/>
        <w:textAlignment w:val="baseline"/>
        <w:rPr>
          <w:rFonts w:ascii="Calibri" w:hAnsi="Calibri" w:cs="Calibri"/>
          <w:sz w:val="22"/>
          <w:szCs w:val="22"/>
          <w:lang w:eastAsia="en-GB"/>
        </w:rPr>
      </w:pPr>
      <w:r>
        <w:rPr>
          <w:rFonts w:ascii="Calibri" w:hAnsi="Calibri" w:cs="Calibri"/>
          <w:sz w:val="22"/>
          <w:szCs w:val="22"/>
          <w:lang w:eastAsia="en-GB"/>
        </w:rPr>
        <w:t>PSA holders serving on jury duty will be granted leave with pay by the  Head of the Business Unit up to a maximum of five working days in a calendar year, in units of full or half days as certified by the court.</w:t>
      </w:r>
    </w:p>
    <w:p w14:paraId="0E6E54CD" w14:textId="77777777" w:rsidR="00804AF0" w:rsidRDefault="00804AF0">
      <w:pPr>
        <w:jc w:val="both"/>
        <w:textAlignment w:val="baseline"/>
        <w:rPr>
          <w:rFonts w:ascii="Calibri" w:hAnsi="Calibri" w:cs="Calibri"/>
          <w:sz w:val="22"/>
          <w:szCs w:val="22"/>
          <w:lang w:eastAsia="en-GB"/>
        </w:rPr>
      </w:pPr>
    </w:p>
    <w:p w14:paraId="39B7EFCD" w14:textId="77777777" w:rsidR="00804AF0" w:rsidRDefault="009A47D6">
      <w:pPr>
        <w:numPr>
          <w:ilvl w:val="0"/>
          <w:numId w:val="32"/>
        </w:numPr>
        <w:jc w:val="both"/>
        <w:textAlignment w:val="baseline"/>
        <w:rPr>
          <w:rFonts w:ascii="Calibri" w:hAnsi="Calibri" w:cs="Calibri"/>
          <w:sz w:val="22"/>
          <w:szCs w:val="22"/>
          <w:lang w:eastAsia="en-GB"/>
        </w:rPr>
      </w:pPr>
      <w:r>
        <w:rPr>
          <w:rFonts w:ascii="Calibri" w:hAnsi="Calibri" w:cs="Calibri"/>
          <w:sz w:val="22"/>
          <w:szCs w:val="22"/>
          <w:lang w:eastAsia="en-GB"/>
        </w:rPr>
        <w:t>Court appearances at UNDP’s request should be recorded as absence on official business.</w:t>
      </w:r>
    </w:p>
    <w:p w14:paraId="60774F35" w14:textId="77777777" w:rsidR="00804AF0" w:rsidRDefault="00804AF0">
      <w:pPr>
        <w:ind w:left="360"/>
        <w:jc w:val="both"/>
        <w:textAlignment w:val="baseline"/>
        <w:rPr>
          <w:rFonts w:ascii="Calibri" w:hAnsi="Calibri" w:cs="Calibri"/>
          <w:sz w:val="22"/>
          <w:szCs w:val="22"/>
          <w:lang w:eastAsia="en-GB"/>
        </w:rPr>
      </w:pPr>
    </w:p>
    <w:p w14:paraId="5C2685E2" w14:textId="77777777" w:rsidR="00804AF0" w:rsidRDefault="009A47D6">
      <w:pPr>
        <w:numPr>
          <w:ilvl w:val="0"/>
          <w:numId w:val="32"/>
        </w:numPr>
        <w:jc w:val="both"/>
        <w:textAlignment w:val="baseline"/>
        <w:rPr>
          <w:rFonts w:ascii="Calibri" w:hAnsi="Calibri" w:cs="Calibri"/>
          <w:sz w:val="22"/>
          <w:szCs w:val="22"/>
          <w:lang w:eastAsia="en-GB"/>
        </w:rPr>
      </w:pPr>
      <w:r>
        <w:rPr>
          <w:rFonts w:ascii="Calibri" w:hAnsi="Calibri" w:cs="Calibri"/>
          <w:sz w:val="22"/>
          <w:szCs w:val="22"/>
          <w:lang w:eastAsia="en-GB"/>
        </w:rPr>
        <w:t>Court appearances as a party in the IPSA holder’s personal capacity and not at the request of UNDP will be charged to annual leave or unpaid leave.</w:t>
      </w:r>
    </w:p>
    <w:p w14:paraId="4CEB22F1" w14:textId="77777777" w:rsidR="00804AF0" w:rsidRDefault="00804AF0">
      <w:pPr>
        <w:ind w:left="360"/>
        <w:jc w:val="both"/>
        <w:textAlignment w:val="baseline"/>
        <w:rPr>
          <w:rFonts w:ascii="Calibri" w:hAnsi="Calibri" w:cs="Calibri"/>
          <w:sz w:val="22"/>
          <w:szCs w:val="22"/>
          <w:lang w:eastAsia="en-GB"/>
        </w:rPr>
      </w:pPr>
    </w:p>
    <w:p w14:paraId="73A84A58" w14:textId="77777777" w:rsidR="00804AF0" w:rsidRDefault="009A47D6">
      <w:pPr>
        <w:numPr>
          <w:ilvl w:val="0"/>
          <w:numId w:val="32"/>
        </w:numPr>
        <w:jc w:val="both"/>
        <w:textAlignment w:val="baseline"/>
        <w:rPr>
          <w:rFonts w:ascii="Calibri" w:hAnsi="Calibri" w:cs="Calibri"/>
          <w:sz w:val="22"/>
          <w:szCs w:val="22"/>
          <w:lang w:eastAsia="en-GB"/>
        </w:rPr>
      </w:pPr>
      <w:r>
        <w:rPr>
          <w:rFonts w:ascii="Calibri" w:hAnsi="Calibri" w:cs="Calibri"/>
          <w:sz w:val="22"/>
          <w:szCs w:val="22"/>
          <w:lang w:eastAsia="en-GB"/>
        </w:rPr>
        <w:lastRenderedPageBreak/>
        <w:t>For court appearances as a witness in the IPSA holder’s personal capacity, the heads of business units at other locations shall decide whether the absence is to be charged to annual leave or special paid or unpaid leave, according to the circumstances of the case.</w:t>
      </w:r>
    </w:p>
    <w:p w14:paraId="1A390729" w14:textId="77777777" w:rsidR="00804AF0" w:rsidRDefault="00804AF0">
      <w:pPr>
        <w:ind w:left="360"/>
        <w:jc w:val="both"/>
        <w:textAlignment w:val="baseline"/>
        <w:rPr>
          <w:rFonts w:ascii="Calibri" w:hAnsi="Calibri" w:cs="Calibri"/>
          <w:sz w:val="22"/>
          <w:szCs w:val="22"/>
          <w:lang w:eastAsia="en-GB"/>
        </w:rPr>
      </w:pPr>
    </w:p>
    <w:p w14:paraId="18D466AB" w14:textId="77777777" w:rsidR="00804AF0" w:rsidRDefault="009A47D6">
      <w:pPr>
        <w:numPr>
          <w:ilvl w:val="0"/>
          <w:numId w:val="32"/>
        </w:numPr>
        <w:jc w:val="both"/>
        <w:textAlignment w:val="baseline"/>
        <w:rPr>
          <w:rFonts w:ascii="Calibri" w:hAnsi="Calibri" w:cs="Calibri"/>
          <w:sz w:val="22"/>
          <w:szCs w:val="22"/>
          <w:lang w:eastAsia="en-GB"/>
        </w:rPr>
      </w:pPr>
      <w:r>
        <w:rPr>
          <w:rFonts w:ascii="Calibri" w:hAnsi="Calibri" w:cs="Calibri"/>
          <w:sz w:val="22"/>
          <w:szCs w:val="22"/>
          <w:lang w:eastAsia="en-GB"/>
        </w:rPr>
        <w:t>IPSA holders may be granted unpaid leave for military training or service required by their government at the discretion of the Head of the Business Unit.</w:t>
      </w:r>
    </w:p>
    <w:p w14:paraId="27737F7F"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14EEE8A8" w14:textId="77777777" w:rsidR="00804AF0" w:rsidRDefault="009A47D6">
      <w:pPr>
        <w:numPr>
          <w:ilvl w:val="0"/>
          <w:numId w:val="4"/>
        </w:numPr>
        <w:jc w:val="both"/>
        <w:textAlignment w:val="baseline"/>
        <w:rPr>
          <w:rFonts w:ascii="Calibri" w:hAnsi="Calibri" w:cs="Calibri"/>
          <w:b/>
          <w:bCs/>
          <w:color w:val="000000"/>
          <w:sz w:val="22"/>
          <w:szCs w:val="22"/>
          <w:lang w:val="en-CA" w:eastAsia="en-GB"/>
        </w:rPr>
      </w:pPr>
      <w:r>
        <w:rPr>
          <w:rFonts w:ascii="Calibri" w:hAnsi="Calibri" w:cs="Calibri"/>
          <w:b/>
          <w:bCs/>
          <w:color w:val="000000"/>
          <w:sz w:val="22"/>
          <w:szCs w:val="22"/>
          <w:lang w:val="en-CA" w:eastAsia="en-GB"/>
        </w:rPr>
        <w:t>Time off for Voting in Elections: </w:t>
      </w:r>
    </w:p>
    <w:p w14:paraId="2C602D61" w14:textId="77777777" w:rsidR="00804AF0" w:rsidRDefault="00804AF0">
      <w:pPr>
        <w:jc w:val="both"/>
        <w:textAlignment w:val="baseline"/>
        <w:rPr>
          <w:rFonts w:ascii="Calibri" w:hAnsi="Calibri" w:cs="Calibri"/>
          <w:b/>
          <w:bCs/>
          <w:sz w:val="22"/>
          <w:szCs w:val="22"/>
          <w:lang w:eastAsia="en-GB"/>
        </w:rPr>
      </w:pPr>
    </w:p>
    <w:p w14:paraId="00B9AC7F"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IPSA holders wishing to exercise their right to vote on election days should try to do so outside their normal working hours. Those who are unable to do so should request up to two hours of time off from their Head of the Business Unit. However, upon presentation of satisfactory evidence that voting may take longer, the Heads of Business Units may grant up to four hours of time off subject to the exigencies of service.</w:t>
      </w:r>
    </w:p>
    <w:p w14:paraId="6E1B37D6"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2539F352" w14:textId="77777777" w:rsidR="00804AF0" w:rsidRDefault="009A47D6">
      <w:pPr>
        <w:numPr>
          <w:ilvl w:val="0"/>
          <w:numId w:val="4"/>
        </w:numPr>
        <w:jc w:val="both"/>
        <w:textAlignment w:val="baseline"/>
        <w:rPr>
          <w:rFonts w:ascii="Calibri" w:hAnsi="Calibri" w:cs="Calibri"/>
          <w:b/>
          <w:bCs/>
          <w:color w:val="000000"/>
          <w:sz w:val="22"/>
          <w:szCs w:val="22"/>
          <w:lang w:val="en-CA" w:eastAsia="en-GB"/>
        </w:rPr>
      </w:pPr>
      <w:r>
        <w:rPr>
          <w:rFonts w:ascii="Calibri" w:hAnsi="Calibri" w:cs="Calibri"/>
          <w:b/>
          <w:bCs/>
          <w:color w:val="000000"/>
          <w:sz w:val="22"/>
          <w:szCs w:val="22"/>
          <w:lang w:val="en-CA" w:eastAsia="en-GB"/>
        </w:rPr>
        <w:t>Hardship Leave:</w:t>
      </w:r>
    </w:p>
    <w:p w14:paraId="3B38696E" w14:textId="77777777" w:rsidR="00804AF0" w:rsidRDefault="00804AF0">
      <w:pPr>
        <w:jc w:val="both"/>
        <w:textAlignment w:val="baseline"/>
        <w:rPr>
          <w:rFonts w:ascii="Calibri" w:hAnsi="Calibri" w:cs="Calibri"/>
          <w:b/>
          <w:bCs/>
          <w:sz w:val="22"/>
          <w:szCs w:val="22"/>
          <w:lang w:eastAsia="en-GB"/>
        </w:rPr>
      </w:pPr>
    </w:p>
    <w:p w14:paraId="7E31763A" w14:textId="77777777" w:rsidR="00804AF0" w:rsidRDefault="009A47D6">
      <w:pPr>
        <w:numPr>
          <w:ilvl w:val="0"/>
          <w:numId w:val="33"/>
        </w:numPr>
        <w:jc w:val="both"/>
        <w:textAlignment w:val="baseline"/>
        <w:rPr>
          <w:rFonts w:ascii="Calibri" w:hAnsi="Calibri" w:cs="Calibri"/>
          <w:sz w:val="22"/>
          <w:szCs w:val="22"/>
          <w:lang w:eastAsia="en-GB"/>
        </w:rPr>
      </w:pPr>
      <w:r>
        <w:rPr>
          <w:rFonts w:ascii="Calibri" w:hAnsi="Calibri" w:cs="Calibri"/>
          <w:sz w:val="22"/>
          <w:szCs w:val="22"/>
          <w:lang w:eastAsia="en-GB"/>
        </w:rPr>
        <w:t>IPSA holders with agreements of six months or longer based in duty stations designated as hardship duty stations D and E, are eligible for a paid hardship leave of two working days per month to recover from working in a designated hardship duty station and to allow IPSA holders to stock up on basic goods needed for everyday life which are not necessarily available at the designated duty station. Once an IPSA holder under an International IPSA has accrued six days of hardship leave, no additional hardship leave days can be accrued unless the accrued days are utilized.</w:t>
      </w:r>
    </w:p>
    <w:p w14:paraId="4A918408" w14:textId="77777777" w:rsidR="00804AF0" w:rsidRDefault="00804AF0">
      <w:pPr>
        <w:ind w:left="360"/>
        <w:jc w:val="both"/>
        <w:textAlignment w:val="baseline"/>
        <w:rPr>
          <w:rFonts w:ascii="Calibri" w:hAnsi="Calibri" w:cs="Calibri"/>
          <w:sz w:val="22"/>
          <w:szCs w:val="22"/>
          <w:lang w:eastAsia="en-GB"/>
        </w:rPr>
      </w:pPr>
    </w:p>
    <w:p w14:paraId="4B831593" w14:textId="77777777" w:rsidR="00804AF0" w:rsidRDefault="009A47D6">
      <w:pPr>
        <w:numPr>
          <w:ilvl w:val="0"/>
          <w:numId w:val="33"/>
        </w:numPr>
        <w:jc w:val="both"/>
        <w:textAlignment w:val="baseline"/>
        <w:rPr>
          <w:rFonts w:ascii="Calibri" w:hAnsi="Calibri" w:cs="Calibri"/>
          <w:sz w:val="22"/>
          <w:szCs w:val="22"/>
          <w:lang w:eastAsia="en-GB"/>
        </w:rPr>
      </w:pPr>
      <w:r>
        <w:rPr>
          <w:rFonts w:ascii="Calibri" w:hAnsi="Calibri" w:cs="Calibri"/>
          <w:sz w:val="22"/>
          <w:szCs w:val="22"/>
          <w:lang w:eastAsia="en-GB"/>
        </w:rPr>
        <w:t>All hardship leave must be taken within the period of the IPSA and subject to a maximum of six consecutive working days at a time. If the IPSA is extended for an additional period, the IPSA holder may carry over accrued leave to the subsequent agreement period up to a maximum of six days as of the cut-off date of 1 April of any given year.</w:t>
      </w:r>
    </w:p>
    <w:p w14:paraId="7EDF8D1A" w14:textId="77777777" w:rsidR="00804AF0" w:rsidRDefault="00804AF0">
      <w:pPr>
        <w:ind w:left="360"/>
        <w:jc w:val="both"/>
        <w:textAlignment w:val="baseline"/>
        <w:rPr>
          <w:rFonts w:ascii="Calibri" w:hAnsi="Calibri" w:cs="Calibri"/>
          <w:sz w:val="22"/>
          <w:szCs w:val="22"/>
          <w:lang w:eastAsia="en-GB"/>
        </w:rPr>
      </w:pPr>
    </w:p>
    <w:p w14:paraId="61352371" w14:textId="77777777" w:rsidR="00804AF0" w:rsidRDefault="009A47D6">
      <w:pPr>
        <w:numPr>
          <w:ilvl w:val="0"/>
          <w:numId w:val="33"/>
        </w:numPr>
        <w:jc w:val="both"/>
        <w:textAlignment w:val="baseline"/>
        <w:rPr>
          <w:rFonts w:ascii="Calibri" w:hAnsi="Calibri" w:cs="Calibri"/>
          <w:sz w:val="22"/>
          <w:szCs w:val="22"/>
          <w:lang w:eastAsia="en-GB"/>
        </w:rPr>
      </w:pPr>
      <w:r>
        <w:rPr>
          <w:rFonts w:ascii="Calibri" w:hAnsi="Calibri" w:cs="Calibri"/>
          <w:sz w:val="22"/>
          <w:szCs w:val="22"/>
          <w:lang w:eastAsia="en-GB"/>
        </w:rPr>
        <w:t>Unused hardship leave is not commutable to cash.</w:t>
      </w:r>
    </w:p>
    <w:p w14:paraId="4E9D8FC6" w14:textId="77777777" w:rsidR="00804AF0" w:rsidRDefault="00804AF0">
      <w:pPr>
        <w:jc w:val="both"/>
        <w:textAlignment w:val="baseline"/>
        <w:rPr>
          <w:rFonts w:ascii="Calibri" w:hAnsi="Calibri" w:cs="Calibri"/>
          <w:sz w:val="22"/>
          <w:szCs w:val="22"/>
          <w:lang w:eastAsia="en-GB"/>
        </w:rPr>
      </w:pPr>
    </w:p>
    <w:p w14:paraId="0DA18416" w14:textId="77777777" w:rsidR="00804AF0" w:rsidRDefault="009A47D6">
      <w:pPr>
        <w:numPr>
          <w:ilvl w:val="0"/>
          <w:numId w:val="33"/>
        </w:numPr>
        <w:jc w:val="both"/>
        <w:textAlignment w:val="baseline"/>
        <w:rPr>
          <w:rFonts w:ascii="Calibri" w:hAnsi="Calibri" w:cs="Calibri"/>
          <w:sz w:val="22"/>
          <w:szCs w:val="22"/>
          <w:lang w:eastAsia="en-GB"/>
        </w:rPr>
      </w:pPr>
      <w:r>
        <w:rPr>
          <w:rFonts w:ascii="Calibri" w:hAnsi="Calibri" w:cs="Calibri"/>
          <w:sz w:val="22"/>
          <w:szCs w:val="22"/>
          <w:lang w:eastAsia="en-GB"/>
        </w:rPr>
        <w:t xml:space="preserve">For </w:t>
      </w:r>
      <w:bookmarkStart w:id="84" w:name="_Hlk56454824"/>
      <w:r>
        <w:rPr>
          <w:rFonts w:ascii="Calibri" w:hAnsi="Calibri" w:cs="Calibri"/>
          <w:sz w:val="22"/>
          <w:szCs w:val="22"/>
          <w:lang w:eastAsia="en-GB"/>
        </w:rPr>
        <w:t xml:space="preserve">Regular IPSAs where the starting or ending months are </w:t>
      </w:r>
      <w:bookmarkEnd w:id="84"/>
      <w:r>
        <w:rPr>
          <w:rFonts w:ascii="Calibri" w:hAnsi="Calibri" w:cs="Calibri"/>
          <w:sz w:val="22"/>
          <w:szCs w:val="22"/>
          <w:lang w:eastAsia="en-GB"/>
        </w:rPr>
        <w:t>of less than one full calendar month, hardship leave shall be pro-rated to the nearest half day.</w:t>
      </w:r>
    </w:p>
    <w:p w14:paraId="0854FBB7" w14:textId="77777777" w:rsidR="00804AF0" w:rsidRDefault="00804AF0">
      <w:pPr>
        <w:ind w:left="360"/>
        <w:jc w:val="both"/>
        <w:textAlignment w:val="baseline"/>
        <w:rPr>
          <w:rFonts w:ascii="Calibri" w:hAnsi="Calibri" w:cs="Calibri"/>
          <w:sz w:val="22"/>
          <w:szCs w:val="22"/>
          <w:lang w:eastAsia="en-GB"/>
        </w:rPr>
      </w:pPr>
    </w:p>
    <w:p w14:paraId="3F49460A" w14:textId="77777777" w:rsidR="00804AF0" w:rsidRDefault="009A47D6">
      <w:pPr>
        <w:numPr>
          <w:ilvl w:val="0"/>
          <w:numId w:val="33"/>
        </w:numPr>
        <w:jc w:val="both"/>
        <w:textAlignment w:val="baseline"/>
        <w:rPr>
          <w:rFonts w:ascii="Calibri" w:hAnsi="Calibri" w:cs="Calibri"/>
          <w:sz w:val="22"/>
          <w:szCs w:val="22"/>
          <w:lang w:eastAsia="en-GB"/>
        </w:rPr>
      </w:pPr>
      <w:r>
        <w:rPr>
          <w:rFonts w:ascii="Calibri" w:hAnsi="Calibri" w:cs="Calibri"/>
          <w:sz w:val="22"/>
          <w:szCs w:val="22"/>
          <w:lang w:eastAsia="en-GB"/>
        </w:rPr>
        <w:t>When an IPSA of an initial duration of less than six months is subsequently extended to reach or exceed six months, provisions for hardship leave will apply from the effective date of the IPSA extension. Leave is not accumulated retroactively.</w:t>
      </w:r>
    </w:p>
    <w:p w14:paraId="7910CE10" w14:textId="77777777" w:rsidR="00804AF0" w:rsidRDefault="00804AF0">
      <w:pPr>
        <w:jc w:val="both"/>
        <w:textAlignment w:val="baseline"/>
        <w:rPr>
          <w:rFonts w:ascii="Calibri" w:hAnsi="Calibri" w:cs="Calibri"/>
          <w:sz w:val="22"/>
          <w:szCs w:val="22"/>
          <w:lang w:eastAsia="en-GB"/>
        </w:rPr>
      </w:pPr>
    </w:p>
    <w:p w14:paraId="14BE3340" w14:textId="77777777" w:rsidR="00804AF0" w:rsidRDefault="009A47D6">
      <w:pPr>
        <w:numPr>
          <w:ilvl w:val="0"/>
          <w:numId w:val="4"/>
        </w:numPr>
        <w:jc w:val="both"/>
        <w:textAlignment w:val="baseline"/>
        <w:rPr>
          <w:rFonts w:ascii="Calibri" w:hAnsi="Calibri" w:cs="Calibri"/>
          <w:b/>
          <w:bCs/>
          <w:color w:val="000000"/>
          <w:sz w:val="22"/>
          <w:szCs w:val="22"/>
          <w:lang w:val="en-CA" w:eastAsia="en-GB"/>
        </w:rPr>
      </w:pPr>
      <w:r>
        <w:rPr>
          <w:rFonts w:ascii="Calibri" w:hAnsi="Calibri" w:cs="Calibri"/>
          <w:b/>
          <w:bCs/>
          <w:color w:val="000000"/>
          <w:sz w:val="22"/>
          <w:szCs w:val="22"/>
          <w:lang w:val="en-CA" w:eastAsia="en-GB"/>
        </w:rPr>
        <w:t>Leave Provisions on IPSA Extension: </w:t>
      </w:r>
    </w:p>
    <w:p w14:paraId="5FC0E668" w14:textId="77777777" w:rsidR="00804AF0" w:rsidRDefault="00804AF0">
      <w:pPr>
        <w:jc w:val="both"/>
        <w:textAlignment w:val="baseline"/>
        <w:rPr>
          <w:rFonts w:ascii="Calibri" w:hAnsi="Calibri" w:cs="Calibri"/>
          <w:sz w:val="22"/>
          <w:szCs w:val="22"/>
          <w:lang w:eastAsia="en-GB"/>
        </w:rPr>
      </w:pPr>
    </w:p>
    <w:p w14:paraId="0653FA8D"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When an IPSA of an initial duration of less than six months is subsequently extended to reach or exceed six months, provisions for annual leave and sick leave will start to apply subject to the eligibility as specified in this policy, from the effective date of the IPSA extension. Leave is not accumulated retroactively.</w:t>
      </w:r>
    </w:p>
    <w:p w14:paraId="22F1EE98" w14:textId="77777777" w:rsidR="000A158C" w:rsidRDefault="000A158C">
      <w:pPr>
        <w:jc w:val="both"/>
        <w:textAlignment w:val="baseline"/>
        <w:rPr>
          <w:rFonts w:ascii="Calibri" w:hAnsi="Calibri" w:cs="Calibri"/>
          <w:sz w:val="22"/>
          <w:szCs w:val="22"/>
          <w:lang w:eastAsia="en-GB"/>
        </w:rPr>
      </w:pPr>
    </w:p>
    <w:p w14:paraId="5EBFB3BC" w14:textId="77777777" w:rsidR="00804AF0" w:rsidRDefault="00804AF0">
      <w:pPr>
        <w:jc w:val="both"/>
        <w:textAlignment w:val="baseline"/>
        <w:rPr>
          <w:rFonts w:ascii="Calibri" w:hAnsi="Calibri" w:cs="Calibri"/>
          <w:sz w:val="22"/>
          <w:szCs w:val="22"/>
          <w:lang w:eastAsia="en-GB"/>
        </w:rPr>
      </w:pPr>
    </w:p>
    <w:p w14:paraId="7B5F1C31" w14:textId="77777777" w:rsidR="00804AF0" w:rsidRDefault="009A47D6">
      <w:pPr>
        <w:pStyle w:val="Heading1"/>
        <w:numPr>
          <w:ilvl w:val="0"/>
          <w:numId w:val="2"/>
        </w:numPr>
        <w:jc w:val="left"/>
        <w:rPr>
          <w:rFonts w:ascii="Calibri" w:hAnsi="Calibri" w:cs="Calibri"/>
          <w:b/>
          <w:bCs/>
          <w:sz w:val="22"/>
          <w:szCs w:val="22"/>
          <w:lang w:eastAsia="en-GB"/>
        </w:rPr>
      </w:pPr>
      <w:bookmarkStart w:id="85" w:name="_Toc161312438"/>
      <w:r>
        <w:rPr>
          <w:rFonts w:ascii="Calibri" w:hAnsi="Calibri" w:cs="Calibri"/>
          <w:b/>
          <w:bCs/>
          <w:sz w:val="22"/>
          <w:szCs w:val="22"/>
          <w:lang w:eastAsia="en-GB"/>
        </w:rPr>
        <w:lastRenderedPageBreak/>
        <w:t>Travel for Work</w:t>
      </w:r>
      <w:bookmarkEnd w:id="85"/>
    </w:p>
    <w:p w14:paraId="0AC98F65" w14:textId="77777777" w:rsidR="00804AF0" w:rsidRDefault="00804AF0">
      <w:pPr>
        <w:jc w:val="both"/>
        <w:textAlignment w:val="baseline"/>
        <w:rPr>
          <w:rFonts w:ascii="Calibri" w:hAnsi="Calibri" w:cs="Calibri"/>
          <w:sz w:val="22"/>
          <w:szCs w:val="22"/>
          <w:lang w:eastAsia="en-GB"/>
        </w:rPr>
      </w:pPr>
    </w:p>
    <w:p w14:paraId="718ED873" w14:textId="77777777" w:rsidR="00804AF0" w:rsidRDefault="009A47D6">
      <w:pPr>
        <w:numPr>
          <w:ilvl w:val="0"/>
          <w:numId w:val="4"/>
        </w:numPr>
        <w:jc w:val="both"/>
        <w:textAlignment w:val="baseline"/>
        <w:rPr>
          <w:rFonts w:ascii="Calibri" w:hAnsi="Calibri" w:cs="Calibri"/>
          <w:color w:val="000000"/>
          <w:sz w:val="22"/>
          <w:szCs w:val="22"/>
          <w:lang w:val="en-CA" w:eastAsia="en-GB"/>
        </w:rPr>
      </w:pPr>
      <w:r>
        <w:rPr>
          <w:rFonts w:ascii="Calibri" w:hAnsi="Calibri" w:cs="Calibri"/>
          <w:color w:val="000000"/>
          <w:sz w:val="22"/>
          <w:szCs w:val="22"/>
          <w:lang w:val="en-CA" w:eastAsia="en-GB"/>
        </w:rPr>
        <w:t>Travel for work outside the country of duty station shall always be on economy class for IPSA holders, regardless of travel time. Travel arrangements shall follow the regular procedures as established for corporate travel, and DSA is paid regularly during travel for work outside the country of the duty station as per the corporate travel policy.</w:t>
      </w:r>
    </w:p>
    <w:p w14:paraId="1012ADEA" w14:textId="77777777" w:rsidR="00804AF0" w:rsidRDefault="00804AF0">
      <w:pPr>
        <w:jc w:val="both"/>
        <w:textAlignment w:val="baseline"/>
        <w:rPr>
          <w:rFonts w:ascii="Calibri" w:hAnsi="Calibri" w:cs="Calibri"/>
          <w:b/>
          <w:bCs/>
          <w:sz w:val="22"/>
          <w:szCs w:val="22"/>
          <w:lang w:eastAsia="en-GB"/>
        </w:rPr>
      </w:pPr>
    </w:p>
    <w:p w14:paraId="37A6A07B" w14:textId="77777777" w:rsidR="00804AF0" w:rsidRDefault="009A47D6">
      <w:pPr>
        <w:pStyle w:val="Heading1"/>
        <w:numPr>
          <w:ilvl w:val="0"/>
          <w:numId w:val="2"/>
        </w:numPr>
        <w:jc w:val="left"/>
        <w:rPr>
          <w:rFonts w:ascii="Calibri" w:hAnsi="Calibri" w:cs="Calibri"/>
          <w:b/>
          <w:bCs/>
          <w:sz w:val="22"/>
          <w:szCs w:val="22"/>
          <w:lang w:eastAsia="en-GB"/>
        </w:rPr>
      </w:pPr>
      <w:bookmarkStart w:id="86" w:name="_Toc161312439"/>
      <w:bookmarkStart w:id="87" w:name="OLE_LINK41"/>
      <w:r>
        <w:rPr>
          <w:rFonts w:ascii="Calibri" w:hAnsi="Calibri" w:cs="Calibri"/>
          <w:b/>
          <w:bCs/>
          <w:sz w:val="22"/>
          <w:szCs w:val="22"/>
          <w:lang w:eastAsia="en-GB"/>
        </w:rPr>
        <w:t>Performance Evaluation</w:t>
      </w:r>
      <w:bookmarkEnd w:id="86"/>
    </w:p>
    <w:bookmarkEnd w:id="87"/>
    <w:p w14:paraId="0E676A8D" w14:textId="77777777" w:rsidR="00804AF0" w:rsidRDefault="00804AF0">
      <w:pPr>
        <w:jc w:val="both"/>
        <w:textAlignment w:val="baseline"/>
        <w:rPr>
          <w:rFonts w:ascii="Calibri" w:hAnsi="Calibri" w:cs="Calibri"/>
          <w:sz w:val="22"/>
          <w:szCs w:val="22"/>
          <w:lang w:eastAsia="en-GB"/>
        </w:rPr>
      </w:pPr>
    </w:p>
    <w:p w14:paraId="306F4ADC" w14:textId="77777777" w:rsidR="00804AF0" w:rsidRDefault="009A47D6">
      <w:pPr>
        <w:numPr>
          <w:ilvl w:val="0"/>
          <w:numId w:val="4"/>
        </w:numPr>
        <w:jc w:val="both"/>
        <w:textAlignment w:val="baseline"/>
        <w:rPr>
          <w:rFonts w:ascii="Calibri" w:hAnsi="Calibri" w:cs="Calibri"/>
          <w:color w:val="000000"/>
          <w:sz w:val="22"/>
          <w:szCs w:val="22"/>
          <w:lang w:val="en-CA" w:eastAsia="en-GB"/>
        </w:rPr>
      </w:pPr>
      <w:r>
        <w:rPr>
          <w:rFonts w:ascii="Calibri" w:hAnsi="Calibri" w:cs="Calibri"/>
          <w:color w:val="000000"/>
          <w:sz w:val="22"/>
          <w:szCs w:val="22"/>
          <w:lang w:val="en-CA" w:eastAsia="en-GB"/>
        </w:rPr>
        <w:t>Service monitoring and performance evaluation are mandatory for regular IPSAs as part of a process to provide regular feedback about individual performance and progress achieved against agreed terms of reference, as well as objectives and results. Performance of the IPSA holder must be communicated to the IPSA throughout the duration of the IPSA.</w:t>
      </w:r>
    </w:p>
    <w:p w14:paraId="3897B722" w14:textId="77777777" w:rsidR="00804AF0" w:rsidRDefault="00804AF0">
      <w:pPr>
        <w:ind w:left="1080" w:firstLine="60"/>
        <w:jc w:val="both"/>
        <w:textAlignment w:val="baseline"/>
        <w:rPr>
          <w:rFonts w:ascii="Calibri" w:hAnsi="Calibri" w:cs="Calibri"/>
          <w:sz w:val="22"/>
          <w:szCs w:val="22"/>
          <w:lang w:eastAsia="en-GB"/>
        </w:rPr>
      </w:pPr>
    </w:p>
    <w:p w14:paraId="2F596BB2" w14:textId="77777777" w:rsidR="00804AF0" w:rsidRDefault="009A47D6">
      <w:pPr>
        <w:numPr>
          <w:ilvl w:val="0"/>
          <w:numId w:val="4"/>
        </w:numPr>
        <w:jc w:val="both"/>
        <w:textAlignment w:val="baseline"/>
        <w:rPr>
          <w:rFonts w:ascii="Calibri" w:hAnsi="Calibri" w:cs="Calibri"/>
          <w:color w:val="000000"/>
          <w:sz w:val="22"/>
          <w:szCs w:val="22"/>
          <w:lang w:val="en-CA" w:eastAsia="en-GB"/>
        </w:rPr>
      </w:pPr>
      <w:r>
        <w:rPr>
          <w:rFonts w:ascii="Calibri" w:hAnsi="Calibri" w:cs="Calibri"/>
          <w:color w:val="000000"/>
          <w:sz w:val="22"/>
          <w:szCs w:val="22"/>
          <w:lang w:val="en-CA" w:eastAsia="en-GB"/>
        </w:rPr>
        <w:t>In this context, the purpose of the Performance Evaluation is to:</w:t>
      </w:r>
    </w:p>
    <w:p w14:paraId="14854510" w14:textId="77777777" w:rsidR="00804AF0" w:rsidRDefault="00804AF0">
      <w:pPr>
        <w:ind w:left="1800" w:firstLine="60"/>
        <w:jc w:val="both"/>
        <w:textAlignment w:val="baseline"/>
        <w:rPr>
          <w:rFonts w:ascii="Calibri" w:hAnsi="Calibri" w:cs="Calibri"/>
          <w:sz w:val="22"/>
          <w:szCs w:val="22"/>
          <w:lang w:eastAsia="en-GB"/>
        </w:rPr>
      </w:pPr>
    </w:p>
    <w:p w14:paraId="57B72F88" w14:textId="77777777" w:rsidR="00804AF0" w:rsidRDefault="009A47D6">
      <w:pPr>
        <w:numPr>
          <w:ilvl w:val="0"/>
          <w:numId w:val="34"/>
        </w:numPr>
        <w:jc w:val="both"/>
        <w:textAlignment w:val="baseline"/>
        <w:rPr>
          <w:rFonts w:ascii="Calibri" w:hAnsi="Calibri" w:cs="Calibri"/>
          <w:sz w:val="22"/>
          <w:szCs w:val="22"/>
          <w:lang w:eastAsia="en-GB"/>
        </w:rPr>
      </w:pPr>
      <w:r>
        <w:rPr>
          <w:rFonts w:ascii="Calibri" w:hAnsi="Calibri" w:cs="Calibri"/>
          <w:sz w:val="22"/>
          <w:szCs w:val="22"/>
          <w:lang w:eastAsia="en-GB"/>
        </w:rPr>
        <w:t xml:space="preserve">Review progress against </w:t>
      </w:r>
      <w:proofErr w:type="gramStart"/>
      <w:r>
        <w:rPr>
          <w:rFonts w:ascii="Calibri" w:hAnsi="Calibri" w:cs="Calibri"/>
          <w:sz w:val="22"/>
          <w:szCs w:val="22"/>
          <w:lang w:eastAsia="en-GB"/>
        </w:rPr>
        <w:t>agreed upon</w:t>
      </w:r>
      <w:proofErr w:type="gramEnd"/>
      <w:r>
        <w:rPr>
          <w:rFonts w:ascii="Calibri" w:hAnsi="Calibri" w:cs="Calibri"/>
          <w:sz w:val="22"/>
          <w:szCs w:val="22"/>
          <w:lang w:eastAsia="en-GB"/>
        </w:rPr>
        <w:t xml:space="preserve"> terms of reference and objectives;</w:t>
      </w:r>
    </w:p>
    <w:p w14:paraId="29A76181" w14:textId="77777777" w:rsidR="00804AF0" w:rsidRDefault="00804AF0">
      <w:pPr>
        <w:ind w:left="360"/>
        <w:jc w:val="both"/>
        <w:textAlignment w:val="baseline"/>
        <w:rPr>
          <w:rFonts w:ascii="Calibri" w:hAnsi="Calibri" w:cs="Calibri"/>
          <w:sz w:val="22"/>
          <w:szCs w:val="22"/>
          <w:lang w:eastAsia="en-GB"/>
        </w:rPr>
      </w:pPr>
    </w:p>
    <w:p w14:paraId="15545753" w14:textId="77777777" w:rsidR="00804AF0" w:rsidRDefault="009A47D6">
      <w:pPr>
        <w:numPr>
          <w:ilvl w:val="0"/>
          <w:numId w:val="34"/>
        </w:numPr>
        <w:jc w:val="both"/>
        <w:textAlignment w:val="baseline"/>
        <w:rPr>
          <w:rFonts w:ascii="Calibri" w:hAnsi="Calibri" w:cs="Calibri"/>
          <w:sz w:val="22"/>
          <w:szCs w:val="22"/>
          <w:lang w:eastAsia="en-GB"/>
        </w:rPr>
      </w:pPr>
      <w:r>
        <w:rPr>
          <w:rFonts w:ascii="Calibri" w:hAnsi="Calibri" w:cs="Calibri"/>
          <w:sz w:val="22"/>
          <w:szCs w:val="22"/>
          <w:lang w:eastAsia="en-GB"/>
        </w:rPr>
        <w:t>Provide feedback on the performance of the individual IPSA holder; and</w:t>
      </w:r>
    </w:p>
    <w:p w14:paraId="5FA6CD3D" w14:textId="77777777" w:rsidR="00804AF0" w:rsidRDefault="00804AF0">
      <w:pPr>
        <w:ind w:left="360"/>
        <w:jc w:val="both"/>
        <w:textAlignment w:val="baseline"/>
        <w:rPr>
          <w:rFonts w:ascii="Calibri" w:hAnsi="Calibri" w:cs="Calibri"/>
          <w:sz w:val="22"/>
          <w:szCs w:val="22"/>
          <w:lang w:eastAsia="en-GB"/>
        </w:rPr>
      </w:pPr>
    </w:p>
    <w:p w14:paraId="1D1C7EF2" w14:textId="77777777" w:rsidR="00804AF0" w:rsidRDefault="009A47D6">
      <w:pPr>
        <w:numPr>
          <w:ilvl w:val="0"/>
          <w:numId w:val="34"/>
        </w:numPr>
        <w:jc w:val="both"/>
        <w:textAlignment w:val="baseline"/>
        <w:rPr>
          <w:rFonts w:ascii="Calibri" w:hAnsi="Calibri" w:cs="Calibri"/>
          <w:sz w:val="22"/>
          <w:szCs w:val="22"/>
          <w:lang w:eastAsia="en-GB"/>
        </w:rPr>
      </w:pPr>
      <w:r>
        <w:rPr>
          <w:rFonts w:ascii="Calibri" w:hAnsi="Calibri" w:cs="Calibri"/>
          <w:sz w:val="22"/>
          <w:szCs w:val="22"/>
          <w:lang w:eastAsia="en-GB"/>
        </w:rPr>
        <w:t>Make informed decisions on contractual matters (extension, non-renewal).</w:t>
      </w:r>
    </w:p>
    <w:p w14:paraId="693EBEF6" w14:textId="77777777" w:rsidR="00804AF0" w:rsidRDefault="00804AF0">
      <w:pPr>
        <w:ind w:firstLine="60"/>
        <w:jc w:val="both"/>
        <w:textAlignment w:val="baseline"/>
        <w:rPr>
          <w:rFonts w:ascii="Calibri" w:hAnsi="Calibri" w:cs="Calibri"/>
          <w:sz w:val="22"/>
          <w:szCs w:val="22"/>
          <w:lang w:eastAsia="en-GB"/>
        </w:rPr>
      </w:pPr>
    </w:p>
    <w:p w14:paraId="2730D449" w14:textId="44A299C3" w:rsidR="00804AF0" w:rsidRDefault="009A47D6">
      <w:pPr>
        <w:numPr>
          <w:ilvl w:val="0"/>
          <w:numId w:val="4"/>
        </w:numPr>
        <w:jc w:val="both"/>
        <w:textAlignment w:val="baseline"/>
        <w:rPr>
          <w:rFonts w:ascii="Calibri" w:hAnsi="Calibri" w:cs="Calibri"/>
          <w:sz w:val="22"/>
          <w:szCs w:val="22"/>
          <w:lang w:eastAsia="en-GB"/>
        </w:rPr>
      </w:pPr>
      <w:bookmarkStart w:id="88" w:name="OLE_LINK43"/>
      <w:r>
        <w:rPr>
          <w:rFonts w:ascii="Calibri" w:hAnsi="Calibri" w:cs="Calibri"/>
          <w:color w:val="000000"/>
          <w:sz w:val="22"/>
          <w:szCs w:val="22"/>
          <w:lang w:eastAsia="en-GB"/>
        </w:rPr>
        <w:t xml:space="preserve">For regular IPSA holders, a full- service evaluation report must be completed, using the online </w:t>
      </w:r>
      <w:hyperlink r:id="rId13" w:history="1">
        <w:r>
          <w:rPr>
            <w:rStyle w:val="Hyperlink"/>
            <w:rFonts w:ascii="Calibri" w:hAnsi="Calibri" w:cs="Calibri"/>
            <w:sz w:val="22"/>
            <w:szCs w:val="22"/>
            <w:lang w:eastAsia="en-GB"/>
          </w:rPr>
          <w:t>PMD platform</w:t>
        </w:r>
      </w:hyperlink>
      <w:r>
        <w:rPr>
          <w:rFonts w:ascii="Calibri" w:hAnsi="Calibri" w:cs="Calibri"/>
          <w:color w:val="000000"/>
          <w:sz w:val="22"/>
          <w:szCs w:val="22"/>
          <w:lang w:eastAsia="en-GB"/>
        </w:rPr>
        <w:t xml:space="preserve"> for any service period exceeding six months worked during that evaluation year. Where the PMD platform is not available or for short-term IPSA holders, the </w:t>
      </w:r>
      <w:hyperlink w:anchor="_Annex_5:_Performance_1" w:history="1">
        <w:r>
          <w:rPr>
            <w:rStyle w:val="Hyperlink"/>
            <w:rFonts w:ascii="Calibri" w:hAnsi="Calibri" w:cs="Calibri"/>
            <w:sz w:val="22"/>
            <w:szCs w:val="22"/>
            <w:lang w:eastAsia="en-GB"/>
          </w:rPr>
          <w:t>IPSA Service Evaluation</w:t>
        </w:r>
      </w:hyperlink>
      <w:r>
        <w:rPr>
          <w:rFonts w:ascii="Calibri" w:hAnsi="Calibri" w:cs="Calibri"/>
          <w:color w:val="000000"/>
          <w:sz w:val="22"/>
          <w:szCs w:val="22"/>
          <w:lang w:eastAsia="en-GB"/>
        </w:rPr>
        <w:t xml:space="preserve"> form in Annex 5 can be used.</w:t>
      </w:r>
      <w:r w:rsidR="000A158C">
        <w:rPr>
          <w:rFonts w:ascii="Calibri" w:hAnsi="Calibri" w:cs="Calibri"/>
          <w:color w:val="000000"/>
          <w:sz w:val="22"/>
          <w:szCs w:val="22"/>
          <w:lang w:eastAsia="en-GB"/>
        </w:rPr>
        <w:t xml:space="preserve"> </w:t>
      </w:r>
    </w:p>
    <w:p w14:paraId="174CC419" w14:textId="77777777" w:rsidR="00804AF0" w:rsidRDefault="00804AF0">
      <w:pPr>
        <w:jc w:val="both"/>
        <w:textAlignment w:val="baseline"/>
        <w:rPr>
          <w:rFonts w:ascii="Calibri" w:hAnsi="Calibri" w:cs="Calibri"/>
          <w:sz w:val="22"/>
          <w:szCs w:val="22"/>
          <w:lang w:eastAsia="en-GB"/>
        </w:rPr>
      </w:pPr>
    </w:p>
    <w:p w14:paraId="1471D417" w14:textId="581CDE56" w:rsidR="00804AF0" w:rsidRDefault="009A47D6">
      <w:pPr>
        <w:numPr>
          <w:ilvl w:val="0"/>
          <w:numId w:val="4"/>
        </w:numPr>
        <w:jc w:val="both"/>
        <w:textAlignment w:val="baseline"/>
        <w:rPr>
          <w:rFonts w:ascii="Calibri" w:hAnsi="Calibri" w:cs="Calibri"/>
          <w:color w:val="000000"/>
          <w:sz w:val="22"/>
          <w:szCs w:val="22"/>
          <w:lang w:val="en-CA" w:eastAsia="en-GB"/>
        </w:rPr>
      </w:pPr>
      <w:r>
        <w:rPr>
          <w:rFonts w:ascii="Calibri" w:hAnsi="Calibri" w:cs="Calibri"/>
          <w:color w:val="000000"/>
          <w:sz w:val="22"/>
          <w:szCs w:val="22"/>
          <w:lang w:val="en-CA" w:eastAsia="en-GB"/>
        </w:rPr>
        <w:t xml:space="preserve">For short-term IPSAs, or for periods of service of less than six months, only section I of the </w:t>
      </w:r>
      <w:hyperlink r:id="rId14" w:history="1">
        <w:r>
          <w:rPr>
            <w:rStyle w:val="Hyperlink"/>
            <w:rFonts w:ascii="Calibri" w:hAnsi="Calibri" w:cs="Calibri"/>
            <w:sz w:val="22"/>
            <w:szCs w:val="22"/>
            <w:lang w:eastAsia="en-GB"/>
          </w:rPr>
          <w:t>IPSA Performance Evaluation</w:t>
        </w:r>
      </w:hyperlink>
      <w:r>
        <w:rPr>
          <w:rStyle w:val="Hyperlink"/>
          <w:rFonts w:ascii="Calibri" w:hAnsi="Calibri" w:cs="Calibri"/>
          <w:sz w:val="22"/>
          <w:szCs w:val="22"/>
          <w:lang w:eastAsia="en-GB"/>
        </w:rPr>
        <w:t xml:space="preserve"> </w:t>
      </w:r>
      <w:r>
        <w:rPr>
          <w:rFonts w:ascii="Calibri" w:hAnsi="Calibri" w:cs="Calibri"/>
          <w:color w:val="000000"/>
          <w:sz w:val="22"/>
          <w:szCs w:val="22"/>
          <w:lang w:val="en-CA" w:eastAsia="en-GB"/>
        </w:rPr>
        <w:t>form is to be completed and should be documented as a note to file.</w:t>
      </w:r>
    </w:p>
    <w:bookmarkEnd w:id="88"/>
    <w:p w14:paraId="6DE2379E" w14:textId="77777777" w:rsidR="00804AF0" w:rsidRDefault="00804AF0">
      <w:pPr>
        <w:ind w:left="720" w:firstLine="110"/>
        <w:jc w:val="both"/>
        <w:textAlignment w:val="baseline"/>
        <w:rPr>
          <w:rFonts w:ascii="Calibri" w:hAnsi="Calibri" w:cs="Calibri"/>
          <w:sz w:val="22"/>
          <w:szCs w:val="22"/>
          <w:lang w:eastAsia="en-GB"/>
        </w:rPr>
      </w:pPr>
    </w:p>
    <w:p w14:paraId="1A7C8A42" w14:textId="77777777" w:rsidR="00804AF0" w:rsidRDefault="009A47D6">
      <w:pPr>
        <w:numPr>
          <w:ilvl w:val="0"/>
          <w:numId w:val="4"/>
        </w:numPr>
        <w:jc w:val="both"/>
        <w:textAlignment w:val="baseline"/>
        <w:rPr>
          <w:rFonts w:ascii="Calibri" w:hAnsi="Calibri" w:cs="Calibri"/>
          <w:color w:val="000000"/>
          <w:sz w:val="22"/>
          <w:szCs w:val="22"/>
          <w:lang w:val="en-CA" w:eastAsia="en-GB"/>
        </w:rPr>
      </w:pPr>
      <w:r>
        <w:rPr>
          <w:rFonts w:ascii="Calibri" w:hAnsi="Calibri" w:cs="Calibri"/>
          <w:color w:val="000000"/>
          <w:sz w:val="22"/>
          <w:szCs w:val="22"/>
          <w:lang w:val="en-CA" w:eastAsia="en-GB"/>
        </w:rPr>
        <w:t>Each Service Evaluation form must be filed for record keeping by the human resources focal point of the Business Unit, or online when available.</w:t>
      </w:r>
    </w:p>
    <w:p w14:paraId="36D0C225" w14:textId="77777777" w:rsidR="00804AF0" w:rsidRDefault="009A47D6">
      <w:pPr>
        <w:textAlignment w:val="baseline"/>
        <w:rPr>
          <w:rFonts w:ascii="Calibri" w:hAnsi="Calibri" w:cs="Calibri"/>
          <w:sz w:val="22"/>
          <w:szCs w:val="22"/>
          <w:lang w:eastAsia="en-GB"/>
        </w:rPr>
      </w:pPr>
      <w:r>
        <w:rPr>
          <w:rFonts w:ascii="Calibri" w:hAnsi="Calibri" w:cs="Calibri"/>
          <w:sz w:val="22"/>
          <w:szCs w:val="22"/>
          <w:lang w:eastAsia="en-GB"/>
        </w:rPr>
        <w:t> </w:t>
      </w:r>
    </w:p>
    <w:p w14:paraId="01B4D9D1" w14:textId="77777777" w:rsidR="00804AF0" w:rsidRDefault="009A47D6">
      <w:pPr>
        <w:pStyle w:val="Heading1"/>
        <w:numPr>
          <w:ilvl w:val="0"/>
          <w:numId w:val="2"/>
        </w:numPr>
        <w:jc w:val="left"/>
        <w:rPr>
          <w:rFonts w:ascii="Calibri" w:hAnsi="Calibri" w:cs="Calibri"/>
          <w:b/>
          <w:bCs/>
          <w:sz w:val="22"/>
          <w:szCs w:val="22"/>
          <w:lang w:eastAsia="en-GB"/>
        </w:rPr>
      </w:pPr>
      <w:bookmarkStart w:id="89" w:name="_Toc161312440"/>
      <w:r>
        <w:rPr>
          <w:rFonts w:ascii="Calibri" w:hAnsi="Calibri" w:cs="Calibri"/>
          <w:b/>
          <w:bCs/>
          <w:sz w:val="22"/>
          <w:szCs w:val="22"/>
          <w:lang w:eastAsia="en-GB"/>
        </w:rPr>
        <w:t>Learning Opportunities</w:t>
      </w:r>
      <w:bookmarkEnd w:id="89"/>
    </w:p>
    <w:p w14:paraId="1214C846" w14:textId="77777777" w:rsidR="00804AF0" w:rsidRDefault="00804AF0">
      <w:pPr>
        <w:jc w:val="both"/>
        <w:textAlignment w:val="baseline"/>
        <w:rPr>
          <w:rFonts w:ascii="Calibri" w:hAnsi="Calibri" w:cs="Calibri"/>
          <w:sz w:val="22"/>
          <w:szCs w:val="22"/>
          <w:lang w:eastAsia="en-GB"/>
        </w:rPr>
      </w:pPr>
    </w:p>
    <w:p w14:paraId="4253D264" w14:textId="77777777" w:rsidR="00804AF0" w:rsidRDefault="009A47D6">
      <w:pPr>
        <w:numPr>
          <w:ilvl w:val="0"/>
          <w:numId w:val="4"/>
        </w:numPr>
        <w:jc w:val="both"/>
        <w:textAlignment w:val="baseline"/>
        <w:rPr>
          <w:rFonts w:ascii="Calibri" w:hAnsi="Calibri" w:cs="Calibri"/>
          <w:color w:val="000000"/>
          <w:sz w:val="22"/>
          <w:szCs w:val="22"/>
          <w:lang w:val="en-CA" w:eastAsia="en-GB"/>
        </w:rPr>
      </w:pPr>
      <w:r>
        <w:rPr>
          <w:rFonts w:ascii="Calibri" w:hAnsi="Calibri" w:cs="Calibri"/>
          <w:color w:val="000000"/>
          <w:sz w:val="22"/>
          <w:szCs w:val="22"/>
          <w:lang w:val="en-CA" w:eastAsia="en-GB"/>
        </w:rPr>
        <w:t>IPSA holders must complete any corporate mandatory training courses within the required time established by UNDP.</w:t>
      </w:r>
    </w:p>
    <w:p w14:paraId="24BB1036" w14:textId="77777777" w:rsidR="00804AF0" w:rsidRDefault="00804AF0">
      <w:pPr>
        <w:jc w:val="both"/>
        <w:textAlignment w:val="baseline"/>
        <w:rPr>
          <w:rFonts w:ascii="Calibri" w:hAnsi="Calibri" w:cs="Calibri"/>
          <w:color w:val="000000"/>
          <w:sz w:val="22"/>
          <w:szCs w:val="22"/>
          <w:lang w:val="en-CA" w:eastAsia="en-GB"/>
        </w:rPr>
      </w:pPr>
    </w:p>
    <w:p w14:paraId="37699ED7" w14:textId="77777777" w:rsidR="00804AF0" w:rsidRDefault="009A47D6">
      <w:pPr>
        <w:numPr>
          <w:ilvl w:val="0"/>
          <w:numId w:val="4"/>
        </w:numPr>
        <w:jc w:val="both"/>
        <w:textAlignment w:val="baseline"/>
        <w:rPr>
          <w:rFonts w:ascii="Calibri" w:hAnsi="Calibri" w:cs="Calibri"/>
          <w:color w:val="000000"/>
          <w:sz w:val="22"/>
          <w:szCs w:val="22"/>
          <w:lang w:val="en-CA" w:eastAsia="en-GB"/>
        </w:rPr>
      </w:pPr>
      <w:r>
        <w:rPr>
          <w:rFonts w:ascii="Calibri" w:hAnsi="Calibri" w:cs="Calibri"/>
          <w:color w:val="000000"/>
          <w:sz w:val="22"/>
          <w:szCs w:val="22"/>
          <w:lang w:val="en-CA" w:eastAsia="en-GB"/>
        </w:rPr>
        <w:t>IPSA holders who have been on IPSA continuously for at least twelve months may have access to learning and development opportunities available to UNDP personnel, including access to formal programmes (in line with the target audiences and requirements established for such programmes), on-demand learning resources, and the UNDP learning management system/platform(s), and only if such trainings are deemed to be necessary due to the natural progression of the function and its requirements.</w:t>
      </w:r>
    </w:p>
    <w:p w14:paraId="69FF72EC" w14:textId="77777777" w:rsidR="00804AF0" w:rsidRDefault="00804AF0">
      <w:pPr>
        <w:jc w:val="both"/>
        <w:textAlignment w:val="baseline"/>
        <w:rPr>
          <w:rFonts w:ascii="Calibri" w:hAnsi="Calibri" w:cs="Calibri"/>
          <w:color w:val="000000"/>
          <w:sz w:val="22"/>
          <w:szCs w:val="22"/>
          <w:lang w:val="en-CA" w:eastAsia="en-GB"/>
        </w:rPr>
      </w:pPr>
    </w:p>
    <w:p w14:paraId="07E8B941" w14:textId="77777777" w:rsidR="00804AF0" w:rsidRDefault="009A47D6">
      <w:pPr>
        <w:numPr>
          <w:ilvl w:val="0"/>
          <w:numId w:val="4"/>
        </w:numPr>
        <w:jc w:val="both"/>
        <w:textAlignment w:val="baseline"/>
        <w:rPr>
          <w:rFonts w:ascii="Calibri" w:hAnsi="Calibri" w:cs="Calibri"/>
          <w:color w:val="000000"/>
          <w:sz w:val="22"/>
          <w:szCs w:val="22"/>
          <w:lang w:val="en-CA" w:eastAsia="en-GB"/>
        </w:rPr>
      </w:pPr>
      <w:r>
        <w:rPr>
          <w:rFonts w:ascii="Calibri" w:hAnsi="Calibri" w:cs="Calibri"/>
          <w:color w:val="000000"/>
          <w:sz w:val="22"/>
          <w:szCs w:val="22"/>
          <w:lang w:val="en-CA" w:eastAsia="en-GB"/>
        </w:rPr>
        <w:t xml:space="preserve">The proforma cost of the IPSA will include a contribution to the UNDP corporate Learning Reserve to enable IPSA holders’ access to the initiatives funded from the Learning Reserve </w:t>
      </w:r>
      <w:r>
        <w:rPr>
          <w:rFonts w:ascii="Calibri" w:hAnsi="Calibri" w:cs="Calibri"/>
          <w:color w:val="000000"/>
          <w:sz w:val="22"/>
          <w:szCs w:val="22"/>
          <w:lang w:val="en-CA" w:eastAsia="en-GB"/>
        </w:rPr>
        <w:lastRenderedPageBreak/>
        <w:t>and resources that are offered to UNDP personnel at no cost. Any additional costs related to the participation in the UNDP corporate learning and development programmes and other relevant costs will be charged to the funding source(s) of the respective IPSA holders, as needed.</w:t>
      </w:r>
    </w:p>
    <w:p w14:paraId="0617AD36" w14:textId="77777777" w:rsidR="00804AF0" w:rsidRDefault="00804AF0">
      <w:pPr>
        <w:jc w:val="both"/>
        <w:textAlignment w:val="baseline"/>
        <w:rPr>
          <w:rFonts w:ascii="Calibri" w:hAnsi="Calibri" w:cs="Calibri"/>
          <w:color w:val="000000"/>
          <w:sz w:val="22"/>
          <w:szCs w:val="22"/>
          <w:lang w:val="en-CA" w:eastAsia="en-GB"/>
        </w:rPr>
      </w:pPr>
    </w:p>
    <w:p w14:paraId="555CA5BE" w14:textId="77777777" w:rsidR="00804AF0" w:rsidRDefault="009A47D6">
      <w:pPr>
        <w:numPr>
          <w:ilvl w:val="0"/>
          <w:numId w:val="4"/>
        </w:numPr>
        <w:jc w:val="both"/>
        <w:textAlignment w:val="baseline"/>
        <w:rPr>
          <w:rFonts w:ascii="Calibri" w:hAnsi="Calibri" w:cs="Calibri"/>
          <w:color w:val="000000"/>
          <w:sz w:val="22"/>
          <w:szCs w:val="22"/>
          <w:lang w:val="en-CA" w:eastAsia="en-GB"/>
        </w:rPr>
      </w:pPr>
      <w:r>
        <w:rPr>
          <w:rFonts w:ascii="Calibri" w:hAnsi="Calibri" w:cs="Calibri"/>
          <w:color w:val="000000"/>
          <w:sz w:val="22"/>
          <w:szCs w:val="22"/>
          <w:lang w:val="en-CA" w:eastAsia="en-GB"/>
        </w:rPr>
        <w:t>IPSA holders may be requested to undergo specific trainings if found to be necessary by the hiring managers to deliver on services requiring technical skills beyond those originally identified in the TORs.</w:t>
      </w:r>
    </w:p>
    <w:p w14:paraId="5E4F3B8B" w14:textId="77777777" w:rsidR="00804AF0" w:rsidRDefault="00804AF0">
      <w:pPr>
        <w:pStyle w:val="ListParagraph"/>
        <w:rPr>
          <w:rFonts w:ascii="Calibri" w:hAnsi="Calibri" w:cs="Calibri"/>
          <w:color w:val="000000"/>
          <w:sz w:val="22"/>
          <w:szCs w:val="22"/>
          <w:lang w:val="en-CA" w:eastAsia="en-GB"/>
        </w:rPr>
      </w:pPr>
    </w:p>
    <w:p w14:paraId="20AC3550" w14:textId="77777777" w:rsidR="00804AF0" w:rsidRDefault="009A47D6">
      <w:pPr>
        <w:numPr>
          <w:ilvl w:val="0"/>
          <w:numId w:val="4"/>
        </w:numPr>
        <w:jc w:val="both"/>
        <w:textAlignment w:val="baseline"/>
        <w:rPr>
          <w:rFonts w:ascii="Calibri" w:hAnsi="Calibri" w:cs="Calibri"/>
          <w:color w:val="000000"/>
          <w:sz w:val="22"/>
          <w:szCs w:val="22"/>
          <w:lang w:val="en-CA" w:eastAsia="en-GB"/>
        </w:rPr>
      </w:pPr>
      <w:r>
        <w:rPr>
          <w:rFonts w:ascii="Calibri" w:hAnsi="Calibri" w:cs="Calibri"/>
          <w:color w:val="000000"/>
          <w:sz w:val="22"/>
          <w:szCs w:val="22"/>
          <w:lang w:val="en-CA" w:eastAsia="en-GB"/>
        </w:rPr>
        <w:t>Regular IPSA holders are eligible for detail assignments, provided that the requirements of both the releasing and receiving offices, as well as their host countries allow for that, and that the individual is adequately covered with health insurance while on assignment.</w:t>
      </w:r>
    </w:p>
    <w:p w14:paraId="09861489"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77CE7068" w14:textId="77777777" w:rsidR="00804AF0" w:rsidRDefault="009A47D6">
      <w:pPr>
        <w:pStyle w:val="Heading1"/>
        <w:numPr>
          <w:ilvl w:val="0"/>
          <w:numId w:val="2"/>
        </w:numPr>
        <w:jc w:val="left"/>
        <w:rPr>
          <w:rFonts w:ascii="Calibri" w:hAnsi="Calibri" w:cs="Calibri"/>
          <w:b/>
          <w:bCs/>
          <w:sz w:val="22"/>
          <w:szCs w:val="22"/>
          <w:lang w:eastAsia="en-GB"/>
        </w:rPr>
      </w:pPr>
      <w:bookmarkStart w:id="90" w:name="_Toc161312441"/>
      <w:bookmarkStart w:id="91" w:name="OLE_LINK45"/>
      <w:bookmarkStart w:id="92" w:name="_Hlk35217050"/>
      <w:r>
        <w:rPr>
          <w:rFonts w:ascii="Calibri" w:hAnsi="Calibri" w:cs="Calibri"/>
          <w:b/>
          <w:bCs/>
          <w:sz w:val="22"/>
          <w:szCs w:val="22"/>
          <w:lang w:eastAsia="en-GB"/>
        </w:rPr>
        <w:t>Career Paths</w:t>
      </w:r>
      <w:bookmarkEnd w:id="90"/>
    </w:p>
    <w:bookmarkEnd w:id="91"/>
    <w:p w14:paraId="45BB3F2A" w14:textId="77777777" w:rsidR="00804AF0" w:rsidRDefault="00804AF0">
      <w:pPr>
        <w:pStyle w:val="ListParagraph"/>
        <w:ind w:left="360"/>
        <w:jc w:val="both"/>
        <w:rPr>
          <w:rFonts w:ascii="Calibri" w:hAnsi="Calibri" w:cs="Calibri"/>
          <w:b/>
          <w:sz w:val="22"/>
          <w:szCs w:val="22"/>
        </w:rPr>
      </w:pPr>
    </w:p>
    <w:bookmarkEnd w:id="92"/>
    <w:p w14:paraId="3B7311FD" w14:textId="77777777" w:rsidR="00804AF0" w:rsidRDefault="009A47D6">
      <w:pPr>
        <w:numPr>
          <w:ilvl w:val="0"/>
          <w:numId w:val="4"/>
        </w:numPr>
        <w:jc w:val="both"/>
        <w:textAlignment w:val="baseline"/>
        <w:rPr>
          <w:rFonts w:ascii="Calibri" w:hAnsi="Calibri" w:cs="Calibri"/>
          <w:color w:val="000000"/>
          <w:sz w:val="22"/>
          <w:szCs w:val="22"/>
          <w:lang w:val="en-CA" w:eastAsia="en-GB"/>
        </w:rPr>
      </w:pPr>
      <w:r>
        <w:rPr>
          <w:rFonts w:ascii="Calibri" w:hAnsi="Calibri" w:cs="Calibri"/>
          <w:color w:val="000000"/>
          <w:sz w:val="22"/>
          <w:szCs w:val="22"/>
          <w:lang w:val="en-CA" w:eastAsia="en-GB"/>
        </w:rPr>
        <w:t xml:space="preserve">IPSA holders will have access to career opportunities within UNDP as well as to the career development resources available to UNDP personnel. As such, they will be able to apply to UNDP staff positions and positions offered under other contractual modalities, in line with the UNDP recruitment and selection framework, and the requirements of the respective positions and offers. </w:t>
      </w:r>
    </w:p>
    <w:p w14:paraId="4885E7AF" w14:textId="77777777" w:rsidR="00804AF0" w:rsidRDefault="00804AF0">
      <w:pPr>
        <w:jc w:val="both"/>
        <w:textAlignment w:val="baseline"/>
        <w:rPr>
          <w:rFonts w:ascii="Calibri" w:hAnsi="Calibri" w:cs="Calibri"/>
          <w:color w:val="000000"/>
          <w:sz w:val="22"/>
          <w:szCs w:val="22"/>
          <w:lang w:val="en-CA" w:eastAsia="en-GB"/>
        </w:rPr>
      </w:pPr>
    </w:p>
    <w:p w14:paraId="5415F712" w14:textId="77777777" w:rsidR="00804AF0" w:rsidRDefault="009A47D6">
      <w:pPr>
        <w:numPr>
          <w:ilvl w:val="0"/>
          <w:numId w:val="4"/>
        </w:numPr>
        <w:jc w:val="both"/>
        <w:textAlignment w:val="baseline"/>
        <w:rPr>
          <w:rFonts w:ascii="Calibri" w:hAnsi="Calibri" w:cs="Calibri"/>
          <w:color w:val="000000"/>
          <w:sz w:val="22"/>
          <w:szCs w:val="22"/>
          <w:lang w:val="en-CA" w:eastAsia="en-GB"/>
        </w:rPr>
      </w:pPr>
      <w:r>
        <w:rPr>
          <w:rFonts w:ascii="Calibri" w:hAnsi="Calibri" w:cs="Calibri"/>
          <w:color w:val="000000"/>
          <w:sz w:val="22"/>
          <w:szCs w:val="22"/>
          <w:lang w:val="en-CA" w:eastAsia="en-GB"/>
        </w:rPr>
        <w:t>IPSA holders who have served a minimum of three years with UNDP and have demonstrated successful performance, as recorded in the formal performance reviews, will be eligible to participate in the corporate talent pool assessments and similar initiatives as internal candidates. All IPSA holders will be able to participate in such initiatives, when open to external candidates.</w:t>
      </w:r>
    </w:p>
    <w:p w14:paraId="69B446DA" w14:textId="77777777" w:rsidR="00804AF0" w:rsidRDefault="00804AF0">
      <w:pPr>
        <w:pStyle w:val="ListParagraph"/>
        <w:ind w:left="425"/>
        <w:jc w:val="both"/>
        <w:textAlignment w:val="baseline"/>
        <w:rPr>
          <w:rFonts w:ascii="Calibri" w:hAnsi="Calibri" w:cs="Calibri"/>
          <w:color w:val="000000"/>
          <w:sz w:val="22"/>
          <w:szCs w:val="22"/>
          <w:lang w:val="en-CA" w:eastAsia="en-GB"/>
        </w:rPr>
      </w:pPr>
    </w:p>
    <w:p w14:paraId="440F06D1" w14:textId="77777777" w:rsidR="00804AF0" w:rsidRDefault="009A47D6">
      <w:pPr>
        <w:pStyle w:val="ListParagraph"/>
        <w:numPr>
          <w:ilvl w:val="0"/>
          <w:numId w:val="4"/>
        </w:numPr>
        <w:spacing w:after="160" w:line="259" w:lineRule="auto"/>
        <w:jc w:val="both"/>
        <w:rPr>
          <w:rFonts w:ascii="Calibri" w:hAnsi="Calibri" w:cs="Calibri"/>
          <w:sz w:val="22"/>
          <w:szCs w:val="22"/>
        </w:rPr>
      </w:pPr>
      <w:bookmarkStart w:id="93" w:name="OLE_LINK44"/>
      <w:r>
        <w:rPr>
          <w:rFonts w:ascii="Calibri" w:hAnsi="Calibri" w:cs="Calibri"/>
          <w:sz w:val="22"/>
          <w:szCs w:val="22"/>
        </w:rPr>
        <w:t xml:space="preserve">IPSAs shall not be considered internal candidates for vacancy announcements that have been categorized as internal, regardless of time spent on IPSA contracts. </w:t>
      </w:r>
    </w:p>
    <w:bookmarkEnd w:id="93"/>
    <w:p w14:paraId="08533714" w14:textId="77777777" w:rsidR="00804AF0" w:rsidRDefault="00804AF0">
      <w:pPr>
        <w:jc w:val="both"/>
        <w:textAlignment w:val="baseline"/>
        <w:rPr>
          <w:rFonts w:ascii="Calibri" w:hAnsi="Calibri" w:cs="Calibri"/>
          <w:sz w:val="22"/>
          <w:szCs w:val="22"/>
          <w:lang w:eastAsia="en-GB"/>
        </w:rPr>
      </w:pPr>
    </w:p>
    <w:p w14:paraId="7B74B84E" w14:textId="77777777" w:rsidR="00804AF0" w:rsidRDefault="009A47D6">
      <w:pPr>
        <w:pStyle w:val="Heading1"/>
        <w:numPr>
          <w:ilvl w:val="0"/>
          <w:numId w:val="2"/>
        </w:numPr>
        <w:jc w:val="left"/>
        <w:rPr>
          <w:rFonts w:ascii="Calibri" w:hAnsi="Calibri" w:cs="Calibri"/>
          <w:b/>
          <w:bCs/>
          <w:sz w:val="22"/>
          <w:szCs w:val="22"/>
          <w:lang w:eastAsia="en-GB"/>
        </w:rPr>
      </w:pPr>
      <w:bookmarkStart w:id="94" w:name="_Toc161312442"/>
      <w:r>
        <w:rPr>
          <w:rFonts w:ascii="Calibri" w:hAnsi="Calibri" w:cs="Calibri"/>
          <w:b/>
          <w:bCs/>
          <w:sz w:val="22"/>
          <w:szCs w:val="22"/>
          <w:lang w:eastAsia="en-GB"/>
        </w:rPr>
        <w:t>Roles and Responsibilities</w:t>
      </w:r>
      <w:bookmarkEnd w:id="94"/>
    </w:p>
    <w:p w14:paraId="47CF7176" w14:textId="77777777" w:rsidR="00804AF0" w:rsidRDefault="00804AF0">
      <w:pPr>
        <w:jc w:val="both"/>
        <w:textAlignment w:val="baseline"/>
        <w:rPr>
          <w:rFonts w:ascii="Calibri" w:hAnsi="Calibri" w:cs="Calibri"/>
          <w:sz w:val="22"/>
          <w:szCs w:val="22"/>
          <w:lang w:eastAsia="en-GB"/>
        </w:rPr>
      </w:pPr>
    </w:p>
    <w:p w14:paraId="7C408FB5" w14:textId="77777777" w:rsidR="00804AF0" w:rsidRDefault="009A47D6">
      <w:pPr>
        <w:numPr>
          <w:ilvl w:val="0"/>
          <w:numId w:val="4"/>
        </w:numPr>
        <w:jc w:val="both"/>
        <w:textAlignment w:val="baseline"/>
        <w:rPr>
          <w:rFonts w:ascii="Calibri" w:hAnsi="Calibri" w:cs="Calibri"/>
          <w:color w:val="000000"/>
          <w:sz w:val="22"/>
          <w:szCs w:val="22"/>
          <w:u w:val="single"/>
          <w:lang w:val="en-CA" w:eastAsia="en-GB"/>
        </w:rPr>
      </w:pPr>
      <w:r>
        <w:rPr>
          <w:rFonts w:ascii="Calibri" w:hAnsi="Calibri" w:cs="Calibri"/>
          <w:color w:val="000000"/>
          <w:sz w:val="22"/>
          <w:szCs w:val="22"/>
          <w:u w:val="single"/>
          <w:lang w:val="en-CA" w:eastAsia="en-GB"/>
        </w:rPr>
        <w:t>Heads of Business Units / Responsible Officers: </w:t>
      </w:r>
    </w:p>
    <w:p w14:paraId="53D61CC5" w14:textId="77777777" w:rsidR="00804AF0" w:rsidRDefault="00804AF0">
      <w:pPr>
        <w:jc w:val="both"/>
        <w:textAlignment w:val="baseline"/>
        <w:rPr>
          <w:rFonts w:ascii="Calibri" w:hAnsi="Calibri" w:cs="Calibri"/>
          <w:sz w:val="22"/>
          <w:szCs w:val="22"/>
          <w:lang w:eastAsia="en-GB"/>
        </w:rPr>
      </w:pPr>
    </w:p>
    <w:p w14:paraId="581AA1E2" w14:textId="77777777" w:rsidR="00804AF0" w:rsidRDefault="009A47D6">
      <w:pPr>
        <w:jc w:val="both"/>
        <w:textAlignment w:val="baseline"/>
        <w:rPr>
          <w:rFonts w:ascii="Calibri" w:hAnsi="Calibri" w:cs="Calibri"/>
          <w:color w:val="000000"/>
          <w:sz w:val="22"/>
          <w:szCs w:val="22"/>
          <w:lang w:eastAsia="en-GB"/>
        </w:rPr>
      </w:pPr>
      <w:r>
        <w:rPr>
          <w:rFonts w:ascii="Calibri" w:hAnsi="Calibri" w:cs="Calibri"/>
          <w:color w:val="000000"/>
          <w:sz w:val="22"/>
          <w:szCs w:val="22"/>
          <w:lang w:eastAsia="en-GB"/>
        </w:rPr>
        <w:t xml:space="preserve">Heads of Business Unit (incl. Resident Representatives, UNV/UNCDF Executive Coordinator, </w:t>
      </w:r>
      <w:r>
        <w:rPr>
          <w:rFonts w:ascii="Calibri" w:hAnsi="Calibri" w:cs="Calibri"/>
          <w:sz w:val="22"/>
          <w:szCs w:val="22"/>
          <w:lang w:eastAsia="en-GB"/>
        </w:rPr>
        <w:t xml:space="preserve">UNOSSC Director, </w:t>
      </w:r>
      <w:r>
        <w:rPr>
          <w:rFonts w:ascii="Calibri" w:hAnsi="Calibri" w:cs="Calibri"/>
          <w:color w:val="000000"/>
          <w:sz w:val="22"/>
          <w:szCs w:val="22"/>
          <w:lang w:eastAsia="en-GB"/>
        </w:rPr>
        <w:t>or other individuals delegated authority hereunder) are designated as Responsible Offices, responsible for enforcing the terms of this policy and are accountable for decisions taken. Directors must consider the performance of the Responsible Officers in managing the IPSA in accordance with this policy in the annual performance review of Heads of Office e.g. Audit Reports and OHR reports may be used as a reference for evaluation.</w:t>
      </w:r>
    </w:p>
    <w:p w14:paraId="10C13FA9" w14:textId="77777777" w:rsidR="00804AF0" w:rsidRDefault="00804AF0">
      <w:pPr>
        <w:jc w:val="both"/>
        <w:textAlignment w:val="baseline"/>
        <w:rPr>
          <w:rFonts w:ascii="Calibri" w:hAnsi="Calibri" w:cs="Calibri"/>
          <w:sz w:val="22"/>
          <w:szCs w:val="22"/>
          <w:lang w:eastAsia="en-GB"/>
        </w:rPr>
      </w:pPr>
    </w:p>
    <w:p w14:paraId="60B3E0BA" w14:textId="77777777" w:rsidR="00804AF0" w:rsidRDefault="009A47D6">
      <w:pPr>
        <w:numPr>
          <w:ilvl w:val="0"/>
          <w:numId w:val="4"/>
        </w:numPr>
        <w:jc w:val="both"/>
        <w:textAlignment w:val="baseline"/>
        <w:rPr>
          <w:rFonts w:ascii="Calibri" w:hAnsi="Calibri" w:cs="Calibri"/>
          <w:color w:val="000000"/>
          <w:sz w:val="22"/>
          <w:szCs w:val="22"/>
          <w:u w:val="single"/>
          <w:lang w:val="en-CA" w:eastAsia="en-GB"/>
        </w:rPr>
      </w:pPr>
      <w:r>
        <w:rPr>
          <w:rFonts w:ascii="Calibri" w:hAnsi="Calibri" w:cs="Calibri"/>
          <w:color w:val="000000"/>
          <w:sz w:val="22"/>
          <w:szCs w:val="22"/>
          <w:u w:val="single"/>
          <w:lang w:val="en-CA" w:eastAsia="en-GB"/>
        </w:rPr>
        <w:t>Responsible Officers:</w:t>
      </w:r>
    </w:p>
    <w:p w14:paraId="6FC13175" w14:textId="77777777" w:rsidR="00804AF0" w:rsidRDefault="00804AF0">
      <w:pPr>
        <w:jc w:val="both"/>
        <w:textAlignment w:val="baseline"/>
        <w:rPr>
          <w:rFonts w:ascii="Calibri" w:hAnsi="Calibri" w:cs="Calibri"/>
          <w:sz w:val="22"/>
          <w:szCs w:val="22"/>
          <w:lang w:eastAsia="en-GB"/>
        </w:rPr>
      </w:pPr>
    </w:p>
    <w:p w14:paraId="6193594D" w14:textId="77777777" w:rsidR="00804AF0" w:rsidRDefault="009A47D6">
      <w:pPr>
        <w:numPr>
          <w:ilvl w:val="0"/>
          <w:numId w:val="35"/>
        </w:numPr>
        <w:jc w:val="both"/>
        <w:textAlignment w:val="baseline"/>
        <w:rPr>
          <w:rFonts w:ascii="Calibri" w:hAnsi="Calibri" w:cs="Calibri"/>
          <w:sz w:val="22"/>
          <w:szCs w:val="22"/>
          <w:lang w:eastAsia="en-GB"/>
        </w:rPr>
      </w:pPr>
      <w:r>
        <w:rPr>
          <w:rFonts w:ascii="Calibri" w:hAnsi="Calibri" w:cs="Calibri"/>
          <w:sz w:val="22"/>
          <w:szCs w:val="22"/>
          <w:lang w:eastAsia="en-GB"/>
        </w:rPr>
        <w:t>defining clear terms of reference with measurable outputs, timelines, and indicating qualifications and competencies required;</w:t>
      </w:r>
    </w:p>
    <w:p w14:paraId="6CD5CC4A" w14:textId="77777777" w:rsidR="00804AF0" w:rsidRDefault="009A47D6">
      <w:pPr>
        <w:numPr>
          <w:ilvl w:val="0"/>
          <w:numId w:val="35"/>
        </w:numPr>
        <w:jc w:val="both"/>
        <w:textAlignment w:val="baseline"/>
        <w:rPr>
          <w:rFonts w:ascii="Calibri" w:hAnsi="Calibri" w:cs="Calibri"/>
          <w:sz w:val="22"/>
          <w:szCs w:val="22"/>
          <w:lang w:eastAsia="en-GB"/>
        </w:rPr>
      </w:pPr>
      <w:r>
        <w:rPr>
          <w:rFonts w:ascii="Calibri" w:hAnsi="Calibri" w:cs="Calibri"/>
          <w:sz w:val="22"/>
          <w:szCs w:val="22"/>
          <w:lang w:eastAsia="en-GB"/>
        </w:rPr>
        <w:t>determining the use of IPSA as the appropriate contractual modality and adhering to the requirements of this policy;</w:t>
      </w:r>
    </w:p>
    <w:p w14:paraId="610B339C" w14:textId="77777777" w:rsidR="00804AF0" w:rsidRDefault="009A47D6">
      <w:pPr>
        <w:numPr>
          <w:ilvl w:val="0"/>
          <w:numId w:val="35"/>
        </w:numPr>
        <w:jc w:val="both"/>
        <w:textAlignment w:val="baseline"/>
        <w:rPr>
          <w:rFonts w:ascii="Calibri" w:hAnsi="Calibri" w:cs="Calibri"/>
          <w:sz w:val="22"/>
          <w:szCs w:val="22"/>
          <w:lang w:eastAsia="en-GB"/>
        </w:rPr>
      </w:pPr>
      <w:r>
        <w:rPr>
          <w:rFonts w:ascii="Calibri" w:hAnsi="Calibri" w:cs="Calibri"/>
          <w:sz w:val="22"/>
          <w:szCs w:val="22"/>
          <w:lang w:eastAsia="en-GB"/>
        </w:rPr>
        <w:lastRenderedPageBreak/>
        <w:t>ensuring availability of funds for the duration of the IPSA and extension;</w:t>
      </w:r>
    </w:p>
    <w:p w14:paraId="05C7C3EA" w14:textId="77777777" w:rsidR="00804AF0" w:rsidRDefault="009A47D6">
      <w:pPr>
        <w:numPr>
          <w:ilvl w:val="0"/>
          <w:numId w:val="35"/>
        </w:numPr>
        <w:jc w:val="both"/>
        <w:textAlignment w:val="baseline"/>
        <w:rPr>
          <w:rFonts w:ascii="Calibri" w:hAnsi="Calibri" w:cs="Calibri"/>
          <w:sz w:val="22"/>
          <w:szCs w:val="22"/>
          <w:lang w:eastAsia="en-GB"/>
        </w:rPr>
      </w:pPr>
      <w:r>
        <w:rPr>
          <w:rFonts w:ascii="Calibri" w:hAnsi="Calibri" w:cs="Calibri"/>
          <w:sz w:val="22"/>
          <w:szCs w:val="22"/>
          <w:lang w:eastAsia="en-GB"/>
        </w:rPr>
        <w:t>contracting the most qualified candidate in a transparent and competitive manner; and</w:t>
      </w:r>
    </w:p>
    <w:p w14:paraId="5BB38C1F" w14:textId="77777777" w:rsidR="00804AF0" w:rsidRDefault="009A47D6">
      <w:pPr>
        <w:numPr>
          <w:ilvl w:val="0"/>
          <w:numId w:val="35"/>
        </w:numPr>
        <w:jc w:val="both"/>
        <w:textAlignment w:val="baseline"/>
        <w:rPr>
          <w:rFonts w:ascii="Calibri" w:hAnsi="Calibri" w:cs="Calibri"/>
          <w:sz w:val="22"/>
          <w:szCs w:val="22"/>
          <w:lang w:eastAsia="en-GB"/>
        </w:rPr>
      </w:pPr>
      <w:r>
        <w:rPr>
          <w:rFonts w:ascii="Calibri" w:hAnsi="Calibri" w:cs="Calibri"/>
          <w:sz w:val="22"/>
          <w:szCs w:val="22"/>
          <w:lang w:eastAsia="en-GB"/>
        </w:rPr>
        <w:t>service monitoring and evaluation, recommendation for level of payment and IPSA extensions.</w:t>
      </w:r>
    </w:p>
    <w:p w14:paraId="1213703C" w14:textId="77777777" w:rsidR="00804AF0" w:rsidRDefault="009A47D6">
      <w:pPr>
        <w:numPr>
          <w:ilvl w:val="0"/>
          <w:numId w:val="35"/>
        </w:numPr>
        <w:jc w:val="both"/>
        <w:textAlignment w:val="baseline"/>
        <w:rPr>
          <w:rFonts w:ascii="Calibri" w:hAnsi="Calibri" w:cs="Calibri"/>
          <w:sz w:val="22"/>
          <w:szCs w:val="22"/>
          <w:lang w:eastAsia="en-GB"/>
        </w:rPr>
      </w:pPr>
      <w:r>
        <w:rPr>
          <w:rFonts w:ascii="Calibri" w:hAnsi="Calibri" w:cs="Calibri"/>
          <w:sz w:val="22"/>
          <w:szCs w:val="22"/>
          <w:lang w:eastAsia="en-GB"/>
        </w:rPr>
        <w:t>exercising delegation of authority on the issuance of IPSAs;</w:t>
      </w:r>
    </w:p>
    <w:p w14:paraId="0EC561A7" w14:textId="77777777" w:rsidR="00804AF0" w:rsidRDefault="009A47D6">
      <w:pPr>
        <w:numPr>
          <w:ilvl w:val="0"/>
          <w:numId w:val="35"/>
        </w:numPr>
        <w:jc w:val="both"/>
        <w:textAlignment w:val="baseline"/>
        <w:rPr>
          <w:rFonts w:ascii="Calibri" w:hAnsi="Calibri" w:cs="Calibri"/>
          <w:sz w:val="22"/>
          <w:szCs w:val="22"/>
          <w:lang w:eastAsia="en-GB"/>
        </w:rPr>
      </w:pPr>
      <w:r>
        <w:rPr>
          <w:rFonts w:ascii="Calibri" w:hAnsi="Calibri" w:cs="Calibri"/>
          <w:sz w:val="22"/>
          <w:szCs w:val="22"/>
          <w:lang w:eastAsia="en-GB"/>
        </w:rPr>
        <w:t>ensuring that a transparent and competitive selection process is instituted for IPSAs in their respective office;</w:t>
      </w:r>
    </w:p>
    <w:p w14:paraId="453FEB74" w14:textId="77777777" w:rsidR="00804AF0" w:rsidRDefault="009A47D6">
      <w:pPr>
        <w:numPr>
          <w:ilvl w:val="0"/>
          <w:numId w:val="35"/>
        </w:numPr>
        <w:jc w:val="both"/>
        <w:textAlignment w:val="baseline"/>
        <w:rPr>
          <w:rFonts w:ascii="Calibri" w:hAnsi="Calibri" w:cs="Calibri"/>
          <w:sz w:val="22"/>
          <w:szCs w:val="22"/>
          <w:lang w:eastAsia="en-GB"/>
        </w:rPr>
      </w:pPr>
      <w:r>
        <w:rPr>
          <w:rFonts w:ascii="Calibri" w:hAnsi="Calibri" w:cs="Calibri"/>
          <w:sz w:val="22"/>
          <w:szCs w:val="22"/>
          <w:lang w:eastAsia="en-GB"/>
        </w:rPr>
        <w:t>monitoring the transparency and competitive selection process for IPSAs in their respective office;</w:t>
      </w:r>
    </w:p>
    <w:p w14:paraId="4038AC4A" w14:textId="77777777" w:rsidR="00804AF0" w:rsidRDefault="009A47D6">
      <w:pPr>
        <w:numPr>
          <w:ilvl w:val="0"/>
          <w:numId w:val="35"/>
        </w:numPr>
        <w:jc w:val="both"/>
        <w:textAlignment w:val="baseline"/>
        <w:rPr>
          <w:rFonts w:ascii="Calibri" w:hAnsi="Calibri" w:cs="Calibri"/>
          <w:sz w:val="22"/>
          <w:szCs w:val="22"/>
          <w:lang w:eastAsia="en-GB"/>
        </w:rPr>
      </w:pPr>
      <w:r>
        <w:rPr>
          <w:rFonts w:ascii="Calibri" w:hAnsi="Calibri" w:cs="Calibri"/>
          <w:sz w:val="22"/>
          <w:szCs w:val="22"/>
          <w:lang w:eastAsia="en-GB"/>
        </w:rPr>
        <w:t>managing the conflict resolution process in accordance with the IPSA and in consultation with the Legal Office and theBMS/OHR Policy Unit as set forth in this Guide.</w:t>
      </w:r>
    </w:p>
    <w:p w14:paraId="593662FB" w14:textId="77777777" w:rsidR="00804AF0" w:rsidRDefault="009A47D6">
      <w:pPr>
        <w:ind w:left="1080"/>
        <w:jc w:val="both"/>
        <w:textAlignment w:val="baseline"/>
        <w:rPr>
          <w:rFonts w:ascii="Calibri" w:hAnsi="Calibri" w:cs="Calibri"/>
          <w:sz w:val="22"/>
          <w:szCs w:val="22"/>
          <w:lang w:eastAsia="en-GB"/>
        </w:rPr>
      </w:pPr>
      <w:r>
        <w:rPr>
          <w:rFonts w:ascii="Calibri" w:hAnsi="Calibri" w:cs="Calibri"/>
          <w:sz w:val="22"/>
          <w:szCs w:val="22"/>
          <w:lang w:eastAsia="en-GB"/>
        </w:rPr>
        <w:t> </w:t>
      </w:r>
    </w:p>
    <w:p w14:paraId="168017B2" w14:textId="77777777" w:rsidR="00804AF0" w:rsidRDefault="009A47D6">
      <w:pPr>
        <w:numPr>
          <w:ilvl w:val="0"/>
          <w:numId w:val="4"/>
        </w:numPr>
        <w:jc w:val="both"/>
        <w:textAlignment w:val="baseline"/>
        <w:rPr>
          <w:rFonts w:ascii="Calibri" w:hAnsi="Calibri" w:cs="Calibri"/>
          <w:color w:val="000000"/>
          <w:sz w:val="22"/>
          <w:szCs w:val="22"/>
          <w:u w:val="single"/>
          <w:lang w:val="en-CA" w:eastAsia="en-GB"/>
        </w:rPr>
      </w:pPr>
      <w:r>
        <w:rPr>
          <w:rFonts w:ascii="Calibri" w:hAnsi="Calibri" w:cs="Calibri"/>
          <w:color w:val="000000"/>
          <w:sz w:val="22"/>
          <w:szCs w:val="22"/>
          <w:u w:val="single"/>
          <w:lang w:val="en-CA" w:eastAsia="en-GB"/>
        </w:rPr>
        <w:t>The HR Focal Point &amp; GSSC</w:t>
      </w:r>
    </w:p>
    <w:p w14:paraId="4B19B957" w14:textId="77777777" w:rsidR="00804AF0" w:rsidRDefault="009A47D6">
      <w:pPr>
        <w:jc w:val="both"/>
        <w:textAlignment w:val="baseline"/>
        <w:rPr>
          <w:rFonts w:ascii="Calibri" w:hAnsi="Calibri" w:cs="Calibri"/>
          <w:sz w:val="22"/>
          <w:szCs w:val="22"/>
          <w:lang w:eastAsia="en-GB"/>
        </w:rPr>
      </w:pPr>
      <w:r>
        <w:rPr>
          <w:rFonts w:ascii="Calibri" w:hAnsi="Calibri" w:cs="Calibri"/>
          <w:color w:val="000000"/>
          <w:sz w:val="22"/>
          <w:szCs w:val="22"/>
          <w:lang w:eastAsia="en-GB"/>
        </w:rPr>
        <w:t> </w:t>
      </w:r>
    </w:p>
    <w:p w14:paraId="34E828DB" w14:textId="600834EC" w:rsidR="00804AF0" w:rsidRDefault="009A47D6">
      <w:pPr>
        <w:numPr>
          <w:ilvl w:val="0"/>
          <w:numId w:val="36"/>
        </w:numPr>
        <w:jc w:val="both"/>
        <w:textAlignment w:val="baseline"/>
        <w:rPr>
          <w:rFonts w:ascii="Calibri" w:hAnsi="Calibri" w:cs="Calibri"/>
          <w:sz w:val="22"/>
          <w:szCs w:val="22"/>
          <w:lang w:eastAsia="en-GB"/>
        </w:rPr>
      </w:pPr>
      <w:r>
        <w:rPr>
          <w:rFonts w:ascii="Calibri" w:hAnsi="Calibri" w:cs="Calibri"/>
          <w:sz w:val="22"/>
          <w:szCs w:val="22"/>
          <w:lang w:eastAsia="en-GB"/>
        </w:rPr>
        <w:t xml:space="preserve">Before issuing the IPSA, </w:t>
      </w:r>
      <w:r>
        <w:rPr>
          <w:rFonts w:ascii="Calibri" w:hAnsi="Calibri" w:cs="Calibri"/>
          <w:color w:val="000000"/>
          <w:sz w:val="22"/>
          <w:szCs w:val="22"/>
          <w:lang w:eastAsia="en-GB"/>
        </w:rPr>
        <w:t xml:space="preserve">HR </w:t>
      </w:r>
      <w:r>
        <w:rPr>
          <w:rFonts w:ascii="Calibri" w:hAnsi="Calibri" w:cs="Calibri"/>
          <w:sz w:val="22"/>
          <w:szCs w:val="22"/>
          <w:lang w:eastAsia="en-GB"/>
        </w:rPr>
        <w:t xml:space="preserve">must ensure that the policy is complied with and that the </w:t>
      </w:r>
      <w:hyperlink r:id="rId15" w:history="1">
        <w:r>
          <w:rPr>
            <w:rStyle w:val="Hyperlink"/>
            <w:rFonts w:ascii="Calibri" w:hAnsi="Calibri" w:cs="Calibri"/>
            <w:sz w:val="22"/>
            <w:szCs w:val="22"/>
            <w:lang w:eastAsia="en-GB"/>
          </w:rPr>
          <w:t>IPSA template</w:t>
        </w:r>
      </w:hyperlink>
      <w:r>
        <w:rPr>
          <w:rFonts w:ascii="Calibri" w:hAnsi="Calibri" w:cs="Calibri"/>
          <w:sz w:val="22"/>
          <w:szCs w:val="22"/>
          <w:lang w:eastAsia="en-GB"/>
        </w:rPr>
        <w:t xml:space="preserve"> </w:t>
      </w:r>
      <w:r>
        <w:rPr>
          <w:rFonts w:ascii="Calibri" w:hAnsi="Calibri" w:cs="Calibri"/>
          <w:color w:val="000000"/>
          <w:sz w:val="22"/>
          <w:szCs w:val="22"/>
          <w:lang w:eastAsia="en-GB"/>
        </w:rPr>
        <w:t>is used for contracting the services of the individual</w:t>
      </w:r>
      <w:r>
        <w:rPr>
          <w:rFonts w:ascii="Calibri" w:hAnsi="Calibri" w:cs="Calibri"/>
          <w:sz w:val="22"/>
          <w:szCs w:val="22"/>
          <w:lang w:eastAsia="en-GB"/>
        </w:rPr>
        <w:t>. No deviations to the model IPSA template can be made without consultation with, and clearance of, the BMS/OHR Policy Unit and BMS/OLS.</w:t>
      </w:r>
    </w:p>
    <w:p w14:paraId="497422C3" w14:textId="77777777" w:rsidR="00804AF0" w:rsidRDefault="00804AF0">
      <w:pPr>
        <w:ind w:left="1080" w:firstLine="50"/>
        <w:jc w:val="both"/>
        <w:textAlignment w:val="baseline"/>
        <w:rPr>
          <w:rFonts w:ascii="Calibri" w:hAnsi="Calibri" w:cs="Calibri"/>
          <w:sz w:val="22"/>
          <w:szCs w:val="22"/>
          <w:lang w:eastAsia="en-GB"/>
        </w:rPr>
      </w:pPr>
    </w:p>
    <w:p w14:paraId="07667E71" w14:textId="77777777" w:rsidR="00804AF0" w:rsidRDefault="00804AF0">
      <w:pPr>
        <w:ind w:left="1080"/>
        <w:jc w:val="both"/>
        <w:textAlignment w:val="baseline"/>
        <w:rPr>
          <w:rFonts w:ascii="Calibri" w:hAnsi="Calibri" w:cs="Calibri"/>
          <w:color w:val="000000"/>
          <w:sz w:val="22"/>
          <w:szCs w:val="22"/>
          <w:lang w:eastAsia="en-GB"/>
        </w:rPr>
      </w:pPr>
    </w:p>
    <w:p w14:paraId="020D623D" w14:textId="77777777" w:rsidR="00804AF0" w:rsidRDefault="009A47D6">
      <w:pPr>
        <w:numPr>
          <w:ilvl w:val="0"/>
          <w:numId w:val="36"/>
        </w:numPr>
        <w:jc w:val="both"/>
        <w:textAlignment w:val="baseline"/>
        <w:rPr>
          <w:rFonts w:ascii="Calibri" w:hAnsi="Calibri" w:cs="Calibri"/>
          <w:sz w:val="22"/>
          <w:szCs w:val="22"/>
          <w:lang w:eastAsia="en-GB"/>
        </w:rPr>
      </w:pPr>
      <w:r>
        <w:rPr>
          <w:rFonts w:ascii="Calibri" w:hAnsi="Calibri" w:cs="Calibri"/>
          <w:sz w:val="22"/>
          <w:szCs w:val="22"/>
          <w:lang w:eastAsia="en-GB"/>
        </w:rPr>
        <w:t>GSSC Focal Points are responsible for:</w:t>
      </w:r>
    </w:p>
    <w:p w14:paraId="567E5F94" w14:textId="77777777" w:rsidR="00804AF0" w:rsidRDefault="009A47D6">
      <w:pPr>
        <w:pStyle w:val="ListParagraph"/>
        <w:numPr>
          <w:ilvl w:val="0"/>
          <w:numId w:val="28"/>
        </w:numPr>
        <w:jc w:val="both"/>
        <w:textAlignment w:val="baseline"/>
        <w:rPr>
          <w:rFonts w:ascii="Calibri" w:hAnsi="Calibri" w:cs="Calibri"/>
          <w:sz w:val="22"/>
          <w:szCs w:val="22"/>
          <w:lang w:eastAsia="en-GB"/>
        </w:rPr>
      </w:pPr>
      <w:r>
        <w:rPr>
          <w:rFonts w:ascii="Calibri" w:hAnsi="Calibri" w:cs="Calibri"/>
          <w:sz w:val="22"/>
          <w:szCs w:val="22"/>
          <w:lang w:eastAsia="en-GB"/>
        </w:rPr>
        <w:t>coordinating and administering the recruitment process;</w:t>
      </w:r>
    </w:p>
    <w:p w14:paraId="49258B0E" w14:textId="77777777" w:rsidR="00804AF0" w:rsidRDefault="009A47D6">
      <w:pPr>
        <w:pStyle w:val="ListParagraph"/>
        <w:numPr>
          <w:ilvl w:val="0"/>
          <w:numId w:val="28"/>
        </w:numPr>
        <w:jc w:val="both"/>
        <w:textAlignment w:val="baseline"/>
        <w:rPr>
          <w:rFonts w:ascii="Calibri" w:hAnsi="Calibri" w:cs="Calibri"/>
          <w:sz w:val="22"/>
          <w:szCs w:val="22"/>
          <w:lang w:eastAsia="en-GB"/>
        </w:rPr>
      </w:pPr>
      <w:r>
        <w:rPr>
          <w:rFonts w:ascii="Calibri" w:hAnsi="Calibri" w:cs="Calibri"/>
          <w:color w:val="000000"/>
          <w:sz w:val="22"/>
          <w:szCs w:val="22"/>
          <w:lang w:eastAsia="en-GB"/>
        </w:rPr>
        <w:t>coordinating the contracting process of the candidates;</w:t>
      </w:r>
    </w:p>
    <w:p w14:paraId="40548435" w14:textId="77777777" w:rsidR="00804AF0" w:rsidRDefault="009A47D6">
      <w:pPr>
        <w:pStyle w:val="ListParagraph"/>
        <w:numPr>
          <w:ilvl w:val="0"/>
          <w:numId w:val="28"/>
        </w:numPr>
        <w:jc w:val="both"/>
        <w:textAlignment w:val="baseline"/>
        <w:rPr>
          <w:rFonts w:ascii="Calibri" w:hAnsi="Calibri" w:cs="Calibri"/>
          <w:sz w:val="22"/>
          <w:szCs w:val="22"/>
          <w:lang w:eastAsia="en-GB"/>
        </w:rPr>
      </w:pPr>
      <w:r>
        <w:rPr>
          <w:rFonts w:ascii="Calibri" w:hAnsi="Calibri" w:cs="Calibri"/>
          <w:color w:val="000000"/>
          <w:sz w:val="22"/>
          <w:szCs w:val="22"/>
          <w:lang w:eastAsia="en-GB"/>
        </w:rPr>
        <w:t>issuing the IPSA including the applicable conditions of service and</w:t>
      </w:r>
      <w:r>
        <w:rPr>
          <w:rFonts w:ascii="Calibri" w:hAnsi="Calibri" w:cs="Calibri"/>
          <w:sz w:val="22"/>
          <w:szCs w:val="22"/>
          <w:lang w:eastAsia="en-GB"/>
        </w:rPr>
        <w:t xml:space="preserve"> </w:t>
      </w:r>
      <w:r>
        <w:rPr>
          <w:rFonts w:ascii="Calibri" w:hAnsi="Calibri" w:cs="Calibri"/>
          <w:color w:val="000000"/>
          <w:sz w:val="22"/>
          <w:szCs w:val="22"/>
          <w:lang w:eastAsia="en-GB"/>
        </w:rPr>
        <w:t>the non-career nature of the work;</w:t>
      </w:r>
    </w:p>
    <w:p w14:paraId="0560C338" w14:textId="77777777" w:rsidR="00804AF0" w:rsidRDefault="009A47D6">
      <w:pPr>
        <w:pStyle w:val="ListParagraph"/>
        <w:numPr>
          <w:ilvl w:val="0"/>
          <w:numId w:val="28"/>
        </w:numPr>
        <w:jc w:val="both"/>
        <w:textAlignment w:val="baseline"/>
        <w:rPr>
          <w:rFonts w:ascii="Calibri" w:hAnsi="Calibri" w:cs="Calibri"/>
          <w:sz w:val="22"/>
          <w:szCs w:val="22"/>
          <w:lang w:eastAsia="en-GB"/>
        </w:rPr>
      </w:pPr>
      <w:r>
        <w:rPr>
          <w:rFonts w:ascii="Calibri" w:hAnsi="Calibri" w:cs="Calibri"/>
          <w:color w:val="000000"/>
          <w:sz w:val="22"/>
          <w:szCs w:val="22"/>
          <w:lang w:eastAsia="en-GB"/>
        </w:rPr>
        <w:t>Management of IPSAs in the UNDP ERP system’s HR module;</w:t>
      </w:r>
    </w:p>
    <w:p w14:paraId="6C2DE646" w14:textId="77777777" w:rsidR="00804AF0" w:rsidRDefault="009A47D6">
      <w:pPr>
        <w:pStyle w:val="ListParagraph"/>
        <w:numPr>
          <w:ilvl w:val="0"/>
          <w:numId w:val="28"/>
        </w:numPr>
        <w:jc w:val="both"/>
        <w:textAlignment w:val="baseline"/>
        <w:rPr>
          <w:rFonts w:ascii="Calibri" w:hAnsi="Calibri" w:cs="Calibri"/>
          <w:sz w:val="22"/>
          <w:szCs w:val="22"/>
          <w:lang w:eastAsia="en-GB"/>
        </w:rPr>
      </w:pPr>
      <w:r>
        <w:rPr>
          <w:rFonts w:ascii="Calibri" w:hAnsi="Calibri" w:cs="Calibri"/>
          <w:color w:val="000000"/>
          <w:sz w:val="22"/>
          <w:szCs w:val="22"/>
          <w:lang w:eastAsia="en-GB"/>
        </w:rPr>
        <w:t>ensuring payment of monthly remuneration according to terms of IPSA;</w:t>
      </w:r>
    </w:p>
    <w:p w14:paraId="37E80EB4" w14:textId="77777777" w:rsidR="00804AF0" w:rsidRDefault="009A47D6">
      <w:pPr>
        <w:pStyle w:val="ListParagraph"/>
        <w:numPr>
          <w:ilvl w:val="0"/>
          <w:numId w:val="28"/>
        </w:numPr>
        <w:jc w:val="both"/>
        <w:textAlignment w:val="baseline"/>
        <w:rPr>
          <w:rFonts w:ascii="Calibri" w:hAnsi="Calibri" w:cs="Calibri"/>
          <w:sz w:val="22"/>
          <w:szCs w:val="22"/>
          <w:lang w:eastAsia="en-GB"/>
        </w:rPr>
      </w:pPr>
      <w:r>
        <w:rPr>
          <w:rFonts w:ascii="Calibri" w:hAnsi="Calibri" w:cs="Calibri"/>
          <w:color w:val="000000"/>
          <w:sz w:val="22"/>
          <w:szCs w:val="22"/>
          <w:lang w:eastAsia="en-GB"/>
        </w:rPr>
        <w:t>ensuring that adequate social security provisions are in place;</w:t>
      </w:r>
    </w:p>
    <w:p w14:paraId="5C88F238" w14:textId="77777777" w:rsidR="00804AF0" w:rsidRDefault="009A47D6">
      <w:pPr>
        <w:pStyle w:val="ListParagraph"/>
        <w:numPr>
          <w:ilvl w:val="0"/>
          <w:numId w:val="28"/>
        </w:numPr>
        <w:jc w:val="both"/>
        <w:textAlignment w:val="baseline"/>
        <w:rPr>
          <w:rFonts w:ascii="Calibri" w:hAnsi="Calibri" w:cs="Calibri"/>
          <w:sz w:val="22"/>
          <w:szCs w:val="22"/>
          <w:lang w:eastAsia="en-GB"/>
        </w:rPr>
      </w:pPr>
      <w:r>
        <w:rPr>
          <w:rFonts w:ascii="Calibri" w:hAnsi="Calibri" w:cs="Calibri"/>
          <w:color w:val="000000"/>
          <w:sz w:val="22"/>
          <w:szCs w:val="22"/>
          <w:lang w:eastAsia="en-GB"/>
        </w:rPr>
        <w:t>maintaining a roster of candidates in the various categories, and</w:t>
      </w:r>
    </w:p>
    <w:p w14:paraId="0CC13E97" w14:textId="77777777" w:rsidR="00804AF0" w:rsidRDefault="009A47D6">
      <w:pPr>
        <w:pStyle w:val="ListParagraph"/>
        <w:numPr>
          <w:ilvl w:val="0"/>
          <w:numId w:val="28"/>
        </w:numPr>
        <w:jc w:val="both"/>
        <w:textAlignment w:val="baseline"/>
        <w:rPr>
          <w:rFonts w:ascii="Calibri" w:hAnsi="Calibri" w:cs="Calibri"/>
          <w:sz w:val="22"/>
          <w:szCs w:val="22"/>
          <w:lang w:eastAsia="en-GB"/>
        </w:rPr>
      </w:pPr>
      <w:r>
        <w:rPr>
          <w:rFonts w:ascii="Calibri" w:hAnsi="Calibri" w:cs="Calibri"/>
          <w:color w:val="000000"/>
          <w:sz w:val="22"/>
          <w:szCs w:val="22"/>
          <w:lang w:eastAsia="en-GB"/>
        </w:rPr>
        <w:t>maintaining records for monitoring and reporting purposes.</w:t>
      </w:r>
    </w:p>
    <w:p w14:paraId="6C8ADE13" w14:textId="77777777" w:rsidR="00804AF0" w:rsidRDefault="009A47D6">
      <w:pPr>
        <w:ind w:left="360"/>
        <w:jc w:val="both"/>
        <w:textAlignment w:val="baseline"/>
        <w:rPr>
          <w:rFonts w:ascii="Calibri" w:hAnsi="Calibri" w:cs="Calibri"/>
          <w:sz w:val="22"/>
          <w:szCs w:val="22"/>
          <w:lang w:eastAsia="en-GB"/>
        </w:rPr>
      </w:pPr>
      <w:r>
        <w:rPr>
          <w:rFonts w:ascii="Calibri" w:hAnsi="Calibri" w:cs="Calibri"/>
          <w:color w:val="000000"/>
          <w:sz w:val="22"/>
          <w:szCs w:val="22"/>
          <w:lang w:eastAsia="en-GB"/>
        </w:rPr>
        <w:t> </w:t>
      </w:r>
    </w:p>
    <w:p w14:paraId="26767A16" w14:textId="77777777" w:rsidR="00804AF0" w:rsidRDefault="009A47D6">
      <w:pPr>
        <w:pStyle w:val="ListParagraph"/>
        <w:numPr>
          <w:ilvl w:val="0"/>
          <w:numId w:val="36"/>
        </w:numPr>
        <w:jc w:val="both"/>
        <w:textAlignment w:val="baseline"/>
        <w:rPr>
          <w:rFonts w:ascii="Calibri" w:hAnsi="Calibri" w:cs="Calibri"/>
          <w:sz w:val="22"/>
          <w:szCs w:val="22"/>
          <w:lang w:eastAsia="en-GB"/>
        </w:rPr>
      </w:pPr>
      <w:r>
        <w:rPr>
          <w:rFonts w:ascii="Calibri" w:eastAsia="Times New Roman" w:hAnsi="Calibri" w:cs="Calibri"/>
          <w:sz w:val="22"/>
          <w:szCs w:val="22"/>
          <w:lang w:eastAsia="en-GB"/>
        </w:rPr>
        <w:t>IPSAs are paid through UNDP’s GSSC/Global Payroll</w:t>
      </w:r>
      <w:r>
        <w:rPr>
          <w:rFonts w:ascii="Calibri" w:hAnsi="Calibri" w:cs="Calibri"/>
          <w:sz w:val="22"/>
          <w:szCs w:val="22"/>
          <w:lang w:eastAsia="en-GB"/>
        </w:rPr>
        <w:t>.</w:t>
      </w:r>
    </w:p>
    <w:p w14:paraId="2A366926"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r>
        <w:rPr>
          <w:rFonts w:ascii="Calibri" w:hAnsi="Calibri" w:cs="Calibri"/>
          <w:color w:val="0000FF"/>
          <w:sz w:val="22"/>
          <w:szCs w:val="22"/>
          <w:lang w:eastAsia="en-GB"/>
        </w:rPr>
        <w:t> </w:t>
      </w:r>
    </w:p>
    <w:p w14:paraId="046C9167" w14:textId="77777777" w:rsidR="00804AF0" w:rsidRDefault="009A47D6">
      <w:pPr>
        <w:numPr>
          <w:ilvl w:val="0"/>
          <w:numId w:val="4"/>
        </w:numPr>
        <w:jc w:val="both"/>
        <w:textAlignment w:val="baseline"/>
        <w:rPr>
          <w:rFonts w:ascii="Calibri" w:hAnsi="Calibri" w:cs="Calibri"/>
          <w:color w:val="000000"/>
          <w:sz w:val="22"/>
          <w:szCs w:val="22"/>
          <w:u w:val="single"/>
          <w:lang w:val="en-CA" w:eastAsia="en-GB"/>
        </w:rPr>
      </w:pPr>
      <w:r>
        <w:rPr>
          <w:rFonts w:ascii="Calibri" w:hAnsi="Calibri" w:cs="Calibri"/>
          <w:color w:val="000000"/>
          <w:sz w:val="22"/>
          <w:szCs w:val="22"/>
          <w:u w:val="single"/>
          <w:lang w:val="en-CA" w:eastAsia="en-GB"/>
        </w:rPr>
        <w:t>BMS/OHR Business Partners: </w:t>
      </w:r>
    </w:p>
    <w:p w14:paraId="5412D18B" w14:textId="77777777" w:rsidR="00804AF0" w:rsidRDefault="009A47D6">
      <w:pPr>
        <w:jc w:val="both"/>
        <w:textAlignment w:val="baseline"/>
        <w:rPr>
          <w:rFonts w:ascii="Calibri" w:hAnsi="Calibri" w:cs="Calibri"/>
          <w:sz w:val="22"/>
          <w:szCs w:val="22"/>
          <w:lang w:eastAsia="en-GB"/>
        </w:rPr>
      </w:pPr>
      <w:r>
        <w:rPr>
          <w:rFonts w:ascii="Calibri" w:hAnsi="Calibri" w:cs="Calibri"/>
          <w:color w:val="000000"/>
          <w:sz w:val="22"/>
          <w:szCs w:val="22"/>
          <w:lang w:eastAsia="en-GB"/>
        </w:rPr>
        <w:t> </w:t>
      </w:r>
    </w:p>
    <w:p w14:paraId="70FD9304" w14:textId="77777777" w:rsidR="00804AF0" w:rsidRDefault="009A47D6">
      <w:pPr>
        <w:numPr>
          <w:ilvl w:val="0"/>
          <w:numId w:val="37"/>
        </w:numPr>
        <w:jc w:val="both"/>
        <w:textAlignment w:val="baseline"/>
        <w:rPr>
          <w:rFonts w:ascii="Calibri" w:hAnsi="Calibri" w:cs="Calibri"/>
          <w:sz w:val="22"/>
          <w:szCs w:val="22"/>
          <w:lang w:eastAsia="en-GB"/>
        </w:rPr>
      </w:pPr>
      <w:r>
        <w:rPr>
          <w:rFonts w:ascii="Calibri" w:hAnsi="Calibri" w:cs="Calibri"/>
          <w:color w:val="000000"/>
          <w:sz w:val="22"/>
          <w:szCs w:val="22"/>
          <w:lang w:eastAsia="en-GB"/>
        </w:rPr>
        <w:t>BMS/OHR Business Partners are responsible for providing advisory support and guidance in the administration and application of IPSAs.</w:t>
      </w:r>
    </w:p>
    <w:p w14:paraId="4AFDF245" w14:textId="77777777" w:rsidR="00804AF0" w:rsidRDefault="009A47D6">
      <w:pPr>
        <w:numPr>
          <w:ilvl w:val="0"/>
          <w:numId w:val="37"/>
        </w:numPr>
        <w:jc w:val="both"/>
        <w:textAlignment w:val="baseline"/>
        <w:rPr>
          <w:rFonts w:ascii="Calibri" w:hAnsi="Calibri" w:cs="Calibri"/>
          <w:sz w:val="22"/>
          <w:szCs w:val="22"/>
          <w:lang w:eastAsia="en-GB"/>
        </w:rPr>
      </w:pPr>
      <w:r>
        <w:rPr>
          <w:rFonts w:ascii="Calibri" w:hAnsi="Calibri" w:cs="Calibri"/>
          <w:color w:val="000000"/>
          <w:sz w:val="22"/>
          <w:szCs w:val="22"/>
          <w:lang w:eastAsia="en-GB"/>
        </w:rPr>
        <w:t>They are also responsible for monitoring the correct and appropriate use of the IPSA and taking necessary action to prevent misuse.</w:t>
      </w:r>
    </w:p>
    <w:p w14:paraId="0B44179D" w14:textId="77777777" w:rsidR="00804AF0" w:rsidRDefault="00804AF0">
      <w:pPr>
        <w:ind w:left="720"/>
        <w:jc w:val="both"/>
        <w:textAlignment w:val="baseline"/>
        <w:rPr>
          <w:rFonts w:ascii="Calibri" w:hAnsi="Calibri" w:cs="Calibri"/>
          <w:sz w:val="22"/>
          <w:szCs w:val="22"/>
          <w:lang w:eastAsia="en-GB"/>
        </w:rPr>
      </w:pPr>
    </w:p>
    <w:p w14:paraId="4E4A8DA5" w14:textId="77777777" w:rsidR="00804AF0" w:rsidRDefault="009A47D6">
      <w:pPr>
        <w:numPr>
          <w:ilvl w:val="0"/>
          <w:numId w:val="4"/>
        </w:numPr>
        <w:jc w:val="both"/>
        <w:textAlignment w:val="baseline"/>
        <w:rPr>
          <w:rFonts w:ascii="Calibri" w:hAnsi="Calibri" w:cs="Calibri"/>
          <w:color w:val="000000"/>
          <w:sz w:val="22"/>
          <w:szCs w:val="22"/>
          <w:u w:val="single"/>
          <w:lang w:val="en-CA" w:eastAsia="en-GB"/>
        </w:rPr>
      </w:pPr>
      <w:r>
        <w:rPr>
          <w:rFonts w:ascii="Calibri" w:hAnsi="Calibri" w:cs="Calibri"/>
          <w:color w:val="000000"/>
          <w:sz w:val="22"/>
          <w:szCs w:val="22"/>
          <w:u w:val="single"/>
          <w:lang w:val="en-CA" w:eastAsia="en-GB"/>
        </w:rPr>
        <w:t>Office of Audit and Investigation (OAI):</w:t>
      </w:r>
    </w:p>
    <w:p w14:paraId="1D28C1D8" w14:textId="77777777" w:rsidR="00804AF0" w:rsidRDefault="00804AF0">
      <w:pPr>
        <w:jc w:val="both"/>
        <w:textAlignment w:val="baseline"/>
        <w:rPr>
          <w:rFonts w:ascii="Calibri" w:hAnsi="Calibri" w:cs="Calibri"/>
          <w:sz w:val="22"/>
          <w:szCs w:val="22"/>
          <w:lang w:eastAsia="en-GB"/>
        </w:rPr>
      </w:pPr>
    </w:p>
    <w:p w14:paraId="3FA13936" w14:textId="77777777" w:rsidR="00804AF0" w:rsidRDefault="009A47D6">
      <w:pPr>
        <w:numPr>
          <w:ilvl w:val="0"/>
          <w:numId w:val="38"/>
        </w:numPr>
        <w:jc w:val="both"/>
        <w:textAlignment w:val="baseline"/>
        <w:rPr>
          <w:rFonts w:ascii="Calibri" w:hAnsi="Calibri" w:cs="Calibri"/>
          <w:color w:val="000000"/>
          <w:sz w:val="22"/>
          <w:szCs w:val="22"/>
          <w:lang w:eastAsia="en-GB"/>
        </w:rPr>
      </w:pPr>
      <w:r>
        <w:rPr>
          <w:rFonts w:ascii="Calibri" w:hAnsi="Calibri" w:cs="Calibri"/>
          <w:color w:val="000000"/>
          <w:sz w:val="22"/>
          <w:szCs w:val="22"/>
          <w:lang w:eastAsia="en-GB"/>
        </w:rPr>
        <w:t>OAI will audit the use of IPSAs by the UNDP Offices and report on its findings at any time OAI deems necessary.</w:t>
      </w:r>
    </w:p>
    <w:p w14:paraId="271C99DF"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713EF551" w14:textId="77777777" w:rsidR="000A158C" w:rsidRDefault="000A158C">
      <w:pPr>
        <w:jc w:val="both"/>
        <w:textAlignment w:val="baseline"/>
        <w:rPr>
          <w:rFonts w:ascii="Calibri" w:hAnsi="Calibri" w:cs="Calibri"/>
          <w:sz w:val="22"/>
          <w:szCs w:val="22"/>
          <w:lang w:eastAsia="en-GB"/>
        </w:rPr>
      </w:pPr>
    </w:p>
    <w:p w14:paraId="0F47BDE8" w14:textId="77777777" w:rsidR="00804AF0" w:rsidRDefault="009A47D6">
      <w:pPr>
        <w:numPr>
          <w:ilvl w:val="0"/>
          <w:numId w:val="4"/>
        </w:numPr>
        <w:jc w:val="both"/>
        <w:textAlignment w:val="baseline"/>
        <w:rPr>
          <w:rFonts w:ascii="Calibri" w:hAnsi="Calibri" w:cs="Calibri"/>
          <w:color w:val="000000"/>
          <w:sz w:val="22"/>
          <w:szCs w:val="22"/>
          <w:u w:val="single"/>
          <w:lang w:val="en-CA" w:eastAsia="en-GB"/>
        </w:rPr>
      </w:pPr>
      <w:r>
        <w:rPr>
          <w:rFonts w:ascii="Calibri" w:hAnsi="Calibri" w:cs="Calibri"/>
          <w:color w:val="000000"/>
          <w:sz w:val="22"/>
          <w:szCs w:val="22"/>
          <w:u w:val="single"/>
          <w:lang w:val="en-CA" w:eastAsia="en-GB"/>
        </w:rPr>
        <w:t>Oversight, Monitoring, Evaluation and Reporting:</w:t>
      </w:r>
    </w:p>
    <w:p w14:paraId="4E4D221B"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002241D3" w14:textId="77777777" w:rsidR="00804AF0" w:rsidRDefault="009A47D6">
      <w:pPr>
        <w:numPr>
          <w:ilvl w:val="0"/>
          <w:numId w:val="39"/>
        </w:numPr>
        <w:jc w:val="both"/>
        <w:textAlignment w:val="baseline"/>
        <w:rPr>
          <w:rFonts w:ascii="Calibri" w:hAnsi="Calibri" w:cs="Calibri"/>
          <w:color w:val="000000"/>
          <w:sz w:val="22"/>
          <w:szCs w:val="22"/>
          <w:lang w:eastAsia="en-GB"/>
        </w:rPr>
      </w:pPr>
      <w:r>
        <w:rPr>
          <w:rFonts w:ascii="Calibri" w:hAnsi="Calibri" w:cs="Calibri"/>
          <w:color w:val="000000"/>
          <w:sz w:val="22"/>
          <w:szCs w:val="22"/>
          <w:lang w:eastAsia="en-GB"/>
        </w:rPr>
        <w:lastRenderedPageBreak/>
        <w:t xml:space="preserve">The Responsible Officers, Business Partners, GSSC and the respective HR Unit should use the information available in the </w:t>
      </w:r>
      <w:hyperlink r:id="rId16" w:tgtFrame="_blank" w:history="1">
        <w:r>
          <w:rPr>
            <w:rFonts w:ascii="Calibri" w:hAnsi="Calibri" w:cs="Calibri"/>
            <w:color w:val="000000"/>
            <w:sz w:val="22"/>
            <w:szCs w:val="22"/>
            <w:lang w:eastAsia="en-GB"/>
          </w:rPr>
          <w:t>UNDP</w:t>
        </w:r>
      </w:hyperlink>
      <w:r>
        <w:rPr>
          <w:rFonts w:ascii="Calibri" w:hAnsi="Calibri" w:cs="Calibri"/>
          <w:color w:val="000000"/>
          <w:sz w:val="22"/>
          <w:szCs w:val="22"/>
          <w:lang w:eastAsia="en-GB"/>
        </w:rPr>
        <w:t xml:space="preserve"> ERP database to act on their respective responsibility for oversight, monitoring and / or evaluation on the use of IPSAs.</w:t>
      </w:r>
    </w:p>
    <w:p w14:paraId="3D43F13A" w14:textId="77777777" w:rsidR="00804AF0" w:rsidRDefault="00804AF0">
      <w:pPr>
        <w:tabs>
          <w:tab w:val="left" w:pos="720"/>
        </w:tabs>
        <w:ind w:left="720"/>
        <w:jc w:val="both"/>
        <w:textAlignment w:val="baseline"/>
        <w:rPr>
          <w:rFonts w:ascii="Calibri" w:hAnsi="Calibri" w:cs="Calibri"/>
          <w:color w:val="000000"/>
          <w:sz w:val="22"/>
          <w:szCs w:val="22"/>
          <w:lang w:eastAsia="en-GB"/>
        </w:rPr>
      </w:pPr>
    </w:p>
    <w:p w14:paraId="728A130A" w14:textId="77777777" w:rsidR="00804AF0" w:rsidRDefault="009A47D6">
      <w:pPr>
        <w:numPr>
          <w:ilvl w:val="0"/>
          <w:numId w:val="39"/>
        </w:numPr>
        <w:jc w:val="both"/>
        <w:textAlignment w:val="baseline"/>
        <w:rPr>
          <w:rFonts w:ascii="Calibri" w:hAnsi="Calibri" w:cs="Calibri"/>
          <w:color w:val="000000"/>
          <w:sz w:val="22"/>
          <w:szCs w:val="22"/>
          <w:lang w:eastAsia="en-GB"/>
        </w:rPr>
      </w:pPr>
      <w:r>
        <w:rPr>
          <w:rFonts w:ascii="Calibri" w:hAnsi="Calibri" w:cs="Calibri"/>
          <w:color w:val="000000"/>
          <w:sz w:val="22"/>
          <w:szCs w:val="22"/>
          <w:lang w:eastAsia="en-GB"/>
        </w:rPr>
        <w:t>Organizational score cards or benchmarks will be established on a periodic basis to ensure the reporting, monitoring and evaluation of the use of IPSAs.</w:t>
      </w:r>
    </w:p>
    <w:p w14:paraId="36094E1C" w14:textId="77777777" w:rsidR="00804AF0" w:rsidRDefault="00804AF0">
      <w:pPr>
        <w:jc w:val="both"/>
        <w:textAlignment w:val="baseline"/>
        <w:rPr>
          <w:rFonts w:ascii="Calibri" w:hAnsi="Calibri" w:cs="Calibri"/>
          <w:b/>
          <w:bCs/>
          <w:sz w:val="22"/>
          <w:szCs w:val="22"/>
          <w:u w:val="single"/>
          <w:lang w:eastAsia="en-GB"/>
        </w:rPr>
      </w:pPr>
    </w:p>
    <w:p w14:paraId="1E065C2B" w14:textId="77777777" w:rsidR="00804AF0" w:rsidRDefault="009A47D6">
      <w:pPr>
        <w:jc w:val="both"/>
        <w:textAlignment w:val="baseline"/>
        <w:rPr>
          <w:rFonts w:ascii="Calibri" w:hAnsi="Calibri" w:cs="Calibri"/>
          <w:sz w:val="22"/>
          <w:szCs w:val="22"/>
          <w:lang w:eastAsia="en-GB"/>
        </w:rPr>
      </w:pPr>
      <w:r>
        <w:rPr>
          <w:rFonts w:ascii="Calibri" w:hAnsi="Calibri" w:cs="Calibri"/>
          <w:b/>
          <w:bCs/>
          <w:sz w:val="22"/>
          <w:szCs w:val="22"/>
          <w:u w:val="single"/>
          <w:lang w:eastAsia="en-GB"/>
        </w:rPr>
        <w:t>Annexes</w:t>
      </w:r>
    </w:p>
    <w:p w14:paraId="750AA8D9" w14:textId="02E51476" w:rsidR="00804AF0" w:rsidRPr="005C3CB1" w:rsidRDefault="009A47D6">
      <w:pPr>
        <w:ind w:left="345"/>
        <w:jc w:val="both"/>
        <w:textAlignment w:val="baseline"/>
        <w:rPr>
          <w:rStyle w:val="Hyperlink"/>
          <w:rFonts w:ascii="Calibri" w:hAnsi="Calibri" w:cs="Calibri"/>
          <w:i/>
          <w:iCs/>
          <w:sz w:val="22"/>
          <w:szCs w:val="22"/>
          <w:lang w:eastAsia="en-GB"/>
        </w:rPr>
      </w:pPr>
      <w:hyperlink w:anchor="_Annex_1:_Overview" w:history="1">
        <w:r w:rsidRPr="005C3CB1">
          <w:rPr>
            <w:rStyle w:val="Hyperlink"/>
            <w:rFonts w:ascii="Calibri" w:hAnsi="Calibri" w:cs="Calibri"/>
            <w:i/>
            <w:iCs/>
            <w:sz w:val="22"/>
            <w:szCs w:val="22"/>
            <w:lang w:eastAsia="en-GB"/>
          </w:rPr>
          <w:t xml:space="preserve">Annex 1 – </w:t>
        </w:r>
      </w:hyperlink>
      <w:hyperlink w:anchor="_Annex_1:_Recruitment" w:history="1">
        <w:r w:rsidRPr="005C3CB1">
          <w:rPr>
            <w:rStyle w:val="Hyperlink"/>
            <w:rFonts w:ascii="Calibri" w:hAnsi="Calibri" w:cs="Calibri"/>
            <w:i/>
            <w:iCs/>
            <w:sz w:val="22"/>
            <w:szCs w:val="22"/>
            <w:lang w:eastAsia="en-GB"/>
          </w:rPr>
          <w:t>Recruitment standards and procedures </w:t>
        </w:r>
      </w:hyperlink>
      <w:r w:rsidRPr="005C3CB1">
        <w:rPr>
          <w:rStyle w:val="Hyperlink"/>
          <w:rFonts w:ascii="Calibri" w:hAnsi="Calibri" w:cs="Calibri"/>
          <w:i/>
          <w:iCs/>
          <w:sz w:val="22"/>
          <w:szCs w:val="22"/>
          <w:lang w:eastAsia="en-GB"/>
        </w:rPr>
        <w:t>for IPSAs</w:t>
      </w:r>
    </w:p>
    <w:p w14:paraId="5D5A1F8B" w14:textId="3C4A6E05" w:rsidR="006E4674" w:rsidRPr="005C3CB1" w:rsidRDefault="006E4674" w:rsidP="006E4674">
      <w:pPr>
        <w:ind w:left="345"/>
        <w:jc w:val="both"/>
        <w:textAlignment w:val="baseline"/>
        <w:rPr>
          <w:rStyle w:val="Hyperlink"/>
          <w:rFonts w:ascii="Calibri" w:hAnsi="Calibri" w:cs="Calibri"/>
          <w:i/>
          <w:iCs/>
          <w:sz w:val="22"/>
          <w:szCs w:val="22"/>
          <w:lang w:eastAsia="en-GB"/>
        </w:rPr>
      </w:pPr>
      <w:hyperlink w:anchor="_Annex_2:_Overview" w:history="1">
        <w:r w:rsidRPr="005C3CB1">
          <w:rPr>
            <w:rStyle w:val="Hyperlink"/>
            <w:rFonts w:ascii="Calibri" w:hAnsi="Calibri" w:cs="Calibri"/>
            <w:i/>
            <w:iCs/>
            <w:sz w:val="22"/>
            <w:szCs w:val="22"/>
            <w:lang w:eastAsia="en-GB"/>
          </w:rPr>
          <w:t>Annex 2 – Overview of IPSA benefits</w:t>
        </w:r>
      </w:hyperlink>
    </w:p>
    <w:p w14:paraId="54180DEB" w14:textId="6290ED49" w:rsidR="00804AF0" w:rsidRPr="005C3CB1" w:rsidRDefault="005C3CB1">
      <w:pPr>
        <w:ind w:left="345"/>
        <w:jc w:val="both"/>
        <w:textAlignment w:val="baseline"/>
        <w:rPr>
          <w:rFonts w:ascii="Calibri" w:hAnsi="Calibri" w:cs="Calibri"/>
          <w:i/>
          <w:iCs/>
          <w:sz w:val="22"/>
          <w:szCs w:val="22"/>
          <w:lang w:eastAsia="en-GB"/>
        </w:rPr>
      </w:pPr>
      <w:hyperlink w:anchor="_Annex_3:_Definition_1" w:history="1">
        <w:r w:rsidRPr="005C3CB1">
          <w:rPr>
            <w:rStyle w:val="Hyperlink"/>
            <w:rFonts w:ascii="Calibri" w:hAnsi="Calibri" w:cs="Calibri"/>
            <w:i/>
            <w:iCs/>
            <w:sz w:val="22"/>
            <w:szCs w:val="22"/>
            <w:lang w:eastAsia="en-GB"/>
          </w:rPr>
          <w:t>Annex 3</w:t>
        </w:r>
        <w:r>
          <w:rPr>
            <w:rStyle w:val="Hyperlink"/>
            <w:rFonts w:ascii="Calibri" w:hAnsi="Calibri" w:cs="Calibri"/>
            <w:i/>
            <w:iCs/>
            <w:sz w:val="22"/>
            <w:szCs w:val="22"/>
            <w:lang w:eastAsia="en-GB"/>
          </w:rPr>
          <w:t xml:space="preserve"> - </w:t>
        </w:r>
        <w:r w:rsidRPr="005C3CB1">
          <w:rPr>
            <w:rStyle w:val="Hyperlink"/>
            <w:rFonts w:ascii="Calibri" w:hAnsi="Calibri" w:cs="Calibri"/>
            <w:i/>
            <w:iCs/>
            <w:sz w:val="22"/>
            <w:szCs w:val="22"/>
            <w:lang w:eastAsia="en-GB"/>
          </w:rPr>
          <w:t>Definition of functions of inherent and continuous nature</w:t>
        </w:r>
      </w:hyperlink>
    </w:p>
    <w:p w14:paraId="39DAC93D" w14:textId="26CCC4C3" w:rsidR="00804AF0" w:rsidRPr="005C3CB1" w:rsidRDefault="005C3CB1">
      <w:pPr>
        <w:ind w:left="345"/>
        <w:jc w:val="both"/>
        <w:textAlignment w:val="baseline"/>
        <w:rPr>
          <w:rFonts w:ascii="Calibri" w:hAnsi="Calibri" w:cs="Calibri"/>
          <w:i/>
          <w:iCs/>
          <w:sz w:val="22"/>
          <w:szCs w:val="22"/>
          <w:lang w:eastAsia="en-GB"/>
        </w:rPr>
      </w:pPr>
      <w:hyperlink w:anchor="_Annex_4:_IPSA_1" w:history="1">
        <w:r w:rsidRPr="005C3CB1">
          <w:rPr>
            <w:rStyle w:val="Hyperlink"/>
            <w:rFonts w:ascii="Calibri" w:hAnsi="Calibri" w:cs="Calibri"/>
            <w:i/>
            <w:iCs/>
            <w:sz w:val="22"/>
            <w:szCs w:val="22"/>
            <w:lang w:eastAsia="en-GB"/>
          </w:rPr>
          <w:t xml:space="preserve">Annex 4 - IPSA </w:t>
        </w:r>
        <w:r w:rsidR="00292140">
          <w:rPr>
            <w:rStyle w:val="Hyperlink"/>
            <w:rFonts w:ascii="Calibri" w:hAnsi="Calibri" w:cs="Calibri"/>
            <w:i/>
            <w:iCs/>
            <w:sz w:val="22"/>
            <w:szCs w:val="22"/>
            <w:lang w:eastAsia="en-GB"/>
          </w:rPr>
          <w:t>p</w:t>
        </w:r>
        <w:r w:rsidRPr="005C3CB1">
          <w:rPr>
            <w:rStyle w:val="Hyperlink"/>
            <w:rFonts w:ascii="Calibri" w:hAnsi="Calibri" w:cs="Calibri"/>
            <w:i/>
            <w:iCs/>
            <w:sz w:val="22"/>
            <w:szCs w:val="22"/>
            <w:lang w:eastAsia="en-GB"/>
          </w:rPr>
          <w:t xml:space="preserve">ay </w:t>
        </w:r>
        <w:r w:rsidR="00292140">
          <w:rPr>
            <w:rStyle w:val="Hyperlink"/>
            <w:rFonts w:ascii="Calibri" w:hAnsi="Calibri" w:cs="Calibri"/>
            <w:i/>
            <w:iCs/>
            <w:sz w:val="22"/>
            <w:szCs w:val="22"/>
            <w:lang w:eastAsia="en-GB"/>
          </w:rPr>
          <w:t>r</w:t>
        </w:r>
        <w:r w:rsidRPr="005C3CB1">
          <w:rPr>
            <w:rStyle w:val="Hyperlink"/>
            <w:rFonts w:ascii="Calibri" w:hAnsi="Calibri" w:cs="Calibri"/>
            <w:i/>
            <w:iCs/>
            <w:sz w:val="22"/>
            <w:szCs w:val="22"/>
            <w:lang w:eastAsia="en-GB"/>
          </w:rPr>
          <w:t xml:space="preserve">anges and </w:t>
        </w:r>
        <w:r w:rsidR="00292140">
          <w:rPr>
            <w:rStyle w:val="Hyperlink"/>
            <w:rFonts w:ascii="Calibri" w:hAnsi="Calibri" w:cs="Calibri"/>
            <w:i/>
            <w:iCs/>
            <w:sz w:val="22"/>
            <w:szCs w:val="22"/>
            <w:lang w:eastAsia="en-GB"/>
          </w:rPr>
          <w:t>i</w:t>
        </w:r>
        <w:r w:rsidRPr="005C3CB1">
          <w:rPr>
            <w:rStyle w:val="Hyperlink"/>
            <w:rFonts w:ascii="Calibri" w:hAnsi="Calibri" w:cs="Calibri"/>
            <w:i/>
            <w:iCs/>
            <w:sz w:val="22"/>
            <w:szCs w:val="22"/>
            <w:lang w:eastAsia="en-GB"/>
          </w:rPr>
          <w:t xml:space="preserve">dentifying the right level </w:t>
        </w:r>
      </w:hyperlink>
    </w:p>
    <w:p w14:paraId="1966ECF9" w14:textId="19323877" w:rsidR="00804AF0" w:rsidRDefault="009A47D6">
      <w:pPr>
        <w:ind w:left="345"/>
        <w:jc w:val="both"/>
        <w:textAlignment w:val="baseline"/>
        <w:rPr>
          <w:rFonts w:ascii="Calibri" w:hAnsi="Calibri" w:cs="Calibri"/>
          <w:sz w:val="22"/>
          <w:szCs w:val="22"/>
          <w:lang w:eastAsia="en-GB"/>
        </w:rPr>
      </w:pPr>
      <w:hyperlink w:anchor="_Annex_5:_Performance_1" w:history="1">
        <w:r>
          <w:rPr>
            <w:rStyle w:val="Hyperlink"/>
            <w:rFonts w:ascii="Calibri" w:hAnsi="Calibri" w:cs="Calibri"/>
            <w:i/>
            <w:iCs/>
            <w:sz w:val="22"/>
            <w:szCs w:val="22"/>
            <w:lang w:eastAsia="en-GB"/>
          </w:rPr>
          <w:t xml:space="preserve">Annex 5 – Performance </w:t>
        </w:r>
        <w:r w:rsidR="006B0893">
          <w:rPr>
            <w:rStyle w:val="Hyperlink"/>
            <w:rFonts w:ascii="Calibri" w:hAnsi="Calibri" w:cs="Calibri"/>
            <w:i/>
            <w:iCs/>
            <w:sz w:val="22"/>
            <w:szCs w:val="22"/>
            <w:lang w:eastAsia="en-GB"/>
          </w:rPr>
          <w:t>e</w:t>
        </w:r>
        <w:r>
          <w:rPr>
            <w:rStyle w:val="Hyperlink"/>
            <w:rFonts w:ascii="Calibri" w:hAnsi="Calibri" w:cs="Calibri"/>
            <w:i/>
            <w:iCs/>
            <w:sz w:val="22"/>
            <w:szCs w:val="22"/>
            <w:lang w:eastAsia="en-GB"/>
          </w:rPr>
          <w:t>valuation</w:t>
        </w:r>
        <w:r>
          <w:rPr>
            <w:rStyle w:val="Hyperlink"/>
            <w:rFonts w:ascii="Calibri" w:hAnsi="Calibri" w:cs="Calibri"/>
            <w:sz w:val="22"/>
            <w:szCs w:val="22"/>
            <w:lang w:eastAsia="en-GB"/>
          </w:rPr>
          <w:t> </w:t>
        </w:r>
      </w:hyperlink>
    </w:p>
    <w:p w14:paraId="1C9DCEB2" w14:textId="5A663EA5" w:rsidR="00804AF0" w:rsidRDefault="009A47D6">
      <w:pPr>
        <w:ind w:left="345"/>
        <w:jc w:val="both"/>
        <w:textAlignment w:val="baseline"/>
        <w:rPr>
          <w:rFonts w:ascii="Calibri" w:hAnsi="Calibri" w:cs="Calibri"/>
          <w:sz w:val="22"/>
          <w:szCs w:val="22"/>
          <w:lang w:eastAsia="en-GB"/>
        </w:rPr>
      </w:pPr>
      <w:hyperlink w:anchor="_Annex_6:_To_1" w:history="1">
        <w:r>
          <w:rPr>
            <w:rStyle w:val="Hyperlink"/>
            <w:rFonts w:ascii="Calibri" w:hAnsi="Calibri" w:cs="Calibri"/>
            <w:i/>
            <w:iCs/>
            <w:sz w:val="22"/>
            <w:szCs w:val="22"/>
            <w:lang w:eastAsia="en-GB"/>
          </w:rPr>
          <w:t>Annex 6 – Checklist of inclusions in IPSA personnel file</w:t>
        </w:r>
        <w:r>
          <w:rPr>
            <w:rStyle w:val="Hyperlink"/>
            <w:rFonts w:ascii="Calibri" w:hAnsi="Calibri" w:cs="Calibri"/>
            <w:sz w:val="22"/>
            <w:szCs w:val="22"/>
            <w:lang w:eastAsia="en-GB"/>
          </w:rPr>
          <w:t> </w:t>
        </w:r>
      </w:hyperlink>
    </w:p>
    <w:p w14:paraId="6D0F4C04" w14:textId="0A4A1307" w:rsidR="00804AF0" w:rsidRDefault="009A47D6">
      <w:pPr>
        <w:ind w:left="345"/>
        <w:jc w:val="both"/>
        <w:textAlignment w:val="baseline"/>
        <w:rPr>
          <w:rStyle w:val="Hyperlink"/>
          <w:rFonts w:ascii="Calibri" w:hAnsi="Calibri" w:cs="Calibri"/>
          <w:sz w:val="22"/>
          <w:szCs w:val="22"/>
          <w:lang w:eastAsia="en-GB"/>
        </w:rPr>
      </w:pPr>
      <w:hyperlink w:anchor="_Annex_7_:" w:history="1">
        <w:r>
          <w:rPr>
            <w:rStyle w:val="Hyperlink"/>
            <w:rFonts w:ascii="Calibri" w:hAnsi="Calibri" w:cs="Calibri"/>
            <w:i/>
            <w:iCs/>
            <w:sz w:val="22"/>
            <w:szCs w:val="22"/>
            <w:lang w:eastAsia="en-GB"/>
          </w:rPr>
          <w:t xml:space="preserve">Annex 7 – Equipment and </w:t>
        </w:r>
        <w:r w:rsidR="006B0893">
          <w:rPr>
            <w:rStyle w:val="Hyperlink"/>
            <w:rFonts w:ascii="Calibri" w:hAnsi="Calibri" w:cs="Calibri"/>
            <w:i/>
            <w:iCs/>
            <w:sz w:val="22"/>
            <w:szCs w:val="22"/>
            <w:lang w:eastAsia="en-GB"/>
          </w:rPr>
          <w:t>s</w:t>
        </w:r>
        <w:r>
          <w:rPr>
            <w:rStyle w:val="Hyperlink"/>
            <w:rFonts w:ascii="Calibri" w:hAnsi="Calibri" w:cs="Calibri"/>
            <w:i/>
            <w:iCs/>
            <w:sz w:val="22"/>
            <w:szCs w:val="22"/>
            <w:lang w:eastAsia="en-GB"/>
          </w:rPr>
          <w:t>upplies</w:t>
        </w:r>
        <w:r>
          <w:rPr>
            <w:rStyle w:val="Hyperlink"/>
            <w:rFonts w:ascii="Calibri" w:hAnsi="Calibri" w:cs="Calibri"/>
            <w:sz w:val="22"/>
            <w:szCs w:val="22"/>
            <w:lang w:eastAsia="en-GB"/>
          </w:rPr>
          <w:t> </w:t>
        </w:r>
      </w:hyperlink>
    </w:p>
    <w:p w14:paraId="7EE42EFC" w14:textId="7D5D9B0E" w:rsidR="00804AF0" w:rsidRDefault="00BB1B5D">
      <w:pPr>
        <w:ind w:left="345"/>
        <w:jc w:val="both"/>
        <w:textAlignment w:val="baseline"/>
        <w:rPr>
          <w:rStyle w:val="Hyperlink"/>
          <w:rFonts w:ascii="Calibri" w:eastAsia="MS Mincho" w:hAnsi="Calibri" w:cs="Calibri"/>
          <w:i/>
          <w:iCs/>
          <w:sz w:val="22"/>
          <w:szCs w:val="22"/>
          <w:lang w:eastAsia="en-GB"/>
        </w:rPr>
      </w:pPr>
      <w:hyperlink w:anchor="_Annex_8_:" w:history="1">
        <w:r w:rsidRPr="00BB1B5D">
          <w:rPr>
            <w:rStyle w:val="Hyperlink"/>
            <w:rFonts w:ascii="Calibri" w:eastAsia="MS Mincho" w:hAnsi="Calibri" w:cs="Calibri"/>
            <w:i/>
            <w:iCs/>
            <w:sz w:val="22"/>
            <w:szCs w:val="22"/>
            <w:lang w:eastAsia="en-GB"/>
          </w:rPr>
          <w:t>Annex 8 - Transitional measures</w:t>
        </w:r>
      </w:hyperlink>
    </w:p>
    <w:p w14:paraId="12EB6B5E"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6C82A553" w14:textId="77777777" w:rsidR="00804AF0" w:rsidRDefault="009A47D6">
      <w:pPr>
        <w:rPr>
          <w:rFonts w:ascii="Calibri" w:hAnsi="Calibri" w:cs="Calibri"/>
          <w:b/>
          <w:bCs/>
          <w:sz w:val="22"/>
          <w:szCs w:val="22"/>
          <w:u w:val="single"/>
          <w:lang w:eastAsia="en-GB"/>
        </w:rPr>
      </w:pPr>
      <w:bookmarkStart w:id="95" w:name="_Annex_1:_Overview"/>
      <w:bookmarkEnd w:id="95"/>
      <w:r>
        <w:rPr>
          <w:rFonts w:ascii="Calibri" w:hAnsi="Calibri" w:cs="Calibri"/>
          <w:b/>
          <w:bCs/>
          <w:sz w:val="22"/>
          <w:szCs w:val="22"/>
          <w:u w:val="single"/>
          <w:lang w:eastAsia="en-GB"/>
        </w:rPr>
        <w:br w:type="page"/>
      </w:r>
    </w:p>
    <w:p w14:paraId="6B0D597C" w14:textId="77777777" w:rsidR="00804AF0" w:rsidRDefault="009A47D6" w:rsidP="004218DB">
      <w:pPr>
        <w:pStyle w:val="Heading1"/>
        <w:jc w:val="left"/>
        <w:rPr>
          <w:rFonts w:ascii="Calibri" w:hAnsi="Calibri" w:cs="Calibri"/>
          <w:b/>
          <w:bCs/>
          <w:sz w:val="22"/>
          <w:szCs w:val="22"/>
          <w:u w:val="single"/>
          <w:lang w:eastAsia="en-GB"/>
        </w:rPr>
      </w:pPr>
      <w:bookmarkStart w:id="96" w:name="_Annex_1:_Recruitment"/>
      <w:bookmarkStart w:id="97" w:name="_Toc161312443"/>
      <w:bookmarkEnd w:id="96"/>
      <w:r>
        <w:rPr>
          <w:rFonts w:ascii="Calibri" w:hAnsi="Calibri" w:cs="Calibri"/>
          <w:b/>
          <w:bCs/>
          <w:sz w:val="22"/>
          <w:szCs w:val="22"/>
          <w:u w:val="single"/>
          <w:lang w:eastAsia="en-GB"/>
        </w:rPr>
        <w:lastRenderedPageBreak/>
        <w:t>Annex 1: </w:t>
      </w:r>
      <w:bookmarkStart w:id="98" w:name="OLE_LINK3"/>
      <w:r>
        <w:rPr>
          <w:rFonts w:ascii="Calibri" w:hAnsi="Calibri" w:cs="Calibri"/>
          <w:b/>
          <w:bCs/>
          <w:sz w:val="22"/>
          <w:szCs w:val="22"/>
          <w:u w:val="single"/>
          <w:lang w:eastAsia="en-GB"/>
        </w:rPr>
        <w:fldChar w:fldCharType="begin"/>
      </w:r>
      <w:r>
        <w:rPr>
          <w:rFonts w:ascii="Calibri" w:hAnsi="Calibri" w:cs="Calibri"/>
          <w:b/>
          <w:bCs/>
          <w:sz w:val="22"/>
          <w:szCs w:val="22"/>
          <w:u w:val="single"/>
          <w:lang w:eastAsia="en-GB"/>
        </w:rPr>
        <w:instrText xml:space="preserve"> HYPERLINK \l "_Annex_1:_Overview" </w:instrText>
      </w:r>
      <w:r>
        <w:rPr>
          <w:rFonts w:ascii="Calibri" w:hAnsi="Calibri" w:cs="Calibri"/>
          <w:b/>
          <w:bCs/>
          <w:sz w:val="22"/>
          <w:szCs w:val="22"/>
          <w:u w:val="single"/>
          <w:lang w:eastAsia="en-GB"/>
        </w:rPr>
      </w:r>
      <w:r>
        <w:rPr>
          <w:rFonts w:ascii="Calibri" w:hAnsi="Calibri" w:cs="Calibri"/>
          <w:b/>
          <w:bCs/>
          <w:sz w:val="22"/>
          <w:szCs w:val="22"/>
          <w:u w:val="single"/>
          <w:lang w:eastAsia="en-GB"/>
        </w:rPr>
        <w:fldChar w:fldCharType="separate"/>
      </w:r>
      <w:r>
        <w:rPr>
          <w:rFonts w:ascii="Calibri" w:hAnsi="Calibri" w:cs="Calibri"/>
          <w:b/>
          <w:bCs/>
          <w:sz w:val="22"/>
          <w:szCs w:val="22"/>
          <w:u w:val="single"/>
          <w:lang w:eastAsia="en-GB"/>
        </w:rPr>
        <w:t>Recruitment standards and procedures </w:t>
      </w:r>
      <w:r>
        <w:rPr>
          <w:rFonts w:ascii="Calibri" w:hAnsi="Calibri" w:cs="Calibri"/>
          <w:b/>
          <w:bCs/>
          <w:sz w:val="22"/>
          <w:szCs w:val="22"/>
          <w:u w:val="single"/>
          <w:lang w:eastAsia="en-GB"/>
        </w:rPr>
        <w:fldChar w:fldCharType="end"/>
      </w:r>
      <w:r>
        <w:rPr>
          <w:rFonts w:ascii="Calibri" w:hAnsi="Calibri" w:cs="Calibri"/>
          <w:b/>
          <w:bCs/>
          <w:sz w:val="22"/>
          <w:szCs w:val="22"/>
          <w:u w:val="single"/>
          <w:lang w:eastAsia="en-GB"/>
        </w:rPr>
        <w:t>for IPSAs.</w:t>
      </w:r>
      <w:bookmarkEnd w:id="97"/>
    </w:p>
    <w:bookmarkEnd w:id="98"/>
    <w:p w14:paraId="7A2EDF75"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733F7D9E" w14:textId="77777777" w:rsidR="00804AF0" w:rsidRDefault="00804AF0">
      <w:pPr>
        <w:jc w:val="both"/>
        <w:textAlignment w:val="baseline"/>
        <w:rPr>
          <w:rFonts w:ascii="Calibri" w:hAnsi="Calibri" w:cs="Calibri"/>
          <w:sz w:val="22"/>
          <w:szCs w:val="22"/>
        </w:rPr>
      </w:pPr>
    </w:p>
    <w:p w14:paraId="65C308D0" w14:textId="77777777" w:rsidR="00804AF0" w:rsidRDefault="009A47D6">
      <w:pPr>
        <w:jc w:val="both"/>
        <w:textAlignment w:val="baseline"/>
        <w:rPr>
          <w:rFonts w:ascii="Calibri" w:hAnsi="Calibri" w:cs="Calibri"/>
          <w:sz w:val="22"/>
          <w:szCs w:val="22"/>
        </w:rPr>
      </w:pPr>
      <w:r>
        <w:rPr>
          <w:rFonts w:ascii="Calibri" w:hAnsi="Calibri" w:cs="Calibri"/>
          <w:sz w:val="22"/>
          <w:szCs w:val="22"/>
        </w:rPr>
        <w:t>For the selection of </w:t>
      </w:r>
      <w:r>
        <w:rPr>
          <w:rFonts w:ascii="Calibri" w:hAnsi="Calibri" w:cs="Calibri"/>
          <w:sz w:val="22"/>
          <w:szCs w:val="22"/>
          <w:u w:val="single"/>
          <w:lang w:eastAsia="en-GB"/>
        </w:rPr>
        <w:t>IPSAs</w:t>
      </w:r>
      <w:r>
        <w:rPr>
          <w:rFonts w:ascii="Calibri" w:hAnsi="Calibri" w:cs="Calibri"/>
          <w:sz w:val="22"/>
          <w:szCs w:val="22"/>
        </w:rPr>
        <w:t>, the selection process must adhere to the general principles listed in the UNDP’s Recruitment and Selection Framework Policy to ensure that the person selected is the best-qualified candidate to perform the job functions in a fully satisfactory manner. These principles are:</w:t>
      </w:r>
    </w:p>
    <w:p w14:paraId="0635FB7E" w14:textId="77777777" w:rsidR="00804AF0" w:rsidRDefault="00804AF0">
      <w:pPr>
        <w:jc w:val="both"/>
        <w:textAlignment w:val="baseline"/>
        <w:rPr>
          <w:rFonts w:ascii="Calibri" w:hAnsi="Calibri" w:cs="Calibri"/>
          <w:sz w:val="22"/>
          <w:szCs w:val="22"/>
        </w:rPr>
      </w:pPr>
    </w:p>
    <w:p w14:paraId="5FFDC1C6" w14:textId="77777777" w:rsidR="00804AF0" w:rsidRDefault="009A47D6">
      <w:pPr>
        <w:jc w:val="both"/>
        <w:textAlignment w:val="baseline"/>
        <w:rPr>
          <w:rFonts w:ascii="Calibri" w:hAnsi="Calibri" w:cs="Calibri"/>
          <w:sz w:val="22"/>
          <w:szCs w:val="22"/>
        </w:rPr>
      </w:pPr>
      <w:r>
        <w:rPr>
          <w:rFonts w:ascii="Calibri" w:hAnsi="Calibri" w:cs="Calibri"/>
          <w:b/>
          <w:bCs/>
          <w:sz w:val="22"/>
          <w:szCs w:val="22"/>
        </w:rPr>
        <w:t>Competition:</w:t>
      </w:r>
      <w:r>
        <w:rPr>
          <w:rFonts w:ascii="Calibri" w:hAnsi="Calibri" w:cs="Calibri"/>
          <w:sz w:val="22"/>
          <w:szCs w:val="22"/>
        </w:rPr>
        <w:t xml:space="preserve"> Selection will follow a visible and fair competitive process for all vacancies, regardless of post, contractual modality or hiring unit;</w:t>
      </w:r>
    </w:p>
    <w:p w14:paraId="24FFC131" w14:textId="77777777" w:rsidR="00804AF0" w:rsidRDefault="00804AF0">
      <w:pPr>
        <w:jc w:val="both"/>
        <w:textAlignment w:val="baseline"/>
        <w:rPr>
          <w:rFonts w:ascii="Calibri" w:hAnsi="Calibri" w:cs="Calibri"/>
          <w:sz w:val="22"/>
          <w:szCs w:val="22"/>
        </w:rPr>
      </w:pPr>
    </w:p>
    <w:p w14:paraId="02A33CBC" w14:textId="77777777" w:rsidR="00804AF0" w:rsidRDefault="009A47D6">
      <w:pPr>
        <w:jc w:val="both"/>
        <w:textAlignment w:val="baseline"/>
        <w:rPr>
          <w:rFonts w:ascii="Calibri" w:hAnsi="Calibri" w:cs="Calibri"/>
          <w:sz w:val="22"/>
          <w:szCs w:val="22"/>
        </w:rPr>
      </w:pPr>
      <w:r>
        <w:rPr>
          <w:rFonts w:ascii="Calibri" w:hAnsi="Calibri" w:cs="Calibri"/>
          <w:b/>
          <w:bCs/>
          <w:sz w:val="22"/>
          <w:szCs w:val="22"/>
        </w:rPr>
        <w:t>Objectivity:</w:t>
      </w:r>
      <w:r>
        <w:rPr>
          <w:rFonts w:ascii="Calibri" w:hAnsi="Calibri" w:cs="Calibri"/>
          <w:sz w:val="22"/>
          <w:szCs w:val="22"/>
        </w:rPr>
        <w:t xml:space="preserve"> Screening will be conducted with professional rigor, with candidates measured against clearly articulated criteria, job skills and competencies and corporate priorities;</w:t>
      </w:r>
    </w:p>
    <w:p w14:paraId="4B5DBA29" w14:textId="77777777" w:rsidR="00804AF0" w:rsidRDefault="00804AF0">
      <w:pPr>
        <w:jc w:val="both"/>
        <w:textAlignment w:val="baseline"/>
        <w:rPr>
          <w:rFonts w:ascii="Calibri" w:hAnsi="Calibri" w:cs="Calibri"/>
          <w:sz w:val="22"/>
          <w:szCs w:val="22"/>
        </w:rPr>
      </w:pPr>
    </w:p>
    <w:p w14:paraId="65BB83C5" w14:textId="77777777" w:rsidR="00804AF0" w:rsidRDefault="009A47D6">
      <w:pPr>
        <w:jc w:val="both"/>
        <w:textAlignment w:val="baseline"/>
        <w:rPr>
          <w:rFonts w:ascii="Calibri" w:hAnsi="Calibri" w:cs="Calibri"/>
          <w:sz w:val="22"/>
          <w:szCs w:val="22"/>
        </w:rPr>
      </w:pPr>
      <w:r>
        <w:rPr>
          <w:rFonts w:ascii="Calibri" w:hAnsi="Calibri" w:cs="Calibri"/>
          <w:b/>
          <w:bCs/>
          <w:sz w:val="22"/>
          <w:szCs w:val="22"/>
        </w:rPr>
        <w:t>Transparency:</w:t>
      </w:r>
      <w:r>
        <w:rPr>
          <w:rFonts w:ascii="Calibri" w:hAnsi="Calibri" w:cs="Calibri"/>
          <w:sz w:val="22"/>
          <w:szCs w:val="22"/>
        </w:rPr>
        <w:t xml:space="preserve"> The recruitment and selection criteria and all phases of recruitment processes will </w:t>
      </w:r>
      <w:proofErr w:type="gramStart"/>
      <w:r>
        <w:rPr>
          <w:rFonts w:ascii="Calibri" w:hAnsi="Calibri" w:cs="Calibri"/>
          <w:sz w:val="22"/>
          <w:szCs w:val="22"/>
        </w:rPr>
        <w:t>be transparent to candidates to the fullest extent</w:t>
      </w:r>
      <w:proofErr w:type="gramEnd"/>
      <w:r>
        <w:rPr>
          <w:rFonts w:ascii="Calibri" w:hAnsi="Calibri" w:cs="Calibri"/>
          <w:sz w:val="22"/>
          <w:szCs w:val="22"/>
        </w:rPr>
        <w:t xml:space="preserve"> possible;</w:t>
      </w:r>
    </w:p>
    <w:p w14:paraId="65BB1B58" w14:textId="77777777" w:rsidR="00804AF0" w:rsidRDefault="00804AF0">
      <w:pPr>
        <w:jc w:val="both"/>
        <w:textAlignment w:val="baseline"/>
        <w:rPr>
          <w:rFonts w:ascii="Calibri" w:hAnsi="Calibri" w:cs="Calibri"/>
          <w:sz w:val="22"/>
          <w:szCs w:val="22"/>
        </w:rPr>
      </w:pPr>
    </w:p>
    <w:p w14:paraId="5614E5B2" w14:textId="77777777" w:rsidR="00804AF0" w:rsidRDefault="009A47D6">
      <w:pPr>
        <w:jc w:val="both"/>
        <w:textAlignment w:val="baseline"/>
        <w:rPr>
          <w:rFonts w:ascii="Calibri" w:hAnsi="Calibri" w:cs="Calibri"/>
          <w:sz w:val="22"/>
          <w:szCs w:val="22"/>
        </w:rPr>
      </w:pPr>
      <w:r>
        <w:rPr>
          <w:rFonts w:ascii="Calibri" w:hAnsi="Calibri" w:cs="Calibri"/>
          <w:b/>
          <w:bCs/>
          <w:sz w:val="22"/>
          <w:szCs w:val="22"/>
        </w:rPr>
        <w:t>Diversity:</w:t>
      </w:r>
      <w:r>
        <w:rPr>
          <w:rFonts w:ascii="Calibri" w:hAnsi="Calibri" w:cs="Calibri"/>
          <w:sz w:val="22"/>
          <w:szCs w:val="22"/>
        </w:rPr>
        <w:t xml:space="preserve"> UNDP’s workforce will reflect diversity and will strive to include equal numbers of men and women, and individuals from under-represented groups, indigenous groups and persons with disabilities;</w:t>
      </w:r>
    </w:p>
    <w:p w14:paraId="7ABCB8A0" w14:textId="77777777" w:rsidR="00804AF0" w:rsidRDefault="00804AF0">
      <w:pPr>
        <w:jc w:val="both"/>
        <w:textAlignment w:val="baseline"/>
        <w:rPr>
          <w:rFonts w:ascii="Calibri" w:hAnsi="Calibri" w:cs="Calibri"/>
          <w:sz w:val="22"/>
          <w:szCs w:val="22"/>
        </w:rPr>
      </w:pPr>
    </w:p>
    <w:p w14:paraId="3503BF99" w14:textId="77777777" w:rsidR="00804AF0" w:rsidRDefault="009A47D6">
      <w:pPr>
        <w:jc w:val="both"/>
        <w:textAlignment w:val="baseline"/>
        <w:rPr>
          <w:rFonts w:ascii="Calibri" w:hAnsi="Calibri" w:cs="Calibri"/>
          <w:sz w:val="22"/>
          <w:szCs w:val="22"/>
        </w:rPr>
      </w:pPr>
      <w:r>
        <w:rPr>
          <w:rFonts w:ascii="Calibri" w:hAnsi="Calibri" w:cs="Calibri"/>
          <w:b/>
          <w:bCs/>
          <w:sz w:val="22"/>
          <w:szCs w:val="22"/>
        </w:rPr>
        <w:t>Non-Discrimination:</w:t>
      </w:r>
      <w:r>
        <w:rPr>
          <w:rFonts w:ascii="Calibri" w:hAnsi="Calibri" w:cs="Calibri"/>
          <w:sz w:val="22"/>
          <w:szCs w:val="22"/>
        </w:rPr>
        <w:t xml:space="preserve"> Subject to the principle of recruiting personnel on as wide a geographical basis as possible, UNDP will not discriminate in its recruitment and selection processes on the grounds of race, national or ethnic origin, colour, religion, age, sex, gender identity, sexual orientation, marital status, family status or disability; and</w:t>
      </w:r>
    </w:p>
    <w:p w14:paraId="6BDA1297" w14:textId="77777777" w:rsidR="00804AF0" w:rsidRDefault="00804AF0">
      <w:pPr>
        <w:jc w:val="both"/>
        <w:textAlignment w:val="baseline"/>
        <w:rPr>
          <w:rFonts w:ascii="Calibri" w:hAnsi="Calibri" w:cs="Calibri"/>
          <w:sz w:val="22"/>
          <w:szCs w:val="22"/>
        </w:rPr>
      </w:pPr>
    </w:p>
    <w:p w14:paraId="28082C09" w14:textId="77777777" w:rsidR="00804AF0" w:rsidRDefault="009A47D6">
      <w:pPr>
        <w:jc w:val="both"/>
        <w:textAlignment w:val="baseline"/>
        <w:rPr>
          <w:rFonts w:ascii="Calibri" w:hAnsi="Calibri" w:cs="Calibri"/>
          <w:sz w:val="22"/>
          <w:szCs w:val="22"/>
        </w:rPr>
      </w:pPr>
      <w:r>
        <w:rPr>
          <w:rFonts w:ascii="Calibri" w:hAnsi="Calibri" w:cs="Calibri"/>
          <w:b/>
          <w:bCs/>
          <w:sz w:val="22"/>
          <w:szCs w:val="22"/>
        </w:rPr>
        <w:t>Accountability:</w:t>
      </w:r>
      <w:r>
        <w:rPr>
          <w:rFonts w:ascii="Calibri" w:hAnsi="Calibri" w:cs="Calibri"/>
          <w:sz w:val="22"/>
          <w:szCs w:val="22"/>
        </w:rPr>
        <w:t xml:space="preserve"> Hiring managers will be held accountable both for their selection proposals and the manner in which they have followed the processes leading up to them.</w:t>
      </w:r>
    </w:p>
    <w:p w14:paraId="5C8E0E70" w14:textId="77777777" w:rsidR="00804AF0" w:rsidRDefault="00804AF0">
      <w:pPr>
        <w:jc w:val="both"/>
        <w:textAlignment w:val="baseline"/>
        <w:rPr>
          <w:rFonts w:ascii="Calibri" w:hAnsi="Calibri" w:cs="Calibri"/>
          <w:sz w:val="22"/>
          <w:szCs w:val="22"/>
          <w:lang w:val="en-CA"/>
        </w:rPr>
      </w:pPr>
    </w:p>
    <w:p w14:paraId="5C36DD87" w14:textId="77777777" w:rsidR="00804AF0" w:rsidRDefault="009A47D6">
      <w:pPr>
        <w:jc w:val="both"/>
        <w:textAlignment w:val="baseline"/>
        <w:rPr>
          <w:rFonts w:ascii="Calibri" w:hAnsi="Calibri" w:cs="Calibri"/>
          <w:b/>
          <w:bCs/>
          <w:sz w:val="22"/>
          <w:szCs w:val="22"/>
          <w:u w:val="single"/>
        </w:rPr>
      </w:pPr>
      <w:r>
        <w:rPr>
          <w:rFonts w:ascii="Calibri" w:hAnsi="Calibri" w:cs="Calibri"/>
          <w:b/>
          <w:bCs/>
          <w:sz w:val="22"/>
          <w:szCs w:val="22"/>
          <w:u w:val="single"/>
        </w:rPr>
        <w:t>Other fundamental conditions:</w:t>
      </w:r>
    </w:p>
    <w:p w14:paraId="2CEE3BAD" w14:textId="0A21C477" w:rsidR="00804AF0" w:rsidRDefault="00804AF0">
      <w:pPr>
        <w:jc w:val="both"/>
        <w:textAlignment w:val="baseline"/>
        <w:rPr>
          <w:rFonts w:ascii="Calibri" w:hAnsi="Calibri" w:cs="Calibri"/>
          <w:sz w:val="22"/>
          <w:szCs w:val="22"/>
        </w:rPr>
      </w:pPr>
    </w:p>
    <w:p w14:paraId="66311EA2" w14:textId="77777777" w:rsidR="00804AF0" w:rsidRDefault="009A47D6">
      <w:pPr>
        <w:jc w:val="both"/>
        <w:textAlignment w:val="baseline"/>
        <w:rPr>
          <w:rFonts w:ascii="Calibri" w:hAnsi="Calibri" w:cs="Calibri"/>
          <w:sz w:val="22"/>
          <w:szCs w:val="22"/>
        </w:rPr>
      </w:pPr>
      <w:r>
        <w:rPr>
          <w:rFonts w:ascii="Calibri" w:hAnsi="Calibri" w:cs="Calibri"/>
          <w:b/>
          <w:bCs/>
          <w:sz w:val="22"/>
          <w:szCs w:val="22"/>
        </w:rPr>
        <w:t>Recruitment of Government Personnel:</w:t>
      </w:r>
      <w:r>
        <w:rPr>
          <w:rFonts w:ascii="Calibri" w:hAnsi="Calibri" w:cs="Calibri"/>
          <w:sz w:val="22"/>
          <w:szCs w:val="22"/>
        </w:rPr>
        <w:t xml:space="preserve"> Any candidate who is a government employee must disclose this relationship prior to being engaged on an IPSA. As a rule, candidates who are employed by a government or a government entity are expected to resign from said employment upon acceptance of an IPSA with UNDP. In cases where candidates continue to be employed or affiliated with a government institution or other authority external to UNDP must provide evidence that they have been accorded special leave without pay, or a similar status, from their employer prior to being engaged under an IPSA. Notwithstanding the disclosure, the individual engaged under an IPSA Service Contract is bound by the principle of impartiality as specified in the agreement.</w:t>
      </w:r>
    </w:p>
    <w:p w14:paraId="05712C3C" w14:textId="77777777" w:rsidR="00804AF0" w:rsidRDefault="00804AF0">
      <w:pPr>
        <w:jc w:val="both"/>
        <w:textAlignment w:val="baseline"/>
        <w:rPr>
          <w:rFonts w:ascii="Calibri" w:hAnsi="Calibri" w:cs="Calibri"/>
          <w:sz w:val="22"/>
          <w:szCs w:val="22"/>
        </w:rPr>
      </w:pPr>
    </w:p>
    <w:p w14:paraId="61BAA52E" w14:textId="77777777" w:rsidR="00804AF0" w:rsidRDefault="009A47D6">
      <w:pPr>
        <w:jc w:val="both"/>
        <w:textAlignment w:val="baseline"/>
        <w:rPr>
          <w:rFonts w:ascii="Calibri" w:hAnsi="Calibri" w:cs="Calibri"/>
          <w:sz w:val="22"/>
          <w:szCs w:val="22"/>
        </w:rPr>
      </w:pPr>
      <w:r>
        <w:rPr>
          <w:rFonts w:ascii="Calibri" w:hAnsi="Calibri" w:cs="Calibri"/>
          <w:b/>
          <w:bCs/>
          <w:sz w:val="22"/>
          <w:szCs w:val="22"/>
        </w:rPr>
        <w:t>Obligation of Confidentialit</w:t>
      </w:r>
      <w:r>
        <w:rPr>
          <w:rFonts w:ascii="Calibri" w:hAnsi="Calibri" w:cs="Calibri"/>
          <w:sz w:val="22"/>
          <w:szCs w:val="22"/>
        </w:rPr>
        <w:t>y: Everyone who is involved in a selection process, in one capacity or another (e.g., long-listing, short-listing, interview panel, etc.) must engage in these such activities maintaining strict confidentiality. A selection process is not completed until all the different selection, review and clearance steps have been taken. It is therefore expected that no information be shared with the candidates or others not involved in the selection process until the final approval for the selection has been signed</w:t>
      </w:r>
    </w:p>
    <w:p w14:paraId="505FB611" w14:textId="77777777" w:rsidR="00804AF0" w:rsidRDefault="00804AF0">
      <w:pPr>
        <w:rPr>
          <w:rFonts w:ascii="Calibri" w:hAnsi="Calibri" w:cs="Calibri"/>
          <w:sz w:val="22"/>
          <w:szCs w:val="22"/>
        </w:rPr>
      </w:pPr>
    </w:p>
    <w:p w14:paraId="02D89AA6" w14:textId="77777777" w:rsidR="00804AF0" w:rsidRDefault="009A47D6">
      <w:pPr>
        <w:jc w:val="both"/>
        <w:textAlignment w:val="baseline"/>
        <w:rPr>
          <w:rFonts w:ascii="Calibri" w:hAnsi="Calibri" w:cs="Calibri"/>
          <w:b/>
          <w:bCs/>
          <w:sz w:val="22"/>
          <w:szCs w:val="22"/>
          <w:u w:val="single"/>
        </w:rPr>
      </w:pPr>
      <w:r>
        <w:rPr>
          <w:rFonts w:ascii="Calibri" w:hAnsi="Calibri" w:cs="Calibri"/>
          <w:sz w:val="22"/>
          <w:szCs w:val="22"/>
        </w:rPr>
        <w:lastRenderedPageBreak/>
        <w:t> </w:t>
      </w:r>
      <w:r>
        <w:rPr>
          <w:rFonts w:ascii="Calibri" w:hAnsi="Calibri" w:cs="Calibri"/>
          <w:b/>
          <w:bCs/>
          <w:sz w:val="22"/>
          <w:szCs w:val="22"/>
          <w:u w:val="single"/>
        </w:rPr>
        <w:t>Selection Modalities and Procedures:</w:t>
      </w:r>
    </w:p>
    <w:p w14:paraId="4AB17811" w14:textId="77777777" w:rsidR="00804AF0" w:rsidRDefault="00804AF0">
      <w:pPr>
        <w:jc w:val="both"/>
        <w:textAlignment w:val="baseline"/>
        <w:rPr>
          <w:rFonts w:ascii="Calibri" w:hAnsi="Calibri" w:cs="Calibri"/>
          <w:sz w:val="22"/>
          <w:szCs w:val="22"/>
        </w:rPr>
      </w:pPr>
    </w:p>
    <w:p w14:paraId="15581300" w14:textId="77777777" w:rsidR="00804AF0" w:rsidRDefault="00804AF0">
      <w:pPr>
        <w:jc w:val="both"/>
        <w:textAlignment w:val="baseline"/>
        <w:rPr>
          <w:rFonts w:ascii="Calibri" w:hAnsi="Calibri" w:cs="Calibri"/>
          <w:sz w:val="22"/>
          <w:szCs w:val="22"/>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12"/>
        <w:gridCol w:w="3625"/>
        <w:gridCol w:w="4107"/>
      </w:tblGrid>
      <w:tr w:rsidR="00804AF0" w14:paraId="4B4E0988" w14:textId="77777777">
        <w:tc>
          <w:tcPr>
            <w:tcW w:w="1612" w:type="dxa"/>
            <w:tcBorders>
              <w:top w:val="single" w:sz="6" w:space="0" w:color="auto"/>
              <w:left w:val="single" w:sz="6" w:space="0" w:color="auto"/>
              <w:bottom w:val="single" w:sz="6" w:space="0" w:color="auto"/>
              <w:right w:val="single" w:sz="6" w:space="0" w:color="auto"/>
            </w:tcBorders>
          </w:tcPr>
          <w:p w14:paraId="6EDDA3EA" w14:textId="77777777" w:rsidR="00804AF0" w:rsidRDefault="009A47D6">
            <w:pPr>
              <w:jc w:val="both"/>
              <w:textAlignment w:val="baseline"/>
              <w:rPr>
                <w:rFonts w:ascii="Calibri" w:hAnsi="Calibri" w:cs="Calibri"/>
                <w:sz w:val="22"/>
                <w:szCs w:val="22"/>
              </w:rPr>
            </w:pPr>
            <w:r>
              <w:rPr>
                <w:rFonts w:ascii="Calibri" w:hAnsi="Calibri" w:cs="Calibri"/>
                <w:b/>
                <w:bCs/>
                <w:sz w:val="22"/>
                <w:szCs w:val="22"/>
                <w:lang w:eastAsia="en-GB"/>
              </w:rPr>
              <w:t>IPSA</w:t>
            </w:r>
            <w:r>
              <w:rPr>
                <w:rFonts w:ascii="Calibri" w:hAnsi="Calibri" w:cs="Calibri"/>
                <w:b/>
                <w:sz w:val="22"/>
                <w:szCs w:val="22"/>
              </w:rPr>
              <w:t xml:space="preserve"> Level</w:t>
            </w:r>
            <w:r>
              <w:rPr>
                <w:rFonts w:ascii="Calibri" w:hAnsi="Calibri" w:cs="Calibri"/>
                <w:sz w:val="22"/>
                <w:szCs w:val="22"/>
                <w:lang w:eastAsia="en-GB"/>
              </w:rPr>
              <w:t> </w:t>
            </w:r>
          </w:p>
        </w:tc>
        <w:tc>
          <w:tcPr>
            <w:tcW w:w="3625" w:type="dxa"/>
            <w:tcBorders>
              <w:top w:val="single" w:sz="6" w:space="0" w:color="auto"/>
              <w:left w:val="nil"/>
              <w:bottom w:val="single" w:sz="6" w:space="0" w:color="auto"/>
              <w:right w:val="single" w:sz="6" w:space="0" w:color="auto"/>
            </w:tcBorders>
          </w:tcPr>
          <w:p w14:paraId="47E63BB2" w14:textId="77777777" w:rsidR="00804AF0" w:rsidRDefault="009A47D6">
            <w:pPr>
              <w:jc w:val="both"/>
              <w:textAlignment w:val="baseline"/>
              <w:rPr>
                <w:rFonts w:ascii="Calibri" w:hAnsi="Calibri" w:cs="Calibri"/>
                <w:sz w:val="22"/>
                <w:szCs w:val="22"/>
              </w:rPr>
            </w:pPr>
            <w:r>
              <w:rPr>
                <w:rFonts w:ascii="Calibri" w:hAnsi="Calibri" w:cs="Calibri"/>
                <w:b/>
                <w:sz w:val="22"/>
                <w:szCs w:val="22"/>
              </w:rPr>
              <w:t xml:space="preserve">Regular </w:t>
            </w:r>
            <w:r>
              <w:rPr>
                <w:rFonts w:ascii="Calibri" w:hAnsi="Calibri" w:cs="Calibri"/>
                <w:b/>
                <w:bCs/>
                <w:sz w:val="22"/>
                <w:szCs w:val="22"/>
                <w:lang w:eastAsia="en-GB"/>
              </w:rPr>
              <w:t>IPSA</w:t>
            </w:r>
            <w:r>
              <w:rPr>
                <w:rFonts w:ascii="Calibri" w:hAnsi="Calibri" w:cs="Calibri"/>
                <w:sz w:val="22"/>
                <w:szCs w:val="22"/>
                <w:lang w:eastAsia="en-GB"/>
              </w:rPr>
              <w:t> </w:t>
            </w:r>
          </w:p>
        </w:tc>
        <w:tc>
          <w:tcPr>
            <w:tcW w:w="4107" w:type="dxa"/>
            <w:tcBorders>
              <w:top w:val="single" w:sz="6" w:space="0" w:color="auto"/>
              <w:left w:val="nil"/>
              <w:bottom w:val="single" w:sz="6" w:space="0" w:color="auto"/>
              <w:right w:val="single" w:sz="6" w:space="0" w:color="auto"/>
            </w:tcBorders>
          </w:tcPr>
          <w:p w14:paraId="668D06E2" w14:textId="77777777" w:rsidR="00804AF0" w:rsidRDefault="009A47D6">
            <w:pPr>
              <w:jc w:val="both"/>
              <w:textAlignment w:val="baseline"/>
              <w:rPr>
                <w:rFonts w:ascii="Calibri" w:hAnsi="Calibri" w:cs="Calibri"/>
                <w:sz w:val="22"/>
                <w:szCs w:val="22"/>
              </w:rPr>
            </w:pPr>
            <w:r>
              <w:rPr>
                <w:rFonts w:ascii="Calibri" w:hAnsi="Calibri" w:cs="Calibri"/>
                <w:b/>
                <w:bCs/>
                <w:sz w:val="22"/>
                <w:szCs w:val="22"/>
                <w:lang w:eastAsia="en-GB"/>
              </w:rPr>
              <w:t>Short-Term IPSA</w:t>
            </w:r>
            <w:r>
              <w:rPr>
                <w:rFonts w:ascii="Calibri" w:hAnsi="Calibri" w:cs="Calibri"/>
                <w:sz w:val="22"/>
                <w:szCs w:val="22"/>
                <w:lang w:eastAsia="en-GB"/>
              </w:rPr>
              <w:t> </w:t>
            </w:r>
          </w:p>
        </w:tc>
      </w:tr>
      <w:tr w:rsidR="00804AF0" w14:paraId="6D142386" w14:textId="77777777">
        <w:tc>
          <w:tcPr>
            <w:tcW w:w="1612" w:type="dxa"/>
            <w:tcBorders>
              <w:top w:val="nil"/>
              <w:left w:val="single" w:sz="6" w:space="0" w:color="auto"/>
              <w:bottom w:val="single" w:sz="6" w:space="0" w:color="auto"/>
              <w:right w:val="single" w:sz="6" w:space="0" w:color="auto"/>
            </w:tcBorders>
          </w:tcPr>
          <w:p w14:paraId="0BD082CC" w14:textId="77777777" w:rsidR="00804AF0" w:rsidRDefault="009A47D6">
            <w:pPr>
              <w:jc w:val="both"/>
              <w:textAlignment w:val="baseline"/>
              <w:rPr>
                <w:rFonts w:ascii="Calibri" w:hAnsi="Calibri" w:cs="Calibri"/>
                <w:sz w:val="22"/>
                <w:szCs w:val="22"/>
              </w:rPr>
            </w:pPr>
            <w:r>
              <w:rPr>
                <w:rFonts w:ascii="Calibri" w:hAnsi="Calibri" w:cs="Calibri"/>
                <w:sz w:val="22"/>
                <w:szCs w:val="22"/>
                <w:u w:val="single"/>
                <w:lang w:eastAsia="en-GB"/>
              </w:rPr>
              <w:t>All IPSA levels</w:t>
            </w:r>
            <w:r>
              <w:rPr>
                <w:rFonts w:ascii="Calibri" w:hAnsi="Calibri" w:cs="Calibri"/>
                <w:sz w:val="22"/>
                <w:szCs w:val="22"/>
                <w:lang w:eastAsia="en-GB"/>
              </w:rPr>
              <w:t> </w:t>
            </w:r>
          </w:p>
        </w:tc>
        <w:tc>
          <w:tcPr>
            <w:tcW w:w="3625" w:type="dxa"/>
            <w:tcBorders>
              <w:top w:val="nil"/>
              <w:left w:val="nil"/>
              <w:bottom w:val="single" w:sz="6" w:space="0" w:color="auto"/>
              <w:right w:val="single" w:sz="6" w:space="0" w:color="auto"/>
            </w:tcBorders>
          </w:tcPr>
          <w:p w14:paraId="59367E29" w14:textId="77777777" w:rsidR="00804AF0" w:rsidRDefault="009A47D6">
            <w:pPr>
              <w:jc w:val="both"/>
              <w:textAlignment w:val="baseline"/>
              <w:rPr>
                <w:rFonts w:ascii="Calibri" w:hAnsi="Calibri" w:cs="Calibri"/>
                <w:sz w:val="22"/>
                <w:szCs w:val="22"/>
              </w:rPr>
            </w:pPr>
            <w:r>
              <w:rPr>
                <w:rFonts w:ascii="Calibri" w:hAnsi="Calibri" w:cs="Calibri"/>
                <w:sz w:val="22"/>
                <w:szCs w:val="22"/>
              </w:rPr>
              <w:t>Advertise:  Minimum 1 week </w:t>
            </w:r>
          </w:p>
          <w:p w14:paraId="1A92D1A0" w14:textId="77777777" w:rsidR="00804AF0" w:rsidRDefault="00804AF0">
            <w:pPr>
              <w:jc w:val="both"/>
              <w:textAlignment w:val="baseline"/>
              <w:rPr>
                <w:rFonts w:ascii="Calibri" w:hAnsi="Calibri" w:cs="Calibri"/>
                <w:sz w:val="22"/>
                <w:szCs w:val="22"/>
              </w:rPr>
            </w:pPr>
          </w:p>
          <w:p w14:paraId="0D809BBA" w14:textId="77777777" w:rsidR="00804AF0" w:rsidRDefault="009A47D6">
            <w:pPr>
              <w:jc w:val="both"/>
              <w:textAlignment w:val="baseline"/>
              <w:rPr>
                <w:rFonts w:ascii="Calibri" w:hAnsi="Calibri" w:cs="Calibri"/>
                <w:sz w:val="22"/>
                <w:szCs w:val="22"/>
              </w:rPr>
            </w:pPr>
            <w:r>
              <w:rPr>
                <w:rFonts w:ascii="Calibri" w:hAnsi="Calibri" w:cs="Calibri"/>
                <w:sz w:val="22"/>
                <w:szCs w:val="22"/>
              </w:rPr>
              <w:t xml:space="preserve">Modality: Competitive; </w:t>
            </w:r>
            <w:proofErr w:type="gramStart"/>
            <w:r>
              <w:rPr>
                <w:rFonts w:ascii="Calibri" w:hAnsi="Calibri" w:cs="Calibri"/>
                <w:sz w:val="22"/>
                <w:szCs w:val="22"/>
              </w:rPr>
              <w:t>Pre-assessed</w:t>
            </w:r>
            <w:proofErr w:type="gramEnd"/>
            <w:r>
              <w:rPr>
                <w:rFonts w:ascii="Calibri" w:hAnsi="Calibri" w:cs="Calibri"/>
                <w:sz w:val="22"/>
                <w:szCs w:val="22"/>
              </w:rPr>
              <w:t xml:space="preserve"> candidate from a previous competitive process at the same grade level (in the last 36 months); Direct selection from an HR or other approved Roster; Lateral move from another IPSA position to a substantially similar role at the same level; Direct selection upon approval of the Bureau Director.</w:t>
            </w:r>
          </w:p>
          <w:p w14:paraId="19E2F5AE" w14:textId="77777777" w:rsidR="00804AF0" w:rsidRDefault="00804AF0">
            <w:pPr>
              <w:jc w:val="both"/>
              <w:textAlignment w:val="baseline"/>
              <w:rPr>
                <w:rFonts w:ascii="Calibri" w:hAnsi="Calibri" w:cs="Calibri"/>
                <w:sz w:val="22"/>
                <w:szCs w:val="22"/>
              </w:rPr>
            </w:pPr>
          </w:p>
          <w:p w14:paraId="32F7D626" w14:textId="77777777" w:rsidR="00804AF0" w:rsidRDefault="009A47D6">
            <w:pPr>
              <w:jc w:val="both"/>
              <w:textAlignment w:val="baseline"/>
              <w:rPr>
                <w:rFonts w:ascii="Calibri" w:hAnsi="Calibri" w:cs="Calibri"/>
                <w:sz w:val="22"/>
                <w:szCs w:val="22"/>
              </w:rPr>
            </w:pPr>
            <w:r>
              <w:rPr>
                <w:rFonts w:ascii="Calibri" w:hAnsi="Calibri" w:cs="Calibri"/>
                <w:sz w:val="22"/>
                <w:szCs w:val="22"/>
              </w:rPr>
              <w:t>Assessment: one or more assessment methods must be used. These can include, among others, panel interviews, tests, Panel desk reviews, technical assessments</w:t>
            </w:r>
          </w:p>
          <w:p w14:paraId="68DF43A6" w14:textId="77777777" w:rsidR="00804AF0" w:rsidRDefault="00804AF0">
            <w:pPr>
              <w:jc w:val="both"/>
              <w:textAlignment w:val="baseline"/>
              <w:rPr>
                <w:rFonts w:ascii="Calibri" w:hAnsi="Calibri" w:cs="Calibri"/>
                <w:sz w:val="22"/>
                <w:szCs w:val="22"/>
              </w:rPr>
            </w:pPr>
          </w:p>
          <w:p w14:paraId="58331AF5" w14:textId="77777777" w:rsidR="00804AF0" w:rsidRDefault="009A47D6">
            <w:pPr>
              <w:jc w:val="both"/>
              <w:textAlignment w:val="baseline"/>
              <w:rPr>
                <w:rFonts w:ascii="Calibri" w:hAnsi="Calibri" w:cs="Calibri"/>
                <w:sz w:val="22"/>
                <w:szCs w:val="22"/>
              </w:rPr>
            </w:pPr>
            <w:r>
              <w:rPr>
                <w:rFonts w:ascii="Calibri" w:hAnsi="Calibri" w:cs="Calibri"/>
                <w:sz w:val="22"/>
                <w:szCs w:val="22"/>
              </w:rPr>
              <w:t>Selection decision: Head of the Business Unit, Bureau Director for direct selections. </w:t>
            </w:r>
          </w:p>
        </w:tc>
        <w:tc>
          <w:tcPr>
            <w:tcW w:w="4107" w:type="dxa"/>
            <w:tcBorders>
              <w:top w:val="nil"/>
              <w:left w:val="nil"/>
              <w:bottom w:val="single" w:sz="6" w:space="0" w:color="auto"/>
              <w:right w:val="single" w:sz="6" w:space="0" w:color="auto"/>
            </w:tcBorders>
          </w:tcPr>
          <w:p w14:paraId="3B9E192C" w14:textId="77777777" w:rsidR="00804AF0" w:rsidRDefault="009A47D6">
            <w:pPr>
              <w:jc w:val="both"/>
              <w:textAlignment w:val="baseline"/>
              <w:rPr>
                <w:rFonts w:ascii="Calibri" w:hAnsi="Calibri" w:cs="Calibri"/>
                <w:sz w:val="22"/>
                <w:szCs w:val="22"/>
              </w:rPr>
            </w:pPr>
            <w:r>
              <w:rPr>
                <w:rFonts w:ascii="Calibri" w:hAnsi="Calibri" w:cs="Calibri"/>
                <w:sz w:val="22"/>
                <w:szCs w:val="22"/>
              </w:rPr>
              <w:t>Advertise: Minimum 1 week </w:t>
            </w:r>
          </w:p>
          <w:p w14:paraId="3B38839A" w14:textId="77777777" w:rsidR="00804AF0" w:rsidRDefault="00804AF0">
            <w:pPr>
              <w:jc w:val="both"/>
              <w:textAlignment w:val="baseline"/>
              <w:rPr>
                <w:rFonts w:ascii="Calibri" w:hAnsi="Calibri" w:cs="Calibri"/>
                <w:sz w:val="22"/>
                <w:szCs w:val="22"/>
              </w:rPr>
            </w:pPr>
          </w:p>
          <w:p w14:paraId="021D83E4" w14:textId="77777777" w:rsidR="00804AF0" w:rsidRDefault="009A47D6">
            <w:pPr>
              <w:jc w:val="both"/>
              <w:textAlignment w:val="baseline"/>
              <w:rPr>
                <w:rFonts w:ascii="Calibri" w:hAnsi="Calibri" w:cs="Calibri"/>
                <w:sz w:val="22"/>
                <w:szCs w:val="22"/>
              </w:rPr>
            </w:pPr>
            <w:r>
              <w:rPr>
                <w:rFonts w:ascii="Calibri" w:hAnsi="Calibri" w:cs="Calibri"/>
                <w:sz w:val="22"/>
                <w:szCs w:val="22"/>
              </w:rPr>
              <w:t xml:space="preserve">Modality: Same as for Regular IPSA, in addition to: </w:t>
            </w:r>
          </w:p>
          <w:p w14:paraId="4159663E" w14:textId="77777777" w:rsidR="00804AF0" w:rsidRDefault="009A47D6">
            <w:pPr>
              <w:jc w:val="both"/>
              <w:textAlignment w:val="baseline"/>
              <w:rPr>
                <w:rFonts w:ascii="Calibri" w:hAnsi="Calibri" w:cs="Calibri"/>
                <w:sz w:val="22"/>
                <w:szCs w:val="22"/>
              </w:rPr>
            </w:pPr>
            <w:r>
              <w:rPr>
                <w:rFonts w:ascii="Calibri" w:hAnsi="Calibri" w:cs="Calibri"/>
                <w:sz w:val="22"/>
                <w:szCs w:val="22"/>
              </w:rPr>
              <w:t xml:space="preserve">Direct selection from a procurement roster, such as GPN or local interagency rosters; </w:t>
            </w:r>
          </w:p>
          <w:p w14:paraId="1DB43D02" w14:textId="77777777" w:rsidR="00804AF0" w:rsidRDefault="009A47D6">
            <w:pPr>
              <w:jc w:val="both"/>
              <w:textAlignment w:val="baseline"/>
              <w:rPr>
                <w:rFonts w:ascii="Calibri" w:hAnsi="Calibri" w:cs="Calibri"/>
                <w:sz w:val="22"/>
                <w:szCs w:val="22"/>
              </w:rPr>
            </w:pPr>
            <w:r>
              <w:rPr>
                <w:rFonts w:ascii="Calibri" w:hAnsi="Calibri" w:cs="Calibri"/>
                <w:sz w:val="22"/>
                <w:szCs w:val="22"/>
              </w:rPr>
              <w:t xml:space="preserve">Direct selection of an individual serving as an IC holder in 2021 or thereafter; Direct selection upon approval of the Head of the business unit (RR/DRR in country offices); and review and assessment of a candidate CVs/P11s. </w:t>
            </w:r>
          </w:p>
          <w:p w14:paraId="26953019" w14:textId="77777777" w:rsidR="00804AF0" w:rsidRDefault="00804AF0">
            <w:pPr>
              <w:jc w:val="both"/>
              <w:textAlignment w:val="baseline"/>
              <w:rPr>
                <w:rFonts w:ascii="Calibri" w:hAnsi="Calibri" w:cs="Calibri"/>
                <w:sz w:val="22"/>
                <w:szCs w:val="22"/>
              </w:rPr>
            </w:pPr>
          </w:p>
          <w:p w14:paraId="4462F5AA" w14:textId="77777777" w:rsidR="00804AF0" w:rsidRDefault="00804AF0">
            <w:pPr>
              <w:jc w:val="both"/>
              <w:textAlignment w:val="baseline"/>
              <w:rPr>
                <w:rFonts w:ascii="Calibri" w:hAnsi="Calibri" w:cs="Calibri"/>
                <w:sz w:val="22"/>
                <w:szCs w:val="22"/>
              </w:rPr>
            </w:pPr>
          </w:p>
          <w:p w14:paraId="237758A5" w14:textId="77777777" w:rsidR="00804AF0" w:rsidRDefault="00804AF0">
            <w:pPr>
              <w:jc w:val="both"/>
              <w:textAlignment w:val="baseline"/>
              <w:rPr>
                <w:rFonts w:ascii="Calibri" w:hAnsi="Calibri" w:cs="Calibri"/>
                <w:sz w:val="22"/>
                <w:szCs w:val="22"/>
              </w:rPr>
            </w:pPr>
          </w:p>
          <w:p w14:paraId="34907C45" w14:textId="77777777" w:rsidR="00804AF0" w:rsidRDefault="009A47D6">
            <w:pPr>
              <w:jc w:val="both"/>
              <w:textAlignment w:val="baseline"/>
              <w:rPr>
                <w:rFonts w:ascii="Calibri" w:hAnsi="Calibri" w:cs="Calibri"/>
                <w:sz w:val="22"/>
                <w:szCs w:val="22"/>
              </w:rPr>
            </w:pPr>
            <w:r>
              <w:rPr>
                <w:rFonts w:ascii="Calibri" w:hAnsi="Calibri" w:cs="Calibri"/>
                <w:sz w:val="22"/>
                <w:szCs w:val="22"/>
              </w:rPr>
              <w:t>Assessment: Same as for Regular IPSAs but a  review and assessment of just the candidate’s CV/P11 is also allowed.   </w:t>
            </w:r>
          </w:p>
          <w:p w14:paraId="25FC441A" w14:textId="77777777" w:rsidR="00804AF0" w:rsidRDefault="00804AF0">
            <w:pPr>
              <w:jc w:val="both"/>
              <w:textAlignment w:val="baseline"/>
              <w:rPr>
                <w:rFonts w:ascii="Calibri" w:hAnsi="Calibri" w:cs="Calibri"/>
                <w:sz w:val="22"/>
                <w:szCs w:val="22"/>
                <w:lang w:eastAsia="en-GB"/>
              </w:rPr>
            </w:pPr>
          </w:p>
          <w:p w14:paraId="59CD5589" w14:textId="77777777" w:rsidR="00804AF0" w:rsidRDefault="00804AF0">
            <w:pPr>
              <w:jc w:val="both"/>
              <w:textAlignment w:val="baseline"/>
              <w:rPr>
                <w:rFonts w:ascii="Calibri" w:hAnsi="Calibri" w:cs="Calibri"/>
                <w:sz w:val="22"/>
                <w:szCs w:val="22"/>
              </w:rPr>
            </w:pPr>
          </w:p>
          <w:p w14:paraId="35575C89"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rPr>
              <w:t>Selection decision: Head of the Business Unit, Head of business/RR/DRR for direct selections.  </w:t>
            </w:r>
          </w:p>
          <w:p w14:paraId="7385BF98" w14:textId="77777777" w:rsidR="00804AF0" w:rsidRDefault="009A47D6">
            <w:pPr>
              <w:jc w:val="both"/>
              <w:textAlignment w:val="baseline"/>
              <w:rPr>
                <w:rFonts w:ascii="Calibri" w:hAnsi="Calibri" w:cs="Calibri"/>
                <w:sz w:val="22"/>
                <w:szCs w:val="22"/>
              </w:rPr>
            </w:pPr>
            <w:r>
              <w:rPr>
                <w:rFonts w:ascii="Calibri" w:hAnsi="Calibri" w:cs="Calibri"/>
                <w:sz w:val="22"/>
                <w:szCs w:val="22"/>
                <w:lang w:eastAsia="en-GB"/>
              </w:rPr>
              <w:t> </w:t>
            </w:r>
          </w:p>
        </w:tc>
      </w:tr>
    </w:tbl>
    <w:p w14:paraId="38A3CEE1" w14:textId="77777777" w:rsidR="00804AF0" w:rsidRDefault="009A47D6">
      <w:pPr>
        <w:jc w:val="both"/>
        <w:textAlignment w:val="baseline"/>
        <w:rPr>
          <w:rFonts w:ascii="Calibri" w:hAnsi="Calibri" w:cs="Calibri"/>
          <w:sz w:val="22"/>
          <w:szCs w:val="22"/>
        </w:rPr>
      </w:pPr>
      <w:r>
        <w:rPr>
          <w:rFonts w:ascii="Calibri" w:hAnsi="Calibri" w:cs="Calibri"/>
          <w:sz w:val="22"/>
          <w:szCs w:val="22"/>
        </w:rPr>
        <w:t> </w:t>
      </w:r>
    </w:p>
    <w:p w14:paraId="7F4469AC" w14:textId="77777777" w:rsidR="00804AF0" w:rsidRDefault="009A47D6">
      <w:pPr>
        <w:jc w:val="both"/>
        <w:textAlignment w:val="baseline"/>
        <w:rPr>
          <w:rFonts w:ascii="Calibri" w:hAnsi="Calibri" w:cs="Calibri"/>
          <w:sz w:val="22"/>
          <w:szCs w:val="22"/>
        </w:rPr>
      </w:pPr>
      <w:r>
        <w:rPr>
          <w:rFonts w:ascii="Calibri" w:hAnsi="Calibri" w:cs="Calibri"/>
          <w:sz w:val="22"/>
          <w:szCs w:val="22"/>
        </w:rPr>
        <w:t>Unless a competitive selection is considered not practicable, each recruitment and selection must include the following:</w:t>
      </w:r>
    </w:p>
    <w:p w14:paraId="7E96E6D0" w14:textId="77777777" w:rsidR="00804AF0" w:rsidRDefault="00804AF0">
      <w:pPr>
        <w:jc w:val="both"/>
        <w:textAlignment w:val="baseline"/>
        <w:rPr>
          <w:rFonts w:ascii="Calibri" w:hAnsi="Calibri" w:cs="Calibri"/>
          <w:sz w:val="22"/>
          <w:szCs w:val="22"/>
        </w:rPr>
      </w:pPr>
    </w:p>
    <w:p w14:paraId="7E21B929" w14:textId="77777777" w:rsidR="00804AF0" w:rsidRDefault="009A47D6">
      <w:pPr>
        <w:jc w:val="both"/>
        <w:textAlignment w:val="baseline"/>
        <w:rPr>
          <w:rFonts w:ascii="Calibri" w:hAnsi="Calibri" w:cs="Calibri"/>
          <w:sz w:val="22"/>
          <w:szCs w:val="22"/>
        </w:rPr>
      </w:pPr>
      <w:r>
        <w:rPr>
          <w:rFonts w:ascii="Calibri" w:hAnsi="Calibri" w:cs="Calibri"/>
          <w:sz w:val="22"/>
          <w:szCs w:val="22"/>
        </w:rPr>
        <w:t>i)  Vacancy announcement of a budgeted and classified IPSA post;</w:t>
      </w:r>
    </w:p>
    <w:p w14:paraId="6EC966FB" w14:textId="77777777" w:rsidR="00804AF0" w:rsidRDefault="009A47D6">
      <w:pPr>
        <w:jc w:val="both"/>
        <w:textAlignment w:val="baseline"/>
        <w:rPr>
          <w:rFonts w:ascii="Calibri" w:hAnsi="Calibri" w:cs="Calibri"/>
          <w:sz w:val="22"/>
          <w:szCs w:val="22"/>
        </w:rPr>
      </w:pPr>
      <w:r>
        <w:rPr>
          <w:rFonts w:ascii="Calibri" w:hAnsi="Calibri" w:cs="Calibri"/>
          <w:sz w:val="22"/>
          <w:szCs w:val="22"/>
        </w:rPr>
        <w:t>ii) Competitive, job-specific objective assessment of skills and competencies as well as a competitive assessment of corporate values and ethics.</w:t>
      </w:r>
    </w:p>
    <w:p w14:paraId="3F80AC96" w14:textId="77777777" w:rsidR="00804AF0" w:rsidRDefault="00804AF0">
      <w:pPr>
        <w:jc w:val="both"/>
        <w:textAlignment w:val="baseline"/>
        <w:rPr>
          <w:rFonts w:ascii="Calibri" w:hAnsi="Calibri" w:cs="Calibri"/>
          <w:sz w:val="22"/>
          <w:szCs w:val="22"/>
        </w:rPr>
      </w:pPr>
    </w:p>
    <w:p w14:paraId="4669C4A4" w14:textId="77777777" w:rsidR="00804AF0" w:rsidRDefault="009A47D6">
      <w:pPr>
        <w:jc w:val="both"/>
        <w:textAlignment w:val="baseline"/>
        <w:rPr>
          <w:rFonts w:ascii="Calibri" w:hAnsi="Calibri" w:cs="Calibri"/>
          <w:sz w:val="22"/>
          <w:szCs w:val="22"/>
        </w:rPr>
      </w:pPr>
      <w:r>
        <w:rPr>
          <w:rFonts w:ascii="Calibri" w:hAnsi="Calibri" w:cs="Calibri"/>
          <w:sz w:val="22"/>
          <w:szCs w:val="22"/>
        </w:rPr>
        <w:t xml:space="preserve">A thorough verification of relevant qualifications and credentials, including thorough reference checks must be completed in every case. </w:t>
      </w:r>
    </w:p>
    <w:p w14:paraId="62A9B2B9" w14:textId="77777777" w:rsidR="00804AF0" w:rsidRDefault="00804AF0">
      <w:pPr>
        <w:ind w:left="720"/>
        <w:jc w:val="both"/>
        <w:textAlignment w:val="baseline"/>
        <w:rPr>
          <w:rFonts w:ascii="Calibri" w:hAnsi="Calibri" w:cs="Calibri"/>
          <w:sz w:val="22"/>
          <w:szCs w:val="22"/>
        </w:rPr>
      </w:pPr>
    </w:p>
    <w:p w14:paraId="233A59AC" w14:textId="77777777" w:rsidR="00804AF0" w:rsidRDefault="009A47D6">
      <w:pPr>
        <w:jc w:val="both"/>
        <w:textAlignment w:val="baseline"/>
        <w:rPr>
          <w:rFonts w:ascii="Calibri" w:hAnsi="Calibri" w:cs="Calibri"/>
          <w:sz w:val="22"/>
          <w:szCs w:val="22"/>
        </w:rPr>
      </w:pPr>
      <w:r>
        <w:rPr>
          <w:rFonts w:ascii="Calibri" w:hAnsi="Calibri" w:cs="Calibri"/>
          <w:b/>
          <w:sz w:val="22"/>
          <w:szCs w:val="22"/>
        </w:rPr>
        <w:t>A. Selection by competitive process </w:t>
      </w:r>
      <w:r>
        <w:rPr>
          <w:rFonts w:ascii="Calibri" w:hAnsi="Calibri" w:cs="Calibri"/>
          <w:sz w:val="22"/>
          <w:szCs w:val="22"/>
        </w:rPr>
        <w:t> </w:t>
      </w:r>
    </w:p>
    <w:p w14:paraId="108ED5A2" w14:textId="77777777" w:rsidR="00804AF0" w:rsidRDefault="009A47D6">
      <w:pPr>
        <w:ind w:left="360"/>
        <w:jc w:val="both"/>
        <w:textAlignment w:val="baseline"/>
        <w:rPr>
          <w:rFonts w:ascii="Calibri" w:hAnsi="Calibri" w:cs="Calibri"/>
          <w:sz w:val="22"/>
          <w:szCs w:val="22"/>
        </w:rPr>
      </w:pPr>
      <w:r>
        <w:rPr>
          <w:rFonts w:ascii="Calibri" w:hAnsi="Calibri" w:cs="Calibri"/>
          <w:sz w:val="22"/>
          <w:szCs w:val="22"/>
        </w:rPr>
        <w:t> </w:t>
      </w:r>
    </w:p>
    <w:p w14:paraId="52A65987" w14:textId="77777777" w:rsidR="00804AF0" w:rsidRDefault="009A47D6">
      <w:pPr>
        <w:jc w:val="both"/>
        <w:textAlignment w:val="baseline"/>
        <w:rPr>
          <w:rFonts w:ascii="Calibri" w:hAnsi="Calibri" w:cs="Calibri"/>
          <w:sz w:val="22"/>
          <w:szCs w:val="22"/>
          <w:lang w:eastAsia="en-GB"/>
        </w:rPr>
      </w:pPr>
      <w:bookmarkStart w:id="99" w:name="_Hlk59876532"/>
      <w:r>
        <w:rPr>
          <w:rFonts w:ascii="Calibri" w:hAnsi="Calibri" w:cs="Calibri"/>
          <w:sz w:val="22"/>
          <w:szCs w:val="22"/>
          <w:lang w:eastAsia="en-GB"/>
        </w:rPr>
        <w:t xml:space="preserve">A competitive recruitment process is the standard procedure for recruiting regular </w:t>
      </w:r>
      <w:bookmarkEnd w:id="99"/>
      <w:r>
        <w:rPr>
          <w:rFonts w:ascii="Calibri" w:hAnsi="Calibri" w:cs="Calibri"/>
          <w:sz w:val="22"/>
          <w:szCs w:val="22"/>
          <w:lang w:eastAsia="en-GB"/>
        </w:rPr>
        <w:t>IPSAs. </w:t>
      </w:r>
    </w:p>
    <w:p w14:paraId="52C57A4A" w14:textId="77777777" w:rsidR="00804AF0" w:rsidRDefault="00804AF0">
      <w:pPr>
        <w:jc w:val="both"/>
        <w:textAlignment w:val="baseline"/>
        <w:rPr>
          <w:rFonts w:ascii="Calibri" w:hAnsi="Calibri" w:cs="Calibri"/>
          <w:sz w:val="22"/>
          <w:szCs w:val="22"/>
          <w:lang w:eastAsia="en-GB"/>
        </w:rPr>
      </w:pPr>
    </w:p>
    <w:p w14:paraId="7CF15873"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xml:space="preserve">To ensure competitiveness, the shortlist must be comprised of at least two candidates, but ideally three or more. At least one woman should be included on the short-list. If no female candidate is included on the short-list, the Hiring Unit must document the efforts that have been made to identify qualified female candidates including re-advertisement. Where only one qualified </w:t>
      </w:r>
      <w:r>
        <w:rPr>
          <w:rFonts w:ascii="Calibri" w:hAnsi="Calibri" w:cs="Calibri"/>
          <w:sz w:val="22"/>
          <w:szCs w:val="22"/>
          <w:lang w:eastAsia="en-GB"/>
        </w:rPr>
        <w:lastRenderedPageBreak/>
        <w:t xml:space="preserve">candidate has been identified, the Hiring Unit must document the efforts that have been made to identify additional candidates, and secure approval from the BMS/OHR Business Partner before proceeding further. </w:t>
      </w:r>
    </w:p>
    <w:p w14:paraId="51DB1F60" w14:textId="77777777" w:rsidR="00804AF0" w:rsidRDefault="00804AF0">
      <w:pPr>
        <w:ind w:left="720"/>
        <w:jc w:val="both"/>
        <w:textAlignment w:val="baseline"/>
        <w:rPr>
          <w:rFonts w:ascii="Calibri" w:hAnsi="Calibri" w:cs="Calibri"/>
          <w:sz w:val="22"/>
          <w:szCs w:val="22"/>
        </w:rPr>
      </w:pPr>
    </w:p>
    <w:p w14:paraId="5E4F796B" w14:textId="77777777" w:rsidR="00804AF0" w:rsidRDefault="009A47D6">
      <w:pPr>
        <w:jc w:val="both"/>
        <w:textAlignment w:val="baseline"/>
        <w:rPr>
          <w:rFonts w:ascii="Calibri" w:hAnsi="Calibri" w:cs="Calibri"/>
          <w:sz w:val="22"/>
          <w:szCs w:val="22"/>
          <w:lang w:eastAsia="en-GB"/>
        </w:rPr>
      </w:pPr>
      <w:bookmarkStart w:id="100" w:name="_Hlk59876639"/>
      <w:r>
        <w:rPr>
          <w:rFonts w:ascii="Calibri" w:hAnsi="Calibri" w:cs="Calibri"/>
          <w:sz w:val="22"/>
          <w:szCs w:val="22"/>
          <w:lang w:eastAsia="en-GB"/>
        </w:rPr>
        <w:t>For short-term IPSAs, an assessment and review of the profiles or CVs at least two qualifying candidates is required and should be documented and presented to the Head of the Business Unit for their selection decision.</w:t>
      </w:r>
      <w:bookmarkEnd w:id="100"/>
      <w:r>
        <w:rPr>
          <w:rFonts w:ascii="Calibri" w:hAnsi="Calibri" w:cs="Calibri"/>
          <w:sz w:val="22"/>
          <w:szCs w:val="22"/>
          <w:lang w:eastAsia="en-GB"/>
        </w:rPr>
        <w:t> </w:t>
      </w:r>
    </w:p>
    <w:p w14:paraId="29F1EC04" w14:textId="77777777" w:rsidR="00804AF0" w:rsidRDefault="00804AF0">
      <w:pPr>
        <w:ind w:left="360"/>
        <w:jc w:val="both"/>
        <w:textAlignment w:val="baseline"/>
        <w:rPr>
          <w:rFonts w:ascii="Calibri" w:hAnsi="Calibri" w:cs="Calibri"/>
          <w:sz w:val="22"/>
          <w:szCs w:val="22"/>
        </w:rPr>
      </w:pPr>
    </w:p>
    <w:p w14:paraId="40F82FBE" w14:textId="77777777" w:rsidR="00804AF0" w:rsidRDefault="009A47D6">
      <w:pPr>
        <w:jc w:val="both"/>
        <w:textAlignment w:val="baseline"/>
        <w:rPr>
          <w:rFonts w:ascii="Calibri" w:hAnsi="Calibri" w:cs="Calibri"/>
          <w:b/>
          <w:sz w:val="22"/>
          <w:szCs w:val="22"/>
        </w:rPr>
      </w:pPr>
      <w:r>
        <w:rPr>
          <w:rFonts w:ascii="Calibri" w:hAnsi="Calibri" w:cs="Calibri"/>
          <w:b/>
          <w:sz w:val="22"/>
          <w:szCs w:val="22"/>
        </w:rPr>
        <w:t xml:space="preserve">B. Direct recruitment of a </w:t>
      </w:r>
      <w:r>
        <w:rPr>
          <w:rFonts w:ascii="Calibri" w:hAnsi="Calibri" w:cs="Calibri"/>
          <w:b/>
          <w:bCs/>
          <w:sz w:val="22"/>
          <w:szCs w:val="22"/>
          <w:lang w:eastAsia="en-GB"/>
        </w:rPr>
        <w:t xml:space="preserve">previously </w:t>
      </w:r>
      <w:r>
        <w:rPr>
          <w:rFonts w:ascii="Calibri" w:hAnsi="Calibri" w:cs="Calibri"/>
          <w:b/>
          <w:sz w:val="22"/>
          <w:szCs w:val="22"/>
        </w:rPr>
        <w:t>assessed candidate</w:t>
      </w:r>
    </w:p>
    <w:p w14:paraId="0C4C6125" w14:textId="77777777" w:rsidR="00804AF0" w:rsidRDefault="00804AF0">
      <w:pPr>
        <w:ind w:left="1080"/>
        <w:jc w:val="both"/>
        <w:textAlignment w:val="baseline"/>
        <w:rPr>
          <w:rFonts w:ascii="Calibri" w:hAnsi="Calibri" w:cs="Calibri"/>
          <w:sz w:val="22"/>
          <w:szCs w:val="22"/>
        </w:rPr>
      </w:pPr>
    </w:p>
    <w:p w14:paraId="6937891A" w14:textId="77777777" w:rsidR="00804AF0" w:rsidRDefault="009A47D6">
      <w:pPr>
        <w:jc w:val="both"/>
        <w:textAlignment w:val="baseline"/>
        <w:rPr>
          <w:rFonts w:ascii="Calibri" w:hAnsi="Calibri" w:cs="Calibri"/>
          <w:sz w:val="22"/>
          <w:szCs w:val="22"/>
          <w:lang w:eastAsia="en-GB"/>
        </w:rPr>
      </w:pPr>
      <w:bookmarkStart w:id="101" w:name="_Hlk59876693"/>
      <w:r>
        <w:rPr>
          <w:rFonts w:ascii="Calibri" w:hAnsi="Calibri" w:cs="Calibri"/>
          <w:sz w:val="22"/>
          <w:szCs w:val="22"/>
          <w:lang w:eastAsia="en-GB"/>
        </w:rPr>
        <w:t>This option allows offices to hire a candidate who has been assessed through a competitive process for the same job function and level, and who has passed the threshold in a previous recruitment process completed within the previous 36 months.</w:t>
      </w:r>
      <w:bookmarkEnd w:id="101"/>
      <w:r>
        <w:rPr>
          <w:rFonts w:ascii="Calibri" w:hAnsi="Calibri" w:cs="Calibri"/>
          <w:sz w:val="22"/>
          <w:szCs w:val="22"/>
          <w:lang w:eastAsia="en-GB"/>
        </w:rPr>
        <w:t> </w:t>
      </w:r>
    </w:p>
    <w:p w14:paraId="1293A149" w14:textId="77777777" w:rsidR="00804AF0" w:rsidRDefault="00804AF0">
      <w:pPr>
        <w:jc w:val="both"/>
        <w:textAlignment w:val="baseline"/>
        <w:rPr>
          <w:rFonts w:ascii="Calibri" w:hAnsi="Calibri" w:cs="Calibri"/>
          <w:sz w:val="22"/>
          <w:szCs w:val="22"/>
          <w:lang w:eastAsia="en-GB"/>
        </w:rPr>
      </w:pPr>
      <w:bookmarkStart w:id="102" w:name="_Hlk59876746"/>
    </w:p>
    <w:p w14:paraId="449F2424"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Individuals who had previously been assessed for similar positions and had passed the threshold but were ranked below the candidate selected within the past 36 months, may be placed on an HR roster. Hiring managers should preferably interview the individual to ascertain that the individual is interested in the position and to reconfirm their suitability.   </w:t>
      </w:r>
    </w:p>
    <w:p w14:paraId="283A62E1" w14:textId="77777777" w:rsidR="00804AF0" w:rsidRDefault="00804AF0">
      <w:pPr>
        <w:jc w:val="both"/>
        <w:textAlignment w:val="baseline"/>
        <w:rPr>
          <w:rFonts w:ascii="Calibri" w:hAnsi="Calibri" w:cs="Calibri"/>
          <w:sz w:val="22"/>
          <w:szCs w:val="22"/>
        </w:rPr>
      </w:pPr>
    </w:p>
    <w:bookmarkEnd w:id="102"/>
    <w:p w14:paraId="62F0177F" w14:textId="77777777" w:rsidR="00804AF0" w:rsidRDefault="009A47D6">
      <w:pPr>
        <w:jc w:val="both"/>
        <w:textAlignment w:val="baseline"/>
        <w:rPr>
          <w:rFonts w:ascii="Calibri" w:hAnsi="Calibri" w:cs="Calibri"/>
          <w:sz w:val="22"/>
          <w:szCs w:val="22"/>
        </w:rPr>
      </w:pPr>
      <w:r>
        <w:rPr>
          <w:rFonts w:ascii="Calibri" w:hAnsi="Calibri" w:cs="Calibri"/>
          <w:sz w:val="22"/>
          <w:szCs w:val="22"/>
        </w:rPr>
        <w:t xml:space="preserve">A hiring unit may also transfer an </w:t>
      </w:r>
      <w:r>
        <w:rPr>
          <w:rFonts w:ascii="Calibri" w:hAnsi="Calibri" w:cs="Calibri"/>
          <w:sz w:val="22"/>
          <w:szCs w:val="22"/>
          <w:lang w:eastAsia="en-GB"/>
        </w:rPr>
        <w:t>IPSA</w:t>
      </w:r>
      <w:r>
        <w:rPr>
          <w:rFonts w:ascii="Calibri" w:hAnsi="Calibri" w:cs="Calibri"/>
          <w:sz w:val="22"/>
          <w:szCs w:val="22"/>
        </w:rPr>
        <w:t xml:space="preserve"> holder from one project or position to another in the same duty station with identical functions</w:t>
      </w:r>
      <w:r>
        <w:rPr>
          <w:rFonts w:ascii="Calibri" w:hAnsi="Calibri" w:cs="Calibri"/>
          <w:sz w:val="22"/>
          <w:szCs w:val="22"/>
          <w:lang w:eastAsia="en-GB"/>
        </w:rPr>
        <w:t>,</w:t>
      </w:r>
      <w:r>
        <w:rPr>
          <w:rFonts w:ascii="Calibri" w:hAnsi="Calibri" w:cs="Calibri"/>
          <w:sz w:val="22"/>
          <w:szCs w:val="22"/>
        </w:rPr>
        <w:t xml:space="preserve"> and the same band/level and remuneration, without a new competitive process, provided that the candidate has a satisfactory performance</w:t>
      </w:r>
      <w:r>
        <w:rPr>
          <w:rFonts w:ascii="Calibri" w:hAnsi="Calibri" w:cs="Calibri"/>
          <w:sz w:val="22"/>
          <w:szCs w:val="22"/>
          <w:lang w:eastAsia="en-GB"/>
        </w:rPr>
        <w:t xml:space="preserve"> record</w:t>
      </w:r>
      <w:r>
        <w:rPr>
          <w:rFonts w:ascii="Calibri" w:hAnsi="Calibri" w:cs="Calibri"/>
          <w:sz w:val="22"/>
          <w:szCs w:val="22"/>
        </w:rPr>
        <w:t xml:space="preserve">. In such instances a new </w:t>
      </w:r>
      <w:r>
        <w:rPr>
          <w:rFonts w:ascii="Calibri" w:hAnsi="Calibri" w:cs="Calibri"/>
          <w:sz w:val="22"/>
          <w:szCs w:val="22"/>
          <w:lang w:eastAsia="en-GB"/>
        </w:rPr>
        <w:t>IPSA contract</w:t>
      </w:r>
      <w:r>
        <w:rPr>
          <w:rFonts w:ascii="Calibri" w:hAnsi="Calibri" w:cs="Calibri"/>
          <w:sz w:val="22"/>
          <w:szCs w:val="22"/>
        </w:rPr>
        <w:t xml:space="preserve"> must be issued. It must also be noted that by doing so, the time of service of the </w:t>
      </w:r>
      <w:r>
        <w:rPr>
          <w:rFonts w:ascii="Calibri" w:hAnsi="Calibri" w:cs="Calibri"/>
          <w:sz w:val="22"/>
          <w:szCs w:val="22"/>
          <w:lang w:eastAsia="en-GB"/>
        </w:rPr>
        <w:t>IPSA</w:t>
      </w:r>
      <w:r>
        <w:rPr>
          <w:rFonts w:ascii="Calibri" w:hAnsi="Calibri" w:cs="Calibri"/>
          <w:sz w:val="22"/>
          <w:szCs w:val="22"/>
        </w:rPr>
        <w:t xml:space="preserve"> holder is not reset in such case, if there is no break between the contracts.   </w:t>
      </w:r>
    </w:p>
    <w:p w14:paraId="2FC24119" w14:textId="77777777" w:rsidR="00804AF0" w:rsidRDefault="009A47D6">
      <w:pPr>
        <w:ind w:left="720"/>
        <w:jc w:val="both"/>
        <w:textAlignment w:val="baseline"/>
        <w:rPr>
          <w:rFonts w:ascii="Calibri" w:hAnsi="Calibri" w:cs="Calibri"/>
          <w:sz w:val="22"/>
          <w:szCs w:val="22"/>
        </w:rPr>
      </w:pPr>
      <w:r>
        <w:rPr>
          <w:rFonts w:ascii="Calibri" w:hAnsi="Calibri" w:cs="Calibri"/>
          <w:sz w:val="22"/>
          <w:szCs w:val="22"/>
        </w:rPr>
        <w:t> </w:t>
      </w:r>
    </w:p>
    <w:p w14:paraId="4A482D61" w14:textId="77777777" w:rsidR="00804AF0" w:rsidRDefault="009A47D6">
      <w:pPr>
        <w:jc w:val="both"/>
        <w:textAlignment w:val="baseline"/>
        <w:rPr>
          <w:rFonts w:ascii="Calibri" w:hAnsi="Calibri" w:cs="Calibri"/>
          <w:sz w:val="22"/>
          <w:szCs w:val="22"/>
        </w:rPr>
      </w:pPr>
      <w:r>
        <w:rPr>
          <w:rFonts w:ascii="Calibri" w:hAnsi="Calibri" w:cs="Calibri"/>
          <w:sz w:val="22"/>
          <w:szCs w:val="22"/>
        </w:rPr>
        <w:t xml:space="preserve">For the </w:t>
      </w:r>
      <w:r>
        <w:rPr>
          <w:rFonts w:ascii="Calibri" w:hAnsi="Calibri" w:cs="Calibri"/>
          <w:sz w:val="22"/>
          <w:szCs w:val="22"/>
          <w:lang w:eastAsia="en-GB"/>
        </w:rPr>
        <w:t>purposes</w:t>
      </w:r>
      <w:r>
        <w:rPr>
          <w:rFonts w:ascii="Calibri" w:hAnsi="Calibri" w:cs="Calibri"/>
          <w:sz w:val="22"/>
          <w:szCs w:val="22"/>
        </w:rPr>
        <w:t xml:space="preserve"> of </w:t>
      </w:r>
      <w:r>
        <w:rPr>
          <w:rFonts w:ascii="Calibri" w:hAnsi="Calibri" w:cs="Calibri"/>
          <w:sz w:val="22"/>
          <w:szCs w:val="22"/>
          <w:lang w:eastAsia="en-GB"/>
        </w:rPr>
        <w:t>this Policy</w:t>
      </w:r>
      <w:r>
        <w:rPr>
          <w:rFonts w:ascii="Calibri" w:hAnsi="Calibri" w:cs="Calibri"/>
          <w:sz w:val="22"/>
          <w:szCs w:val="22"/>
        </w:rPr>
        <w:t>, “similar position” shall mean a position under the same contract modality (</w:t>
      </w:r>
      <w:r>
        <w:rPr>
          <w:rFonts w:ascii="Calibri" w:hAnsi="Calibri" w:cs="Calibri"/>
          <w:sz w:val="22"/>
          <w:szCs w:val="22"/>
          <w:lang w:eastAsia="en-GB"/>
        </w:rPr>
        <w:t>IPSA</w:t>
      </w:r>
      <w:r>
        <w:rPr>
          <w:rFonts w:ascii="Calibri" w:hAnsi="Calibri" w:cs="Calibri"/>
          <w:sz w:val="22"/>
          <w:szCs w:val="22"/>
        </w:rPr>
        <w:t>), grade and band with two or less changes to the stated functions.  </w:t>
      </w:r>
    </w:p>
    <w:p w14:paraId="4E01BF26" w14:textId="77777777" w:rsidR="00804AF0" w:rsidRDefault="009A47D6">
      <w:pPr>
        <w:ind w:left="1080"/>
        <w:jc w:val="both"/>
        <w:textAlignment w:val="baseline"/>
        <w:rPr>
          <w:rFonts w:ascii="Calibri" w:hAnsi="Calibri" w:cs="Calibri"/>
          <w:sz w:val="22"/>
          <w:szCs w:val="22"/>
        </w:rPr>
      </w:pPr>
      <w:r>
        <w:rPr>
          <w:rFonts w:ascii="Calibri" w:hAnsi="Calibri" w:cs="Calibri"/>
          <w:sz w:val="22"/>
          <w:szCs w:val="22"/>
        </w:rPr>
        <w:t> </w:t>
      </w:r>
    </w:p>
    <w:p w14:paraId="340EF7A3" w14:textId="77777777" w:rsidR="00804AF0" w:rsidRDefault="009A47D6">
      <w:pPr>
        <w:jc w:val="both"/>
        <w:textAlignment w:val="baseline"/>
        <w:rPr>
          <w:rFonts w:ascii="Calibri" w:hAnsi="Calibri" w:cs="Calibri"/>
          <w:sz w:val="22"/>
          <w:szCs w:val="22"/>
        </w:rPr>
      </w:pPr>
      <w:bookmarkStart w:id="103" w:name="_Hlk59876997"/>
      <w:r>
        <w:rPr>
          <w:rFonts w:ascii="Calibri" w:hAnsi="Calibri" w:cs="Calibri"/>
          <w:b/>
          <w:sz w:val="22"/>
          <w:szCs w:val="22"/>
        </w:rPr>
        <w:t>C. Direct recruitment from a roster</w:t>
      </w:r>
      <w:r>
        <w:rPr>
          <w:rFonts w:ascii="Calibri" w:hAnsi="Calibri" w:cs="Calibri"/>
          <w:b/>
          <w:bCs/>
          <w:sz w:val="22"/>
          <w:szCs w:val="22"/>
          <w:lang w:eastAsia="en-GB"/>
        </w:rPr>
        <w:t> </w:t>
      </w:r>
      <w:r>
        <w:rPr>
          <w:rFonts w:ascii="Calibri" w:hAnsi="Calibri" w:cs="Calibri"/>
          <w:b/>
          <w:sz w:val="22"/>
          <w:szCs w:val="22"/>
        </w:rPr>
        <w:t>that has been formally recognized by UNDP</w:t>
      </w:r>
      <w:r>
        <w:rPr>
          <w:rFonts w:ascii="Calibri" w:hAnsi="Calibri" w:cs="Calibri"/>
          <w:sz w:val="22"/>
          <w:szCs w:val="22"/>
          <w:lang w:eastAsia="en-GB"/>
        </w:rPr>
        <w:t> </w:t>
      </w:r>
    </w:p>
    <w:bookmarkEnd w:id="103"/>
    <w:p w14:paraId="3D3EF218" w14:textId="77777777" w:rsidR="00804AF0" w:rsidRDefault="00804AF0">
      <w:pPr>
        <w:ind w:left="360" w:firstLine="720"/>
        <w:jc w:val="both"/>
        <w:textAlignment w:val="baseline"/>
        <w:rPr>
          <w:rFonts w:ascii="Calibri" w:hAnsi="Calibri" w:cs="Calibri"/>
          <w:sz w:val="22"/>
          <w:szCs w:val="22"/>
        </w:rPr>
      </w:pPr>
    </w:p>
    <w:p w14:paraId="32DA604E" w14:textId="77777777" w:rsidR="00804AF0" w:rsidRDefault="009A47D6">
      <w:pPr>
        <w:jc w:val="both"/>
        <w:textAlignment w:val="baseline"/>
        <w:rPr>
          <w:rFonts w:ascii="Calibri" w:hAnsi="Calibri" w:cs="Calibri"/>
          <w:sz w:val="22"/>
          <w:szCs w:val="22"/>
          <w:lang w:eastAsia="en-GB"/>
        </w:rPr>
      </w:pPr>
      <w:bookmarkStart w:id="104" w:name="_Hlk59877037"/>
      <w:r>
        <w:rPr>
          <w:rFonts w:ascii="Calibri" w:hAnsi="Calibri" w:cs="Calibri"/>
          <w:sz w:val="22"/>
          <w:szCs w:val="22"/>
          <w:lang w:eastAsia="en-GB"/>
        </w:rPr>
        <w:t>UNDP business units may also use a roster of pre–assessed candidates, in accordance with locally established roster procedures without having to go through a full process outlined in Section A. above. The selection from the roster remains subject to the approval of the Head of the Business Unit.</w:t>
      </w:r>
      <w:r>
        <w:rPr>
          <w:rFonts w:ascii="Calibri" w:hAnsi="Calibri" w:cs="Calibri"/>
          <w:color w:val="4472C4"/>
          <w:sz w:val="22"/>
          <w:szCs w:val="22"/>
          <w:lang w:eastAsia="en-GB"/>
        </w:rPr>
        <w:t> </w:t>
      </w:r>
    </w:p>
    <w:bookmarkEnd w:id="104"/>
    <w:p w14:paraId="7EAD6527" w14:textId="77777777" w:rsidR="00804AF0" w:rsidRDefault="009A47D6">
      <w:pPr>
        <w:ind w:left="720"/>
        <w:jc w:val="both"/>
        <w:textAlignment w:val="baseline"/>
        <w:rPr>
          <w:rFonts w:ascii="Calibri" w:hAnsi="Calibri" w:cs="Calibri"/>
          <w:sz w:val="22"/>
          <w:szCs w:val="22"/>
        </w:rPr>
      </w:pPr>
      <w:r>
        <w:rPr>
          <w:rFonts w:ascii="Calibri" w:hAnsi="Calibri" w:cs="Calibri"/>
          <w:sz w:val="22"/>
          <w:szCs w:val="22"/>
        </w:rPr>
        <w:t> </w:t>
      </w:r>
    </w:p>
    <w:p w14:paraId="5D0E7AAF" w14:textId="77777777" w:rsidR="00804AF0" w:rsidRDefault="009A47D6">
      <w:pPr>
        <w:jc w:val="both"/>
        <w:textAlignment w:val="baseline"/>
        <w:rPr>
          <w:rFonts w:ascii="Calibri" w:hAnsi="Calibri" w:cs="Calibri"/>
          <w:sz w:val="22"/>
          <w:szCs w:val="22"/>
        </w:rPr>
      </w:pPr>
      <w:r>
        <w:rPr>
          <w:rFonts w:ascii="Calibri" w:hAnsi="Calibri" w:cs="Calibri"/>
          <w:sz w:val="22"/>
          <w:szCs w:val="22"/>
        </w:rPr>
        <w:t>Where one or more suitable candidates is/are identified by the Head of the Business Unit , the remuneration to be offered will be calculated by the unit using the remuneration setting tool as relevant to the role described in the TORs and the duty station. </w:t>
      </w:r>
    </w:p>
    <w:p w14:paraId="0F856C9C" w14:textId="77777777" w:rsidR="00804AF0" w:rsidRDefault="009A47D6">
      <w:pPr>
        <w:ind w:left="720"/>
        <w:jc w:val="both"/>
        <w:textAlignment w:val="baseline"/>
        <w:rPr>
          <w:rFonts w:ascii="Calibri" w:hAnsi="Calibri" w:cs="Calibri"/>
          <w:sz w:val="22"/>
          <w:szCs w:val="22"/>
        </w:rPr>
      </w:pPr>
      <w:r>
        <w:rPr>
          <w:rFonts w:ascii="Calibri" w:hAnsi="Calibri" w:cs="Calibri"/>
          <w:sz w:val="22"/>
          <w:szCs w:val="22"/>
        </w:rPr>
        <w:t> </w:t>
      </w:r>
    </w:p>
    <w:p w14:paraId="0CA458C5" w14:textId="77777777" w:rsidR="00804AF0" w:rsidRDefault="009A47D6">
      <w:pPr>
        <w:jc w:val="both"/>
        <w:textAlignment w:val="baseline"/>
        <w:rPr>
          <w:rFonts w:ascii="Calibri" w:hAnsi="Calibri" w:cs="Calibri"/>
          <w:sz w:val="22"/>
          <w:szCs w:val="22"/>
        </w:rPr>
      </w:pPr>
      <w:r>
        <w:rPr>
          <w:rFonts w:ascii="Calibri" w:hAnsi="Calibri" w:cs="Calibri"/>
          <w:sz w:val="22"/>
          <w:szCs w:val="22"/>
        </w:rPr>
        <w:t>In such cases, a review or assessment process is not necessary. The recommendation and the criteria must be documented. </w:t>
      </w:r>
    </w:p>
    <w:p w14:paraId="17EE249B" w14:textId="77777777" w:rsidR="00804AF0" w:rsidRDefault="009A47D6">
      <w:pPr>
        <w:jc w:val="both"/>
        <w:textAlignment w:val="baseline"/>
        <w:rPr>
          <w:rFonts w:ascii="Calibri" w:hAnsi="Calibri" w:cs="Calibri"/>
          <w:sz w:val="22"/>
          <w:szCs w:val="22"/>
        </w:rPr>
      </w:pPr>
      <w:r>
        <w:rPr>
          <w:rFonts w:ascii="Calibri" w:hAnsi="Calibri" w:cs="Calibri"/>
          <w:sz w:val="22"/>
          <w:szCs w:val="22"/>
        </w:rPr>
        <w:t> </w:t>
      </w:r>
    </w:p>
    <w:p w14:paraId="25FF1A23" w14:textId="77777777" w:rsidR="00804AF0" w:rsidRDefault="009A47D6">
      <w:pPr>
        <w:jc w:val="both"/>
        <w:textAlignment w:val="baseline"/>
        <w:rPr>
          <w:rFonts w:ascii="Calibri" w:hAnsi="Calibri" w:cs="Calibri"/>
          <w:sz w:val="22"/>
          <w:szCs w:val="22"/>
        </w:rPr>
      </w:pPr>
      <w:r>
        <w:rPr>
          <w:rFonts w:ascii="Calibri" w:hAnsi="Calibri" w:cs="Calibri"/>
          <w:sz w:val="22"/>
          <w:szCs w:val="22"/>
        </w:rPr>
        <w:t>For certain roles, UNDP may access formally established personnel rosters of other UN, recognised multi-lateral international organizations and International Financial Institutions (IFI) to source suitable personnel. It is at the Hiring Manager’s discretion to select external partner personnel, through the clearance of the Regional HR Business Partner.  </w:t>
      </w:r>
    </w:p>
    <w:p w14:paraId="469A83A9" w14:textId="77777777" w:rsidR="00804AF0" w:rsidRDefault="009A47D6">
      <w:pPr>
        <w:ind w:left="1080"/>
        <w:jc w:val="both"/>
        <w:textAlignment w:val="baseline"/>
        <w:rPr>
          <w:rFonts w:ascii="Calibri" w:hAnsi="Calibri" w:cs="Calibri"/>
          <w:sz w:val="22"/>
          <w:szCs w:val="22"/>
        </w:rPr>
      </w:pPr>
      <w:r>
        <w:rPr>
          <w:rFonts w:ascii="Calibri" w:hAnsi="Calibri" w:cs="Calibri"/>
          <w:sz w:val="22"/>
          <w:szCs w:val="22"/>
        </w:rPr>
        <w:t> </w:t>
      </w:r>
    </w:p>
    <w:p w14:paraId="30B9C728" w14:textId="77777777" w:rsidR="00804AF0" w:rsidRDefault="009A47D6">
      <w:pPr>
        <w:jc w:val="both"/>
        <w:textAlignment w:val="baseline"/>
        <w:rPr>
          <w:rFonts w:ascii="Calibri" w:hAnsi="Calibri" w:cs="Calibri"/>
          <w:b/>
          <w:sz w:val="22"/>
          <w:szCs w:val="22"/>
        </w:rPr>
      </w:pPr>
      <w:bookmarkStart w:id="105" w:name="_Hlk58164679"/>
      <w:r>
        <w:rPr>
          <w:rFonts w:ascii="Calibri" w:hAnsi="Calibri" w:cs="Calibri"/>
          <w:b/>
          <w:sz w:val="22"/>
          <w:szCs w:val="22"/>
        </w:rPr>
        <w:t>D. Direct selection</w:t>
      </w:r>
      <w:r>
        <w:rPr>
          <w:rFonts w:ascii="Calibri" w:hAnsi="Calibri" w:cs="Calibri"/>
          <w:b/>
          <w:bCs/>
          <w:sz w:val="22"/>
          <w:szCs w:val="22"/>
          <w:lang w:eastAsia="en-GB"/>
        </w:rPr>
        <w:t> </w:t>
      </w:r>
      <w:r>
        <w:rPr>
          <w:rFonts w:ascii="Calibri" w:hAnsi="Calibri" w:cs="Calibri"/>
          <w:b/>
          <w:sz w:val="22"/>
          <w:szCs w:val="22"/>
        </w:rPr>
        <w:t>of a candidate</w:t>
      </w:r>
    </w:p>
    <w:p w14:paraId="621A1E6C"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lastRenderedPageBreak/>
        <w:t xml:space="preserve">  </w:t>
      </w:r>
    </w:p>
    <w:p w14:paraId="1F0E0DB9" w14:textId="77777777" w:rsidR="00804AF0" w:rsidRDefault="009A47D6">
      <w:pPr>
        <w:jc w:val="both"/>
        <w:textAlignment w:val="baseline"/>
        <w:rPr>
          <w:rFonts w:ascii="Calibri" w:hAnsi="Calibri" w:cs="Calibri"/>
          <w:sz w:val="22"/>
          <w:szCs w:val="22"/>
          <w:lang w:eastAsia="en-GB"/>
        </w:rPr>
      </w:pPr>
      <w:bookmarkStart w:id="106" w:name="_Hlk59877180"/>
      <w:r>
        <w:rPr>
          <w:rFonts w:ascii="Calibri" w:hAnsi="Calibri" w:cs="Calibri"/>
          <w:sz w:val="22"/>
          <w:szCs w:val="22"/>
          <w:lang w:eastAsia="en-GB"/>
        </w:rPr>
        <w:t>The UNDP Administrator, Associate Administrator or their delegates (RB Directors and Deputies, UNV or UNCDF Executive Coordinator, and UNOSSC Director) may hire a candidate on any IPSA position directly. </w:t>
      </w:r>
    </w:p>
    <w:p w14:paraId="793128AD" w14:textId="77777777" w:rsidR="00804AF0" w:rsidRDefault="009A47D6">
      <w:pPr>
        <w:ind w:left="360"/>
        <w:jc w:val="both"/>
        <w:textAlignment w:val="baseline"/>
        <w:rPr>
          <w:rFonts w:ascii="Calibri" w:hAnsi="Calibri" w:cs="Calibri"/>
          <w:sz w:val="22"/>
          <w:szCs w:val="22"/>
          <w:lang w:eastAsia="en-GB"/>
        </w:rPr>
      </w:pPr>
      <w:r>
        <w:rPr>
          <w:rFonts w:ascii="Calibri" w:hAnsi="Calibri" w:cs="Calibri"/>
          <w:sz w:val="22"/>
          <w:szCs w:val="22"/>
          <w:lang w:eastAsia="en-GB"/>
        </w:rPr>
        <w:t> </w:t>
      </w:r>
    </w:p>
    <w:p w14:paraId="6DF27712" w14:textId="77777777" w:rsidR="00804AF0" w:rsidRDefault="009A47D6">
      <w:pPr>
        <w:jc w:val="both"/>
        <w:textAlignment w:val="baseline"/>
        <w:rPr>
          <w:rFonts w:ascii="Calibri" w:hAnsi="Calibri" w:cs="Calibri"/>
          <w:sz w:val="22"/>
          <w:szCs w:val="22"/>
        </w:rPr>
      </w:pPr>
      <w:r>
        <w:rPr>
          <w:rFonts w:ascii="Calibri" w:hAnsi="Calibri" w:cs="Calibri"/>
          <w:sz w:val="22"/>
          <w:szCs w:val="22"/>
          <w:lang w:eastAsia="en-GB"/>
        </w:rPr>
        <w:t>In instances where business needs prevail, for example, in emergency response situations, the Head of the Business Unit (RRs/DRRs in country offices) may select individuals directly and contract them under a short-term IPSA, provided the candidate meets the requirements of the position.</w:t>
      </w:r>
      <w:r>
        <w:rPr>
          <w:rFonts w:ascii="Calibri" w:hAnsi="Calibri" w:cs="Calibri"/>
          <w:sz w:val="22"/>
          <w:szCs w:val="22"/>
        </w:rPr>
        <w:t> </w:t>
      </w:r>
      <w:bookmarkEnd w:id="106"/>
    </w:p>
    <w:bookmarkEnd w:id="105"/>
    <w:p w14:paraId="09CEE20E" w14:textId="77777777" w:rsidR="00804AF0" w:rsidRDefault="00804AF0">
      <w:pPr>
        <w:jc w:val="both"/>
        <w:textAlignment w:val="baseline"/>
        <w:rPr>
          <w:rFonts w:ascii="Calibri" w:hAnsi="Calibri" w:cs="Calibri"/>
          <w:b/>
          <w:bCs/>
          <w:sz w:val="22"/>
          <w:szCs w:val="22"/>
          <w:u w:val="single"/>
          <w:lang w:eastAsia="en-GB"/>
        </w:rPr>
      </w:pPr>
    </w:p>
    <w:p w14:paraId="60C2F7F2" w14:textId="77777777" w:rsidR="00804AF0" w:rsidRDefault="009A47D6">
      <w:pPr>
        <w:jc w:val="both"/>
        <w:textAlignment w:val="baseline"/>
        <w:rPr>
          <w:rFonts w:ascii="Calibri" w:hAnsi="Calibri" w:cs="Calibri"/>
          <w:b/>
          <w:sz w:val="22"/>
          <w:szCs w:val="22"/>
        </w:rPr>
      </w:pPr>
      <w:r>
        <w:rPr>
          <w:rFonts w:ascii="Calibri" w:hAnsi="Calibri" w:cs="Calibri"/>
          <w:b/>
          <w:sz w:val="22"/>
          <w:szCs w:val="22"/>
        </w:rPr>
        <w:t xml:space="preserve">E. Review and assessment of at least 2 candidates (for short-term IPSAs only) </w:t>
      </w:r>
    </w:p>
    <w:p w14:paraId="32AED5FB" w14:textId="77777777" w:rsidR="00804AF0" w:rsidRDefault="00804AF0">
      <w:pPr>
        <w:jc w:val="both"/>
        <w:textAlignment w:val="baseline"/>
        <w:rPr>
          <w:rFonts w:ascii="Calibri" w:hAnsi="Calibri" w:cs="Calibri"/>
          <w:b/>
          <w:sz w:val="22"/>
          <w:szCs w:val="22"/>
        </w:rPr>
      </w:pPr>
    </w:p>
    <w:p w14:paraId="7853DA91" w14:textId="77777777" w:rsidR="00804AF0" w:rsidRDefault="009A47D6">
      <w:pPr>
        <w:jc w:val="both"/>
        <w:textAlignment w:val="baseline"/>
        <w:rPr>
          <w:rFonts w:ascii="Calibri" w:hAnsi="Calibri" w:cs="Calibri"/>
          <w:sz w:val="22"/>
          <w:szCs w:val="22"/>
        </w:rPr>
      </w:pPr>
      <w:r>
        <w:rPr>
          <w:rFonts w:ascii="Calibri" w:hAnsi="Calibri" w:cs="Calibri"/>
          <w:sz w:val="22"/>
          <w:szCs w:val="22"/>
        </w:rPr>
        <w:t xml:space="preserve">A hiring unit may proceed to a competitive selection via a review and assessment of at least 2 qualified candidates CVs/P11s. </w:t>
      </w:r>
    </w:p>
    <w:p w14:paraId="43F4EB74" w14:textId="77777777" w:rsidR="00804AF0" w:rsidRDefault="00804AF0">
      <w:pPr>
        <w:jc w:val="both"/>
        <w:textAlignment w:val="baseline"/>
        <w:rPr>
          <w:rFonts w:ascii="Calibri" w:hAnsi="Calibri" w:cs="Calibri"/>
          <w:b/>
          <w:bCs/>
          <w:sz w:val="22"/>
          <w:szCs w:val="22"/>
          <w:u w:val="single"/>
          <w:lang w:eastAsia="en-GB"/>
        </w:rPr>
      </w:pPr>
    </w:p>
    <w:p w14:paraId="25F9A7DF" w14:textId="77777777" w:rsidR="00804AF0" w:rsidRDefault="00804AF0">
      <w:pPr>
        <w:jc w:val="both"/>
        <w:textAlignment w:val="baseline"/>
        <w:rPr>
          <w:rFonts w:ascii="Calibri" w:hAnsi="Calibri" w:cs="Calibri"/>
          <w:sz w:val="22"/>
          <w:szCs w:val="22"/>
        </w:rPr>
      </w:pPr>
    </w:p>
    <w:p w14:paraId="75A9CA9C" w14:textId="77777777" w:rsidR="00804AF0" w:rsidRDefault="009A47D6">
      <w:pPr>
        <w:jc w:val="both"/>
        <w:textAlignment w:val="baseline"/>
        <w:rPr>
          <w:rFonts w:ascii="Calibri" w:hAnsi="Calibri" w:cs="Calibri"/>
          <w:b/>
          <w:sz w:val="22"/>
          <w:szCs w:val="22"/>
          <w:u w:val="single"/>
        </w:rPr>
      </w:pPr>
      <w:r>
        <w:rPr>
          <w:rFonts w:ascii="Calibri" w:hAnsi="Calibri" w:cs="Calibri"/>
          <w:b/>
          <w:sz w:val="22"/>
          <w:szCs w:val="22"/>
          <w:u w:val="single"/>
        </w:rPr>
        <w:t xml:space="preserve">Assessment procedures: </w:t>
      </w:r>
    </w:p>
    <w:p w14:paraId="0DCEB025" w14:textId="77777777" w:rsidR="00804AF0" w:rsidRDefault="00804AF0">
      <w:pPr>
        <w:jc w:val="both"/>
        <w:textAlignment w:val="baseline"/>
        <w:rPr>
          <w:rFonts w:ascii="Calibri" w:hAnsi="Calibri" w:cs="Calibri"/>
          <w:b/>
          <w:sz w:val="22"/>
          <w:szCs w:val="22"/>
          <w:u w:val="single"/>
        </w:rPr>
      </w:pPr>
    </w:p>
    <w:p w14:paraId="4D483D74" w14:textId="77777777" w:rsidR="00804AF0" w:rsidRDefault="009A47D6">
      <w:pPr>
        <w:jc w:val="both"/>
        <w:textAlignment w:val="baseline"/>
        <w:rPr>
          <w:rFonts w:ascii="Calibri" w:hAnsi="Calibri" w:cs="Calibri"/>
          <w:sz w:val="22"/>
          <w:szCs w:val="22"/>
        </w:rPr>
      </w:pPr>
      <w:r>
        <w:rPr>
          <w:rFonts w:ascii="Calibri" w:hAnsi="Calibri" w:cs="Calibri"/>
          <w:sz w:val="22"/>
          <w:szCs w:val="22"/>
        </w:rPr>
        <w:t>The assessment procedures used to evaluate candidates for a specific position may vary depending on the position requirements. </w:t>
      </w:r>
    </w:p>
    <w:p w14:paraId="676A65F4" w14:textId="77777777" w:rsidR="00804AF0" w:rsidRDefault="009A47D6">
      <w:pPr>
        <w:jc w:val="both"/>
        <w:textAlignment w:val="baseline"/>
        <w:rPr>
          <w:rFonts w:ascii="Calibri" w:hAnsi="Calibri" w:cs="Calibri"/>
          <w:sz w:val="22"/>
          <w:szCs w:val="22"/>
        </w:rPr>
      </w:pPr>
      <w:r>
        <w:rPr>
          <w:rFonts w:ascii="Calibri" w:hAnsi="Calibri" w:cs="Calibri"/>
          <w:sz w:val="22"/>
          <w:szCs w:val="22"/>
        </w:rPr>
        <w:t> </w:t>
      </w:r>
    </w:p>
    <w:p w14:paraId="77D6212C" w14:textId="77777777" w:rsidR="00804AF0" w:rsidRDefault="009A47D6">
      <w:pPr>
        <w:jc w:val="both"/>
        <w:textAlignment w:val="baseline"/>
        <w:rPr>
          <w:rFonts w:ascii="Calibri" w:hAnsi="Calibri" w:cs="Calibri"/>
          <w:sz w:val="22"/>
          <w:szCs w:val="22"/>
        </w:rPr>
      </w:pPr>
      <w:r>
        <w:rPr>
          <w:rFonts w:ascii="Calibri" w:hAnsi="Calibri" w:cs="Calibri"/>
          <w:sz w:val="22"/>
          <w:szCs w:val="22"/>
        </w:rPr>
        <w:t>The Hiring Manager, in consultation with the HR focal point, will decide on the assessment methodologies to be used to best determine the suitability of the candidate for the position, as well as the relative weight to be assigned to each assessment technique. In order to ensure transparency, Hiring Managers are required to account fully for all techniques used and relative weights assigned. </w:t>
      </w:r>
    </w:p>
    <w:p w14:paraId="6CC38586" w14:textId="77777777" w:rsidR="00804AF0" w:rsidRDefault="009A47D6">
      <w:pPr>
        <w:jc w:val="both"/>
        <w:textAlignment w:val="baseline"/>
        <w:rPr>
          <w:rFonts w:ascii="Calibri" w:hAnsi="Calibri" w:cs="Calibri"/>
          <w:sz w:val="22"/>
          <w:szCs w:val="22"/>
        </w:rPr>
      </w:pPr>
      <w:r>
        <w:rPr>
          <w:rFonts w:ascii="Calibri" w:hAnsi="Calibri" w:cs="Calibri"/>
          <w:sz w:val="22"/>
          <w:szCs w:val="22"/>
        </w:rPr>
        <w:t> </w:t>
      </w:r>
    </w:p>
    <w:p w14:paraId="23E65F4A" w14:textId="77777777" w:rsidR="00804AF0" w:rsidRDefault="009A47D6">
      <w:pPr>
        <w:jc w:val="both"/>
        <w:textAlignment w:val="baseline"/>
        <w:rPr>
          <w:rFonts w:ascii="Calibri" w:hAnsi="Calibri" w:cs="Calibri"/>
          <w:sz w:val="22"/>
          <w:szCs w:val="22"/>
        </w:rPr>
      </w:pPr>
      <w:r>
        <w:rPr>
          <w:rFonts w:ascii="Calibri" w:hAnsi="Calibri" w:cs="Calibri"/>
          <w:sz w:val="22"/>
          <w:szCs w:val="22"/>
        </w:rPr>
        <w:t>To ensure a fair and equal assessment of all candidates, assessments for the same position must be conducted following the same assessment methods. </w:t>
      </w:r>
    </w:p>
    <w:p w14:paraId="57E26C3A" w14:textId="77777777" w:rsidR="00804AF0" w:rsidRDefault="00804AF0">
      <w:pPr>
        <w:jc w:val="both"/>
        <w:textAlignment w:val="baseline"/>
        <w:rPr>
          <w:rFonts w:ascii="Calibri" w:hAnsi="Calibri" w:cs="Calibri"/>
          <w:sz w:val="22"/>
          <w:szCs w:val="22"/>
        </w:rPr>
      </w:pPr>
    </w:p>
    <w:p w14:paraId="245EDED0" w14:textId="77777777" w:rsidR="00804AF0" w:rsidRDefault="009A47D6">
      <w:pPr>
        <w:jc w:val="both"/>
        <w:textAlignment w:val="baseline"/>
        <w:rPr>
          <w:rFonts w:ascii="Calibri" w:hAnsi="Calibri" w:cs="Calibri"/>
          <w:b/>
          <w:sz w:val="22"/>
          <w:szCs w:val="22"/>
        </w:rPr>
      </w:pPr>
      <w:r>
        <w:rPr>
          <w:rFonts w:ascii="Calibri" w:hAnsi="Calibri" w:cs="Calibri"/>
          <w:b/>
          <w:sz w:val="22"/>
          <w:szCs w:val="22"/>
        </w:rPr>
        <w:t>A. Interview panel</w:t>
      </w:r>
    </w:p>
    <w:p w14:paraId="6696A10F" w14:textId="77777777" w:rsidR="00804AF0" w:rsidRDefault="00804AF0">
      <w:pPr>
        <w:jc w:val="both"/>
        <w:textAlignment w:val="baseline"/>
        <w:rPr>
          <w:rFonts w:ascii="Calibri" w:hAnsi="Calibri" w:cs="Calibri"/>
          <w:sz w:val="22"/>
          <w:szCs w:val="22"/>
        </w:rPr>
      </w:pPr>
    </w:p>
    <w:p w14:paraId="3BADB1F0" w14:textId="01E77FDB" w:rsidR="00804AF0" w:rsidRDefault="009A47D6">
      <w:pPr>
        <w:jc w:val="both"/>
        <w:textAlignment w:val="baseline"/>
        <w:rPr>
          <w:rFonts w:ascii="Calibri" w:hAnsi="Calibri" w:cs="Calibri"/>
          <w:sz w:val="22"/>
          <w:szCs w:val="22"/>
        </w:rPr>
      </w:pPr>
      <w:r>
        <w:rPr>
          <w:rFonts w:ascii="Calibri" w:hAnsi="Calibri" w:cs="Calibri"/>
          <w:sz w:val="22"/>
          <w:szCs w:val="22"/>
        </w:rPr>
        <w:t xml:space="preserve">The Hiring Unit can establish an ad hoc panel made up of at least three UNDP members of personnel, either </w:t>
      </w:r>
      <w:r w:rsidR="00AE4A4A" w:rsidRPr="00AE4A4A">
        <w:rPr>
          <w:rFonts w:ascii="Calibri" w:hAnsi="Calibri" w:cs="Calibri"/>
          <w:sz w:val="22"/>
          <w:szCs w:val="22"/>
        </w:rPr>
        <w:t xml:space="preserve">staff (PA/FTA/TA) </w:t>
      </w:r>
      <w:r>
        <w:rPr>
          <w:rFonts w:ascii="Calibri" w:hAnsi="Calibri" w:cs="Calibri"/>
          <w:sz w:val="22"/>
          <w:szCs w:val="22"/>
        </w:rPr>
        <w:t xml:space="preserve">or </w:t>
      </w:r>
      <w:r>
        <w:rPr>
          <w:rFonts w:ascii="Calibri" w:hAnsi="Calibri" w:cs="Calibri"/>
          <w:sz w:val="22"/>
          <w:szCs w:val="22"/>
          <w:lang w:eastAsia="en-GB"/>
        </w:rPr>
        <w:t>PSA</w:t>
      </w:r>
      <w:r>
        <w:rPr>
          <w:rFonts w:ascii="Calibri" w:hAnsi="Calibri" w:cs="Calibri"/>
          <w:sz w:val="22"/>
          <w:szCs w:val="22"/>
        </w:rPr>
        <w:t xml:space="preserve"> holders</w:t>
      </w:r>
      <w:r w:rsidR="00AE4A4A">
        <w:rPr>
          <w:rFonts w:ascii="Calibri" w:hAnsi="Calibri" w:cs="Calibri"/>
          <w:sz w:val="22"/>
          <w:szCs w:val="22"/>
        </w:rPr>
        <w:t xml:space="preserve"> </w:t>
      </w:r>
      <w:r>
        <w:rPr>
          <w:rFonts w:ascii="Calibri" w:hAnsi="Calibri" w:cs="Calibri"/>
          <w:sz w:val="22"/>
          <w:szCs w:val="22"/>
        </w:rPr>
        <w:t xml:space="preserve">at the same level or higher as that of the IPSA position under assessment. </w:t>
      </w:r>
      <w:r w:rsidR="00AE4A4A" w:rsidRPr="00AE4A4A">
        <w:rPr>
          <w:rFonts w:ascii="Calibri" w:hAnsi="Calibri" w:cs="Calibri"/>
          <w:sz w:val="22"/>
          <w:szCs w:val="22"/>
        </w:rPr>
        <w:t xml:space="preserve">The panel should include at least one panel member from outside the hiring unit (which may be within the same duty station/office if it is outside the work unit undertaking the hiring). </w:t>
      </w:r>
      <w:r>
        <w:rPr>
          <w:rFonts w:ascii="Calibri" w:hAnsi="Calibri" w:cs="Calibri"/>
          <w:sz w:val="22"/>
          <w:szCs w:val="22"/>
        </w:rPr>
        <w:t xml:space="preserve">The panel will normally be </w:t>
      </w:r>
      <w:r>
        <w:rPr>
          <w:rFonts w:ascii="Calibri" w:hAnsi="Calibri" w:cs="Calibri"/>
          <w:sz w:val="22"/>
          <w:szCs w:val="22"/>
          <w:lang w:eastAsia="en-GB"/>
        </w:rPr>
        <w:t xml:space="preserve">chaired by </w:t>
      </w:r>
      <w:proofErr w:type="gramStart"/>
      <w:r>
        <w:rPr>
          <w:rFonts w:ascii="Calibri" w:hAnsi="Calibri" w:cs="Calibri"/>
          <w:sz w:val="22"/>
          <w:szCs w:val="22"/>
          <w:lang w:eastAsia="en-GB"/>
        </w:rPr>
        <w:t>a</w:t>
      </w:r>
      <w:proofErr w:type="gramEnd"/>
      <w:r>
        <w:rPr>
          <w:rFonts w:ascii="Calibri" w:hAnsi="Calibri" w:cs="Calibri"/>
          <w:sz w:val="22"/>
          <w:szCs w:val="22"/>
          <w:lang w:eastAsia="en-GB"/>
        </w:rPr>
        <w:t xml:space="preserve"> FTA </w:t>
      </w:r>
      <w:r w:rsidR="00471784">
        <w:rPr>
          <w:rFonts w:ascii="Calibri" w:hAnsi="Calibri" w:cs="Calibri"/>
          <w:sz w:val="22"/>
          <w:szCs w:val="22"/>
          <w:lang w:eastAsia="en-GB"/>
        </w:rPr>
        <w:t>staff member.</w:t>
      </w:r>
      <w:r w:rsidR="00713ED2">
        <w:rPr>
          <w:rFonts w:ascii="Calibri" w:hAnsi="Calibri" w:cs="Calibri"/>
          <w:sz w:val="22"/>
          <w:szCs w:val="22"/>
          <w:lang w:eastAsia="en-GB"/>
        </w:rPr>
        <w:t xml:space="preserve"> </w:t>
      </w:r>
      <w:r w:rsidR="00471784">
        <w:rPr>
          <w:rFonts w:ascii="Calibri" w:hAnsi="Calibri" w:cs="Calibri"/>
          <w:sz w:val="22"/>
          <w:szCs w:val="22"/>
          <w:lang w:eastAsia="en-GB"/>
        </w:rPr>
        <w:t>H</w:t>
      </w:r>
      <w:r>
        <w:rPr>
          <w:rFonts w:ascii="Calibri" w:hAnsi="Calibri" w:cs="Calibri"/>
          <w:sz w:val="22"/>
          <w:szCs w:val="22"/>
          <w:lang w:eastAsia="en-GB"/>
        </w:rPr>
        <w:t xml:space="preserve">owever, when this is not possible, the Head of the Business Unit may authorize the chair of the interview panel to be the PSA holder holding the highest level. Due consideration should be given to diversity and gender considerations, as appropriate for the duty station. </w:t>
      </w:r>
      <w:r>
        <w:rPr>
          <w:rFonts w:ascii="Calibri" w:hAnsi="Calibri" w:cs="Calibri"/>
          <w:sz w:val="22"/>
          <w:szCs w:val="22"/>
          <w:u w:val="single"/>
          <w:lang w:eastAsia="en-GB"/>
        </w:rPr>
        <w:t>The panel provides its recommendation to the Head of the Business Unit for a final decision</w:t>
      </w:r>
      <w:r>
        <w:rPr>
          <w:rFonts w:ascii="Calibri" w:hAnsi="Calibri" w:cs="Calibri"/>
          <w:sz w:val="22"/>
          <w:szCs w:val="22"/>
        </w:rPr>
        <w:t>.</w:t>
      </w:r>
    </w:p>
    <w:p w14:paraId="7B177938" w14:textId="77777777" w:rsidR="00471784" w:rsidRDefault="00471784">
      <w:pPr>
        <w:jc w:val="both"/>
        <w:textAlignment w:val="baseline"/>
        <w:rPr>
          <w:rFonts w:ascii="Calibri" w:hAnsi="Calibri" w:cs="Calibri"/>
          <w:sz w:val="22"/>
          <w:szCs w:val="22"/>
        </w:rPr>
      </w:pPr>
    </w:p>
    <w:p w14:paraId="45EDB886" w14:textId="3D28F6B9" w:rsidR="00471784" w:rsidRDefault="00471784">
      <w:pPr>
        <w:jc w:val="both"/>
        <w:textAlignment w:val="baseline"/>
        <w:rPr>
          <w:rFonts w:ascii="Calibri" w:hAnsi="Calibri" w:cs="Calibri"/>
          <w:sz w:val="22"/>
          <w:szCs w:val="22"/>
        </w:rPr>
      </w:pPr>
      <w:r w:rsidRPr="00471784">
        <w:rPr>
          <w:rFonts w:ascii="Calibri" w:hAnsi="Calibri" w:cs="Calibri"/>
          <w:sz w:val="22"/>
          <w:szCs w:val="22"/>
        </w:rPr>
        <w:t xml:space="preserve">Note: Other recruitment </w:t>
      </w:r>
      <w:r w:rsidR="002815D0" w:rsidRPr="00471784">
        <w:rPr>
          <w:rFonts w:ascii="Calibri" w:hAnsi="Calibri" w:cs="Calibri"/>
          <w:sz w:val="22"/>
          <w:szCs w:val="22"/>
        </w:rPr>
        <w:t>collaborators,</w:t>
      </w:r>
      <w:r w:rsidRPr="00471784">
        <w:rPr>
          <w:rFonts w:ascii="Calibri" w:hAnsi="Calibri" w:cs="Calibri"/>
          <w:sz w:val="22"/>
          <w:szCs w:val="22"/>
        </w:rPr>
        <w:t xml:space="preserve"> including shortlisters and assessment </w:t>
      </w:r>
      <w:proofErr w:type="gramStart"/>
      <w:r w:rsidRPr="00471784">
        <w:rPr>
          <w:rFonts w:ascii="Calibri" w:hAnsi="Calibri" w:cs="Calibri"/>
          <w:sz w:val="22"/>
          <w:szCs w:val="22"/>
        </w:rPr>
        <w:t>scorers</w:t>
      </w:r>
      <w:proofErr w:type="gramEnd"/>
      <w:r w:rsidRPr="00471784">
        <w:rPr>
          <w:rFonts w:ascii="Calibri" w:hAnsi="Calibri" w:cs="Calibri"/>
          <w:sz w:val="22"/>
          <w:szCs w:val="22"/>
        </w:rPr>
        <w:t xml:space="preserve"> should also be at the same level or higher as that of the </w:t>
      </w:r>
      <w:r w:rsidR="00761023">
        <w:rPr>
          <w:rFonts w:ascii="Calibri" w:hAnsi="Calibri" w:cs="Calibri"/>
          <w:sz w:val="22"/>
          <w:szCs w:val="22"/>
        </w:rPr>
        <w:t>I</w:t>
      </w:r>
      <w:r w:rsidRPr="00471784">
        <w:rPr>
          <w:rFonts w:ascii="Calibri" w:hAnsi="Calibri" w:cs="Calibri"/>
          <w:sz w:val="22"/>
          <w:szCs w:val="22"/>
        </w:rPr>
        <w:t>PSA position under assessment. To ensure segregation of roles across the different stages of the recruitment process, each collaborator can only participate in one recruitment stage: shortlisting, assessment marking or the interview panel.</w:t>
      </w:r>
    </w:p>
    <w:p w14:paraId="119016D6" w14:textId="77777777" w:rsidR="00804AF0" w:rsidRDefault="00804AF0">
      <w:pPr>
        <w:jc w:val="both"/>
        <w:textAlignment w:val="baseline"/>
        <w:rPr>
          <w:rFonts w:ascii="Calibri" w:hAnsi="Calibri" w:cs="Calibri"/>
          <w:b/>
          <w:bCs/>
          <w:sz w:val="22"/>
          <w:szCs w:val="22"/>
          <w:u w:val="single"/>
          <w:lang w:eastAsia="en-GB"/>
        </w:rPr>
      </w:pPr>
    </w:p>
    <w:p w14:paraId="5FC8D0A1" w14:textId="77777777" w:rsidR="00804AF0" w:rsidRDefault="009A47D6">
      <w:pPr>
        <w:jc w:val="both"/>
        <w:rPr>
          <w:rFonts w:ascii="Calibri" w:hAnsi="Calibri" w:cs="Calibri"/>
          <w:sz w:val="22"/>
          <w:szCs w:val="22"/>
          <w:lang w:eastAsia="en-GB"/>
        </w:rPr>
      </w:pPr>
      <w:r>
        <w:rPr>
          <w:rFonts w:ascii="Calibri" w:hAnsi="Calibri" w:cs="Calibri"/>
          <w:b/>
          <w:bCs/>
          <w:sz w:val="22"/>
          <w:szCs w:val="22"/>
          <w:u w:val="single"/>
        </w:rPr>
        <w:lastRenderedPageBreak/>
        <w:t xml:space="preserve">Note: </w:t>
      </w:r>
      <w:r>
        <w:rPr>
          <w:rFonts w:ascii="Calibri" w:hAnsi="Calibri" w:cs="Calibri"/>
          <w:sz w:val="22"/>
          <w:szCs w:val="22"/>
        </w:rPr>
        <w:t xml:space="preserve">Notwithstanding that programme delivery increasingly relies upon building a close partnership with governments, participation of national counterparts or government officials on UNDP interview panels </w:t>
      </w:r>
      <w:r>
        <w:rPr>
          <w:rFonts w:ascii="Calibri" w:hAnsi="Calibri" w:cs="Calibri"/>
          <w:b/>
          <w:bCs/>
          <w:i/>
          <w:iCs/>
          <w:sz w:val="22"/>
          <w:szCs w:val="22"/>
        </w:rPr>
        <w:t>is generally discouraged</w:t>
      </w:r>
      <w:r>
        <w:rPr>
          <w:rFonts w:ascii="Calibri" w:hAnsi="Calibri" w:cs="Calibri"/>
          <w:sz w:val="22"/>
          <w:szCs w:val="22"/>
        </w:rPr>
        <w:t xml:space="preserve"> but may be permissible in the capacity of “observer”.  In considering </w:t>
      </w:r>
      <w:r>
        <w:rPr>
          <w:rFonts w:ascii="Calibri" w:hAnsi="Calibri" w:cs="Calibri"/>
          <w:sz w:val="22"/>
          <w:szCs w:val="22"/>
          <w:lang w:eastAsia="en-GB"/>
        </w:rPr>
        <w:t>if a national counterpart or government official will participate in a panel as an observer, Hiring Units must fully consider the principle of independence as articulated in the United Nations Charter, and determine whether or not such participation would compromise the actual, or perceived, independence of UNDP.</w:t>
      </w:r>
    </w:p>
    <w:p w14:paraId="35F895DE" w14:textId="77777777" w:rsidR="00804AF0" w:rsidRDefault="00804AF0">
      <w:pPr>
        <w:jc w:val="both"/>
        <w:textAlignment w:val="baseline"/>
        <w:rPr>
          <w:rFonts w:ascii="Calibri" w:hAnsi="Calibri" w:cs="Calibri"/>
          <w:sz w:val="22"/>
          <w:szCs w:val="22"/>
        </w:rPr>
      </w:pPr>
    </w:p>
    <w:p w14:paraId="1C9A3646" w14:textId="77777777" w:rsidR="00804AF0" w:rsidRDefault="009A47D6">
      <w:pPr>
        <w:jc w:val="both"/>
        <w:textAlignment w:val="baseline"/>
        <w:rPr>
          <w:rFonts w:ascii="Calibri" w:hAnsi="Calibri" w:cs="Calibri"/>
          <w:sz w:val="22"/>
          <w:szCs w:val="22"/>
        </w:rPr>
      </w:pPr>
      <w:r>
        <w:rPr>
          <w:rFonts w:ascii="Calibri" w:hAnsi="Calibri" w:cs="Calibri"/>
          <w:b/>
          <w:sz w:val="22"/>
          <w:szCs w:val="22"/>
        </w:rPr>
        <w:t>B. Technical assessments </w:t>
      </w:r>
    </w:p>
    <w:p w14:paraId="6320DFFD" w14:textId="77777777" w:rsidR="00804AF0" w:rsidRDefault="00804AF0">
      <w:pPr>
        <w:jc w:val="both"/>
        <w:textAlignment w:val="baseline"/>
        <w:rPr>
          <w:rFonts w:ascii="Calibri" w:hAnsi="Calibri" w:cs="Calibri"/>
          <w:sz w:val="22"/>
          <w:szCs w:val="22"/>
        </w:rPr>
      </w:pPr>
    </w:p>
    <w:p w14:paraId="7F3DCE77" w14:textId="77777777" w:rsidR="00804AF0" w:rsidRDefault="009A47D6">
      <w:pPr>
        <w:jc w:val="both"/>
        <w:rPr>
          <w:rFonts w:ascii="Calibri" w:hAnsi="Calibri" w:cs="Calibri"/>
          <w:sz w:val="22"/>
          <w:szCs w:val="22"/>
          <w:lang w:eastAsia="en-GB"/>
        </w:rPr>
      </w:pPr>
      <w:r>
        <w:rPr>
          <w:rFonts w:ascii="Calibri" w:hAnsi="Calibri" w:cs="Calibri"/>
          <w:sz w:val="22"/>
          <w:szCs w:val="22"/>
          <w:lang w:eastAsia="en-GB"/>
        </w:rPr>
        <w:t>It is important to ensure candidates can deliver the technical aspects of the role. The Hiring Unit has several options to confirm this aspect of the candidate’s profile. This includes psychometric and skill-based assessments offered internally or through an external firm; Asynchronous interviews through a provider such as Vid-cruter; A technical phone screen, writing sample or assessment. The Hiring Unit must share a rubric to assist with evaluating the response from the candidate.</w:t>
      </w:r>
    </w:p>
    <w:p w14:paraId="0126981B" w14:textId="77777777" w:rsidR="00804AF0" w:rsidRDefault="00804AF0">
      <w:pPr>
        <w:jc w:val="both"/>
        <w:rPr>
          <w:rFonts w:ascii="Calibri" w:hAnsi="Calibri" w:cs="Calibri"/>
          <w:sz w:val="22"/>
          <w:szCs w:val="22"/>
          <w:lang w:eastAsia="en-GB"/>
        </w:rPr>
      </w:pPr>
    </w:p>
    <w:p w14:paraId="40A5F470" w14:textId="77777777" w:rsidR="00804AF0" w:rsidRDefault="009A47D6">
      <w:pPr>
        <w:jc w:val="both"/>
        <w:textAlignment w:val="baseline"/>
        <w:rPr>
          <w:rFonts w:ascii="Calibri" w:hAnsi="Calibri" w:cs="Calibri"/>
          <w:b/>
          <w:sz w:val="22"/>
          <w:szCs w:val="22"/>
        </w:rPr>
      </w:pPr>
      <w:r>
        <w:rPr>
          <w:rFonts w:ascii="Calibri" w:hAnsi="Calibri" w:cs="Calibri"/>
          <w:b/>
          <w:sz w:val="22"/>
          <w:szCs w:val="22"/>
        </w:rPr>
        <w:t>C. Panel desk reviews</w:t>
      </w:r>
    </w:p>
    <w:p w14:paraId="399F421C" w14:textId="77777777" w:rsidR="00804AF0" w:rsidRDefault="00804AF0">
      <w:pPr>
        <w:jc w:val="both"/>
        <w:textAlignment w:val="baseline"/>
        <w:rPr>
          <w:rFonts w:ascii="Calibri" w:hAnsi="Calibri" w:cs="Calibri"/>
          <w:sz w:val="22"/>
          <w:szCs w:val="22"/>
        </w:rPr>
      </w:pPr>
    </w:p>
    <w:p w14:paraId="2DB7EDCF" w14:textId="77777777" w:rsidR="00804AF0" w:rsidRDefault="009A47D6">
      <w:pPr>
        <w:jc w:val="both"/>
        <w:textAlignment w:val="baseline"/>
        <w:rPr>
          <w:rFonts w:ascii="Calibri" w:hAnsi="Calibri" w:cs="Calibri"/>
          <w:sz w:val="22"/>
          <w:szCs w:val="22"/>
        </w:rPr>
      </w:pPr>
      <w:r>
        <w:rPr>
          <w:rFonts w:ascii="Calibri" w:hAnsi="Calibri" w:cs="Calibri"/>
          <w:sz w:val="22"/>
          <w:szCs w:val="22"/>
        </w:rPr>
        <w:t xml:space="preserve">Candidates can be assessed using full panel desk reviews A full panel desk review, includes in addition to the review of a candidate’s CV, the review of written responses to the competency-based questions. A full panel desk review can be used to assess both regular and short-term IPSAs.  </w:t>
      </w:r>
    </w:p>
    <w:p w14:paraId="042AFC8A" w14:textId="77777777" w:rsidR="00804AF0" w:rsidRDefault="00804AF0">
      <w:pPr>
        <w:jc w:val="both"/>
        <w:textAlignment w:val="baseline"/>
        <w:rPr>
          <w:rFonts w:ascii="Calibri" w:hAnsi="Calibri" w:cs="Calibri"/>
          <w:sz w:val="22"/>
          <w:szCs w:val="22"/>
        </w:rPr>
      </w:pPr>
    </w:p>
    <w:p w14:paraId="0026E18D" w14:textId="77777777" w:rsidR="00804AF0" w:rsidRDefault="009A47D6">
      <w:pPr>
        <w:jc w:val="both"/>
        <w:textAlignment w:val="baseline"/>
        <w:rPr>
          <w:rFonts w:ascii="Calibri" w:hAnsi="Calibri" w:cs="Calibri"/>
          <w:b/>
          <w:sz w:val="22"/>
          <w:szCs w:val="22"/>
        </w:rPr>
      </w:pPr>
      <w:r>
        <w:rPr>
          <w:rFonts w:ascii="Calibri" w:hAnsi="Calibri" w:cs="Calibri"/>
          <w:b/>
          <w:sz w:val="22"/>
          <w:szCs w:val="22"/>
        </w:rPr>
        <w:t>D. Review and assessment of CVs/P11s</w:t>
      </w:r>
    </w:p>
    <w:p w14:paraId="6EA7802A" w14:textId="77777777" w:rsidR="00804AF0" w:rsidRDefault="00804AF0">
      <w:pPr>
        <w:jc w:val="both"/>
        <w:textAlignment w:val="baseline"/>
        <w:rPr>
          <w:rFonts w:ascii="Calibri" w:hAnsi="Calibri" w:cs="Calibri"/>
          <w:sz w:val="22"/>
          <w:szCs w:val="22"/>
        </w:rPr>
      </w:pPr>
    </w:p>
    <w:p w14:paraId="2AECAFF7" w14:textId="77777777" w:rsidR="00804AF0" w:rsidRDefault="009A47D6">
      <w:pPr>
        <w:jc w:val="both"/>
        <w:textAlignment w:val="baseline"/>
        <w:rPr>
          <w:rFonts w:ascii="Calibri" w:hAnsi="Calibri" w:cs="Calibri"/>
          <w:sz w:val="22"/>
          <w:szCs w:val="22"/>
        </w:rPr>
      </w:pPr>
      <w:r>
        <w:rPr>
          <w:rFonts w:ascii="Calibri" w:hAnsi="Calibri" w:cs="Calibri"/>
          <w:sz w:val="22"/>
          <w:szCs w:val="22"/>
        </w:rPr>
        <w:t>An assessment and review of CVs/P11s can be used ONLY to assess short-term IPSAs.    </w:t>
      </w:r>
    </w:p>
    <w:p w14:paraId="55275D63" w14:textId="77777777" w:rsidR="00804AF0" w:rsidRDefault="00804AF0">
      <w:pPr>
        <w:jc w:val="both"/>
        <w:textAlignment w:val="baseline"/>
        <w:rPr>
          <w:rFonts w:ascii="Calibri" w:hAnsi="Calibri" w:cs="Calibri"/>
          <w:sz w:val="22"/>
          <w:szCs w:val="22"/>
        </w:rPr>
      </w:pPr>
    </w:p>
    <w:p w14:paraId="623683D1" w14:textId="77777777" w:rsidR="00804AF0" w:rsidRDefault="00804AF0">
      <w:pPr>
        <w:jc w:val="both"/>
        <w:textAlignment w:val="baseline"/>
        <w:rPr>
          <w:rFonts w:ascii="Calibri" w:hAnsi="Calibri" w:cs="Calibri"/>
          <w:i/>
          <w:sz w:val="22"/>
          <w:szCs w:val="22"/>
          <w:u w:val="single"/>
        </w:rPr>
      </w:pPr>
    </w:p>
    <w:p w14:paraId="606BD57F" w14:textId="77777777" w:rsidR="00804AF0" w:rsidRDefault="009A47D6">
      <w:pPr>
        <w:jc w:val="both"/>
        <w:textAlignment w:val="baseline"/>
        <w:rPr>
          <w:rFonts w:ascii="Calibri" w:hAnsi="Calibri" w:cs="Calibri"/>
          <w:b/>
          <w:sz w:val="22"/>
          <w:szCs w:val="22"/>
          <w:u w:val="single"/>
        </w:rPr>
      </w:pPr>
      <w:r>
        <w:rPr>
          <w:rFonts w:ascii="Calibri" w:hAnsi="Calibri" w:cs="Calibri"/>
          <w:b/>
          <w:sz w:val="22"/>
          <w:szCs w:val="22"/>
          <w:u w:val="single"/>
        </w:rPr>
        <w:t>Preparation of the long-list and short-list </w:t>
      </w:r>
    </w:p>
    <w:p w14:paraId="23EA4A8C" w14:textId="77777777" w:rsidR="00804AF0" w:rsidRDefault="00804AF0">
      <w:pPr>
        <w:jc w:val="both"/>
        <w:textAlignment w:val="baseline"/>
        <w:rPr>
          <w:rFonts w:ascii="Calibri" w:hAnsi="Calibri" w:cs="Calibri"/>
          <w:b/>
          <w:sz w:val="22"/>
          <w:szCs w:val="22"/>
          <w:u w:val="single"/>
        </w:rPr>
      </w:pPr>
    </w:p>
    <w:p w14:paraId="6E3A956E" w14:textId="77777777" w:rsidR="00804AF0" w:rsidRDefault="009A47D6">
      <w:pPr>
        <w:jc w:val="both"/>
        <w:rPr>
          <w:rFonts w:ascii="Calibri" w:hAnsi="Calibri" w:cs="Calibri"/>
          <w:sz w:val="22"/>
          <w:szCs w:val="22"/>
          <w:lang w:eastAsia="en-GB"/>
        </w:rPr>
      </w:pPr>
      <w:r>
        <w:rPr>
          <w:rFonts w:ascii="Calibri" w:hAnsi="Calibri" w:cs="Calibri"/>
          <w:sz w:val="22"/>
          <w:szCs w:val="22"/>
          <w:lang w:eastAsia="en-GB"/>
        </w:rPr>
        <w:t>Only candidates who fully meet the required qualifications for the position, as specified in the vacancy announcement, may be short-listed for the post. However, candidates who are within six months of the minimum relevant experience requirement may be considered in situations where a business case is made. The business reason must be documented and on record for the file.</w:t>
      </w:r>
    </w:p>
    <w:p w14:paraId="58837C1E" w14:textId="77777777" w:rsidR="00804AF0" w:rsidRDefault="00804AF0">
      <w:pPr>
        <w:jc w:val="both"/>
        <w:rPr>
          <w:rFonts w:ascii="Calibri" w:hAnsi="Calibri" w:cs="Calibri"/>
          <w:sz w:val="22"/>
          <w:szCs w:val="22"/>
          <w:lang w:eastAsia="en-GB"/>
        </w:rPr>
      </w:pPr>
    </w:p>
    <w:p w14:paraId="473D7F1D" w14:textId="77777777" w:rsidR="00804AF0" w:rsidRDefault="009A47D6">
      <w:pPr>
        <w:jc w:val="both"/>
        <w:rPr>
          <w:rFonts w:ascii="Calibri" w:hAnsi="Calibri" w:cs="Calibri"/>
          <w:sz w:val="22"/>
          <w:szCs w:val="22"/>
          <w:lang w:eastAsia="en-GB"/>
        </w:rPr>
      </w:pPr>
      <w:r>
        <w:rPr>
          <w:rFonts w:ascii="Calibri" w:hAnsi="Calibri" w:cs="Calibri"/>
          <w:sz w:val="22"/>
          <w:szCs w:val="22"/>
          <w:lang w:eastAsia="en-GB"/>
        </w:rPr>
        <w:t xml:space="preserve">To ensure competitiveness, the shortlist must be comprised of at least two candidates. At least one woman should be included on the short-list. If no female candidate is included on the short-list, the Hiring Unit must document the efforts that have been made to identify qualified female candidates including re-advertisement. Hiring units must ensure that every application to a position is afforded due consideration, and that there is an objective reason provided for including, or not including, candidates on long-lists and short-lists. </w:t>
      </w:r>
    </w:p>
    <w:p w14:paraId="1D424AD0" w14:textId="77777777" w:rsidR="00804AF0" w:rsidRDefault="00804AF0">
      <w:pPr>
        <w:jc w:val="both"/>
        <w:rPr>
          <w:rFonts w:ascii="Calibri" w:hAnsi="Calibri" w:cs="Calibri"/>
          <w:sz w:val="22"/>
          <w:szCs w:val="22"/>
          <w:lang w:eastAsia="en-GB"/>
        </w:rPr>
      </w:pPr>
    </w:p>
    <w:p w14:paraId="133CC7C9" w14:textId="77777777" w:rsidR="00804AF0" w:rsidRDefault="009A47D6">
      <w:pPr>
        <w:jc w:val="both"/>
        <w:rPr>
          <w:rFonts w:ascii="Calibri" w:hAnsi="Calibri" w:cs="Calibri"/>
          <w:sz w:val="22"/>
          <w:szCs w:val="22"/>
          <w:lang w:eastAsia="en-GB"/>
        </w:rPr>
      </w:pPr>
      <w:r>
        <w:rPr>
          <w:rFonts w:ascii="Calibri" w:hAnsi="Calibri" w:cs="Calibri"/>
          <w:sz w:val="22"/>
          <w:szCs w:val="22"/>
          <w:lang w:eastAsia="en-GB"/>
        </w:rPr>
        <w:t>The Head of the Business Unit is responsible and accountable for the quality of the long-list and short-list. </w:t>
      </w:r>
    </w:p>
    <w:p w14:paraId="1DC922AB" w14:textId="77777777" w:rsidR="00804AF0" w:rsidRDefault="009A47D6">
      <w:pPr>
        <w:rPr>
          <w:rFonts w:ascii="Calibri" w:hAnsi="Calibri" w:cs="Calibri"/>
          <w:b/>
          <w:bCs/>
          <w:sz w:val="22"/>
          <w:szCs w:val="22"/>
          <w:u w:val="single"/>
          <w:lang w:eastAsia="en-GB"/>
        </w:rPr>
      </w:pPr>
      <w:bookmarkStart w:id="107" w:name="_Annex_2:_Overview_of_IPSA_benefits"/>
      <w:bookmarkStart w:id="108" w:name="_Annex_3:_Overview_of_IPSA_benefits"/>
      <w:r>
        <w:rPr>
          <w:rFonts w:ascii="Calibri" w:hAnsi="Calibri" w:cs="Calibri"/>
          <w:b/>
          <w:bCs/>
          <w:sz w:val="22"/>
          <w:szCs w:val="22"/>
          <w:u w:val="single"/>
          <w:lang w:eastAsia="en-GB"/>
        </w:rPr>
        <w:br w:type="page"/>
      </w:r>
    </w:p>
    <w:p w14:paraId="4843B9E3" w14:textId="77777777" w:rsidR="00804AF0" w:rsidRDefault="009A47D6">
      <w:pPr>
        <w:pStyle w:val="Heading1"/>
        <w:jc w:val="left"/>
        <w:rPr>
          <w:rFonts w:ascii="Calibri" w:hAnsi="Calibri" w:cs="Calibri"/>
          <w:b/>
          <w:bCs/>
          <w:sz w:val="22"/>
          <w:szCs w:val="22"/>
          <w:u w:val="single"/>
          <w:lang w:eastAsia="en-GB"/>
        </w:rPr>
      </w:pPr>
      <w:bookmarkStart w:id="109" w:name="_Annex_2:_Overview"/>
      <w:bookmarkStart w:id="110" w:name="_Toc161312444"/>
      <w:bookmarkEnd w:id="109"/>
      <w:r>
        <w:rPr>
          <w:rFonts w:ascii="Calibri" w:hAnsi="Calibri" w:cs="Calibri"/>
          <w:b/>
          <w:bCs/>
          <w:sz w:val="22"/>
          <w:szCs w:val="22"/>
          <w:u w:val="single"/>
          <w:lang w:eastAsia="en-GB"/>
        </w:rPr>
        <w:lastRenderedPageBreak/>
        <w:t>Annex 2: Overview of IPSA benefits</w:t>
      </w:r>
      <w:bookmarkEnd w:id="110"/>
      <w:r>
        <w:rPr>
          <w:rFonts w:ascii="Calibri" w:hAnsi="Calibri" w:cs="Calibri"/>
          <w:b/>
          <w:bCs/>
          <w:sz w:val="22"/>
          <w:szCs w:val="22"/>
          <w:u w:val="single"/>
          <w:lang w:eastAsia="en-GB"/>
        </w:rPr>
        <w:t> </w:t>
      </w:r>
    </w:p>
    <w:bookmarkEnd w:id="107"/>
    <w:bookmarkEnd w:id="108"/>
    <w:p w14:paraId="693F030B"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tbl>
      <w:tblPr>
        <w:tblW w:w="778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64"/>
        <w:gridCol w:w="2615"/>
        <w:gridCol w:w="2410"/>
      </w:tblGrid>
      <w:tr w:rsidR="00804AF0" w14:paraId="3000E462" w14:textId="77777777">
        <w:trPr>
          <w:tblHeader/>
        </w:trPr>
        <w:tc>
          <w:tcPr>
            <w:tcW w:w="2764" w:type="dxa"/>
            <w:tcBorders>
              <w:top w:val="single" w:sz="6" w:space="0" w:color="auto"/>
              <w:left w:val="single" w:sz="6" w:space="0" w:color="auto"/>
              <w:bottom w:val="single" w:sz="6" w:space="0" w:color="auto"/>
              <w:right w:val="single" w:sz="6" w:space="0" w:color="auto"/>
            </w:tcBorders>
          </w:tcPr>
          <w:p w14:paraId="3164A513"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tc>
        <w:tc>
          <w:tcPr>
            <w:tcW w:w="2615" w:type="dxa"/>
            <w:tcBorders>
              <w:top w:val="single" w:sz="6" w:space="0" w:color="auto"/>
              <w:left w:val="nil"/>
              <w:bottom w:val="single" w:sz="6" w:space="0" w:color="auto"/>
              <w:right w:val="single" w:sz="6" w:space="0" w:color="auto"/>
            </w:tcBorders>
          </w:tcPr>
          <w:p w14:paraId="7D1D88D7" w14:textId="77777777" w:rsidR="00804AF0" w:rsidRDefault="009A47D6">
            <w:pPr>
              <w:jc w:val="center"/>
              <w:textAlignment w:val="baseline"/>
              <w:rPr>
                <w:rFonts w:ascii="Calibri" w:hAnsi="Calibri" w:cs="Calibri"/>
                <w:sz w:val="22"/>
                <w:szCs w:val="22"/>
                <w:lang w:eastAsia="en-GB"/>
              </w:rPr>
            </w:pPr>
            <w:r>
              <w:rPr>
                <w:rFonts w:ascii="Calibri" w:hAnsi="Calibri" w:cs="Calibri"/>
                <w:b/>
                <w:bCs/>
                <w:sz w:val="22"/>
                <w:szCs w:val="22"/>
                <w:lang w:eastAsia="en-GB"/>
              </w:rPr>
              <w:t>Regular</w:t>
            </w:r>
          </w:p>
        </w:tc>
        <w:tc>
          <w:tcPr>
            <w:tcW w:w="2410" w:type="dxa"/>
            <w:tcBorders>
              <w:top w:val="single" w:sz="6" w:space="0" w:color="auto"/>
              <w:left w:val="nil"/>
              <w:bottom w:val="single" w:sz="6" w:space="0" w:color="auto"/>
              <w:right w:val="single" w:sz="6" w:space="0" w:color="auto"/>
            </w:tcBorders>
          </w:tcPr>
          <w:p w14:paraId="7117901F" w14:textId="77777777" w:rsidR="00804AF0" w:rsidRDefault="009A47D6">
            <w:pPr>
              <w:jc w:val="center"/>
              <w:textAlignment w:val="baseline"/>
              <w:rPr>
                <w:rFonts w:ascii="Calibri" w:hAnsi="Calibri" w:cs="Calibri"/>
                <w:sz w:val="22"/>
                <w:szCs w:val="22"/>
                <w:lang w:eastAsia="en-GB"/>
              </w:rPr>
            </w:pPr>
            <w:r>
              <w:rPr>
                <w:rFonts w:ascii="Calibri" w:hAnsi="Calibri" w:cs="Calibri"/>
                <w:b/>
                <w:bCs/>
                <w:sz w:val="22"/>
                <w:szCs w:val="22"/>
                <w:lang w:eastAsia="en-GB"/>
              </w:rPr>
              <w:t>Retainer/Short-term</w:t>
            </w:r>
          </w:p>
        </w:tc>
      </w:tr>
      <w:tr w:rsidR="00804AF0" w14:paraId="1BF4B8BF" w14:textId="77777777">
        <w:trPr>
          <w:trHeight w:val="680"/>
        </w:trPr>
        <w:tc>
          <w:tcPr>
            <w:tcW w:w="2764" w:type="dxa"/>
            <w:tcBorders>
              <w:top w:val="nil"/>
              <w:left w:val="single" w:sz="6" w:space="0" w:color="auto"/>
              <w:bottom w:val="single" w:sz="6" w:space="0" w:color="auto"/>
              <w:right w:val="single" w:sz="6" w:space="0" w:color="auto"/>
            </w:tcBorders>
            <w:vAlign w:val="center"/>
          </w:tcPr>
          <w:p w14:paraId="2D464577" w14:textId="77777777" w:rsidR="00804AF0" w:rsidRDefault="009A47D6">
            <w:pPr>
              <w:jc w:val="center"/>
              <w:textAlignment w:val="baseline"/>
              <w:rPr>
                <w:rFonts w:ascii="Calibri" w:hAnsi="Calibri" w:cs="Calibri"/>
                <w:b/>
                <w:bCs/>
                <w:sz w:val="22"/>
                <w:szCs w:val="22"/>
                <w:lang w:eastAsia="en-GB"/>
              </w:rPr>
            </w:pPr>
            <w:r>
              <w:rPr>
                <w:rFonts w:ascii="Calibri" w:hAnsi="Calibri" w:cs="Calibri"/>
                <w:b/>
                <w:bCs/>
                <w:sz w:val="22"/>
                <w:szCs w:val="22"/>
                <w:lang w:eastAsia="en-GB"/>
              </w:rPr>
              <w:t>Annual Increment</w:t>
            </w:r>
          </w:p>
        </w:tc>
        <w:tc>
          <w:tcPr>
            <w:tcW w:w="2615" w:type="dxa"/>
            <w:tcBorders>
              <w:top w:val="single" w:sz="6" w:space="0" w:color="auto"/>
              <w:left w:val="nil"/>
              <w:bottom w:val="single" w:sz="6" w:space="0" w:color="auto"/>
              <w:right w:val="single" w:sz="6" w:space="0" w:color="auto"/>
            </w:tcBorders>
            <w:vAlign w:val="center"/>
          </w:tcPr>
          <w:p w14:paraId="7BE3B31B"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No</w:t>
            </w:r>
          </w:p>
        </w:tc>
        <w:tc>
          <w:tcPr>
            <w:tcW w:w="2410" w:type="dxa"/>
            <w:tcBorders>
              <w:top w:val="single" w:sz="6" w:space="0" w:color="auto"/>
              <w:left w:val="nil"/>
              <w:bottom w:val="single" w:sz="6" w:space="0" w:color="auto"/>
              <w:right w:val="single" w:sz="6" w:space="0" w:color="auto"/>
            </w:tcBorders>
            <w:vAlign w:val="center"/>
          </w:tcPr>
          <w:p w14:paraId="695AFA95"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No</w:t>
            </w:r>
          </w:p>
          <w:p w14:paraId="624C15FF" w14:textId="77777777" w:rsidR="00804AF0" w:rsidRDefault="00804AF0">
            <w:pPr>
              <w:jc w:val="center"/>
              <w:textAlignment w:val="baseline"/>
              <w:rPr>
                <w:rFonts w:ascii="Calibri" w:hAnsi="Calibri" w:cs="Calibri"/>
                <w:sz w:val="22"/>
                <w:szCs w:val="22"/>
                <w:lang w:eastAsia="en-GB"/>
              </w:rPr>
            </w:pPr>
          </w:p>
        </w:tc>
      </w:tr>
      <w:tr w:rsidR="00804AF0" w14:paraId="7AE534DF" w14:textId="77777777">
        <w:trPr>
          <w:trHeight w:val="680"/>
        </w:trPr>
        <w:tc>
          <w:tcPr>
            <w:tcW w:w="2764" w:type="dxa"/>
            <w:tcBorders>
              <w:top w:val="nil"/>
              <w:left w:val="single" w:sz="6" w:space="0" w:color="auto"/>
              <w:bottom w:val="single" w:sz="6" w:space="0" w:color="auto"/>
              <w:right w:val="single" w:sz="6" w:space="0" w:color="auto"/>
            </w:tcBorders>
            <w:vAlign w:val="center"/>
          </w:tcPr>
          <w:p w14:paraId="16603A73" w14:textId="77777777" w:rsidR="00804AF0" w:rsidRDefault="009A47D6">
            <w:pPr>
              <w:jc w:val="center"/>
              <w:textAlignment w:val="baseline"/>
              <w:rPr>
                <w:rFonts w:ascii="Calibri" w:hAnsi="Calibri" w:cs="Calibri"/>
                <w:b/>
                <w:bCs/>
                <w:sz w:val="22"/>
                <w:szCs w:val="22"/>
                <w:lang w:eastAsia="en-GB"/>
              </w:rPr>
            </w:pPr>
            <w:r>
              <w:rPr>
                <w:rFonts w:ascii="Calibri" w:hAnsi="Calibri" w:cs="Calibri"/>
                <w:b/>
                <w:bCs/>
                <w:sz w:val="22"/>
                <w:szCs w:val="22"/>
                <w:lang w:eastAsia="en-GB"/>
              </w:rPr>
              <w:t>Pension Fund (in lieu)</w:t>
            </w:r>
          </w:p>
        </w:tc>
        <w:tc>
          <w:tcPr>
            <w:tcW w:w="2615" w:type="dxa"/>
            <w:tcBorders>
              <w:top w:val="single" w:sz="6" w:space="0" w:color="auto"/>
              <w:left w:val="nil"/>
              <w:bottom w:val="single" w:sz="6" w:space="0" w:color="auto"/>
              <w:right w:val="single" w:sz="6" w:space="0" w:color="auto"/>
            </w:tcBorders>
            <w:vAlign w:val="center"/>
          </w:tcPr>
          <w:p w14:paraId="04AF1710"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No</w:t>
            </w:r>
          </w:p>
        </w:tc>
        <w:tc>
          <w:tcPr>
            <w:tcW w:w="2410" w:type="dxa"/>
            <w:tcBorders>
              <w:top w:val="single" w:sz="6" w:space="0" w:color="auto"/>
              <w:left w:val="nil"/>
              <w:bottom w:val="single" w:sz="6" w:space="0" w:color="auto"/>
              <w:right w:val="single" w:sz="6" w:space="0" w:color="auto"/>
            </w:tcBorders>
            <w:vAlign w:val="center"/>
          </w:tcPr>
          <w:p w14:paraId="4C1466A7"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No</w:t>
            </w:r>
          </w:p>
          <w:p w14:paraId="45B2E418" w14:textId="77777777" w:rsidR="00804AF0" w:rsidRDefault="00804AF0">
            <w:pPr>
              <w:jc w:val="center"/>
              <w:textAlignment w:val="baseline"/>
              <w:rPr>
                <w:rFonts w:ascii="Calibri" w:hAnsi="Calibri" w:cs="Calibri"/>
                <w:sz w:val="22"/>
                <w:szCs w:val="22"/>
                <w:lang w:eastAsia="en-GB"/>
              </w:rPr>
            </w:pPr>
          </w:p>
        </w:tc>
      </w:tr>
      <w:tr w:rsidR="00804AF0" w14:paraId="0FF43DE1" w14:textId="77777777">
        <w:trPr>
          <w:trHeight w:val="680"/>
        </w:trPr>
        <w:tc>
          <w:tcPr>
            <w:tcW w:w="2764" w:type="dxa"/>
            <w:tcBorders>
              <w:top w:val="nil"/>
              <w:left w:val="single" w:sz="6" w:space="0" w:color="auto"/>
              <w:bottom w:val="single" w:sz="6" w:space="0" w:color="auto"/>
              <w:right w:val="single" w:sz="6" w:space="0" w:color="auto"/>
            </w:tcBorders>
            <w:vAlign w:val="center"/>
          </w:tcPr>
          <w:p w14:paraId="462A4C24" w14:textId="77777777" w:rsidR="00804AF0" w:rsidRDefault="009A47D6">
            <w:pPr>
              <w:jc w:val="center"/>
              <w:textAlignment w:val="baseline"/>
              <w:rPr>
                <w:rFonts w:ascii="Calibri" w:hAnsi="Calibri" w:cs="Calibri"/>
                <w:b/>
                <w:bCs/>
                <w:sz w:val="22"/>
                <w:szCs w:val="22"/>
                <w:lang w:eastAsia="en-GB"/>
              </w:rPr>
            </w:pPr>
            <w:r>
              <w:rPr>
                <w:rFonts w:ascii="Calibri" w:hAnsi="Calibri" w:cs="Calibri"/>
                <w:b/>
                <w:bCs/>
                <w:sz w:val="22"/>
                <w:szCs w:val="22"/>
                <w:lang w:eastAsia="en-GB"/>
              </w:rPr>
              <w:t>Medical Insurance</w:t>
            </w:r>
          </w:p>
        </w:tc>
        <w:tc>
          <w:tcPr>
            <w:tcW w:w="2615" w:type="dxa"/>
            <w:tcBorders>
              <w:top w:val="single" w:sz="6" w:space="0" w:color="auto"/>
              <w:left w:val="nil"/>
              <w:bottom w:val="single" w:sz="6" w:space="0" w:color="auto"/>
              <w:right w:val="single" w:sz="6" w:space="0" w:color="auto"/>
            </w:tcBorders>
            <w:vAlign w:val="center"/>
          </w:tcPr>
          <w:p w14:paraId="5FB7E81A"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No (partly subsidized)</w:t>
            </w:r>
          </w:p>
        </w:tc>
        <w:tc>
          <w:tcPr>
            <w:tcW w:w="2410" w:type="dxa"/>
            <w:tcBorders>
              <w:top w:val="single" w:sz="6" w:space="0" w:color="auto"/>
              <w:left w:val="nil"/>
              <w:bottom w:val="single" w:sz="6" w:space="0" w:color="auto"/>
              <w:right w:val="single" w:sz="6" w:space="0" w:color="auto"/>
            </w:tcBorders>
            <w:vAlign w:val="center"/>
          </w:tcPr>
          <w:p w14:paraId="2D502448"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No</w:t>
            </w:r>
          </w:p>
          <w:p w14:paraId="768CBB24" w14:textId="77777777" w:rsidR="00804AF0" w:rsidRDefault="00804AF0">
            <w:pPr>
              <w:jc w:val="center"/>
              <w:textAlignment w:val="baseline"/>
              <w:rPr>
                <w:rFonts w:ascii="Calibri" w:hAnsi="Calibri" w:cs="Calibri"/>
                <w:sz w:val="22"/>
                <w:szCs w:val="22"/>
                <w:lang w:eastAsia="en-GB"/>
              </w:rPr>
            </w:pPr>
          </w:p>
        </w:tc>
      </w:tr>
      <w:tr w:rsidR="00804AF0" w14:paraId="11F2B6A3" w14:textId="77777777">
        <w:trPr>
          <w:trHeight w:val="680"/>
        </w:trPr>
        <w:tc>
          <w:tcPr>
            <w:tcW w:w="2764" w:type="dxa"/>
            <w:tcBorders>
              <w:top w:val="nil"/>
              <w:left w:val="single" w:sz="6" w:space="0" w:color="auto"/>
              <w:bottom w:val="single" w:sz="6" w:space="0" w:color="auto"/>
              <w:right w:val="single" w:sz="6" w:space="0" w:color="auto"/>
            </w:tcBorders>
            <w:vAlign w:val="center"/>
          </w:tcPr>
          <w:p w14:paraId="27F6A680" w14:textId="77777777" w:rsidR="00804AF0" w:rsidRDefault="009A47D6">
            <w:pPr>
              <w:jc w:val="center"/>
              <w:textAlignment w:val="baseline"/>
              <w:rPr>
                <w:rFonts w:ascii="Calibri" w:hAnsi="Calibri" w:cs="Calibri"/>
                <w:b/>
                <w:bCs/>
                <w:sz w:val="22"/>
                <w:szCs w:val="22"/>
                <w:lang w:eastAsia="en-GB"/>
              </w:rPr>
            </w:pPr>
            <w:r>
              <w:rPr>
                <w:rFonts w:ascii="Calibri" w:hAnsi="Calibri" w:cs="Calibri"/>
                <w:b/>
                <w:bCs/>
                <w:sz w:val="22"/>
                <w:szCs w:val="22"/>
                <w:lang w:eastAsia="en-GB"/>
              </w:rPr>
              <w:t>Medical Ins. (depend.)</w:t>
            </w:r>
          </w:p>
        </w:tc>
        <w:tc>
          <w:tcPr>
            <w:tcW w:w="2615" w:type="dxa"/>
            <w:tcBorders>
              <w:top w:val="single" w:sz="6" w:space="0" w:color="auto"/>
              <w:left w:val="nil"/>
              <w:bottom w:val="single" w:sz="6" w:space="0" w:color="auto"/>
              <w:right w:val="single" w:sz="6" w:space="0" w:color="auto"/>
            </w:tcBorders>
            <w:vAlign w:val="center"/>
          </w:tcPr>
          <w:p w14:paraId="3C5E3419"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No</w:t>
            </w:r>
          </w:p>
        </w:tc>
        <w:tc>
          <w:tcPr>
            <w:tcW w:w="2410" w:type="dxa"/>
            <w:tcBorders>
              <w:top w:val="single" w:sz="6" w:space="0" w:color="auto"/>
              <w:left w:val="nil"/>
              <w:bottom w:val="single" w:sz="6" w:space="0" w:color="auto"/>
              <w:right w:val="single" w:sz="6" w:space="0" w:color="auto"/>
            </w:tcBorders>
            <w:vAlign w:val="center"/>
          </w:tcPr>
          <w:p w14:paraId="05017462"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No</w:t>
            </w:r>
          </w:p>
          <w:p w14:paraId="23DA8A27" w14:textId="77777777" w:rsidR="00804AF0" w:rsidRDefault="00804AF0">
            <w:pPr>
              <w:jc w:val="center"/>
              <w:textAlignment w:val="baseline"/>
              <w:rPr>
                <w:rFonts w:ascii="Calibri" w:hAnsi="Calibri" w:cs="Calibri"/>
                <w:sz w:val="22"/>
                <w:szCs w:val="22"/>
                <w:lang w:eastAsia="en-GB"/>
              </w:rPr>
            </w:pPr>
          </w:p>
        </w:tc>
      </w:tr>
      <w:tr w:rsidR="00804AF0" w14:paraId="0DA13F89" w14:textId="77777777">
        <w:trPr>
          <w:trHeight w:val="680"/>
        </w:trPr>
        <w:tc>
          <w:tcPr>
            <w:tcW w:w="2764" w:type="dxa"/>
            <w:tcBorders>
              <w:top w:val="nil"/>
              <w:left w:val="single" w:sz="6" w:space="0" w:color="auto"/>
              <w:bottom w:val="single" w:sz="6" w:space="0" w:color="auto"/>
              <w:right w:val="single" w:sz="6" w:space="0" w:color="auto"/>
            </w:tcBorders>
            <w:vAlign w:val="center"/>
          </w:tcPr>
          <w:p w14:paraId="27555519" w14:textId="77777777" w:rsidR="00804AF0" w:rsidRDefault="009A47D6">
            <w:pPr>
              <w:jc w:val="center"/>
              <w:textAlignment w:val="baseline"/>
              <w:rPr>
                <w:rFonts w:ascii="Calibri" w:hAnsi="Calibri" w:cs="Calibri"/>
                <w:b/>
                <w:bCs/>
                <w:sz w:val="22"/>
                <w:szCs w:val="22"/>
                <w:lang w:eastAsia="en-GB"/>
              </w:rPr>
            </w:pPr>
            <w:r>
              <w:rPr>
                <w:rFonts w:ascii="Calibri" w:hAnsi="Calibri" w:cs="Calibri"/>
                <w:b/>
                <w:bCs/>
                <w:sz w:val="22"/>
                <w:szCs w:val="22"/>
                <w:lang w:eastAsia="en-GB"/>
              </w:rPr>
              <w:t>MAIP</w:t>
            </w:r>
          </w:p>
        </w:tc>
        <w:tc>
          <w:tcPr>
            <w:tcW w:w="2615" w:type="dxa"/>
            <w:tcBorders>
              <w:top w:val="single" w:sz="6" w:space="0" w:color="auto"/>
              <w:left w:val="nil"/>
              <w:bottom w:val="single" w:sz="6" w:space="0" w:color="auto"/>
              <w:right w:val="single" w:sz="6" w:space="0" w:color="auto"/>
            </w:tcBorders>
            <w:vAlign w:val="center"/>
          </w:tcPr>
          <w:p w14:paraId="0FAE574F"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Yes</w:t>
            </w:r>
          </w:p>
        </w:tc>
        <w:tc>
          <w:tcPr>
            <w:tcW w:w="2410" w:type="dxa"/>
            <w:tcBorders>
              <w:top w:val="single" w:sz="6" w:space="0" w:color="auto"/>
              <w:left w:val="nil"/>
              <w:bottom w:val="single" w:sz="6" w:space="0" w:color="auto"/>
              <w:right w:val="single" w:sz="6" w:space="0" w:color="auto"/>
            </w:tcBorders>
            <w:vAlign w:val="center"/>
          </w:tcPr>
          <w:p w14:paraId="2E582028"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Yes</w:t>
            </w:r>
          </w:p>
          <w:p w14:paraId="05D669B0" w14:textId="77777777" w:rsidR="00804AF0" w:rsidRDefault="00804AF0">
            <w:pPr>
              <w:jc w:val="center"/>
              <w:textAlignment w:val="baseline"/>
              <w:rPr>
                <w:rFonts w:ascii="Calibri" w:hAnsi="Calibri" w:cs="Calibri"/>
                <w:sz w:val="22"/>
                <w:szCs w:val="22"/>
                <w:lang w:eastAsia="en-GB"/>
              </w:rPr>
            </w:pPr>
          </w:p>
        </w:tc>
      </w:tr>
      <w:tr w:rsidR="00804AF0" w14:paraId="0109DB41" w14:textId="77777777">
        <w:trPr>
          <w:trHeight w:val="680"/>
        </w:trPr>
        <w:tc>
          <w:tcPr>
            <w:tcW w:w="2764" w:type="dxa"/>
            <w:tcBorders>
              <w:top w:val="nil"/>
              <w:left w:val="single" w:sz="6" w:space="0" w:color="auto"/>
              <w:bottom w:val="single" w:sz="6" w:space="0" w:color="auto"/>
              <w:right w:val="single" w:sz="6" w:space="0" w:color="auto"/>
            </w:tcBorders>
            <w:vAlign w:val="center"/>
          </w:tcPr>
          <w:p w14:paraId="7E0F1FE4" w14:textId="77777777" w:rsidR="00804AF0" w:rsidRDefault="009A47D6">
            <w:pPr>
              <w:jc w:val="center"/>
              <w:textAlignment w:val="baseline"/>
              <w:rPr>
                <w:rFonts w:ascii="Calibri" w:hAnsi="Calibri" w:cs="Calibri"/>
                <w:b/>
                <w:bCs/>
                <w:sz w:val="22"/>
                <w:szCs w:val="22"/>
                <w:lang w:eastAsia="en-GB"/>
              </w:rPr>
            </w:pPr>
            <w:r>
              <w:rPr>
                <w:rFonts w:ascii="Calibri" w:hAnsi="Calibri" w:cs="Calibri"/>
                <w:b/>
                <w:bCs/>
                <w:sz w:val="22"/>
                <w:szCs w:val="22"/>
                <w:lang w:eastAsia="en-GB"/>
              </w:rPr>
              <w:t>GLI, D&amp;D</w:t>
            </w:r>
          </w:p>
        </w:tc>
        <w:tc>
          <w:tcPr>
            <w:tcW w:w="2615" w:type="dxa"/>
            <w:tcBorders>
              <w:top w:val="single" w:sz="6" w:space="0" w:color="auto"/>
              <w:left w:val="nil"/>
              <w:bottom w:val="single" w:sz="6" w:space="0" w:color="auto"/>
              <w:right w:val="single" w:sz="6" w:space="0" w:color="auto"/>
            </w:tcBorders>
            <w:vAlign w:val="center"/>
          </w:tcPr>
          <w:p w14:paraId="254765B7"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Yes</w:t>
            </w:r>
          </w:p>
        </w:tc>
        <w:tc>
          <w:tcPr>
            <w:tcW w:w="2410" w:type="dxa"/>
            <w:tcBorders>
              <w:top w:val="single" w:sz="6" w:space="0" w:color="auto"/>
              <w:left w:val="nil"/>
              <w:bottom w:val="single" w:sz="6" w:space="0" w:color="auto"/>
              <w:right w:val="single" w:sz="6" w:space="0" w:color="auto"/>
            </w:tcBorders>
            <w:vAlign w:val="center"/>
          </w:tcPr>
          <w:p w14:paraId="3F15E8EF"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No</w:t>
            </w:r>
          </w:p>
          <w:p w14:paraId="4695EF4B" w14:textId="77777777" w:rsidR="00804AF0" w:rsidRDefault="00804AF0">
            <w:pPr>
              <w:jc w:val="center"/>
              <w:textAlignment w:val="baseline"/>
              <w:rPr>
                <w:rFonts w:ascii="Calibri" w:hAnsi="Calibri" w:cs="Calibri"/>
                <w:sz w:val="22"/>
                <w:szCs w:val="22"/>
                <w:lang w:eastAsia="en-GB"/>
              </w:rPr>
            </w:pPr>
          </w:p>
        </w:tc>
      </w:tr>
      <w:tr w:rsidR="00804AF0" w14:paraId="11F030F4" w14:textId="77777777">
        <w:trPr>
          <w:trHeight w:val="680"/>
        </w:trPr>
        <w:tc>
          <w:tcPr>
            <w:tcW w:w="2764" w:type="dxa"/>
            <w:tcBorders>
              <w:top w:val="nil"/>
              <w:left w:val="single" w:sz="6" w:space="0" w:color="auto"/>
              <w:bottom w:val="single" w:sz="6" w:space="0" w:color="auto"/>
              <w:right w:val="single" w:sz="6" w:space="0" w:color="auto"/>
            </w:tcBorders>
            <w:vAlign w:val="center"/>
          </w:tcPr>
          <w:p w14:paraId="722CF945" w14:textId="77777777" w:rsidR="00804AF0" w:rsidRDefault="009A47D6">
            <w:pPr>
              <w:jc w:val="center"/>
              <w:textAlignment w:val="baseline"/>
              <w:rPr>
                <w:rFonts w:ascii="Calibri" w:hAnsi="Calibri" w:cs="Calibri"/>
                <w:b/>
                <w:bCs/>
                <w:sz w:val="22"/>
                <w:szCs w:val="22"/>
                <w:lang w:eastAsia="en-GB"/>
              </w:rPr>
            </w:pPr>
            <w:r>
              <w:rPr>
                <w:rFonts w:ascii="Calibri" w:hAnsi="Calibri" w:cs="Calibri"/>
                <w:b/>
                <w:bCs/>
                <w:sz w:val="22"/>
                <w:szCs w:val="22"/>
                <w:lang w:eastAsia="en-GB"/>
              </w:rPr>
              <w:t>Overtime</w:t>
            </w:r>
          </w:p>
        </w:tc>
        <w:tc>
          <w:tcPr>
            <w:tcW w:w="2615" w:type="dxa"/>
            <w:tcBorders>
              <w:top w:val="single" w:sz="6" w:space="0" w:color="auto"/>
              <w:left w:val="nil"/>
              <w:bottom w:val="single" w:sz="6" w:space="0" w:color="auto"/>
              <w:right w:val="single" w:sz="6" w:space="0" w:color="auto"/>
            </w:tcBorders>
            <w:vAlign w:val="center"/>
          </w:tcPr>
          <w:p w14:paraId="4263AFCC"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No</w:t>
            </w:r>
          </w:p>
        </w:tc>
        <w:tc>
          <w:tcPr>
            <w:tcW w:w="2410" w:type="dxa"/>
            <w:tcBorders>
              <w:top w:val="single" w:sz="6" w:space="0" w:color="auto"/>
              <w:left w:val="nil"/>
              <w:bottom w:val="single" w:sz="6" w:space="0" w:color="auto"/>
              <w:right w:val="single" w:sz="6" w:space="0" w:color="auto"/>
            </w:tcBorders>
            <w:vAlign w:val="center"/>
          </w:tcPr>
          <w:p w14:paraId="055C0180"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No</w:t>
            </w:r>
          </w:p>
          <w:p w14:paraId="35B23D8E" w14:textId="77777777" w:rsidR="00804AF0" w:rsidRDefault="00804AF0">
            <w:pPr>
              <w:jc w:val="center"/>
              <w:textAlignment w:val="baseline"/>
              <w:rPr>
                <w:rFonts w:ascii="Calibri" w:hAnsi="Calibri" w:cs="Calibri"/>
                <w:sz w:val="22"/>
                <w:szCs w:val="22"/>
                <w:lang w:eastAsia="en-GB"/>
              </w:rPr>
            </w:pPr>
          </w:p>
        </w:tc>
      </w:tr>
      <w:tr w:rsidR="00804AF0" w14:paraId="0ABE0BCE" w14:textId="77777777">
        <w:trPr>
          <w:trHeight w:val="680"/>
        </w:trPr>
        <w:tc>
          <w:tcPr>
            <w:tcW w:w="2764" w:type="dxa"/>
            <w:tcBorders>
              <w:top w:val="nil"/>
              <w:left w:val="single" w:sz="6" w:space="0" w:color="auto"/>
              <w:bottom w:val="single" w:sz="6" w:space="0" w:color="auto"/>
              <w:right w:val="single" w:sz="6" w:space="0" w:color="auto"/>
            </w:tcBorders>
            <w:vAlign w:val="center"/>
          </w:tcPr>
          <w:p w14:paraId="4692B53D" w14:textId="77777777" w:rsidR="00804AF0" w:rsidRDefault="009A47D6">
            <w:pPr>
              <w:jc w:val="center"/>
              <w:textAlignment w:val="baseline"/>
              <w:rPr>
                <w:rFonts w:ascii="Calibri" w:hAnsi="Calibri" w:cs="Calibri"/>
                <w:b/>
                <w:bCs/>
                <w:sz w:val="22"/>
                <w:szCs w:val="22"/>
                <w:lang w:eastAsia="en-GB"/>
              </w:rPr>
            </w:pPr>
            <w:r>
              <w:rPr>
                <w:rFonts w:ascii="Calibri" w:hAnsi="Calibri" w:cs="Calibri"/>
                <w:b/>
                <w:bCs/>
                <w:sz w:val="22"/>
                <w:szCs w:val="22"/>
                <w:lang w:eastAsia="en-GB"/>
              </w:rPr>
              <w:t>UN Holidays/Weekends</w:t>
            </w:r>
          </w:p>
        </w:tc>
        <w:tc>
          <w:tcPr>
            <w:tcW w:w="2615" w:type="dxa"/>
            <w:tcBorders>
              <w:top w:val="single" w:sz="6" w:space="0" w:color="auto"/>
              <w:left w:val="nil"/>
              <w:bottom w:val="single" w:sz="6" w:space="0" w:color="auto"/>
              <w:right w:val="single" w:sz="6" w:space="0" w:color="auto"/>
            </w:tcBorders>
            <w:vAlign w:val="center"/>
          </w:tcPr>
          <w:p w14:paraId="053FD2A2"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Yes</w:t>
            </w:r>
          </w:p>
        </w:tc>
        <w:tc>
          <w:tcPr>
            <w:tcW w:w="2410" w:type="dxa"/>
            <w:tcBorders>
              <w:top w:val="single" w:sz="6" w:space="0" w:color="auto"/>
              <w:left w:val="nil"/>
              <w:bottom w:val="single" w:sz="6" w:space="0" w:color="auto"/>
              <w:right w:val="single" w:sz="6" w:space="0" w:color="auto"/>
            </w:tcBorders>
            <w:vAlign w:val="center"/>
          </w:tcPr>
          <w:p w14:paraId="7C8052C9"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No</w:t>
            </w:r>
          </w:p>
          <w:p w14:paraId="61F4E33A" w14:textId="77777777" w:rsidR="00804AF0" w:rsidRDefault="00804AF0">
            <w:pPr>
              <w:jc w:val="center"/>
              <w:textAlignment w:val="baseline"/>
              <w:rPr>
                <w:rFonts w:ascii="Calibri" w:hAnsi="Calibri" w:cs="Calibri"/>
                <w:sz w:val="22"/>
                <w:szCs w:val="22"/>
                <w:lang w:eastAsia="en-GB"/>
              </w:rPr>
            </w:pPr>
          </w:p>
        </w:tc>
      </w:tr>
      <w:tr w:rsidR="00804AF0" w14:paraId="22C3555D" w14:textId="77777777">
        <w:trPr>
          <w:trHeight w:val="680"/>
        </w:trPr>
        <w:tc>
          <w:tcPr>
            <w:tcW w:w="2764" w:type="dxa"/>
            <w:tcBorders>
              <w:top w:val="nil"/>
              <w:left w:val="single" w:sz="6" w:space="0" w:color="auto"/>
              <w:bottom w:val="single" w:sz="6" w:space="0" w:color="auto"/>
              <w:right w:val="single" w:sz="6" w:space="0" w:color="auto"/>
            </w:tcBorders>
            <w:vAlign w:val="center"/>
          </w:tcPr>
          <w:p w14:paraId="37D7883F" w14:textId="77777777" w:rsidR="00804AF0" w:rsidRDefault="009A47D6">
            <w:pPr>
              <w:jc w:val="center"/>
              <w:textAlignment w:val="baseline"/>
              <w:rPr>
                <w:rFonts w:ascii="Calibri" w:hAnsi="Calibri" w:cs="Calibri"/>
                <w:b/>
                <w:bCs/>
                <w:sz w:val="22"/>
                <w:szCs w:val="22"/>
                <w:lang w:eastAsia="en-GB"/>
              </w:rPr>
            </w:pPr>
            <w:r>
              <w:rPr>
                <w:rFonts w:ascii="Calibri" w:hAnsi="Calibri" w:cs="Calibri"/>
                <w:b/>
                <w:bCs/>
                <w:sz w:val="22"/>
                <w:szCs w:val="22"/>
                <w:lang w:eastAsia="en-GB"/>
              </w:rPr>
              <w:t>Sick Leave</w:t>
            </w:r>
          </w:p>
        </w:tc>
        <w:tc>
          <w:tcPr>
            <w:tcW w:w="2615" w:type="dxa"/>
            <w:tcBorders>
              <w:top w:val="single" w:sz="6" w:space="0" w:color="auto"/>
              <w:left w:val="nil"/>
              <w:bottom w:val="single" w:sz="6" w:space="0" w:color="auto"/>
              <w:right w:val="single" w:sz="6" w:space="0" w:color="auto"/>
            </w:tcBorders>
            <w:vAlign w:val="center"/>
          </w:tcPr>
          <w:p w14:paraId="6292AB62"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Yes (&gt;6m), 2 d/m, plus 7/year uncertified</w:t>
            </w:r>
          </w:p>
        </w:tc>
        <w:tc>
          <w:tcPr>
            <w:tcW w:w="2410" w:type="dxa"/>
            <w:tcBorders>
              <w:top w:val="single" w:sz="6" w:space="0" w:color="auto"/>
              <w:left w:val="nil"/>
              <w:bottom w:val="single" w:sz="6" w:space="0" w:color="auto"/>
              <w:right w:val="single" w:sz="6" w:space="0" w:color="auto"/>
            </w:tcBorders>
            <w:vAlign w:val="center"/>
          </w:tcPr>
          <w:p w14:paraId="2FC5A7EB"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No</w:t>
            </w:r>
          </w:p>
          <w:p w14:paraId="4CC7A9A1" w14:textId="77777777" w:rsidR="00804AF0" w:rsidRDefault="00804AF0">
            <w:pPr>
              <w:jc w:val="center"/>
              <w:textAlignment w:val="baseline"/>
              <w:rPr>
                <w:rFonts w:ascii="Calibri" w:hAnsi="Calibri" w:cs="Calibri"/>
                <w:sz w:val="22"/>
                <w:szCs w:val="22"/>
                <w:lang w:eastAsia="en-GB"/>
              </w:rPr>
            </w:pPr>
          </w:p>
        </w:tc>
      </w:tr>
      <w:tr w:rsidR="00804AF0" w14:paraId="0834235E" w14:textId="77777777">
        <w:trPr>
          <w:trHeight w:val="680"/>
        </w:trPr>
        <w:tc>
          <w:tcPr>
            <w:tcW w:w="2764" w:type="dxa"/>
            <w:tcBorders>
              <w:top w:val="nil"/>
              <w:left w:val="single" w:sz="6" w:space="0" w:color="auto"/>
              <w:bottom w:val="single" w:sz="6" w:space="0" w:color="auto"/>
              <w:right w:val="single" w:sz="6" w:space="0" w:color="auto"/>
            </w:tcBorders>
            <w:vAlign w:val="center"/>
          </w:tcPr>
          <w:p w14:paraId="3AAE9C63" w14:textId="77777777" w:rsidR="00804AF0" w:rsidRDefault="009A47D6">
            <w:pPr>
              <w:jc w:val="center"/>
              <w:textAlignment w:val="baseline"/>
              <w:rPr>
                <w:rFonts w:ascii="Calibri" w:hAnsi="Calibri" w:cs="Calibri"/>
                <w:b/>
                <w:bCs/>
                <w:sz w:val="22"/>
                <w:szCs w:val="22"/>
                <w:lang w:eastAsia="en-GB"/>
              </w:rPr>
            </w:pPr>
            <w:r>
              <w:rPr>
                <w:rFonts w:ascii="Calibri" w:hAnsi="Calibri" w:cs="Calibri"/>
                <w:b/>
                <w:bCs/>
                <w:sz w:val="22"/>
                <w:szCs w:val="22"/>
                <w:lang w:eastAsia="en-GB"/>
              </w:rPr>
              <w:t>Annual Leave</w:t>
            </w:r>
          </w:p>
        </w:tc>
        <w:tc>
          <w:tcPr>
            <w:tcW w:w="2615" w:type="dxa"/>
            <w:tcBorders>
              <w:top w:val="single" w:sz="6" w:space="0" w:color="auto"/>
              <w:left w:val="nil"/>
              <w:bottom w:val="single" w:sz="6" w:space="0" w:color="auto"/>
              <w:right w:val="single" w:sz="6" w:space="0" w:color="auto"/>
            </w:tcBorders>
            <w:vAlign w:val="center"/>
          </w:tcPr>
          <w:p w14:paraId="57B2665E"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Yes (&gt;6m), max 2.5 d/m</w:t>
            </w:r>
          </w:p>
        </w:tc>
        <w:tc>
          <w:tcPr>
            <w:tcW w:w="2410" w:type="dxa"/>
            <w:tcBorders>
              <w:top w:val="single" w:sz="6" w:space="0" w:color="auto"/>
              <w:left w:val="nil"/>
              <w:bottom w:val="single" w:sz="6" w:space="0" w:color="auto"/>
              <w:right w:val="single" w:sz="6" w:space="0" w:color="auto"/>
            </w:tcBorders>
            <w:vAlign w:val="center"/>
          </w:tcPr>
          <w:p w14:paraId="720E0D45"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No</w:t>
            </w:r>
          </w:p>
          <w:p w14:paraId="20200A34" w14:textId="77777777" w:rsidR="00804AF0" w:rsidRDefault="00804AF0">
            <w:pPr>
              <w:jc w:val="center"/>
              <w:textAlignment w:val="baseline"/>
              <w:rPr>
                <w:rFonts w:ascii="Calibri" w:hAnsi="Calibri" w:cs="Calibri"/>
                <w:sz w:val="22"/>
                <w:szCs w:val="22"/>
                <w:lang w:eastAsia="en-GB"/>
              </w:rPr>
            </w:pPr>
          </w:p>
        </w:tc>
      </w:tr>
      <w:tr w:rsidR="00804AF0" w14:paraId="5FCA3433" w14:textId="77777777">
        <w:trPr>
          <w:trHeight w:val="680"/>
        </w:trPr>
        <w:tc>
          <w:tcPr>
            <w:tcW w:w="2764" w:type="dxa"/>
            <w:tcBorders>
              <w:top w:val="nil"/>
              <w:left w:val="single" w:sz="6" w:space="0" w:color="auto"/>
              <w:bottom w:val="single" w:sz="6" w:space="0" w:color="auto"/>
              <w:right w:val="single" w:sz="6" w:space="0" w:color="auto"/>
            </w:tcBorders>
            <w:vAlign w:val="center"/>
          </w:tcPr>
          <w:p w14:paraId="533D82A5" w14:textId="77777777" w:rsidR="00804AF0" w:rsidRDefault="009A47D6">
            <w:pPr>
              <w:jc w:val="center"/>
              <w:textAlignment w:val="baseline"/>
              <w:rPr>
                <w:rFonts w:ascii="Calibri" w:hAnsi="Calibri" w:cs="Calibri"/>
                <w:b/>
                <w:bCs/>
                <w:sz w:val="22"/>
                <w:szCs w:val="22"/>
                <w:lang w:eastAsia="en-GB"/>
              </w:rPr>
            </w:pPr>
            <w:r>
              <w:rPr>
                <w:rFonts w:ascii="Calibri" w:hAnsi="Calibri" w:cs="Calibri"/>
                <w:b/>
                <w:bCs/>
                <w:sz w:val="22"/>
                <w:szCs w:val="22"/>
                <w:lang w:eastAsia="en-GB"/>
              </w:rPr>
              <w:t>Maternity</w:t>
            </w:r>
          </w:p>
        </w:tc>
        <w:tc>
          <w:tcPr>
            <w:tcW w:w="2615" w:type="dxa"/>
            <w:tcBorders>
              <w:top w:val="single" w:sz="6" w:space="0" w:color="auto"/>
              <w:left w:val="nil"/>
              <w:bottom w:val="single" w:sz="6" w:space="0" w:color="auto"/>
              <w:right w:val="single" w:sz="6" w:space="0" w:color="auto"/>
            </w:tcBorders>
            <w:vAlign w:val="center"/>
          </w:tcPr>
          <w:p w14:paraId="79C9E84D"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Yes, 16 wks</w:t>
            </w:r>
          </w:p>
        </w:tc>
        <w:tc>
          <w:tcPr>
            <w:tcW w:w="2410" w:type="dxa"/>
            <w:tcBorders>
              <w:top w:val="single" w:sz="6" w:space="0" w:color="auto"/>
              <w:left w:val="nil"/>
              <w:bottom w:val="single" w:sz="6" w:space="0" w:color="auto"/>
              <w:right w:val="single" w:sz="6" w:space="0" w:color="auto"/>
            </w:tcBorders>
            <w:vAlign w:val="center"/>
          </w:tcPr>
          <w:p w14:paraId="51E1D58C"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No</w:t>
            </w:r>
          </w:p>
        </w:tc>
      </w:tr>
      <w:tr w:rsidR="00804AF0" w14:paraId="03573754" w14:textId="77777777">
        <w:trPr>
          <w:trHeight w:val="680"/>
        </w:trPr>
        <w:tc>
          <w:tcPr>
            <w:tcW w:w="2764" w:type="dxa"/>
            <w:tcBorders>
              <w:top w:val="nil"/>
              <w:left w:val="single" w:sz="6" w:space="0" w:color="auto"/>
              <w:bottom w:val="single" w:sz="6" w:space="0" w:color="auto"/>
              <w:right w:val="single" w:sz="6" w:space="0" w:color="auto"/>
            </w:tcBorders>
            <w:vAlign w:val="center"/>
          </w:tcPr>
          <w:p w14:paraId="6B416849" w14:textId="77777777" w:rsidR="00804AF0" w:rsidRDefault="009A47D6">
            <w:pPr>
              <w:jc w:val="center"/>
              <w:textAlignment w:val="baseline"/>
              <w:rPr>
                <w:rFonts w:ascii="Calibri" w:hAnsi="Calibri" w:cs="Calibri"/>
                <w:b/>
                <w:bCs/>
                <w:sz w:val="22"/>
                <w:szCs w:val="22"/>
                <w:lang w:eastAsia="en-GB"/>
              </w:rPr>
            </w:pPr>
            <w:r>
              <w:rPr>
                <w:rFonts w:ascii="Calibri" w:hAnsi="Calibri" w:cs="Calibri"/>
                <w:b/>
                <w:bCs/>
                <w:sz w:val="22"/>
                <w:szCs w:val="22"/>
                <w:lang w:eastAsia="en-GB"/>
              </w:rPr>
              <w:t>Paternity</w:t>
            </w:r>
          </w:p>
        </w:tc>
        <w:tc>
          <w:tcPr>
            <w:tcW w:w="2615" w:type="dxa"/>
            <w:tcBorders>
              <w:top w:val="single" w:sz="6" w:space="0" w:color="auto"/>
              <w:left w:val="nil"/>
              <w:bottom w:val="single" w:sz="6" w:space="0" w:color="auto"/>
              <w:right w:val="single" w:sz="6" w:space="0" w:color="auto"/>
            </w:tcBorders>
            <w:vAlign w:val="center"/>
          </w:tcPr>
          <w:p w14:paraId="474A979A"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Yes , 4 wks</w:t>
            </w:r>
          </w:p>
        </w:tc>
        <w:tc>
          <w:tcPr>
            <w:tcW w:w="2410" w:type="dxa"/>
            <w:tcBorders>
              <w:top w:val="single" w:sz="6" w:space="0" w:color="auto"/>
              <w:left w:val="nil"/>
              <w:bottom w:val="single" w:sz="6" w:space="0" w:color="auto"/>
              <w:right w:val="single" w:sz="6" w:space="0" w:color="auto"/>
            </w:tcBorders>
            <w:vAlign w:val="center"/>
          </w:tcPr>
          <w:p w14:paraId="13A6DC1E"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No</w:t>
            </w:r>
          </w:p>
        </w:tc>
      </w:tr>
      <w:tr w:rsidR="00804AF0" w14:paraId="21969BBA" w14:textId="77777777">
        <w:trPr>
          <w:trHeight w:val="680"/>
        </w:trPr>
        <w:tc>
          <w:tcPr>
            <w:tcW w:w="2764" w:type="dxa"/>
            <w:tcBorders>
              <w:top w:val="nil"/>
              <w:left w:val="single" w:sz="6" w:space="0" w:color="auto"/>
              <w:bottom w:val="single" w:sz="6" w:space="0" w:color="auto"/>
              <w:right w:val="single" w:sz="6" w:space="0" w:color="auto"/>
            </w:tcBorders>
            <w:vAlign w:val="center"/>
          </w:tcPr>
          <w:p w14:paraId="43F24F7B" w14:textId="77777777" w:rsidR="00804AF0" w:rsidRDefault="009A47D6">
            <w:pPr>
              <w:jc w:val="center"/>
              <w:textAlignment w:val="baseline"/>
              <w:rPr>
                <w:rFonts w:ascii="Calibri" w:hAnsi="Calibri" w:cs="Calibri"/>
                <w:b/>
                <w:bCs/>
                <w:sz w:val="22"/>
                <w:szCs w:val="22"/>
                <w:lang w:eastAsia="en-GB"/>
              </w:rPr>
            </w:pPr>
            <w:r>
              <w:rPr>
                <w:rFonts w:ascii="Calibri" w:hAnsi="Calibri" w:cs="Calibri"/>
                <w:b/>
                <w:bCs/>
                <w:sz w:val="22"/>
                <w:szCs w:val="22"/>
                <w:lang w:eastAsia="en-GB"/>
              </w:rPr>
              <w:t>Hardship Leave</w:t>
            </w:r>
          </w:p>
        </w:tc>
        <w:tc>
          <w:tcPr>
            <w:tcW w:w="2615" w:type="dxa"/>
            <w:tcBorders>
              <w:top w:val="single" w:sz="6" w:space="0" w:color="auto"/>
              <w:left w:val="nil"/>
              <w:bottom w:val="single" w:sz="6" w:space="0" w:color="auto"/>
              <w:right w:val="single" w:sz="6" w:space="0" w:color="auto"/>
            </w:tcBorders>
            <w:vAlign w:val="center"/>
          </w:tcPr>
          <w:p w14:paraId="41E003D7"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Yes (&gt;6m), 2 days/m</w:t>
            </w:r>
          </w:p>
          <w:p w14:paraId="4A0026FF"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(no travel)</w:t>
            </w:r>
          </w:p>
        </w:tc>
        <w:tc>
          <w:tcPr>
            <w:tcW w:w="2410" w:type="dxa"/>
            <w:tcBorders>
              <w:top w:val="single" w:sz="6" w:space="0" w:color="auto"/>
              <w:left w:val="nil"/>
              <w:bottom w:val="single" w:sz="6" w:space="0" w:color="auto"/>
              <w:right w:val="single" w:sz="6" w:space="0" w:color="auto"/>
            </w:tcBorders>
            <w:vAlign w:val="center"/>
          </w:tcPr>
          <w:p w14:paraId="02E4E0F4"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No</w:t>
            </w:r>
          </w:p>
        </w:tc>
      </w:tr>
    </w:tbl>
    <w:p w14:paraId="29E0F30F"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35D951AE"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6D1F41C5" w14:textId="77777777" w:rsidR="00804AF0" w:rsidRDefault="009A47D6">
      <w:pPr>
        <w:rPr>
          <w:rFonts w:ascii="Calibri" w:hAnsi="Calibri" w:cs="Calibri"/>
          <w:b/>
          <w:bCs/>
          <w:sz w:val="22"/>
          <w:szCs w:val="22"/>
          <w:u w:val="single"/>
          <w:lang w:eastAsia="en-GB"/>
        </w:rPr>
      </w:pPr>
      <w:bookmarkStart w:id="111" w:name="_Annex_3:_Definition"/>
      <w:bookmarkStart w:id="112" w:name="_Annex_4:_Definition_of_functions_of_inh"/>
      <w:bookmarkStart w:id="113" w:name="_Annex_3:_Definition_of_functions_of_inh"/>
      <w:bookmarkEnd w:id="111"/>
      <w:r>
        <w:rPr>
          <w:rFonts w:ascii="Calibri" w:hAnsi="Calibri" w:cs="Calibri"/>
          <w:b/>
          <w:bCs/>
          <w:sz w:val="22"/>
          <w:szCs w:val="22"/>
          <w:u w:val="single"/>
          <w:lang w:eastAsia="en-GB"/>
        </w:rPr>
        <w:br w:type="page"/>
      </w:r>
    </w:p>
    <w:p w14:paraId="632B204B" w14:textId="77777777" w:rsidR="00804AF0" w:rsidRDefault="009A47D6">
      <w:pPr>
        <w:pStyle w:val="Heading1"/>
        <w:jc w:val="left"/>
        <w:rPr>
          <w:rFonts w:ascii="Calibri" w:hAnsi="Calibri" w:cs="Calibri"/>
          <w:b/>
          <w:bCs/>
          <w:sz w:val="22"/>
          <w:szCs w:val="22"/>
          <w:u w:val="single"/>
          <w:lang w:eastAsia="en-GB"/>
        </w:rPr>
      </w:pPr>
      <w:bookmarkStart w:id="114" w:name="_Annex_3:_Definition_1"/>
      <w:bookmarkStart w:id="115" w:name="_Toc161312445"/>
      <w:bookmarkEnd w:id="114"/>
      <w:r>
        <w:rPr>
          <w:rFonts w:ascii="Calibri" w:hAnsi="Calibri" w:cs="Calibri"/>
          <w:b/>
          <w:bCs/>
          <w:sz w:val="22"/>
          <w:szCs w:val="22"/>
          <w:u w:val="single"/>
          <w:lang w:eastAsia="en-GB"/>
        </w:rPr>
        <w:lastRenderedPageBreak/>
        <w:t>Annex 3: Definition of functions of inherent and continuous nature</w:t>
      </w:r>
      <w:bookmarkEnd w:id="115"/>
      <w:r>
        <w:rPr>
          <w:rFonts w:ascii="Calibri" w:hAnsi="Calibri" w:cs="Calibri"/>
          <w:b/>
          <w:bCs/>
          <w:sz w:val="22"/>
          <w:szCs w:val="22"/>
          <w:u w:val="single"/>
          <w:lang w:eastAsia="en-GB"/>
        </w:rPr>
        <w:t> </w:t>
      </w:r>
    </w:p>
    <w:bookmarkEnd w:id="112"/>
    <w:bookmarkEnd w:id="113"/>
    <w:p w14:paraId="0882D5A9"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1E4B63E7" w14:textId="77777777" w:rsidR="00804AF0" w:rsidRDefault="009A47D6">
      <w:pPr>
        <w:jc w:val="both"/>
        <w:textAlignment w:val="baseline"/>
        <w:rPr>
          <w:rFonts w:ascii="Calibri" w:hAnsi="Calibri" w:cs="Calibri"/>
          <w:sz w:val="22"/>
          <w:szCs w:val="22"/>
          <w:lang w:eastAsia="en-GB"/>
        </w:rPr>
      </w:pPr>
      <w:bookmarkStart w:id="116" w:name="_Hlk56975668"/>
      <w:r>
        <w:rPr>
          <w:rFonts w:ascii="Calibri" w:hAnsi="Calibri" w:cs="Calibri"/>
          <w:i/>
          <w:iCs/>
          <w:sz w:val="22"/>
          <w:szCs w:val="22"/>
          <w:u w:val="single"/>
          <w:lang w:eastAsia="en-GB"/>
        </w:rPr>
        <w:t>Definition of functions of Inherent Nature:</w:t>
      </w:r>
      <w:r>
        <w:rPr>
          <w:rFonts w:ascii="Calibri" w:hAnsi="Calibri" w:cs="Calibri"/>
          <w:sz w:val="22"/>
          <w:szCs w:val="22"/>
          <w:lang w:eastAsia="en-GB"/>
        </w:rPr>
        <w:t> </w:t>
      </w:r>
    </w:p>
    <w:p w14:paraId="4D444E8A" w14:textId="77777777" w:rsidR="00804AF0" w:rsidRDefault="00804AF0">
      <w:pPr>
        <w:shd w:val="clear" w:color="auto" w:fill="FFFFFF"/>
        <w:jc w:val="both"/>
        <w:textAlignment w:val="baseline"/>
        <w:rPr>
          <w:rFonts w:ascii="Calibri" w:hAnsi="Calibri" w:cs="Calibri"/>
          <w:sz w:val="22"/>
          <w:szCs w:val="22"/>
          <w:lang w:eastAsia="en-GB"/>
        </w:rPr>
      </w:pPr>
    </w:p>
    <w:p w14:paraId="5085D1C2" w14:textId="77777777" w:rsidR="00804AF0" w:rsidRDefault="009A47D6">
      <w:pPr>
        <w:shd w:val="clear" w:color="auto" w:fill="FFFFFF"/>
        <w:jc w:val="both"/>
        <w:textAlignment w:val="baseline"/>
        <w:rPr>
          <w:rFonts w:ascii="Calibri" w:hAnsi="Calibri" w:cs="Calibri"/>
          <w:sz w:val="22"/>
          <w:szCs w:val="22"/>
          <w:lang w:eastAsia="en-GB"/>
        </w:rPr>
      </w:pPr>
      <w:r>
        <w:rPr>
          <w:rFonts w:ascii="Calibri" w:hAnsi="Calibri" w:cs="Calibri"/>
          <w:sz w:val="22"/>
          <w:szCs w:val="22"/>
          <w:lang w:eastAsia="en-GB"/>
        </w:rPr>
        <w:t>Activities of an </w:t>
      </w:r>
      <w:r>
        <w:rPr>
          <w:rFonts w:ascii="Calibri" w:hAnsi="Calibri" w:cs="Calibri"/>
          <w:b/>
          <w:bCs/>
          <w:sz w:val="22"/>
          <w:szCs w:val="22"/>
          <w:u w:val="single"/>
          <w:lang w:eastAsia="en-GB"/>
        </w:rPr>
        <w:t>inherent nature </w:t>
      </w:r>
      <w:r>
        <w:rPr>
          <w:rFonts w:ascii="Calibri" w:hAnsi="Calibri" w:cs="Calibri"/>
          <w:sz w:val="22"/>
          <w:szCs w:val="22"/>
          <w:lang w:eastAsia="en-GB"/>
        </w:rPr>
        <w:t>to the UN are those which require the exercise of substantial discretion in applying UN authority and/or in making decisions for the UN. The activities normally fall into two categories: a) the exercise of high-level authority or b) the establishment of procedures and processes related to the oversight of monetary transactions or entitlements. An inherently UN activity involves: </w:t>
      </w:r>
    </w:p>
    <w:p w14:paraId="38CCE036" w14:textId="77777777" w:rsidR="00804AF0" w:rsidRDefault="009A47D6">
      <w:pPr>
        <w:shd w:val="clear" w:color="auto" w:fill="FFFFFF"/>
        <w:ind w:left="720"/>
        <w:jc w:val="both"/>
        <w:textAlignment w:val="baseline"/>
        <w:rPr>
          <w:rFonts w:ascii="Calibri" w:hAnsi="Calibri" w:cs="Calibri"/>
          <w:sz w:val="22"/>
          <w:szCs w:val="22"/>
          <w:lang w:eastAsia="en-GB"/>
        </w:rPr>
      </w:pPr>
      <w:r>
        <w:rPr>
          <w:rFonts w:ascii="Calibri" w:hAnsi="Calibri" w:cs="Calibri"/>
          <w:sz w:val="22"/>
          <w:szCs w:val="22"/>
          <w:lang w:eastAsia="en-GB"/>
        </w:rPr>
        <w:t> </w:t>
      </w:r>
    </w:p>
    <w:p w14:paraId="26C23E34" w14:textId="12FE37AD" w:rsidR="00804AF0" w:rsidRDefault="009A47D6">
      <w:pPr>
        <w:shd w:val="clear" w:color="auto" w:fill="FFFFFF"/>
        <w:ind w:left="720" w:hanging="360"/>
        <w:jc w:val="both"/>
        <w:textAlignment w:val="baseline"/>
        <w:rPr>
          <w:rFonts w:ascii="Calibri" w:hAnsi="Calibri" w:cs="Calibri"/>
          <w:sz w:val="22"/>
          <w:szCs w:val="22"/>
          <w:lang w:eastAsia="en-GB"/>
        </w:rPr>
      </w:pPr>
      <w:r>
        <w:rPr>
          <w:rFonts w:ascii="Calibri" w:hAnsi="Calibri" w:cs="Calibri"/>
          <w:sz w:val="22"/>
          <w:szCs w:val="22"/>
          <w:lang w:eastAsia="en-GB"/>
        </w:rPr>
        <w:t xml:space="preserve">a. </w:t>
      </w:r>
      <w:r>
        <w:rPr>
          <w:rFonts w:ascii="Calibri" w:hAnsi="Calibri" w:cs="Calibri"/>
          <w:sz w:val="22"/>
          <w:szCs w:val="22"/>
          <w:lang w:eastAsia="en-GB"/>
        </w:rPr>
        <w:tab/>
      </w:r>
      <w:r w:rsidR="00D46637">
        <w:rPr>
          <w:rFonts w:ascii="Calibri" w:hAnsi="Calibri" w:cs="Calibri"/>
          <w:sz w:val="22"/>
          <w:szCs w:val="22"/>
          <w:lang w:eastAsia="en-GB"/>
        </w:rPr>
        <w:t>Binding UNDP</w:t>
      </w:r>
      <w:r>
        <w:rPr>
          <w:rFonts w:ascii="Calibri" w:hAnsi="Calibri" w:cs="Calibri"/>
          <w:sz w:val="22"/>
          <w:szCs w:val="22"/>
          <w:lang w:eastAsia="en-GB"/>
        </w:rPr>
        <w:t> to take </w:t>
      </w:r>
      <w:r w:rsidR="00D46637">
        <w:rPr>
          <w:rFonts w:ascii="Calibri" w:hAnsi="Calibri" w:cs="Calibri"/>
          <w:sz w:val="22"/>
          <w:szCs w:val="22"/>
          <w:lang w:eastAsia="en-GB"/>
        </w:rPr>
        <w:t>or not to take some action by contract, public</w:t>
      </w:r>
      <w:r>
        <w:rPr>
          <w:rFonts w:ascii="Calibri" w:hAnsi="Calibri" w:cs="Calibri"/>
          <w:sz w:val="22"/>
          <w:szCs w:val="22"/>
          <w:lang w:eastAsia="en-GB"/>
        </w:rPr>
        <w:t xml:space="preserve"> pronouncement or otherwise; </w:t>
      </w:r>
    </w:p>
    <w:p w14:paraId="04D9086B" w14:textId="77777777" w:rsidR="00804AF0" w:rsidRDefault="00804AF0">
      <w:pPr>
        <w:shd w:val="clear" w:color="auto" w:fill="FFFFFF"/>
        <w:ind w:left="720" w:hanging="360"/>
        <w:jc w:val="both"/>
        <w:textAlignment w:val="baseline"/>
        <w:rPr>
          <w:rFonts w:ascii="Calibri" w:hAnsi="Calibri" w:cs="Calibri"/>
          <w:sz w:val="22"/>
          <w:szCs w:val="22"/>
          <w:lang w:eastAsia="en-GB"/>
        </w:rPr>
      </w:pPr>
    </w:p>
    <w:p w14:paraId="152494D7" w14:textId="77777777" w:rsidR="00804AF0" w:rsidRDefault="009A47D6">
      <w:pPr>
        <w:numPr>
          <w:ilvl w:val="0"/>
          <w:numId w:val="40"/>
        </w:numPr>
        <w:shd w:val="clear" w:color="auto" w:fill="FFFFFF"/>
        <w:jc w:val="both"/>
        <w:textAlignment w:val="baseline"/>
        <w:rPr>
          <w:rFonts w:ascii="Calibri" w:hAnsi="Calibri" w:cs="Calibri"/>
          <w:sz w:val="22"/>
          <w:szCs w:val="22"/>
          <w:lang w:eastAsia="en-GB"/>
        </w:rPr>
      </w:pPr>
      <w:r>
        <w:rPr>
          <w:rFonts w:ascii="Calibri" w:hAnsi="Calibri" w:cs="Calibri"/>
          <w:sz w:val="22"/>
          <w:szCs w:val="22"/>
          <w:lang w:eastAsia="en-GB"/>
        </w:rPr>
        <w:t>Determining, protecting, and advancing the interests of the United Nations, by diplomatic means or political means or otherwise; </w:t>
      </w:r>
    </w:p>
    <w:p w14:paraId="376EB6C6" w14:textId="77777777" w:rsidR="00804AF0" w:rsidRDefault="00804AF0">
      <w:pPr>
        <w:shd w:val="clear" w:color="auto" w:fill="FFFFFF"/>
        <w:ind w:left="720"/>
        <w:jc w:val="both"/>
        <w:textAlignment w:val="baseline"/>
        <w:rPr>
          <w:rFonts w:ascii="Calibri" w:hAnsi="Calibri" w:cs="Calibri"/>
          <w:sz w:val="22"/>
          <w:szCs w:val="22"/>
          <w:lang w:eastAsia="en-GB"/>
        </w:rPr>
      </w:pPr>
    </w:p>
    <w:p w14:paraId="2D66AC63" w14:textId="77777777" w:rsidR="00804AF0" w:rsidRDefault="009A47D6">
      <w:pPr>
        <w:numPr>
          <w:ilvl w:val="0"/>
          <w:numId w:val="40"/>
        </w:numPr>
        <w:shd w:val="clear" w:color="auto" w:fill="FFFFFF"/>
        <w:jc w:val="both"/>
        <w:textAlignment w:val="baseline"/>
        <w:rPr>
          <w:rFonts w:ascii="Calibri" w:hAnsi="Calibri" w:cs="Calibri"/>
          <w:sz w:val="22"/>
          <w:szCs w:val="22"/>
          <w:lang w:eastAsia="en-GB"/>
        </w:rPr>
      </w:pPr>
      <w:r>
        <w:rPr>
          <w:rFonts w:ascii="Calibri" w:hAnsi="Calibri" w:cs="Calibri"/>
          <w:sz w:val="22"/>
          <w:szCs w:val="22"/>
          <w:lang w:eastAsia="en-GB"/>
        </w:rPr>
        <w:t xml:space="preserve">Significantly affecting the safety and security or property of </w:t>
      </w:r>
      <w:proofErr w:type="gramStart"/>
      <w:r>
        <w:rPr>
          <w:rFonts w:ascii="Calibri" w:hAnsi="Calibri" w:cs="Calibri"/>
          <w:sz w:val="22"/>
          <w:szCs w:val="22"/>
          <w:lang w:eastAsia="en-GB"/>
        </w:rPr>
        <w:t>persons</w:t>
      </w:r>
      <w:proofErr w:type="gramEnd"/>
      <w:r>
        <w:rPr>
          <w:rFonts w:ascii="Calibri" w:hAnsi="Calibri" w:cs="Calibri"/>
          <w:sz w:val="22"/>
          <w:szCs w:val="22"/>
          <w:lang w:eastAsia="en-GB"/>
        </w:rPr>
        <w:t>;</w:t>
      </w:r>
    </w:p>
    <w:p w14:paraId="56F01F5D" w14:textId="77777777" w:rsidR="00804AF0" w:rsidRDefault="00804AF0">
      <w:pPr>
        <w:shd w:val="clear" w:color="auto" w:fill="FFFFFF"/>
        <w:ind w:left="720"/>
        <w:jc w:val="both"/>
        <w:textAlignment w:val="baseline"/>
        <w:rPr>
          <w:rFonts w:ascii="Calibri" w:hAnsi="Calibri" w:cs="Calibri"/>
          <w:sz w:val="22"/>
          <w:szCs w:val="22"/>
          <w:lang w:eastAsia="en-GB"/>
        </w:rPr>
      </w:pPr>
    </w:p>
    <w:p w14:paraId="54F024FA" w14:textId="77777777" w:rsidR="00804AF0" w:rsidRDefault="009A47D6">
      <w:pPr>
        <w:numPr>
          <w:ilvl w:val="0"/>
          <w:numId w:val="40"/>
        </w:numPr>
        <w:shd w:val="clear" w:color="auto" w:fill="FFFFFF"/>
        <w:jc w:val="both"/>
        <w:textAlignment w:val="baseline"/>
        <w:rPr>
          <w:rFonts w:ascii="Calibri" w:hAnsi="Calibri" w:cs="Calibri"/>
          <w:sz w:val="22"/>
          <w:szCs w:val="22"/>
          <w:lang w:eastAsia="en-GB"/>
        </w:rPr>
      </w:pPr>
      <w:r>
        <w:rPr>
          <w:rFonts w:ascii="Calibri" w:hAnsi="Calibri" w:cs="Calibri"/>
          <w:sz w:val="22"/>
          <w:szCs w:val="22"/>
          <w:lang w:eastAsia="en-GB"/>
        </w:rPr>
        <w:t xml:space="preserve">Exerting ultimate control over the acquisition, use, or disposition of United Nations property (real or personal, tangible or intangible); </w:t>
      </w:r>
    </w:p>
    <w:p w14:paraId="1BC75DC5" w14:textId="77777777" w:rsidR="00804AF0" w:rsidRDefault="00804AF0">
      <w:pPr>
        <w:shd w:val="clear" w:color="auto" w:fill="FFFFFF"/>
        <w:ind w:left="720"/>
        <w:jc w:val="both"/>
        <w:textAlignment w:val="baseline"/>
        <w:rPr>
          <w:rFonts w:ascii="Calibri" w:hAnsi="Calibri" w:cs="Calibri"/>
          <w:sz w:val="22"/>
          <w:szCs w:val="22"/>
          <w:lang w:eastAsia="en-GB"/>
        </w:rPr>
      </w:pPr>
    </w:p>
    <w:p w14:paraId="4A6504F7" w14:textId="77777777" w:rsidR="00804AF0" w:rsidRDefault="009A47D6">
      <w:pPr>
        <w:numPr>
          <w:ilvl w:val="0"/>
          <w:numId w:val="40"/>
        </w:numPr>
        <w:shd w:val="clear" w:color="auto" w:fill="FFFFFF"/>
        <w:jc w:val="both"/>
        <w:textAlignment w:val="baseline"/>
        <w:rPr>
          <w:rFonts w:ascii="Calibri" w:hAnsi="Calibri" w:cs="Calibri"/>
          <w:sz w:val="22"/>
          <w:szCs w:val="22"/>
          <w:lang w:eastAsia="en-GB"/>
        </w:rPr>
      </w:pPr>
      <w:r>
        <w:rPr>
          <w:rFonts w:ascii="Calibri" w:hAnsi="Calibri" w:cs="Calibri"/>
          <w:sz w:val="22"/>
          <w:szCs w:val="22"/>
          <w:lang w:eastAsia="en-GB"/>
        </w:rPr>
        <w:t xml:space="preserve">Establishing policies or procedures for the collection, control, or disbursement of funds; </w:t>
      </w:r>
    </w:p>
    <w:p w14:paraId="207C4CA0" w14:textId="77777777" w:rsidR="00804AF0" w:rsidRDefault="00804AF0">
      <w:pPr>
        <w:shd w:val="clear" w:color="auto" w:fill="FFFFFF"/>
        <w:ind w:left="720"/>
        <w:jc w:val="both"/>
        <w:textAlignment w:val="baseline"/>
        <w:rPr>
          <w:rFonts w:ascii="Calibri" w:hAnsi="Calibri" w:cs="Calibri"/>
          <w:sz w:val="22"/>
          <w:szCs w:val="22"/>
          <w:lang w:eastAsia="en-GB"/>
        </w:rPr>
      </w:pPr>
    </w:p>
    <w:p w14:paraId="5B94683F" w14:textId="77777777" w:rsidR="00804AF0" w:rsidRDefault="009A47D6">
      <w:pPr>
        <w:numPr>
          <w:ilvl w:val="0"/>
          <w:numId w:val="40"/>
        </w:numPr>
        <w:shd w:val="clear" w:color="auto" w:fill="FFFFFF"/>
        <w:jc w:val="both"/>
        <w:textAlignment w:val="baseline"/>
        <w:rPr>
          <w:rFonts w:ascii="Calibri" w:hAnsi="Calibri" w:cs="Calibri"/>
          <w:sz w:val="22"/>
          <w:szCs w:val="22"/>
          <w:lang w:eastAsia="en-GB"/>
        </w:rPr>
      </w:pPr>
      <w:r>
        <w:rPr>
          <w:rFonts w:ascii="Calibri" w:hAnsi="Calibri" w:cs="Calibri"/>
          <w:sz w:val="22"/>
          <w:szCs w:val="22"/>
          <w:lang w:eastAsia="en-GB"/>
        </w:rPr>
        <w:t>Acting as internal control custodian of the organization. The list below contains an example of such functions that must be held by staff, as specified in UNDP’s internal control framework: </w:t>
      </w:r>
    </w:p>
    <w:p w14:paraId="677015B9" w14:textId="77777777" w:rsidR="00804AF0" w:rsidRDefault="009A47D6">
      <w:pPr>
        <w:shd w:val="clear" w:color="auto" w:fill="FFFFFF"/>
        <w:ind w:left="720"/>
        <w:jc w:val="both"/>
        <w:textAlignment w:val="baseline"/>
        <w:rPr>
          <w:rFonts w:ascii="Calibri" w:hAnsi="Calibri" w:cs="Calibri"/>
          <w:sz w:val="22"/>
          <w:szCs w:val="22"/>
          <w:lang w:eastAsia="en-GB"/>
        </w:rPr>
      </w:pPr>
      <w:r>
        <w:rPr>
          <w:rFonts w:ascii="Calibri" w:hAnsi="Calibri" w:cs="Calibri"/>
          <w:sz w:val="22"/>
          <w:szCs w:val="22"/>
          <w:lang w:eastAsia="en-GB"/>
        </w:rPr>
        <w:t> </w:t>
      </w:r>
    </w:p>
    <w:p w14:paraId="51FE3611" w14:textId="77777777" w:rsidR="00804AF0" w:rsidRDefault="009A47D6">
      <w:pPr>
        <w:shd w:val="clear" w:color="auto" w:fill="FFFFFF"/>
        <w:ind w:left="1800"/>
        <w:jc w:val="both"/>
        <w:textAlignment w:val="baseline"/>
        <w:rPr>
          <w:rFonts w:ascii="Calibri" w:hAnsi="Calibri" w:cs="Calibri"/>
          <w:sz w:val="22"/>
          <w:szCs w:val="22"/>
          <w:lang w:eastAsia="en-GB"/>
        </w:rPr>
      </w:pPr>
      <w:r>
        <w:rPr>
          <w:rFonts w:ascii="Calibri" w:hAnsi="Calibri" w:cs="Calibri"/>
          <w:sz w:val="22"/>
          <w:szCs w:val="22"/>
          <w:lang w:eastAsia="en-GB"/>
        </w:rPr>
        <w:t>2nd Authority  -  Approving  Managers  and  Global  Payroll Administrator </w:t>
      </w:r>
    </w:p>
    <w:p w14:paraId="206D1E8B" w14:textId="77777777" w:rsidR="00804AF0" w:rsidRDefault="009A47D6">
      <w:pPr>
        <w:shd w:val="clear" w:color="auto" w:fill="FFFFFF"/>
        <w:ind w:left="1800"/>
        <w:jc w:val="both"/>
        <w:textAlignment w:val="baseline"/>
        <w:rPr>
          <w:rFonts w:ascii="Calibri" w:hAnsi="Calibri" w:cs="Calibri"/>
          <w:sz w:val="22"/>
          <w:szCs w:val="22"/>
          <w:lang w:eastAsia="en-GB"/>
        </w:rPr>
      </w:pPr>
      <w:r>
        <w:rPr>
          <w:rFonts w:ascii="Calibri" w:hAnsi="Calibri" w:cs="Calibri"/>
          <w:sz w:val="22"/>
          <w:szCs w:val="22"/>
          <w:lang w:eastAsia="en-GB"/>
        </w:rPr>
        <w:t>3rd Authority  -  Disbursing  Officer and  Disbursing  Officer - Payroll </w:t>
      </w:r>
    </w:p>
    <w:p w14:paraId="15397159" w14:textId="77777777" w:rsidR="00804AF0" w:rsidRDefault="009A47D6">
      <w:pPr>
        <w:shd w:val="clear" w:color="auto" w:fill="FFFFFF"/>
        <w:ind w:left="1800"/>
        <w:jc w:val="both"/>
        <w:textAlignment w:val="baseline"/>
        <w:rPr>
          <w:rFonts w:ascii="Calibri" w:hAnsi="Calibri" w:cs="Calibri"/>
          <w:sz w:val="22"/>
          <w:szCs w:val="22"/>
          <w:lang w:eastAsia="en-GB"/>
        </w:rPr>
      </w:pPr>
      <w:r>
        <w:rPr>
          <w:rFonts w:ascii="Calibri" w:hAnsi="Calibri" w:cs="Calibri"/>
          <w:sz w:val="22"/>
          <w:szCs w:val="22"/>
          <w:lang w:eastAsia="en-GB"/>
        </w:rPr>
        <w:t>HR Administrator and Position Administrator </w:t>
      </w:r>
    </w:p>
    <w:p w14:paraId="57BE154F" w14:textId="77777777" w:rsidR="00804AF0" w:rsidRDefault="009A47D6">
      <w:pPr>
        <w:shd w:val="clear" w:color="auto" w:fill="FFFFFF"/>
        <w:ind w:left="1800"/>
        <w:jc w:val="both"/>
        <w:textAlignment w:val="baseline"/>
        <w:rPr>
          <w:rFonts w:ascii="Calibri" w:hAnsi="Calibri" w:cs="Calibri"/>
          <w:sz w:val="22"/>
          <w:szCs w:val="22"/>
          <w:lang w:eastAsia="en-GB"/>
        </w:rPr>
      </w:pPr>
      <w:r>
        <w:rPr>
          <w:rFonts w:ascii="Calibri" w:hAnsi="Calibri" w:cs="Calibri"/>
          <w:sz w:val="22"/>
          <w:szCs w:val="22"/>
          <w:lang w:eastAsia="en-GB"/>
        </w:rPr>
        <w:t>Bank Account Signatory </w:t>
      </w:r>
    </w:p>
    <w:p w14:paraId="32445775" w14:textId="77777777" w:rsidR="00804AF0" w:rsidRDefault="009A47D6">
      <w:pPr>
        <w:shd w:val="clear" w:color="auto" w:fill="FFFFFF"/>
        <w:ind w:left="1800"/>
        <w:jc w:val="both"/>
        <w:textAlignment w:val="baseline"/>
        <w:rPr>
          <w:rFonts w:ascii="Calibri" w:hAnsi="Calibri" w:cs="Calibri"/>
          <w:sz w:val="22"/>
          <w:szCs w:val="22"/>
          <w:lang w:eastAsia="en-GB"/>
        </w:rPr>
      </w:pPr>
      <w:r>
        <w:rPr>
          <w:rFonts w:ascii="Calibri" w:hAnsi="Calibri" w:cs="Calibri"/>
          <w:sz w:val="22"/>
          <w:szCs w:val="22"/>
          <w:lang w:eastAsia="en-GB"/>
        </w:rPr>
        <w:t>Trust Fund Manager </w:t>
      </w:r>
    </w:p>
    <w:p w14:paraId="02DC0298" w14:textId="77777777" w:rsidR="00804AF0" w:rsidRDefault="009A47D6">
      <w:pPr>
        <w:shd w:val="clear" w:color="auto" w:fill="FFFFFF"/>
        <w:ind w:left="1800"/>
        <w:jc w:val="both"/>
        <w:textAlignment w:val="baseline"/>
        <w:rPr>
          <w:rFonts w:ascii="Calibri" w:hAnsi="Calibri" w:cs="Calibri"/>
          <w:sz w:val="22"/>
          <w:szCs w:val="22"/>
          <w:lang w:eastAsia="en-GB"/>
        </w:rPr>
      </w:pPr>
      <w:r>
        <w:rPr>
          <w:rFonts w:ascii="Calibri" w:hAnsi="Calibri" w:cs="Calibri"/>
          <w:sz w:val="22"/>
          <w:szCs w:val="22"/>
          <w:lang w:eastAsia="en-GB"/>
        </w:rPr>
        <w:t>Bank reconciliation Approver </w:t>
      </w:r>
    </w:p>
    <w:p w14:paraId="4D5C2196" w14:textId="77777777" w:rsidR="00804AF0" w:rsidRDefault="009A47D6">
      <w:pPr>
        <w:shd w:val="clear" w:color="auto" w:fill="FFFFFF"/>
        <w:ind w:left="1800"/>
        <w:jc w:val="both"/>
        <w:textAlignment w:val="baseline"/>
        <w:rPr>
          <w:rFonts w:ascii="Calibri" w:hAnsi="Calibri" w:cs="Calibri"/>
          <w:sz w:val="22"/>
          <w:szCs w:val="22"/>
          <w:lang w:eastAsia="en-GB"/>
        </w:rPr>
      </w:pPr>
      <w:r>
        <w:rPr>
          <w:rFonts w:ascii="Calibri" w:hAnsi="Calibri" w:cs="Calibri"/>
          <w:sz w:val="22"/>
          <w:szCs w:val="22"/>
          <w:lang w:eastAsia="en-GB"/>
        </w:rPr>
        <w:t>Safe custodian </w:t>
      </w:r>
    </w:p>
    <w:p w14:paraId="62816351" w14:textId="77777777" w:rsidR="00804AF0" w:rsidRDefault="009A47D6">
      <w:pPr>
        <w:shd w:val="clear" w:color="auto" w:fill="FFFFFF"/>
        <w:ind w:left="1800"/>
        <w:jc w:val="both"/>
        <w:textAlignment w:val="baseline"/>
        <w:rPr>
          <w:rFonts w:ascii="Calibri" w:hAnsi="Calibri" w:cs="Calibri"/>
          <w:sz w:val="22"/>
          <w:szCs w:val="22"/>
          <w:lang w:eastAsia="en-GB"/>
        </w:rPr>
      </w:pPr>
      <w:r>
        <w:rPr>
          <w:rFonts w:ascii="Calibri" w:hAnsi="Calibri" w:cs="Calibri"/>
          <w:sz w:val="22"/>
          <w:szCs w:val="22"/>
          <w:lang w:eastAsia="en-GB"/>
        </w:rPr>
        <w:t>Supplemental roles of: Vendor Approvers, Override match exceptions, Fund manager and Retirement of assets </w:t>
      </w:r>
    </w:p>
    <w:p w14:paraId="18CBF385" w14:textId="77777777" w:rsidR="00804AF0" w:rsidRDefault="00804AF0">
      <w:pPr>
        <w:pStyle w:val="ListParagraph"/>
        <w:shd w:val="clear" w:color="auto" w:fill="FFFFFF"/>
        <w:ind w:left="2880"/>
        <w:jc w:val="both"/>
        <w:textAlignment w:val="baseline"/>
        <w:rPr>
          <w:rFonts w:ascii="Calibri" w:eastAsia="Times New Roman" w:hAnsi="Calibri" w:cs="Calibri"/>
          <w:sz w:val="22"/>
          <w:szCs w:val="22"/>
          <w:lang w:eastAsia="en-GB"/>
        </w:rPr>
      </w:pPr>
    </w:p>
    <w:p w14:paraId="6349E7AB" w14:textId="77777777" w:rsidR="00804AF0" w:rsidRDefault="009A47D6">
      <w:pPr>
        <w:shd w:val="clear" w:color="auto" w:fill="FFFFFF"/>
        <w:jc w:val="both"/>
        <w:textAlignment w:val="baseline"/>
        <w:rPr>
          <w:rFonts w:ascii="Calibri" w:hAnsi="Calibri" w:cs="Calibri"/>
          <w:sz w:val="22"/>
          <w:szCs w:val="22"/>
          <w:lang w:eastAsia="en-GB"/>
        </w:rPr>
      </w:pPr>
      <w:r>
        <w:rPr>
          <w:rFonts w:ascii="Calibri" w:hAnsi="Calibri" w:cs="Calibri"/>
          <w:sz w:val="22"/>
          <w:szCs w:val="22"/>
          <w:lang w:eastAsia="en-GB"/>
        </w:rPr>
        <w:t>As such, administering or managing a selection process in accordance with the UNDP standard policies and established processes is not considered an “inherent function”. However, deciding what rules to put into the corporate manuals and policies or making exceptions to such policies, in the interests of the UN is an “inherent function”; </w:t>
      </w:r>
    </w:p>
    <w:p w14:paraId="2549675C" w14:textId="77777777" w:rsidR="00804AF0" w:rsidRDefault="009A47D6">
      <w:pPr>
        <w:shd w:val="clear" w:color="auto" w:fill="FFFFFF"/>
        <w:jc w:val="both"/>
        <w:textAlignment w:val="baseline"/>
        <w:rPr>
          <w:rFonts w:ascii="Calibri" w:hAnsi="Calibri" w:cs="Calibri"/>
          <w:sz w:val="22"/>
          <w:szCs w:val="22"/>
          <w:lang w:eastAsia="en-GB"/>
        </w:rPr>
      </w:pPr>
      <w:r>
        <w:rPr>
          <w:rFonts w:ascii="Calibri" w:hAnsi="Calibri" w:cs="Calibri"/>
          <w:color w:val="000000"/>
          <w:sz w:val="22"/>
          <w:szCs w:val="22"/>
          <w:lang w:eastAsia="en-GB"/>
        </w:rPr>
        <w:t> </w:t>
      </w:r>
    </w:p>
    <w:p w14:paraId="0C0EFEE7" w14:textId="77777777" w:rsidR="00804AF0" w:rsidRDefault="009A47D6">
      <w:pPr>
        <w:shd w:val="clear" w:color="auto" w:fill="FFFFFF"/>
        <w:jc w:val="both"/>
        <w:textAlignment w:val="baseline"/>
        <w:rPr>
          <w:rFonts w:ascii="Calibri" w:hAnsi="Calibri" w:cs="Calibri"/>
          <w:sz w:val="22"/>
          <w:szCs w:val="22"/>
          <w:lang w:eastAsia="en-GB"/>
        </w:rPr>
      </w:pPr>
      <w:r>
        <w:rPr>
          <w:rFonts w:ascii="Calibri" w:hAnsi="Calibri" w:cs="Calibri"/>
          <w:sz w:val="22"/>
          <w:szCs w:val="22"/>
          <w:lang w:eastAsia="en-GB"/>
        </w:rPr>
        <w:t>Representing the organization, such as negotiating and deciding with governments or external partners, or deciding on which business line to focus, is considered an “inherent function”. </w:t>
      </w:r>
      <w:r>
        <w:rPr>
          <w:rFonts w:ascii="Calibri" w:hAnsi="Calibri" w:cs="Calibri"/>
          <w:sz w:val="22"/>
          <w:szCs w:val="22"/>
          <w:shd w:val="clear" w:color="auto" w:fill="FFFFFF"/>
          <w:lang w:eastAsia="en-GB"/>
        </w:rPr>
        <w:t>When in doubt, BMS/OHR shall consult with BMS/OFM to determine what is considered an inherent function.  </w:t>
      </w:r>
      <w:r>
        <w:rPr>
          <w:rFonts w:ascii="Calibri" w:hAnsi="Calibri" w:cs="Calibri"/>
          <w:sz w:val="22"/>
          <w:szCs w:val="22"/>
          <w:lang w:eastAsia="en-GB"/>
        </w:rPr>
        <w:t> </w:t>
      </w:r>
    </w:p>
    <w:p w14:paraId="3655AC86" w14:textId="77777777" w:rsidR="00804AF0" w:rsidRDefault="009A47D6">
      <w:pPr>
        <w:shd w:val="clear" w:color="auto" w:fill="FFFFFF"/>
        <w:jc w:val="both"/>
        <w:textAlignment w:val="baseline"/>
        <w:rPr>
          <w:rFonts w:ascii="Calibri" w:hAnsi="Calibri" w:cs="Calibri"/>
          <w:color w:val="404040"/>
          <w:sz w:val="22"/>
          <w:szCs w:val="22"/>
          <w:lang w:eastAsia="en-GB"/>
        </w:rPr>
      </w:pPr>
      <w:r>
        <w:rPr>
          <w:rFonts w:ascii="Calibri" w:hAnsi="Calibri" w:cs="Calibri"/>
          <w:color w:val="404040"/>
          <w:sz w:val="22"/>
          <w:szCs w:val="22"/>
          <w:lang w:eastAsia="en-GB"/>
        </w:rPr>
        <w:t> </w:t>
      </w:r>
    </w:p>
    <w:p w14:paraId="47E367D9" w14:textId="77777777" w:rsidR="009B7BAC" w:rsidRDefault="009B7BAC">
      <w:pPr>
        <w:shd w:val="clear" w:color="auto" w:fill="FFFFFF"/>
        <w:jc w:val="both"/>
        <w:textAlignment w:val="baseline"/>
        <w:rPr>
          <w:rFonts w:ascii="Calibri" w:hAnsi="Calibri" w:cs="Calibri"/>
          <w:sz w:val="22"/>
          <w:szCs w:val="22"/>
          <w:lang w:eastAsia="en-GB"/>
        </w:rPr>
      </w:pPr>
    </w:p>
    <w:p w14:paraId="0FC86AE6" w14:textId="77777777" w:rsidR="00804AF0" w:rsidRDefault="009A47D6">
      <w:pPr>
        <w:shd w:val="clear" w:color="auto" w:fill="FFFFFF"/>
        <w:jc w:val="both"/>
        <w:textAlignment w:val="baseline"/>
        <w:rPr>
          <w:rFonts w:ascii="Calibri" w:hAnsi="Calibri" w:cs="Calibri"/>
          <w:sz w:val="22"/>
          <w:szCs w:val="22"/>
          <w:lang w:eastAsia="en-GB"/>
        </w:rPr>
      </w:pPr>
      <w:r>
        <w:rPr>
          <w:rFonts w:ascii="Calibri" w:hAnsi="Calibri" w:cs="Calibri"/>
          <w:i/>
          <w:iCs/>
          <w:sz w:val="22"/>
          <w:szCs w:val="22"/>
          <w:u w:val="single"/>
          <w:lang w:eastAsia="en-GB"/>
        </w:rPr>
        <w:lastRenderedPageBreak/>
        <w:t>Definition of functions of a continuous nature:</w:t>
      </w:r>
      <w:r>
        <w:rPr>
          <w:rFonts w:ascii="Calibri" w:hAnsi="Calibri" w:cs="Calibri"/>
          <w:sz w:val="22"/>
          <w:szCs w:val="22"/>
          <w:lang w:eastAsia="en-GB"/>
        </w:rPr>
        <w:t> </w:t>
      </w:r>
    </w:p>
    <w:p w14:paraId="16B9A158" w14:textId="77777777" w:rsidR="00804AF0" w:rsidRDefault="009A47D6">
      <w:pPr>
        <w:shd w:val="clear" w:color="auto" w:fill="FFFFFF"/>
        <w:jc w:val="both"/>
        <w:textAlignment w:val="baseline"/>
        <w:rPr>
          <w:rFonts w:ascii="Calibri" w:hAnsi="Calibri" w:cs="Calibri"/>
          <w:sz w:val="22"/>
          <w:szCs w:val="22"/>
          <w:lang w:eastAsia="en-GB"/>
        </w:rPr>
      </w:pPr>
      <w:r>
        <w:rPr>
          <w:rFonts w:ascii="Calibri" w:hAnsi="Calibri" w:cs="Calibri"/>
          <w:sz w:val="22"/>
          <w:szCs w:val="22"/>
          <w:lang w:eastAsia="en-GB"/>
        </w:rPr>
        <w:t> </w:t>
      </w:r>
    </w:p>
    <w:p w14:paraId="6A6F71C0" w14:textId="77777777" w:rsidR="00804AF0" w:rsidRDefault="009A47D6">
      <w:pPr>
        <w:shd w:val="clear" w:color="auto" w:fill="FFFFFF"/>
        <w:jc w:val="both"/>
        <w:textAlignment w:val="baseline"/>
        <w:rPr>
          <w:rFonts w:ascii="Calibri" w:hAnsi="Calibri" w:cs="Calibri"/>
          <w:sz w:val="22"/>
          <w:szCs w:val="22"/>
          <w:lang w:eastAsia="en-GB"/>
        </w:rPr>
      </w:pPr>
      <w:r>
        <w:rPr>
          <w:rFonts w:ascii="Calibri" w:hAnsi="Calibri" w:cs="Calibri"/>
          <w:sz w:val="22"/>
          <w:szCs w:val="22"/>
          <w:shd w:val="clear" w:color="auto" w:fill="FFFFFF"/>
          <w:lang w:eastAsia="en-GB"/>
        </w:rPr>
        <w:t>The functions are of </w:t>
      </w:r>
      <w:r>
        <w:rPr>
          <w:rFonts w:ascii="Calibri" w:hAnsi="Calibri" w:cs="Calibri"/>
          <w:b/>
          <w:bCs/>
          <w:sz w:val="22"/>
          <w:szCs w:val="22"/>
          <w:u w:val="single"/>
          <w:shd w:val="clear" w:color="auto" w:fill="FFFFFF"/>
          <w:lang w:eastAsia="en-GB"/>
        </w:rPr>
        <w:t>continuous nature</w:t>
      </w:r>
      <w:r>
        <w:rPr>
          <w:rFonts w:ascii="Calibri" w:hAnsi="Calibri" w:cs="Calibri"/>
          <w:sz w:val="22"/>
          <w:szCs w:val="22"/>
          <w:shd w:val="clear" w:color="auto" w:fill="FFFFFF"/>
          <w:lang w:eastAsia="en-GB"/>
        </w:rPr>
        <w:t> </w:t>
      </w:r>
      <w:r>
        <w:rPr>
          <w:rFonts w:ascii="Calibri" w:hAnsi="Calibri" w:cs="Calibri"/>
          <w:sz w:val="22"/>
          <w:szCs w:val="22"/>
          <w:lang w:eastAsia="en-GB"/>
        </w:rPr>
        <w:t>when the position is primarily core funded (&gt;50%), and  </w:t>
      </w:r>
    </w:p>
    <w:p w14:paraId="506BC936" w14:textId="77777777" w:rsidR="00804AF0" w:rsidRDefault="009A47D6">
      <w:pPr>
        <w:shd w:val="clear" w:color="auto" w:fill="FFFFFF"/>
        <w:jc w:val="both"/>
        <w:textAlignment w:val="baseline"/>
        <w:rPr>
          <w:rFonts w:ascii="Calibri" w:hAnsi="Calibri" w:cs="Calibri"/>
          <w:sz w:val="22"/>
          <w:szCs w:val="22"/>
          <w:lang w:eastAsia="en-GB"/>
        </w:rPr>
      </w:pPr>
      <w:r>
        <w:rPr>
          <w:rFonts w:ascii="Calibri" w:hAnsi="Calibri" w:cs="Calibri"/>
          <w:sz w:val="22"/>
          <w:szCs w:val="22"/>
          <w:lang w:eastAsia="en-GB"/>
        </w:rPr>
        <w:t>  </w:t>
      </w:r>
    </w:p>
    <w:p w14:paraId="5212FD20" w14:textId="77777777" w:rsidR="00804AF0" w:rsidRDefault="009A47D6">
      <w:pPr>
        <w:numPr>
          <w:ilvl w:val="0"/>
          <w:numId w:val="41"/>
        </w:numPr>
        <w:shd w:val="clear" w:color="auto" w:fill="FFFFFF"/>
        <w:jc w:val="both"/>
        <w:textAlignment w:val="baseline"/>
        <w:rPr>
          <w:rFonts w:ascii="Calibri" w:hAnsi="Calibri" w:cs="Calibri"/>
          <w:sz w:val="22"/>
          <w:szCs w:val="22"/>
          <w:lang w:eastAsia="en-GB"/>
        </w:rPr>
      </w:pPr>
      <w:r>
        <w:rPr>
          <w:rFonts w:ascii="Calibri" w:hAnsi="Calibri" w:cs="Calibri"/>
          <w:sz w:val="22"/>
          <w:szCs w:val="22"/>
          <w:lang w:eastAsia="en-GB"/>
        </w:rPr>
        <w:t>The functions performed under the position are not meant to indirectly support a specific, limited in time, kind of initiative/project, such as a specific business development engagement, study visit, consultancy, specific training, etc.</w:t>
      </w:r>
    </w:p>
    <w:p w14:paraId="3D858CAB" w14:textId="77777777" w:rsidR="00804AF0" w:rsidRDefault="009A47D6">
      <w:pPr>
        <w:shd w:val="clear" w:color="auto" w:fill="FFFFFF"/>
        <w:ind w:left="360"/>
        <w:jc w:val="both"/>
        <w:textAlignment w:val="baseline"/>
        <w:rPr>
          <w:rFonts w:ascii="Calibri" w:hAnsi="Calibri" w:cs="Calibri"/>
          <w:sz w:val="22"/>
          <w:szCs w:val="22"/>
          <w:lang w:eastAsia="en-GB"/>
        </w:rPr>
      </w:pPr>
      <w:r>
        <w:rPr>
          <w:rFonts w:ascii="Calibri" w:hAnsi="Calibri" w:cs="Calibri"/>
          <w:sz w:val="22"/>
          <w:szCs w:val="22"/>
          <w:lang w:eastAsia="en-GB"/>
        </w:rPr>
        <w:t> </w:t>
      </w:r>
    </w:p>
    <w:p w14:paraId="47724002" w14:textId="77777777" w:rsidR="00804AF0" w:rsidRDefault="009A47D6">
      <w:pPr>
        <w:numPr>
          <w:ilvl w:val="0"/>
          <w:numId w:val="41"/>
        </w:numPr>
        <w:shd w:val="clear" w:color="auto" w:fill="FFFFFF"/>
        <w:jc w:val="both"/>
        <w:textAlignment w:val="baseline"/>
        <w:rPr>
          <w:rFonts w:ascii="Calibri" w:hAnsi="Calibri" w:cs="Calibri"/>
          <w:sz w:val="22"/>
          <w:szCs w:val="22"/>
          <w:lang w:eastAsia="en-GB"/>
        </w:rPr>
      </w:pPr>
      <w:r>
        <w:rPr>
          <w:rFonts w:ascii="Calibri" w:hAnsi="Calibri" w:cs="Calibri"/>
          <w:sz w:val="22"/>
          <w:szCs w:val="22"/>
          <w:lang w:eastAsia="en-GB"/>
        </w:rPr>
        <w:t>The position covered by the IPSA is not a temporary replacement of a UNDP post where the staff member incumbent is on an extended leave, such as maternity, paternity, special leave, etc. </w:t>
      </w:r>
    </w:p>
    <w:bookmarkEnd w:id="116"/>
    <w:p w14:paraId="050E55EF" w14:textId="77777777" w:rsidR="00804AF0" w:rsidRDefault="00804AF0">
      <w:pPr>
        <w:jc w:val="both"/>
        <w:textAlignment w:val="baseline"/>
        <w:rPr>
          <w:rFonts w:ascii="Calibri" w:hAnsi="Calibri" w:cs="Calibri"/>
          <w:b/>
          <w:bCs/>
          <w:sz w:val="22"/>
          <w:szCs w:val="22"/>
          <w:u w:val="single"/>
          <w:lang w:eastAsia="en-GB"/>
        </w:rPr>
      </w:pPr>
    </w:p>
    <w:p w14:paraId="12037710" w14:textId="77777777" w:rsidR="00804AF0" w:rsidRDefault="009A47D6">
      <w:pPr>
        <w:rPr>
          <w:rFonts w:ascii="Calibri" w:hAnsi="Calibri" w:cs="Calibri"/>
          <w:b/>
          <w:bCs/>
          <w:sz w:val="22"/>
          <w:szCs w:val="22"/>
          <w:u w:val="single"/>
          <w:lang w:eastAsia="en-GB"/>
        </w:rPr>
      </w:pPr>
      <w:bookmarkStart w:id="117" w:name="_Annex_4:_IPSA"/>
      <w:bookmarkStart w:id="118" w:name="_Annex_5:_IPSA_Pay_Ranges_and_Identifyin"/>
      <w:bookmarkEnd w:id="117"/>
      <w:r>
        <w:rPr>
          <w:rFonts w:ascii="Calibri" w:hAnsi="Calibri" w:cs="Calibri"/>
          <w:b/>
          <w:bCs/>
          <w:sz w:val="22"/>
          <w:szCs w:val="22"/>
          <w:u w:val="single"/>
          <w:lang w:eastAsia="en-GB"/>
        </w:rPr>
        <w:br w:type="page"/>
      </w:r>
    </w:p>
    <w:p w14:paraId="29FB4DFF" w14:textId="52B759E3" w:rsidR="00804AF0" w:rsidRDefault="009A47D6">
      <w:pPr>
        <w:pStyle w:val="Heading1"/>
        <w:jc w:val="left"/>
        <w:rPr>
          <w:rFonts w:ascii="Calibri" w:hAnsi="Calibri" w:cs="Calibri"/>
          <w:b/>
          <w:bCs/>
          <w:sz w:val="22"/>
          <w:szCs w:val="22"/>
          <w:u w:val="single"/>
          <w:lang w:eastAsia="en-GB"/>
        </w:rPr>
      </w:pPr>
      <w:bookmarkStart w:id="119" w:name="_Annex_4:_IPSA_1"/>
      <w:bookmarkStart w:id="120" w:name="_Toc161312446"/>
      <w:bookmarkEnd w:id="119"/>
      <w:r>
        <w:rPr>
          <w:rFonts w:ascii="Calibri" w:hAnsi="Calibri" w:cs="Calibri"/>
          <w:b/>
          <w:bCs/>
          <w:sz w:val="22"/>
          <w:szCs w:val="22"/>
          <w:u w:val="single"/>
          <w:lang w:eastAsia="en-GB"/>
        </w:rPr>
        <w:lastRenderedPageBreak/>
        <w:t xml:space="preserve">Annex 4: IPSA </w:t>
      </w:r>
      <w:r w:rsidR="00292140">
        <w:rPr>
          <w:rFonts w:ascii="Calibri" w:hAnsi="Calibri" w:cs="Calibri"/>
          <w:b/>
          <w:bCs/>
          <w:sz w:val="22"/>
          <w:szCs w:val="22"/>
          <w:u w:val="single"/>
          <w:lang w:eastAsia="en-GB"/>
        </w:rPr>
        <w:t>p</w:t>
      </w:r>
      <w:r>
        <w:rPr>
          <w:rFonts w:ascii="Calibri" w:hAnsi="Calibri" w:cs="Calibri"/>
          <w:b/>
          <w:bCs/>
          <w:sz w:val="22"/>
          <w:szCs w:val="22"/>
          <w:u w:val="single"/>
          <w:lang w:eastAsia="en-GB"/>
        </w:rPr>
        <w:t xml:space="preserve">ay </w:t>
      </w:r>
      <w:r w:rsidR="00292140">
        <w:rPr>
          <w:rFonts w:ascii="Calibri" w:hAnsi="Calibri" w:cs="Calibri"/>
          <w:b/>
          <w:bCs/>
          <w:sz w:val="22"/>
          <w:szCs w:val="22"/>
          <w:u w:val="single"/>
          <w:lang w:eastAsia="en-GB"/>
        </w:rPr>
        <w:t>r</w:t>
      </w:r>
      <w:r>
        <w:rPr>
          <w:rFonts w:ascii="Calibri" w:hAnsi="Calibri" w:cs="Calibri"/>
          <w:b/>
          <w:bCs/>
          <w:sz w:val="22"/>
          <w:szCs w:val="22"/>
          <w:u w:val="single"/>
          <w:lang w:eastAsia="en-GB"/>
        </w:rPr>
        <w:t xml:space="preserve">anges and </w:t>
      </w:r>
      <w:r w:rsidR="00292140">
        <w:rPr>
          <w:rFonts w:ascii="Calibri" w:hAnsi="Calibri" w:cs="Calibri"/>
          <w:b/>
          <w:bCs/>
          <w:sz w:val="22"/>
          <w:szCs w:val="22"/>
          <w:u w:val="single"/>
          <w:lang w:eastAsia="en-GB"/>
        </w:rPr>
        <w:t>i</w:t>
      </w:r>
      <w:r>
        <w:rPr>
          <w:rFonts w:ascii="Calibri" w:hAnsi="Calibri" w:cs="Calibri"/>
          <w:b/>
          <w:bCs/>
          <w:sz w:val="22"/>
          <w:szCs w:val="22"/>
          <w:u w:val="single"/>
          <w:lang w:eastAsia="en-GB"/>
        </w:rPr>
        <w:t>dentifying the right level</w:t>
      </w:r>
      <w:bookmarkEnd w:id="120"/>
      <w:r>
        <w:rPr>
          <w:rFonts w:ascii="Calibri" w:hAnsi="Calibri" w:cs="Calibri"/>
          <w:b/>
          <w:bCs/>
          <w:sz w:val="22"/>
          <w:szCs w:val="22"/>
          <w:u w:val="single"/>
          <w:lang w:eastAsia="en-GB"/>
        </w:rPr>
        <w:t> </w:t>
      </w:r>
    </w:p>
    <w:bookmarkEnd w:id="118"/>
    <w:p w14:paraId="28EBF76B" w14:textId="77777777" w:rsidR="00804AF0" w:rsidRDefault="00804AF0">
      <w:pPr>
        <w:jc w:val="both"/>
        <w:textAlignment w:val="baseline"/>
        <w:rPr>
          <w:rFonts w:ascii="Calibri" w:hAnsi="Calibri" w:cs="Calibri"/>
          <w:sz w:val="22"/>
          <w:szCs w:val="22"/>
          <w:lang w:eastAsia="en-GB"/>
        </w:rPr>
      </w:pPr>
    </w:p>
    <w:p w14:paraId="7F7F9E28" w14:textId="77777777" w:rsidR="00804AF0" w:rsidRDefault="009A47D6">
      <w:pPr>
        <w:textAlignment w:val="baseline"/>
        <w:rPr>
          <w:rFonts w:ascii="Calibri" w:hAnsi="Calibri" w:cs="Calibri"/>
          <w:sz w:val="22"/>
          <w:szCs w:val="22"/>
          <w:lang w:eastAsia="en-GB"/>
        </w:rPr>
      </w:pPr>
      <w:r>
        <w:rPr>
          <w:rFonts w:ascii="Calibri" w:hAnsi="Calibri" w:cs="Calibri"/>
          <w:i/>
          <w:iCs/>
          <w:sz w:val="22"/>
          <w:szCs w:val="22"/>
          <w:u w:val="single"/>
          <w:lang w:eastAsia="en-GB"/>
        </w:rPr>
        <w:t>Identifying the right level as per functions:</w:t>
      </w:r>
      <w:r>
        <w:rPr>
          <w:rFonts w:ascii="Calibri" w:hAnsi="Calibri" w:cs="Calibri"/>
          <w:sz w:val="22"/>
          <w:szCs w:val="22"/>
          <w:lang w:eastAsia="en-GB"/>
        </w:rPr>
        <w:t> </w:t>
      </w:r>
    </w:p>
    <w:p w14:paraId="5DE36003" w14:textId="77777777" w:rsidR="00804AF0" w:rsidRDefault="00804AF0">
      <w:pPr>
        <w:textAlignment w:val="baseline"/>
        <w:rPr>
          <w:rFonts w:ascii="Calibri" w:hAnsi="Calibri" w:cs="Calibri"/>
          <w:sz w:val="22"/>
          <w:szCs w:val="22"/>
          <w:lang w:eastAsia="en-GB"/>
        </w:rPr>
      </w:pPr>
    </w:p>
    <w:p w14:paraId="76E73A1D" w14:textId="77777777" w:rsidR="00804AF0" w:rsidRDefault="009A47D6">
      <w:pPr>
        <w:jc w:val="both"/>
        <w:textAlignment w:val="baseline"/>
        <w:rPr>
          <w:rFonts w:ascii="Calibri" w:hAnsi="Calibri" w:cs="Calibri"/>
          <w:sz w:val="22"/>
          <w:szCs w:val="22"/>
          <w:lang w:eastAsia="en-GB"/>
        </w:rPr>
      </w:pPr>
      <w:r>
        <w:rPr>
          <w:rFonts w:ascii="Calibri" w:hAnsi="Calibri" w:cs="Calibri"/>
          <w:b/>
          <w:bCs/>
          <w:sz w:val="22"/>
          <w:szCs w:val="22"/>
          <w:lang w:eastAsia="en-GB"/>
        </w:rPr>
        <w:t>IB1 (P1-P2):</w:t>
      </w:r>
      <w:r>
        <w:rPr>
          <w:rFonts w:ascii="Calibri" w:hAnsi="Calibri" w:cs="Calibri"/>
          <w:sz w:val="22"/>
          <w:szCs w:val="22"/>
          <w:lang w:eastAsia="en-GB"/>
        </w:rPr>
        <w:t> Basic knowledge, more theoretical than practical and less managerial capacity, basic analysis; capacity to apply unpaid concepts. Basic professional competence, expectations to grow the individual from conceptual understanding to applied knowledge.  </w:t>
      </w:r>
    </w:p>
    <w:p w14:paraId="1FAD6160" w14:textId="77777777" w:rsidR="00804AF0" w:rsidRDefault="00804AF0">
      <w:pPr>
        <w:jc w:val="both"/>
        <w:textAlignment w:val="baseline"/>
        <w:rPr>
          <w:rFonts w:ascii="Calibri" w:hAnsi="Calibri" w:cs="Calibri"/>
          <w:sz w:val="22"/>
          <w:szCs w:val="22"/>
          <w:lang w:eastAsia="en-GB"/>
        </w:rPr>
      </w:pPr>
    </w:p>
    <w:p w14:paraId="597D56A5" w14:textId="77777777" w:rsidR="00804AF0" w:rsidRDefault="009A47D6">
      <w:pPr>
        <w:jc w:val="both"/>
        <w:textAlignment w:val="baseline"/>
        <w:rPr>
          <w:rFonts w:ascii="Calibri" w:hAnsi="Calibri" w:cs="Calibri"/>
          <w:sz w:val="22"/>
          <w:szCs w:val="22"/>
          <w:lang w:eastAsia="en-GB"/>
        </w:rPr>
      </w:pPr>
      <w:r>
        <w:rPr>
          <w:rFonts w:ascii="Calibri" w:hAnsi="Calibri" w:cs="Calibri"/>
          <w:b/>
          <w:bCs/>
          <w:sz w:val="22"/>
          <w:szCs w:val="22"/>
          <w:lang w:eastAsia="en-GB"/>
        </w:rPr>
        <w:t>IB2 (P3-P4):</w:t>
      </w:r>
      <w:r>
        <w:rPr>
          <w:rFonts w:ascii="Calibri" w:hAnsi="Calibri" w:cs="Calibri"/>
          <w:sz w:val="22"/>
          <w:szCs w:val="22"/>
          <w:lang w:eastAsia="en-GB"/>
        </w:rPr>
        <w:t> Solid understanding of the technicality of the position requirements; initiating new understandings and application of knowledge into policies or programmes in a specific subject area or field of work. This may range from solid professional (theory and practice) who anchors a substantive team to a specialist who is recognized for conceptual applied mastery, innovates new approaches, can work with specialized substantive teams.  </w:t>
      </w:r>
    </w:p>
    <w:p w14:paraId="3871EFAD" w14:textId="77777777" w:rsidR="00804AF0" w:rsidRDefault="00804AF0">
      <w:pPr>
        <w:jc w:val="both"/>
        <w:textAlignment w:val="baseline"/>
        <w:rPr>
          <w:rFonts w:ascii="Calibri" w:hAnsi="Calibri" w:cs="Calibri"/>
          <w:sz w:val="22"/>
          <w:szCs w:val="22"/>
          <w:lang w:eastAsia="en-GB"/>
        </w:rPr>
      </w:pPr>
    </w:p>
    <w:p w14:paraId="0604A3BB" w14:textId="77777777" w:rsidR="00804AF0" w:rsidRDefault="009A47D6">
      <w:pPr>
        <w:jc w:val="both"/>
        <w:textAlignment w:val="baseline"/>
        <w:rPr>
          <w:rFonts w:ascii="Calibri" w:hAnsi="Calibri" w:cs="Calibri"/>
          <w:sz w:val="22"/>
          <w:szCs w:val="22"/>
          <w:lang w:eastAsia="en-GB"/>
        </w:rPr>
      </w:pPr>
      <w:r>
        <w:rPr>
          <w:rFonts w:ascii="Calibri" w:hAnsi="Calibri" w:cs="Calibri"/>
          <w:b/>
          <w:bCs/>
          <w:sz w:val="22"/>
          <w:szCs w:val="22"/>
          <w:lang w:eastAsia="en-GB"/>
        </w:rPr>
        <w:t>IB3 (P5- D1/P6 Expert Roles):</w:t>
      </w:r>
      <w:r>
        <w:rPr>
          <w:rFonts w:ascii="Calibri" w:hAnsi="Calibri" w:cs="Calibri"/>
          <w:sz w:val="22"/>
          <w:szCs w:val="22"/>
          <w:lang w:eastAsia="en-GB"/>
        </w:rPr>
        <w:t> Integration of substantive specialization to provide a comprehensive platform for service; delivery of world-renowned expertise recognized by the peer community; expanding and extending capacities and services into new fields. Advanced programme renowned expert, integrates substantive specializations, devises ground-breaking initiatives.</w:t>
      </w:r>
    </w:p>
    <w:p w14:paraId="7B09F547"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48139569" w14:textId="77777777" w:rsidR="00804AF0" w:rsidRDefault="009A47D6">
      <w:pPr>
        <w:jc w:val="both"/>
        <w:textAlignment w:val="baseline"/>
        <w:rPr>
          <w:rFonts w:ascii="Calibri" w:hAnsi="Calibri" w:cs="Calibri"/>
          <w:sz w:val="22"/>
          <w:szCs w:val="22"/>
          <w:lang w:eastAsia="en-GB"/>
        </w:rPr>
      </w:pPr>
      <w:r>
        <w:rPr>
          <w:rFonts w:ascii="Calibri" w:hAnsi="Calibri" w:cs="Calibri"/>
          <w:b/>
          <w:bCs/>
          <w:sz w:val="22"/>
          <w:szCs w:val="22"/>
          <w:lang w:eastAsia="en-GB"/>
        </w:rPr>
        <w:t>IB4 (D1/P6-D2/P7)- mostly highly technical senior roles, sometimes Expert roles at D2 level: </w:t>
      </w:r>
      <w:r>
        <w:rPr>
          <w:rFonts w:ascii="Calibri" w:hAnsi="Calibri" w:cs="Calibri"/>
          <w:sz w:val="22"/>
          <w:szCs w:val="22"/>
          <w:lang w:eastAsia="en-GB"/>
        </w:rPr>
        <w:t>Politically and substantively prescient.  World-class senior-level expert. </w:t>
      </w:r>
    </w:p>
    <w:p w14:paraId="3257B749" w14:textId="77777777" w:rsidR="00804AF0" w:rsidRDefault="00804AF0">
      <w:pPr>
        <w:jc w:val="both"/>
        <w:textAlignment w:val="baseline"/>
        <w:rPr>
          <w:rFonts w:ascii="Calibri" w:hAnsi="Calibri" w:cs="Calibri"/>
          <w:sz w:val="22"/>
          <w:szCs w:val="22"/>
          <w:lang w:eastAsia="en-GB"/>
        </w:rPr>
      </w:pPr>
    </w:p>
    <w:p w14:paraId="6A1F32B3" w14:textId="77777777" w:rsidR="00804AF0" w:rsidRDefault="00804AF0">
      <w:pPr>
        <w:jc w:val="both"/>
        <w:textAlignment w:val="baseline"/>
        <w:rPr>
          <w:rFonts w:ascii="Calibri" w:hAnsi="Calibri" w:cs="Calibri"/>
          <w:sz w:val="22"/>
          <w:szCs w:val="22"/>
          <w:lang w:eastAsia="en-GB"/>
        </w:rPr>
      </w:pPr>
    </w:p>
    <w:p w14:paraId="49E8EC4C" w14:textId="77777777" w:rsidR="00804AF0" w:rsidRDefault="009A47D6">
      <w:pPr>
        <w:jc w:val="both"/>
        <w:textAlignment w:val="baseline"/>
        <w:rPr>
          <w:rFonts w:ascii="Calibri" w:hAnsi="Calibri" w:cs="Calibri"/>
          <w:sz w:val="22"/>
          <w:szCs w:val="22"/>
          <w:lang w:eastAsia="en-GB"/>
        </w:rPr>
      </w:pPr>
      <w:r>
        <w:rPr>
          <w:rFonts w:ascii="Calibri" w:hAnsi="Calibri" w:cs="Calibri"/>
          <w:i/>
          <w:iCs/>
          <w:sz w:val="22"/>
          <w:szCs w:val="22"/>
          <w:u w:val="single"/>
          <w:lang w:eastAsia="en-GB"/>
        </w:rPr>
        <w:t>Pay ranges:</w:t>
      </w:r>
      <w:r>
        <w:rPr>
          <w:rFonts w:ascii="Calibri" w:hAnsi="Calibri" w:cs="Calibri"/>
          <w:sz w:val="22"/>
          <w:szCs w:val="22"/>
          <w:lang w:eastAsia="en-GB"/>
        </w:rPr>
        <w:t> </w:t>
      </w:r>
    </w:p>
    <w:p w14:paraId="07BDEF56"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The pay ranges for international PSAs applicable globally to all IPSAs are set as follows, in US Dollars:</w:t>
      </w:r>
    </w:p>
    <w:p w14:paraId="1C9373E9"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0"/>
        <w:gridCol w:w="1134"/>
        <w:gridCol w:w="1985"/>
        <w:gridCol w:w="1843"/>
        <w:gridCol w:w="1788"/>
      </w:tblGrid>
      <w:tr w:rsidR="00804AF0" w14:paraId="63FB7F0A" w14:textId="77777777">
        <w:tc>
          <w:tcPr>
            <w:tcW w:w="2260" w:type="dxa"/>
            <w:tcBorders>
              <w:top w:val="single" w:sz="6" w:space="0" w:color="auto"/>
              <w:left w:val="single" w:sz="6" w:space="0" w:color="auto"/>
              <w:bottom w:val="single" w:sz="6" w:space="0" w:color="auto"/>
              <w:right w:val="single" w:sz="6" w:space="0" w:color="auto"/>
            </w:tcBorders>
          </w:tcPr>
          <w:p w14:paraId="5FD277ED" w14:textId="77777777" w:rsidR="00804AF0" w:rsidRDefault="009A47D6">
            <w:pPr>
              <w:jc w:val="both"/>
              <w:textAlignment w:val="baseline"/>
              <w:rPr>
                <w:rFonts w:ascii="Calibri" w:hAnsi="Calibri" w:cs="Calibri"/>
                <w:sz w:val="22"/>
                <w:szCs w:val="22"/>
                <w:lang w:eastAsia="en-GB"/>
              </w:rPr>
            </w:pPr>
            <w:r>
              <w:rPr>
                <w:rFonts w:ascii="Calibri" w:hAnsi="Calibri" w:cs="Calibri"/>
                <w:b/>
                <w:bCs/>
                <w:sz w:val="22"/>
                <w:szCs w:val="22"/>
                <w:u w:val="single"/>
                <w:lang w:eastAsia="en-GB"/>
              </w:rPr>
              <w:t>Level</w:t>
            </w:r>
            <w:r>
              <w:rPr>
                <w:rFonts w:ascii="Calibri" w:hAnsi="Calibri" w:cs="Calibri"/>
                <w:sz w:val="22"/>
                <w:szCs w:val="22"/>
                <w:lang w:eastAsia="en-GB"/>
              </w:rPr>
              <w:t> </w:t>
            </w:r>
          </w:p>
        </w:tc>
        <w:tc>
          <w:tcPr>
            <w:tcW w:w="1134" w:type="dxa"/>
            <w:tcBorders>
              <w:top w:val="single" w:sz="6" w:space="0" w:color="auto"/>
              <w:left w:val="nil"/>
              <w:bottom w:val="single" w:sz="6" w:space="0" w:color="auto"/>
              <w:right w:val="single" w:sz="6" w:space="0" w:color="auto"/>
            </w:tcBorders>
            <w:vAlign w:val="center"/>
          </w:tcPr>
          <w:p w14:paraId="284FA779" w14:textId="77777777" w:rsidR="00804AF0" w:rsidRDefault="009A47D6">
            <w:pPr>
              <w:jc w:val="center"/>
              <w:textAlignment w:val="baseline"/>
              <w:rPr>
                <w:rFonts w:ascii="Calibri" w:hAnsi="Calibri" w:cs="Calibri"/>
                <w:sz w:val="22"/>
                <w:szCs w:val="22"/>
                <w:lang w:eastAsia="en-GB"/>
              </w:rPr>
            </w:pPr>
            <w:r>
              <w:rPr>
                <w:rFonts w:ascii="Calibri" w:hAnsi="Calibri" w:cs="Calibri"/>
                <w:b/>
                <w:bCs/>
                <w:sz w:val="22"/>
                <w:szCs w:val="22"/>
                <w:lang w:eastAsia="en-GB"/>
              </w:rPr>
              <w:t>Band</w:t>
            </w:r>
          </w:p>
        </w:tc>
        <w:tc>
          <w:tcPr>
            <w:tcW w:w="1985" w:type="dxa"/>
            <w:tcBorders>
              <w:top w:val="single" w:sz="6" w:space="0" w:color="auto"/>
              <w:left w:val="nil"/>
              <w:bottom w:val="single" w:sz="6" w:space="0" w:color="auto"/>
              <w:right w:val="single" w:sz="6" w:space="0" w:color="auto"/>
            </w:tcBorders>
            <w:vAlign w:val="center"/>
          </w:tcPr>
          <w:p w14:paraId="12D8A7C6" w14:textId="77777777" w:rsidR="00804AF0" w:rsidRDefault="009A47D6">
            <w:pPr>
              <w:jc w:val="center"/>
              <w:textAlignment w:val="baseline"/>
              <w:rPr>
                <w:rFonts w:ascii="Calibri" w:hAnsi="Calibri" w:cs="Calibri"/>
                <w:sz w:val="22"/>
                <w:szCs w:val="22"/>
                <w:lang w:eastAsia="en-GB"/>
              </w:rPr>
            </w:pPr>
            <w:r>
              <w:rPr>
                <w:rFonts w:ascii="Calibri" w:hAnsi="Calibri" w:cs="Calibri"/>
                <w:b/>
                <w:bCs/>
                <w:sz w:val="22"/>
                <w:szCs w:val="22"/>
                <w:u w:val="single"/>
                <w:lang w:eastAsia="en-GB"/>
              </w:rPr>
              <w:t>Min. Basic Pay</w:t>
            </w:r>
          </w:p>
        </w:tc>
        <w:tc>
          <w:tcPr>
            <w:tcW w:w="1843" w:type="dxa"/>
            <w:tcBorders>
              <w:top w:val="single" w:sz="6" w:space="0" w:color="auto"/>
              <w:left w:val="nil"/>
              <w:bottom w:val="single" w:sz="6" w:space="0" w:color="auto"/>
              <w:right w:val="single" w:sz="6" w:space="0" w:color="auto"/>
            </w:tcBorders>
            <w:vAlign w:val="center"/>
          </w:tcPr>
          <w:p w14:paraId="1CA9101A" w14:textId="77777777" w:rsidR="00804AF0" w:rsidRDefault="009A47D6">
            <w:pPr>
              <w:jc w:val="center"/>
              <w:textAlignment w:val="baseline"/>
              <w:rPr>
                <w:rFonts w:ascii="Calibri" w:hAnsi="Calibri" w:cs="Calibri"/>
                <w:b/>
                <w:bCs/>
                <w:sz w:val="22"/>
                <w:szCs w:val="22"/>
                <w:u w:val="single"/>
                <w:lang w:eastAsia="en-GB"/>
              </w:rPr>
            </w:pPr>
            <w:r>
              <w:rPr>
                <w:rFonts w:ascii="Calibri" w:hAnsi="Calibri" w:cs="Calibri"/>
                <w:b/>
                <w:bCs/>
                <w:sz w:val="22"/>
                <w:szCs w:val="22"/>
                <w:u w:val="single"/>
                <w:lang w:eastAsia="en-GB"/>
              </w:rPr>
              <w:t>Mid-point</w:t>
            </w:r>
          </w:p>
          <w:p w14:paraId="1CDB7FA0" w14:textId="77777777" w:rsidR="00804AF0" w:rsidRDefault="00804AF0">
            <w:pPr>
              <w:jc w:val="center"/>
              <w:textAlignment w:val="baseline"/>
              <w:rPr>
                <w:rFonts w:ascii="Calibri" w:hAnsi="Calibri" w:cs="Calibri"/>
                <w:sz w:val="22"/>
                <w:szCs w:val="22"/>
                <w:lang w:eastAsia="en-GB"/>
              </w:rPr>
            </w:pPr>
          </w:p>
        </w:tc>
        <w:tc>
          <w:tcPr>
            <w:tcW w:w="1788" w:type="dxa"/>
            <w:tcBorders>
              <w:top w:val="single" w:sz="6" w:space="0" w:color="auto"/>
              <w:left w:val="nil"/>
              <w:bottom w:val="single" w:sz="6" w:space="0" w:color="auto"/>
              <w:right w:val="single" w:sz="6" w:space="0" w:color="auto"/>
            </w:tcBorders>
            <w:vAlign w:val="center"/>
          </w:tcPr>
          <w:p w14:paraId="2BBBF039" w14:textId="77777777" w:rsidR="00804AF0" w:rsidRDefault="009A47D6">
            <w:pPr>
              <w:jc w:val="center"/>
              <w:textAlignment w:val="baseline"/>
              <w:rPr>
                <w:rFonts w:ascii="Calibri" w:hAnsi="Calibri" w:cs="Calibri"/>
                <w:b/>
                <w:bCs/>
                <w:sz w:val="22"/>
                <w:szCs w:val="22"/>
                <w:u w:val="single"/>
                <w:lang w:eastAsia="en-GB"/>
              </w:rPr>
            </w:pPr>
            <w:r>
              <w:rPr>
                <w:rFonts w:ascii="Calibri" w:hAnsi="Calibri" w:cs="Calibri"/>
                <w:b/>
                <w:bCs/>
                <w:sz w:val="22"/>
                <w:szCs w:val="22"/>
                <w:u w:val="single"/>
                <w:lang w:eastAsia="en-GB"/>
              </w:rPr>
              <w:t>Max. Basic Pay</w:t>
            </w:r>
          </w:p>
        </w:tc>
      </w:tr>
      <w:tr w:rsidR="00804AF0" w14:paraId="1C0155E4" w14:textId="77777777">
        <w:tc>
          <w:tcPr>
            <w:tcW w:w="2260" w:type="dxa"/>
            <w:tcBorders>
              <w:top w:val="nil"/>
              <w:left w:val="single" w:sz="6" w:space="0" w:color="auto"/>
              <w:bottom w:val="single" w:sz="6" w:space="0" w:color="auto"/>
              <w:right w:val="single" w:sz="6" w:space="0" w:color="auto"/>
            </w:tcBorders>
          </w:tcPr>
          <w:p w14:paraId="424595A6"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IPSA 8 </w:t>
            </w:r>
          </w:p>
        </w:tc>
        <w:tc>
          <w:tcPr>
            <w:tcW w:w="1134" w:type="dxa"/>
            <w:vMerge w:val="restart"/>
            <w:tcBorders>
              <w:top w:val="nil"/>
              <w:left w:val="nil"/>
              <w:bottom w:val="single" w:sz="6" w:space="0" w:color="auto"/>
              <w:right w:val="single" w:sz="6" w:space="0" w:color="auto"/>
            </w:tcBorders>
            <w:vAlign w:val="center"/>
          </w:tcPr>
          <w:p w14:paraId="028AD42E"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IB1</w:t>
            </w:r>
          </w:p>
        </w:tc>
        <w:tc>
          <w:tcPr>
            <w:tcW w:w="1985" w:type="dxa"/>
            <w:vMerge w:val="restart"/>
            <w:tcBorders>
              <w:top w:val="nil"/>
              <w:left w:val="nil"/>
              <w:bottom w:val="single" w:sz="6" w:space="0" w:color="auto"/>
              <w:right w:val="single" w:sz="6" w:space="0" w:color="auto"/>
            </w:tcBorders>
            <w:vAlign w:val="center"/>
          </w:tcPr>
          <w:p w14:paraId="22FA9825"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3,500</w:t>
            </w:r>
          </w:p>
        </w:tc>
        <w:tc>
          <w:tcPr>
            <w:tcW w:w="1843" w:type="dxa"/>
            <w:vMerge w:val="restart"/>
            <w:tcBorders>
              <w:top w:val="nil"/>
              <w:left w:val="nil"/>
              <w:bottom w:val="single" w:sz="6" w:space="0" w:color="auto"/>
              <w:right w:val="single" w:sz="6" w:space="0" w:color="auto"/>
            </w:tcBorders>
            <w:vAlign w:val="center"/>
          </w:tcPr>
          <w:p w14:paraId="02AB7619"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4,250</w:t>
            </w:r>
          </w:p>
        </w:tc>
        <w:tc>
          <w:tcPr>
            <w:tcW w:w="1788" w:type="dxa"/>
            <w:vMerge w:val="restart"/>
            <w:tcBorders>
              <w:top w:val="nil"/>
              <w:left w:val="nil"/>
              <w:bottom w:val="single" w:sz="6" w:space="0" w:color="auto"/>
              <w:right w:val="single" w:sz="6" w:space="0" w:color="auto"/>
            </w:tcBorders>
            <w:vAlign w:val="center"/>
          </w:tcPr>
          <w:p w14:paraId="06DE5F79"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5,000</w:t>
            </w:r>
          </w:p>
        </w:tc>
      </w:tr>
      <w:tr w:rsidR="00804AF0" w14:paraId="5C145CF9" w14:textId="77777777">
        <w:tc>
          <w:tcPr>
            <w:tcW w:w="2260" w:type="dxa"/>
            <w:tcBorders>
              <w:top w:val="nil"/>
              <w:left w:val="single" w:sz="6" w:space="0" w:color="auto"/>
              <w:bottom w:val="single" w:sz="6" w:space="0" w:color="auto"/>
              <w:right w:val="single" w:sz="6" w:space="0" w:color="auto"/>
            </w:tcBorders>
          </w:tcPr>
          <w:p w14:paraId="7A48C762"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IPSA 9 </w:t>
            </w:r>
          </w:p>
        </w:tc>
        <w:tc>
          <w:tcPr>
            <w:tcW w:w="1134" w:type="dxa"/>
            <w:vMerge/>
            <w:tcBorders>
              <w:top w:val="nil"/>
              <w:left w:val="nil"/>
              <w:bottom w:val="single" w:sz="6" w:space="0" w:color="auto"/>
              <w:right w:val="single" w:sz="6" w:space="0" w:color="auto"/>
            </w:tcBorders>
            <w:vAlign w:val="center"/>
          </w:tcPr>
          <w:p w14:paraId="5515FB11" w14:textId="77777777" w:rsidR="00804AF0" w:rsidRDefault="00804AF0">
            <w:pPr>
              <w:jc w:val="center"/>
              <w:rPr>
                <w:rFonts w:ascii="Calibri" w:hAnsi="Calibri" w:cs="Calibri"/>
                <w:sz w:val="22"/>
                <w:szCs w:val="22"/>
                <w:lang w:eastAsia="en-GB"/>
              </w:rPr>
            </w:pPr>
          </w:p>
        </w:tc>
        <w:tc>
          <w:tcPr>
            <w:tcW w:w="1985" w:type="dxa"/>
            <w:vMerge/>
            <w:tcBorders>
              <w:top w:val="nil"/>
              <w:left w:val="nil"/>
              <w:bottom w:val="single" w:sz="6" w:space="0" w:color="auto"/>
              <w:right w:val="single" w:sz="6" w:space="0" w:color="auto"/>
            </w:tcBorders>
            <w:vAlign w:val="center"/>
          </w:tcPr>
          <w:p w14:paraId="474D922B" w14:textId="77777777" w:rsidR="00804AF0" w:rsidRDefault="00804AF0">
            <w:pPr>
              <w:jc w:val="center"/>
              <w:rPr>
                <w:rFonts w:ascii="Calibri" w:hAnsi="Calibri" w:cs="Calibri"/>
                <w:sz w:val="22"/>
                <w:szCs w:val="22"/>
                <w:lang w:eastAsia="en-GB"/>
              </w:rPr>
            </w:pPr>
          </w:p>
        </w:tc>
        <w:tc>
          <w:tcPr>
            <w:tcW w:w="1843" w:type="dxa"/>
            <w:vMerge/>
            <w:tcBorders>
              <w:top w:val="nil"/>
              <w:left w:val="nil"/>
              <w:bottom w:val="single" w:sz="6" w:space="0" w:color="auto"/>
              <w:right w:val="single" w:sz="6" w:space="0" w:color="auto"/>
            </w:tcBorders>
            <w:vAlign w:val="center"/>
          </w:tcPr>
          <w:p w14:paraId="05ED510B" w14:textId="77777777" w:rsidR="00804AF0" w:rsidRDefault="00804AF0">
            <w:pPr>
              <w:jc w:val="center"/>
              <w:rPr>
                <w:rFonts w:ascii="Calibri" w:hAnsi="Calibri" w:cs="Calibri"/>
                <w:sz w:val="22"/>
                <w:szCs w:val="22"/>
                <w:lang w:eastAsia="en-GB"/>
              </w:rPr>
            </w:pPr>
          </w:p>
        </w:tc>
        <w:tc>
          <w:tcPr>
            <w:tcW w:w="1788" w:type="dxa"/>
            <w:vMerge/>
            <w:tcBorders>
              <w:top w:val="nil"/>
              <w:left w:val="nil"/>
              <w:bottom w:val="single" w:sz="6" w:space="0" w:color="auto"/>
              <w:right w:val="single" w:sz="6" w:space="0" w:color="auto"/>
            </w:tcBorders>
            <w:vAlign w:val="center"/>
          </w:tcPr>
          <w:p w14:paraId="7C4AC92A" w14:textId="77777777" w:rsidR="00804AF0" w:rsidRDefault="00804AF0">
            <w:pPr>
              <w:jc w:val="center"/>
              <w:rPr>
                <w:rFonts w:ascii="Calibri" w:hAnsi="Calibri" w:cs="Calibri"/>
                <w:sz w:val="22"/>
                <w:szCs w:val="22"/>
                <w:lang w:eastAsia="en-GB"/>
              </w:rPr>
            </w:pPr>
          </w:p>
        </w:tc>
      </w:tr>
      <w:tr w:rsidR="00804AF0" w14:paraId="5BD2A360" w14:textId="77777777">
        <w:tc>
          <w:tcPr>
            <w:tcW w:w="2260" w:type="dxa"/>
            <w:tcBorders>
              <w:top w:val="nil"/>
              <w:left w:val="single" w:sz="6" w:space="0" w:color="auto"/>
              <w:bottom w:val="single" w:sz="6" w:space="0" w:color="auto"/>
              <w:right w:val="single" w:sz="6" w:space="0" w:color="auto"/>
            </w:tcBorders>
          </w:tcPr>
          <w:p w14:paraId="143F9B18"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IPSA 10 </w:t>
            </w:r>
          </w:p>
        </w:tc>
        <w:tc>
          <w:tcPr>
            <w:tcW w:w="1134" w:type="dxa"/>
            <w:vMerge w:val="restart"/>
            <w:tcBorders>
              <w:top w:val="nil"/>
              <w:left w:val="nil"/>
              <w:bottom w:val="single" w:sz="6" w:space="0" w:color="auto"/>
              <w:right w:val="single" w:sz="6" w:space="0" w:color="auto"/>
            </w:tcBorders>
            <w:vAlign w:val="center"/>
          </w:tcPr>
          <w:p w14:paraId="672DAB01"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IB2</w:t>
            </w:r>
          </w:p>
        </w:tc>
        <w:tc>
          <w:tcPr>
            <w:tcW w:w="1985" w:type="dxa"/>
            <w:vMerge w:val="restart"/>
            <w:tcBorders>
              <w:top w:val="nil"/>
              <w:left w:val="nil"/>
              <w:bottom w:val="single" w:sz="6" w:space="0" w:color="auto"/>
              <w:right w:val="single" w:sz="6" w:space="0" w:color="auto"/>
            </w:tcBorders>
            <w:vAlign w:val="center"/>
          </w:tcPr>
          <w:p w14:paraId="5E06238C"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5,500</w:t>
            </w:r>
          </w:p>
        </w:tc>
        <w:tc>
          <w:tcPr>
            <w:tcW w:w="1843" w:type="dxa"/>
            <w:vMerge w:val="restart"/>
            <w:tcBorders>
              <w:top w:val="nil"/>
              <w:left w:val="nil"/>
              <w:bottom w:val="single" w:sz="6" w:space="0" w:color="auto"/>
              <w:right w:val="single" w:sz="6" w:space="0" w:color="auto"/>
            </w:tcBorders>
            <w:vAlign w:val="center"/>
          </w:tcPr>
          <w:p w14:paraId="2C8E9810"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6,500</w:t>
            </w:r>
          </w:p>
        </w:tc>
        <w:tc>
          <w:tcPr>
            <w:tcW w:w="1788" w:type="dxa"/>
            <w:vMerge w:val="restart"/>
            <w:tcBorders>
              <w:top w:val="nil"/>
              <w:left w:val="nil"/>
              <w:bottom w:val="single" w:sz="6" w:space="0" w:color="auto"/>
              <w:right w:val="single" w:sz="6" w:space="0" w:color="auto"/>
            </w:tcBorders>
            <w:vAlign w:val="center"/>
          </w:tcPr>
          <w:p w14:paraId="756C6E5C"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7,500</w:t>
            </w:r>
          </w:p>
        </w:tc>
      </w:tr>
      <w:tr w:rsidR="00804AF0" w14:paraId="3C774A74" w14:textId="77777777">
        <w:tc>
          <w:tcPr>
            <w:tcW w:w="2260" w:type="dxa"/>
            <w:tcBorders>
              <w:top w:val="nil"/>
              <w:left w:val="single" w:sz="6" w:space="0" w:color="auto"/>
              <w:bottom w:val="single" w:sz="6" w:space="0" w:color="auto"/>
              <w:right w:val="single" w:sz="6" w:space="0" w:color="auto"/>
            </w:tcBorders>
          </w:tcPr>
          <w:p w14:paraId="3AD27FB4"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IPSA 11 </w:t>
            </w:r>
          </w:p>
        </w:tc>
        <w:tc>
          <w:tcPr>
            <w:tcW w:w="1134" w:type="dxa"/>
            <w:vMerge/>
            <w:tcBorders>
              <w:top w:val="nil"/>
              <w:left w:val="nil"/>
              <w:bottom w:val="single" w:sz="6" w:space="0" w:color="auto"/>
              <w:right w:val="single" w:sz="6" w:space="0" w:color="auto"/>
            </w:tcBorders>
            <w:vAlign w:val="center"/>
          </w:tcPr>
          <w:p w14:paraId="3879F076" w14:textId="77777777" w:rsidR="00804AF0" w:rsidRDefault="00804AF0">
            <w:pPr>
              <w:jc w:val="center"/>
              <w:rPr>
                <w:rFonts w:ascii="Calibri" w:hAnsi="Calibri" w:cs="Calibri"/>
                <w:sz w:val="22"/>
                <w:szCs w:val="22"/>
                <w:lang w:eastAsia="en-GB"/>
              </w:rPr>
            </w:pPr>
          </w:p>
        </w:tc>
        <w:tc>
          <w:tcPr>
            <w:tcW w:w="1985" w:type="dxa"/>
            <w:vMerge/>
            <w:tcBorders>
              <w:top w:val="nil"/>
              <w:left w:val="nil"/>
              <w:bottom w:val="single" w:sz="6" w:space="0" w:color="auto"/>
              <w:right w:val="single" w:sz="6" w:space="0" w:color="auto"/>
            </w:tcBorders>
            <w:vAlign w:val="center"/>
          </w:tcPr>
          <w:p w14:paraId="390AB110" w14:textId="77777777" w:rsidR="00804AF0" w:rsidRDefault="00804AF0">
            <w:pPr>
              <w:jc w:val="center"/>
              <w:rPr>
                <w:rFonts w:ascii="Calibri" w:hAnsi="Calibri" w:cs="Calibri"/>
                <w:sz w:val="22"/>
                <w:szCs w:val="22"/>
                <w:lang w:eastAsia="en-GB"/>
              </w:rPr>
            </w:pPr>
          </w:p>
        </w:tc>
        <w:tc>
          <w:tcPr>
            <w:tcW w:w="1843" w:type="dxa"/>
            <w:vMerge/>
            <w:tcBorders>
              <w:top w:val="nil"/>
              <w:left w:val="nil"/>
              <w:bottom w:val="single" w:sz="6" w:space="0" w:color="auto"/>
              <w:right w:val="single" w:sz="6" w:space="0" w:color="auto"/>
            </w:tcBorders>
            <w:vAlign w:val="center"/>
          </w:tcPr>
          <w:p w14:paraId="6A37969D" w14:textId="77777777" w:rsidR="00804AF0" w:rsidRDefault="00804AF0">
            <w:pPr>
              <w:jc w:val="center"/>
              <w:rPr>
                <w:rFonts w:ascii="Calibri" w:hAnsi="Calibri" w:cs="Calibri"/>
                <w:sz w:val="22"/>
                <w:szCs w:val="22"/>
                <w:lang w:eastAsia="en-GB"/>
              </w:rPr>
            </w:pPr>
          </w:p>
        </w:tc>
        <w:tc>
          <w:tcPr>
            <w:tcW w:w="1788" w:type="dxa"/>
            <w:vMerge/>
            <w:tcBorders>
              <w:top w:val="nil"/>
              <w:left w:val="nil"/>
              <w:bottom w:val="single" w:sz="6" w:space="0" w:color="auto"/>
              <w:right w:val="single" w:sz="6" w:space="0" w:color="auto"/>
            </w:tcBorders>
            <w:vAlign w:val="center"/>
          </w:tcPr>
          <w:p w14:paraId="719A0323" w14:textId="77777777" w:rsidR="00804AF0" w:rsidRDefault="00804AF0">
            <w:pPr>
              <w:jc w:val="center"/>
              <w:rPr>
                <w:rFonts w:ascii="Calibri" w:hAnsi="Calibri" w:cs="Calibri"/>
                <w:sz w:val="22"/>
                <w:szCs w:val="22"/>
                <w:lang w:eastAsia="en-GB"/>
              </w:rPr>
            </w:pPr>
          </w:p>
        </w:tc>
      </w:tr>
      <w:tr w:rsidR="00804AF0" w14:paraId="71C60A5F" w14:textId="77777777">
        <w:tc>
          <w:tcPr>
            <w:tcW w:w="2260" w:type="dxa"/>
            <w:tcBorders>
              <w:top w:val="nil"/>
              <w:left w:val="single" w:sz="6" w:space="0" w:color="auto"/>
              <w:bottom w:val="single" w:sz="6" w:space="0" w:color="auto"/>
              <w:right w:val="single" w:sz="6" w:space="0" w:color="auto"/>
            </w:tcBorders>
          </w:tcPr>
          <w:p w14:paraId="47701DFB"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IPSA 12 </w:t>
            </w:r>
          </w:p>
        </w:tc>
        <w:tc>
          <w:tcPr>
            <w:tcW w:w="1134" w:type="dxa"/>
            <w:vMerge w:val="restart"/>
            <w:tcBorders>
              <w:top w:val="nil"/>
              <w:left w:val="nil"/>
              <w:bottom w:val="single" w:sz="6" w:space="0" w:color="auto"/>
              <w:right w:val="single" w:sz="6" w:space="0" w:color="auto"/>
            </w:tcBorders>
            <w:vAlign w:val="center"/>
          </w:tcPr>
          <w:p w14:paraId="333AF7DB"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IB3</w:t>
            </w:r>
          </w:p>
        </w:tc>
        <w:tc>
          <w:tcPr>
            <w:tcW w:w="1985" w:type="dxa"/>
            <w:vMerge w:val="restart"/>
            <w:tcBorders>
              <w:top w:val="nil"/>
              <w:left w:val="nil"/>
              <w:bottom w:val="single" w:sz="6" w:space="0" w:color="auto"/>
              <w:right w:val="single" w:sz="6" w:space="0" w:color="auto"/>
            </w:tcBorders>
            <w:vAlign w:val="center"/>
          </w:tcPr>
          <w:p w14:paraId="784365F2"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8,000</w:t>
            </w:r>
          </w:p>
        </w:tc>
        <w:tc>
          <w:tcPr>
            <w:tcW w:w="1843" w:type="dxa"/>
            <w:vMerge w:val="restart"/>
            <w:tcBorders>
              <w:top w:val="nil"/>
              <w:left w:val="nil"/>
              <w:bottom w:val="single" w:sz="6" w:space="0" w:color="auto"/>
              <w:right w:val="single" w:sz="6" w:space="0" w:color="auto"/>
            </w:tcBorders>
            <w:vAlign w:val="center"/>
          </w:tcPr>
          <w:p w14:paraId="4CAAE981"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9,100</w:t>
            </w:r>
          </w:p>
        </w:tc>
        <w:tc>
          <w:tcPr>
            <w:tcW w:w="1788" w:type="dxa"/>
            <w:vMerge w:val="restart"/>
            <w:tcBorders>
              <w:top w:val="nil"/>
              <w:left w:val="nil"/>
              <w:bottom w:val="single" w:sz="6" w:space="0" w:color="auto"/>
              <w:right w:val="single" w:sz="6" w:space="0" w:color="auto"/>
            </w:tcBorders>
            <w:vAlign w:val="center"/>
          </w:tcPr>
          <w:p w14:paraId="53CCC59D"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10,200</w:t>
            </w:r>
          </w:p>
        </w:tc>
      </w:tr>
      <w:tr w:rsidR="00804AF0" w14:paraId="042FF100" w14:textId="77777777">
        <w:tc>
          <w:tcPr>
            <w:tcW w:w="2260" w:type="dxa"/>
            <w:tcBorders>
              <w:top w:val="nil"/>
              <w:left w:val="single" w:sz="6" w:space="0" w:color="auto"/>
              <w:bottom w:val="single" w:sz="6" w:space="0" w:color="auto"/>
              <w:right w:val="single" w:sz="6" w:space="0" w:color="auto"/>
            </w:tcBorders>
          </w:tcPr>
          <w:p w14:paraId="5588E5C2"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IPSA 13 expert </w:t>
            </w:r>
          </w:p>
        </w:tc>
        <w:tc>
          <w:tcPr>
            <w:tcW w:w="1134" w:type="dxa"/>
            <w:vMerge/>
            <w:tcBorders>
              <w:top w:val="nil"/>
              <w:left w:val="nil"/>
              <w:bottom w:val="single" w:sz="6" w:space="0" w:color="auto"/>
              <w:right w:val="single" w:sz="6" w:space="0" w:color="auto"/>
            </w:tcBorders>
            <w:vAlign w:val="center"/>
          </w:tcPr>
          <w:p w14:paraId="7FE31811" w14:textId="77777777" w:rsidR="00804AF0" w:rsidRDefault="00804AF0">
            <w:pPr>
              <w:jc w:val="center"/>
              <w:rPr>
                <w:rFonts w:ascii="Calibri" w:hAnsi="Calibri" w:cs="Calibri"/>
                <w:sz w:val="22"/>
                <w:szCs w:val="22"/>
                <w:lang w:eastAsia="en-GB"/>
              </w:rPr>
            </w:pPr>
          </w:p>
        </w:tc>
        <w:tc>
          <w:tcPr>
            <w:tcW w:w="1985" w:type="dxa"/>
            <w:vMerge/>
            <w:tcBorders>
              <w:top w:val="nil"/>
              <w:left w:val="nil"/>
              <w:bottom w:val="single" w:sz="6" w:space="0" w:color="auto"/>
              <w:right w:val="single" w:sz="6" w:space="0" w:color="auto"/>
            </w:tcBorders>
            <w:vAlign w:val="center"/>
          </w:tcPr>
          <w:p w14:paraId="461F4726" w14:textId="77777777" w:rsidR="00804AF0" w:rsidRDefault="00804AF0">
            <w:pPr>
              <w:jc w:val="center"/>
              <w:rPr>
                <w:rFonts w:ascii="Calibri" w:hAnsi="Calibri" w:cs="Calibri"/>
                <w:sz w:val="22"/>
                <w:szCs w:val="22"/>
                <w:lang w:eastAsia="en-GB"/>
              </w:rPr>
            </w:pPr>
          </w:p>
        </w:tc>
        <w:tc>
          <w:tcPr>
            <w:tcW w:w="1843" w:type="dxa"/>
            <w:vMerge/>
            <w:tcBorders>
              <w:top w:val="nil"/>
              <w:left w:val="nil"/>
              <w:bottom w:val="single" w:sz="6" w:space="0" w:color="auto"/>
              <w:right w:val="single" w:sz="6" w:space="0" w:color="auto"/>
            </w:tcBorders>
            <w:vAlign w:val="center"/>
          </w:tcPr>
          <w:p w14:paraId="38F96A20" w14:textId="77777777" w:rsidR="00804AF0" w:rsidRDefault="00804AF0">
            <w:pPr>
              <w:jc w:val="center"/>
              <w:rPr>
                <w:rFonts w:ascii="Calibri" w:hAnsi="Calibri" w:cs="Calibri"/>
                <w:sz w:val="22"/>
                <w:szCs w:val="22"/>
                <w:lang w:eastAsia="en-GB"/>
              </w:rPr>
            </w:pPr>
          </w:p>
        </w:tc>
        <w:tc>
          <w:tcPr>
            <w:tcW w:w="1788" w:type="dxa"/>
            <w:vMerge/>
            <w:tcBorders>
              <w:top w:val="nil"/>
              <w:left w:val="nil"/>
              <w:bottom w:val="single" w:sz="6" w:space="0" w:color="auto"/>
              <w:right w:val="single" w:sz="6" w:space="0" w:color="auto"/>
            </w:tcBorders>
            <w:vAlign w:val="center"/>
          </w:tcPr>
          <w:p w14:paraId="536927FD" w14:textId="77777777" w:rsidR="00804AF0" w:rsidRDefault="00804AF0">
            <w:pPr>
              <w:jc w:val="center"/>
              <w:rPr>
                <w:rFonts w:ascii="Calibri" w:hAnsi="Calibri" w:cs="Calibri"/>
                <w:sz w:val="22"/>
                <w:szCs w:val="22"/>
                <w:lang w:eastAsia="en-GB"/>
              </w:rPr>
            </w:pPr>
          </w:p>
        </w:tc>
      </w:tr>
      <w:tr w:rsidR="00804AF0" w14:paraId="686246EC" w14:textId="77777777">
        <w:tc>
          <w:tcPr>
            <w:tcW w:w="2260" w:type="dxa"/>
            <w:tcBorders>
              <w:top w:val="nil"/>
              <w:left w:val="single" w:sz="6" w:space="0" w:color="auto"/>
              <w:bottom w:val="single" w:sz="6" w:space="0" w:color="auto"/>
              <w:right w:val="single" w:sz="6" w:space="0" w:color="auto"/>
            </w:tcBorders>
          </w:tcPr>
          <w:p w14:paraId="3E3D498B"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IPSA 13 lead. </w:t>
            </w:r>
          </w:p>
          <w:p w14:paraId="503B2A58"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IPSA14 exp./lead </w:t>
            </w:r>
          </w:p>
        </w:tc>
        <w:tc>
          <w:tcPr>
            <w:tcW w:w="1134" w:type="dxa"/>
            <w:tcBorders>
              <w:top w:val="nil"/>
              <w:left w:val="nil"/>
              <w:bottom w:val="single" w:sz="6" w:space="0" w:color="auto"/>
              <w:right w:val="single" w:sz="6" w:space="0" w:color="auto"/>
            </w:tcBorders>
            <w:vAlign w:val="center"/>
          </w:tcPr>
          <w:p w14:paraId="08D44B70"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IB4</w:t>
            </w:r>
          </w:p>
        </w:tc>
        <w:tc>
          <w:tcPr>
            <w:tcW w:w="1985" w:type="dxa"/>
            <w:tcBorders>
              <w:top w:val="nil"/>
              <w:left w:val="nil"/>
              <w:bottom w:val="single" w:sz="6" w:space="0" w:color="auto"/>
              <w:right w:val="single" w:sz="6" w:space="0" w:color="auto"/>
            </w:tcBorders>
            <w:vAlign w:val="center"/>
          </w:tcPr>
          <w:p w14:paraId="535EB684"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10,200</w:t>
            </w:r>
          </w:p>
        </w:tc>
        <w:tc>
          <w:tcPr>
            <w:tcW w:w="1843" w:type="dxa"/>
            <w:tcBorders>
              <w:top w:val="nil"/>
              <w:left w:val="nil"/>
              <w:bottom w:val="single" w:sz="6" w:space="0" w:color="auto"/>
              <w:right w:val="single" w:sz="6" w:space="0" w:color="auto"/>
            </w:tcBorders>
            <w:vAlign w:val="center"/>
          </w:tcPr>
          <w:p w14:paraId="738CD3F2"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11,350</w:t>
            </w:r>
          </w:p>
        </w:tc>
        <w:tc>
          <w:tcPr>
            <w:tcW w:w="1788" w:type="dxa"/>
            <w:tcBorders>
              <w:top w:val="nil"/>
              <w:left w:val="nil"/>
              <w:bottom w:val="single" w:sz="6" w:space="0" w:color="auto"/>
              <w:right w:val="single" w:sz="6" w:space="0" w:color="auto"/>
            </w:tcBorders>
            <w:vAlign w:val="center"/>
          </w:tcPr>
          <w:p w14:paraId="7CABDDA0" w14:textId="77777777" w:rsidR="00804AF0" w:rsidRDefault="009A47D6">
            <w:pPr>
              <w:jc w:val="center"/>
              <w:textAlignment w:val="baseline"/>
              <w:rPr>
                <w:rFonts w:ascii="Calibri" w:hAnsi="Calibri" w:cs="Calibri"/>
                <w:sz w:val="22"/>
                <w:szCs w:val="22"/>
                <w:lang w:eastAsia="en-GB"/>
              </w:rPr>
            </w:pPr>
            <w:r>
              <w:rPr>
                <w:rFonts w:ascii="Calibri" w:hAnsi="Calibri" w:cs="Calibri"/>
                <w:sz w:val="22"/>
                <w:szCs w:val="22"/>
                <w:lang w:eastAsia="en-GB"/>
              </w:rPr>
              <w:t>12,500</w:t>
            </w:r>
          </w:p>
        </w:tc>
      </w:tr>
    </w:tbl>
    <w:p w14:paraId="1D47B90F"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63932873"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Exceptions to paying individuals beyond the set maximum may be approved in very exceptional cases by the Director of the Bureau of Management Services, following a recommendation by the relevant Bureau Director/</w:t>
      </w:r>
      <w:r>
        <w:rPr>
          <w:rFonts w:ascii="Calibri" w:hAnsi="Calibri" w:cs="Calibri"/>
          <w:sz w:val="22"/>
          <w:szCs w:val="22"/>
        </w:rPr>
        <w:t xml:space="preserve">UNV or UNCDF Executive Coordinator, or </w:t>
      </w:r>
      <w:r>
        <w:rPr>
          <w:rFonts w:ascii="Calibri" w:hAnsi="Calibri" w:cs="Calibri"/>
          <w:sz w:val="22"/>
          <w:szCs w:val="22"/>
          <w:lang w:eastAsia="en-GB"/>
        </w:rPr>
        <w:t>UNOSSC Director. </w:t>
      </w:r>
    </w:p>
    <w:p w14:paraId="1F839FDE"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1798C431" w14:textId="77777777" w:rsidR="00804AF0" w:rsidRDefault="009A47D6">
      <w:pPr>
        <w:jc w:val="both"/>
        <w:textAlignment w:val="baseline"/>
        <w:rPr>
          <w:rFonts w:ascii="Calibri" w:hAnsi="Calibri" w:cs="Calibri"/>
          <w:sz w:val="22"/>
          <w:szCs w:val="22"/>
          <w:lang w:eastAsia="en-GB"/>
        </w:rPr>
      </w:pPr>
      <w:r>
        <w:rPr>
          <w:rFonts w:ascii="Calibri" w:hAnsi="Calibri" w:cs="Calibri"/>
          <w:i/>
          <w:iCs/>
          <w:sz w:val="22"/>
          <w:szCs w:val="22"/>
          <w:u w:val="single"/>
          <w:lang w:eastAsia="en-GB"/>
        </w:rPr>
        <w:t>Retainer IPSAs:</w:t>
      </w:r>
      <w:r>
        <w:rPr>
          <w:rFonts w:ascii="Calibri" w:hAnsi="Calibri" w:cs="Calibri"/>
          <w:sz w:val="22"/>
          <w:szCs w:val="22"/>
          <w:lang w:eastAsia="en-GB"/>
        </w:rPr>
        <w:t> </w:t>
      </w:r>
    </w:p>
    <w:p w14:paraId="5AAB5CA6" w14:textId="77777777" w:rsidR="00804AF0" w:rsidRDefault="00804AF0">
      <w:pPr>
        <w:jc w:val="both"/>
        <w:textAlignment w:val="baseline"/>
        <w:rPr>
          <w:rFonts w:ascii="Calibri" w:hAnsi="Calibri" w:cs="Calibri"/>
          <w:sz w:val="22"/>
          <w:szCs w:val="22"/>
          <w:lang w:eastAsia="en-GB"/>
        </w:rPr>
      </w:pPr>
    </w:p>
    <w:p w14:paraId="7B0E25C4"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The remuneration is calculated based on the regular IPSA remuneration, and the following formula would apply: </w:t>
      </w:r>
    </w:p>
    <w:p w14:paraId="68CBCBC2" w14:textId="77777777" w:rsidR="00804AF0" w:rsidRDefault="00804AF0">
      <w:pPr>
        <w:jc w:val="both"/>
        <w:textAlignment w:val="baseline"/>
        <w:rPr>
          <w:rFonts w:ascii="Calibri" w:hAnsi="Calibri" w:cs="Calibri"/>
          <w:sz w:val="22"/>
          <w:szCs w:val="22"/>
          <w:lang w:eastAsia="en-GB"/>
        </w:rPr>
      </w:pPr>
    </w:p>
    <w:p w14:paraId="6D54BF8B" w14:textId="77777777" w:rsidR="00804AF0" w:rsidRDefault="009A47D6">
      <w:pPr>
        <w:jc w:val="both"/>
        <w:textAlignment w:val="baseline"/>
        <w:rPr>
          <w:rFonts w:ascii="Calibri" w:hAnsi="Calibri" w:cs="Calibri"/>
          <w:sz w:val="22"/>
          <w:szCs w:val="22"/>
          <w:lang w:eastAsia="en-GB"/>
        </w:rPr>
      </w:pPr>
      <w:proofErr w:type="gramStart"/>
      <w:r>
        <w:rPr>
          <w:rFonts w:ascii="Calibri" w:hAnsi="Calibri" w:cs="Calibri"/>
          <w:sz w:val="22"/>
          <w:szCs w:val="22"/>
          <w:u w:val="single"/>
          <w:lang w:eastAsia="en-GB"/>
        </w:rPr>
        <w:t>Daily-based</w:t>
      </w:r>
      <w:proofErr w:type="gramEnd"/>
      <w:r>
        <w:rPr>
          <w:rFonts w:ascii="Calibri" w:hAnsi="Calibri" w:cs="Calibri"/>
          <w:sz w:val="22"/>
          <w:szCs w:val="22"/>
          <w:u w:val="single"/>
          <w:lang w:eastAsia="en-GB"/>
        </w:rPr>
        <w:t xml:space="preserve"> pay</w:t>
      </w:r>
      <w:r>
        <w:rPr>
          <w:rFonts w:ascii="Calibri" w:hAnsi="Calibri" w:cs="Calibri"/>
          <w:sz w:val="22"/>
          <w:szCs w:val="22"/>
          <w:lang w:eastAsia="en-GB"/>
        </w:rPr>
        <w:t>: The monthly remuneration divided by 21.75 </w:t>
      </w:r>
    </w:p>
    <w:p w14:paraId="6745312D"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u w:val="single"/>
          <w:lang w:eastAsia="en-GB"/>
        </w:rPr>
        <w:t>Hourly-based pay:</w:t>
      </w:r>
      <w:r>
        <w:rPr>
          <w:rFonts w:ascii="Calibri" w:hAnsi="Calibri" w:cs="Calibri"/>
          <w:sz w:val="22"/>
          <w:szCs w:val="22"/>
          <w:lang w:eastAsia="en-GB"/>
        </w:rPr>
        <w:t xml:space="preserve"> The daily remuneration divided by 8 </w:t>
      </w:r>
    </w:p>
    <w:p w14:paraId="647C8AF3"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u w:val="single"/>
          <w:lang w:eastAsia="en-GB"/>
        </w:rPr>
        <w:t>Monthly-based pay</w:t>
      </w:r>
      <w:r>
        <w:rPr>
          <w:rFonts w:ascii="Calibri" w:hAnsi="Calibri" w:cs="Calibri"/>
          <w:sz w:val="22"/>
          <w:szCs w:val="22"/>
          <w:lang w:eastAsia="en-GB"/>
        </w:rPr>
        <w:t>: As per the regular pay ranges in the chart above  </w:t>
      </w:r>
    </w:p>
    <w:p w14:paraId="18EB72EF"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u w:val="single"/>
          <w:lang w:eastAsia="en-GB"/>
        </w:rPr>
        <w:t>Output-based, converted to periodic pay</w:t>
      </w:r>
      <w:r>
        <w:rPr>
          <w:rFonts w:ascii="Calibri" w:hAnsi="Calibri" w:cs="Calibri"/>
          <w:sz w:val="22"/>
          <w:szCs w:val="22"/>
          <w:lang w:eastAsia="en-GB"/>
        </w:rPr>
        <w:t>: Estimated duration to produce the output is used to determine the remuneration, then divided by the expected number of days to set the daily remuneration. </w:t>
      </w:r>
    </w:p>
    <w:p w14:paraId="1BA4E875"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20769BBC" w14:textId="77777777" w:rsidR="00804AF0" w:rsidRDefault="009A47D6">
      <w:pPr>
        <w:rPr>
          <w:rFonts w:ascii="Calibri" w:hAnsi="Calibri" w:cs="Calibri"/>
          <w:b/>
          <w:bCs/>
          <w:sz w:val="22"/>
          <w:szCs w:val="22"/>
          <w:u w:val="single"/>
          <w:lang w:eastAsia="en-GB"/>
        </w:rPr>
      </w:pPr>
      <w:bookmarkStart w:id="121" w:name="_Annex_5:_Performance"/>
      <w:bookmarkStart w:id="122" w:name="_Annex_6:_Performance_Evaluation"/>
      <w:bookmarkEnd w:id="121"/>
      <w:r>
        <w:rPr>
          <w:rFonts w:ascii="Calibri" w:hAnsi="Calibri" w:cs="Calibri"/>
          <w:b/>
          <w:bCs/>
          <w:sz w:val="22"/>
          <w:szCs w:val="22"/>
          <w:u w:val="single"/>
          <w:lang w:eastAsia="en-GB"/>
        </w:rPr>
        <w:br w:type="page"/>
      </w:r>
    </w:p>
    <w:p w14:paraId="01413CDD" w14:textId="77777777" w:rsidR="00804AF0" w:rsidRDefault="009A47D6">
      <w:pPr>
        <w:pStyle w:val="Heading1"/>
        <w:jc w:val="left"/>
        <w:rPr>
          <w:rFonts w:ascii="Calibri" w:hAnsi="Calibri" w:cs="Calibri"/>
          <w:b/>
          <w:bCs/>
          <w:sz w:val="22"/>
          <w:szCs w:val="22"/>
          <w:u w:val="single"/>
          <w:lang w:eastAsia="en-GB"/>
        </w:rPr>
      </w:pPr>
      <w:bookmarkStart w:id="123" w:name="_Annex_5:_Performance_1"/>
      <w:bookmarkStart w:id="124" w:name="_Toc161312447"/>
      <w:bookmarkEnd w:id="123"/>
      <w:r>
        <w:rPr>
          <w:rFonts w:ascii="Calibri" w:hAnsi="Calibri" w:cs="Calibri"/>
          <w:b/>
          <w:bCs/>
          <w:sz w:val="22"/>
          <w:szCs w:val="22"/>
          <w:u w:val="single"/>
          <w:lang w:eastAsia="en-GB"/>
        </w:rPr>
        <w:lastRenderedPageBreak/>
        <w:t>Annex 5: Performance Evaluation</w:t>
      </w:r>
      <w:bookmarkEnd w:id="124"/>
    </w:p>
    <w:bookmarkEnd w:id="122"/>
    <w:p w14:paraId="3EC89B4A" w14:textId="77777777" w:rsidR="00804AF0" w:rsidRDefault="00804AF0">
      <w:pPr>
        <w:jc w:val="both"/>
        <w:textAlignment w:val="baseline"/>
        <w:rPr>
          <w:rFonts w:ascii="Calibri" w:hAnsi="Calibri" w:cs="Calibri"/>
          <w:b/>
          <w:bCs/>
          <w:sz w:val="22"/>
          <w:szCs w:val="22"/>
          <w:u w:val="single"/>
          <w:lang w:eastAsia="en-GB"/>
        </w:rPr>
      </w:pPr>
    </w:p>
    <w:p w14:paraId="30FA37C8"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u w:val="single"/>
          <w:lang w:eastAsia="en-GB"/>
        </w:rPr>
        <w:t>Short-Term IPSA: </w:t>
      </w:r>
      <w:r>
        <w:rPr>
          <w:rFonts w:ascii="Calibri" w:hAnsi="Calibri" w:cs="Calibri"/>
          <w:sz w:val="22"/>
          <w:szCs w:val="22"/>
          <w:lang w:eastAsia="en-GB"/>
        </w:rPr>
        <w:t> </w:t>
      </w:r>
    </w:p>
    <w:p w14:paraId="0A3AC70E"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xml:space="preserve">For short-term IPSAs, only section I </w:t>
      </w:r>
      <w:bookmarkStart w:id="125" w:name="_Hlk134625183"/>
      <w:r>
        <w:rPr>
          <w:rFonts w:ascii="Calibri" w:hAnsi="Calibri" w:cs="Calibri"/>
          <w:sz w:val="22"/>
          <w:szCs w:val="22"/>
          <w:lang w:eastAsia="en-GB"/>
        </w:rPr>
        <w:t xml:space="preserve">of the </w:t>
      </w:r>
      <w:bookmarkStart w:id="126" w:name="_Hlk134629149"/>
      <w:r>
        <w:fldChar w:fldCharType="begin"/>
      </w:r>
      <w:r>
        <w:instrText xml:space="preserve"> HYPERLINK "https://popp.undp.org/node/726" </w:instrText>
      </w:r>
      <w:r>
        <w:fldChar w:fldCharType="separate"/>
      </w:r>
      <w:r>
        <w:rPr>
          <w:rStyle w:val="Hyperlink"/>
          <w:rFonts w:ascii="Calibri" w:hAnsi="Calibri" w:cs="Calibri"/>
          <w:sz w:val="22"/>
          <w:szCs w:val="22"/>
          <w:lang w:eastAsia="en-GB"/>
        </w:rPr>
        <w:t>IPSA Annual Performance Review template</w:t>
      </w:r>
      <w:r>
        <w:rPr>
          <w:rStyle w:val="Hyperlink"/>
          <w:rFonts w:ascii="Calibri" w:hAnsi="Calibri" w:cs="Calibri"/>
          <w:sz w:val="22"/>
          <w:szCs w:val="22"/>
          <w:lang w:eastAsia="en-GB"/>
        </w:rPr>
        <w:fldChar w:fldCharType="end"/>
      </w:r>
      <w:r>
        <w:rPr>
          <w:rStyle w:val="Hyperlink"/>
          <w:rFonts w:ascii="Calibri" w:hAnsi="Calibri" w:cs="Calibri"/>
          <w:sz w:val="22"/>
          <w:szCs w:val="22"/>
          <w:lang w:eastAsia="en-GB"/>
        </w:rPr>
        <w:t xml:space="preserve"> </w:t>
      </w:r>
      <w:r>
        <w:rPr>
          <w:rFonts w:ascii="Calibri" w:hAnsi="Calibri" w:cs="Calibri"/>
          <w:sz w:val="22"/>
          <w:szCs w:val="22"/>
          <w:lang w:eastAsia="en-GB"/>
        </w:rPr>
        <w:t>needs to be completed. </w:t>
      </w:r>
      <w:bookmarkEnd w:id="125"/>
    </w:p>
    <w:bookmarkEnd w:id="126"/>
    <w:p w14:paraId="0BF31DEF" w14:textId="77777777" w:rsidR="00804AF0" w:rsidRDefault="00804AF0">
      <w:pPr>
        <w:jc w:val="both"/>
        <w:textAlignment w:val="baseline"/>
        <w:rPr>
          <w:rFonts w:ascii="Calibri" w:hAnsi="Calibri" w:cs="Calibri"/>
          <w:b/>
          <w:bCs/>
          <w:sz w:val="22"/>
          <w:szCs w:val="22"/>
          <w:u w:val="single"/>
          <w:lang w:eastAsia="en-GB"/>
        </w:rPr>
      </w:pPr>
    </w:p>
    <w:p w14:paraId="08D015FF"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u w:val="single"/>
          <w:lang w:eastAsia="en-GB"/>
        </w:rPr>
        <w:t>Regular IPSA:</w:t>
      </w:r>
      <w:r>
        <w:rPr>
          <w:rFonts w:ascii="Calibri" w:hAnsi="Calibri" w:cs="Calibri"/>
          <w:sz w:val="22"/>
          <w:szCs w:val="22"/>
          <w:lang w:eastAsia="en-GB"/>
        </w:rPr>
        <w:t> </w:t>
      </w:r>
    </w:p>
    <w:p w14:paraId="31E885A5" w14:textId="77777777" w:rsidR="00804AF0" w:rsidRDefault="00804AF0">
      <w:pPr>
        <w:jc w:val="both"/>
        <w:textAlignment w:val="baseline"/>
        <w:rPr>
          <w:rFonts w:ascii="Calibri" w:hAnsi="Calibri" w:cs="Calibri"/>
          <w:sz w:val="22"/>
          <w:szCs w:val="22"/>
          <w:lang w:eastAsia="en-GB"/>
        </w:rPr>
      </w:pPr>
    </w:p>
    <w:p w14:paraId="405BD2A6" w14:textId="438347E4"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xml:space="preserve">For regular IPSAs, the evaluation must be completed </w:t>
      </w:r>
      <w:r>
        <w:rPr>
          <w:rFonts w:ascii="Calibri" w:hAnsi="Calibri" w:cs="Calibri"/>
          <w:sz w:val="22"/>
          <w:szCs w:val="22"/>
        </w:rPr>
        <w:t xml:space="preserve">using the online </w:t>
      </w:r>
      <w:hyperlink r:id="rId17" w:history="1">
        <w:r>
          <w:rPr>
            <w:rStyle w:val="Hyperlink"/>
            <w:rFonts w:ascii="Calibri" w:hAnsi="Calibri" w:cs="Calibri"/>
            <w:sz w:val="22"/>
            <w:szCs w:val="22"/>
          </w:rPr>
          <w:t>PMD platform</w:t>
        </w:r>
      </w:hyperlink>
      <w:r>
        <w:rPr>
          <w:rFonts w:ascii="Calibri" w:hAnsi="Calibri" w:cs="Calibri"/>
          <w:sz w:val="22"/>
          <w:szCs w:val="22"/>
        </w:rPr>
        <w:t>. I</w:t>
      </w:r>
      <w:r>
        <w:rPr>
          <w:rFonts w:ascii="Calibri" w:hAnsi="Calibri" w:cs="Calibri"/>
          <w:sz w:val="22"/>
          <w:szCs w:val="22"/>
          <w:lang w:eastAsia="en-GB"/>
        </w:rPr>
        <w:t>f the platform is not available, the supervisor can use the form below. Please note that the entire evaluation form needs to be completed. </w:t>
      </w:r>
    </w:p>
    <w:p w14:paraId="1DACFDA1"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108ABC5E" w14:textId="77777777" w:rsidR="00804AF0" w:rsidRDefault="009A47D6">
      <w:pPr>
        <w:pStyle w:val="ListParagraph"/>
        <w:numPr>
          <w:ilvl w:val="0"/>
          <w:numId w:val="42"/>
        </w:numPr>
        <w:jc w:val="both"/>
        <w:textAlignment w:val="baseline"/>
        <w:rPr>
          <w:rFonts w:ascii="Calibri" w:hAnsi="Calibri" w:cs="Calibri"/>
          <w:sz w:val="22"/>
          <w:szCs w:val="22"/>
          <w:lang w:eastAsia="en-GB"/>
        </w:rPr>
      </w:pPr>
      <w:r>
        <w:rPr>
          <w:rFonts w:ascii="Calibri" w:hAnsi="Calibri" w:cs="Calibri"/>
          <w:sz w:val="22"/>
          <w:szCs w:val="22"/>
          <w:lang w:eastAsia="en-GB"/>
        </w:rPr>
        <w:t xml:space="preserve">The </w:t>
      </w:r>
      <w:hyperlink r:id="rId18" w:history="1">
        <w:r>
          <w:rPr>
            <w:rFonts w:ascii="Calibri" w:hAnsi="Calibri" w:cs="Calibri"/>
            <w:sz w:val="22"/>
            <w:szCs w:val="22"/>
            <w:lang w:eastAsia="en-GB"/>
          </w:rPr>
          <w:t>IPSA Annual Performance review</w:t>
        </w:r>
      </w:hyperlink>
      <w:r>
        <w:rPr>
          <w:rFonts w:ascii="Calibri" w:hAnsi="Calibri" w:cs="Calibri"/>
          <w:sz w:val="22"/>
          <w:szCs w:val="22"/>
          <w:lang w:eastAsia="en-GB"/>
        </w:rPr>
        <w:t xml:space="preserve"> must be completed by the supervisor in line with the regular performance management cycles as set out by the administration, and applying the same cycle consistently across all personnel (calendar year). The simplified performance management process is initiated at the start of the year with clearly set goals to achieve as per the work plan of the unit and the individual, as well as learning and development plans of the individual, and agreed on by the supervisor. The performance assessment is conducted within the regular set schedule at the start of the following year and conducted against the set goals. The assessment by the supervisor is completed after: </w:t>
      </w:r>
    </w:p>
    <w:p w14:paraId="35692270" w14:textId="77777777" w:rsidR="00804AF0" w:rsidRDefault="009A47D6">
      <w:pPr>
        <w:ind w:left="360"/>
        <w:jc w:val="both"/>
        <w:textAlignment w:val="baseline"/>
        <w:rPr>
          <w:rFonts w:ascii="Calibri" w:hAnsi="Calibri" w:cs="Calibri"/>
          <w:sz w:val="22"/>
          <w:szCs w:val="22"/>
          <w:lang w:eastAsia="en-GB"/>
        </w:rPr>
      </w:pPr>
      <w:r>
        <w:rPr>
          <w:rFonts w:ascii="Calibri" w:hAnsi="Calibri" w:cs="Calibri"/>
          <w:sz w:val="22"/>
          <w:szCs w:val="22"/>
          <w:lang w:eastAsia="en-GB"/>
        </w:rPr>
        <w:t> </w:t>
      </w:r>
    </w:p>
    <w:p w14:paraId="1D5AF6AF" w14:textId="77777777" w:rsidR="00804AF0" w:rsidRDefault="009A47D6">
      <w:pPr>
        <w:numPr>
          <w:ilvl w:val="0"/>
          <w:numId w:val="43"/>
        </w:numPr>
        <w:tabs>
          <w:tab w:val="clear" w:pos="720"/>
          <w:tab w:val="left" w:pos="-1800"/>
        </w:tabs>
        <w:ind w:left="1440" w:firstLine="0"/>
        <w:jc w:val="both"/>
        <w:textAlignment w:val="baseline"/>
        <w:rPr>
          <w:rFonts w:ascii="Calibri" w:hAnsi="Calibri" w:cs="Calibri"/>
          <w:sz w:val="22"/>
          <w:szCs w:val="22"/>
          <w:lang w:eastAsia="en-GB"/>
        </w:rPr>
      </w:pPr>
      <w:r>
        <w:rPr>
          <w:rFonts w:ascii="Calibri" w:hAnsi="Calibri" w:cs="Calibri"/>
          <w:sz w:val="22"/>
          <w:szCs w:val="22"/>
          <w:lang w:eastAsia="en-GB"/>
        </w:rPr>
        <w:t xml:space="preserve"> a short written self-assessment is provided by the IPSA holder including on their special accomplishments; and</w:t>
      </w:r>
    </w:p>
    <w:p w14:paraId="45B662CD" w14:textId="77777777" w:rsidR="00804AF0" w:rsidRDefault="009A47D6">
      <w:pPr>
        <w:ind w:left="1440"/>
        <w:jc w:val="both"/>
        <w:textAlignment w:val="baseline"/>
        <w:rPr>
          <w:rFonts w:ascii="Calibri" w:hAnsi="Calibri" w:cs="Calibri"/>
          <w:sz w:val="22"/>
          <w:szCs w:val="22"/>
          <w:lang w:eastAsia="en-GB"/>
        </w:rPr>
      </w:pPr>
      <w:r>
        <w:rPr>
          <w:rFonts w:ascii="Calibri" w:hAnsi="Calibri" w:cs="Calibri"/>
          <w:sz w:val="22"/>
          <w:szCs w:val="22"/>
          <w:lang w:eastAsia="en-GB"/>
        </w:rPr>
        <w:t> </w:t>
      </w:r>
    </w:p>
    <w:p w14:paraId="00F93A67" w14:textId="77777777" w:rsidR="00804AF0" w:rsidRDefault="009A47D6">
      <w:pPr>
        <w:numPr>
          <w:ilvl w:val="0"/>
          <w:numId w:val="44"/>
        </w:numPr>
        <w:ind w:left="1440" w:firstLine="0"/>
        <w:jc w:val="both"/>
        <w:textAlignment w:val="baseline"/>
        <w:rPr>
          <w:rFonts w:ascii="Calibri" w:hAnsi="Calibri" w:cs="Calibri"/>
          <w:sz w:val="22"/>
          <w:szCs w:val="22"/>
          <w:lang w:eastAsia="en-GB"/>
        </w:rPr>
      </w:pPr>
      <w:r>
        <w:rPr>
          <w:rFonts w:ascii="Calibri" w:hAnsi="Calibri" w:cs="Calibri"/>
          <w:sz w:val="22"/>
          <w:szCs w:val="22"/>
          <w:lang w:eastAsia="en-GB"/>
        </w:rPr>
        <w:t xml:space="preserve"> a Performance review session with the individual IPSA holder with a view to discuss performance during the reporting period. </w:t>
      </w:r>
    </w:p>
    <w:p w14:paraId="7442326B" w14:textId="77777777" w:rsidR="00804AF0" w:rsidRDefault="009A47D6">
      <w:pPr>
        <w:ind w:left="1800"/>
        <w:jc w:val="both"/>
        <w:textAlignment w:val="baseline"/>
        <w:rPr>
          <w:rFonts w:ascii="Calibri" w:hAnsi="Calibri" w:cs="Calibri"/>
          <w:sz w:val="22"/>
          <w:szCs w:val="22"/>
          <w:lang w:eastAsia="en-GB"/>
        </w:rPr>
      </w:pPr>
      <w:r>
        <w:rPr>
          <w:rFonts w:ascii="Calibri" w:hAnsi="Calibri" w:cs="Calibri"/>
          <w:sz w:val="22"/>
          <w:szCs w:val="22"/>
          <w:lang w:eastAsia="en-GB"/>
        </w:rPr>
        <w:t> </w:t>
      </w:r>
    </w:p>
    <w:p w14:paraId="2A952B22" w14:textId="77777777" w:rsidR="00804AF0" w:rsidRDefault="009A47D6">
      <w:pPr>
        <w:pStyle w:val="ListParagraph"/>
        <w:numPr>
          <w:ilvl w:val="0"/>
          <w:numId w:val="42"/>
        </w:numPr>
        <w:jc w:val="both"/>
        <w:textAlignment w:val="baseline"/>
        <w:rPr>
          <w:rFonts w:ascii="Calibri" w:hAnsi="Calibri" w:cs="Calibri"/>
          <w:sz w:val="22"/>
          <w:szCs w:val="22"/>
          <w:lang w:eastAsia="en-GB"/>
        </w:rPr>
      </w:pPr>
      <w:r>
        <w:rPr>
          <w:rFonts w:ascii="Calibri" w:hAnsi="Calibri" w:cs="Calibri"/>
          <w:sz w:val="22"/>
          <w:szCs w:val="22"/>
          <w:lang w:eastAsia="en-GB"/>
        </w:rPr>
        <w:t xml:space="preserve">The performance assessment must include details regarding performance during the review period, as applicable, any mention of service provided above or below expected standards or in addition to those activities established in the TOR. If the PMD platform is not available, the </w:t>
      </w:r>
      <w:hyperlink r:id="rId19" w:history="1">
        <w:r>
          <w:rPr>
            <w:rStyle w:val="Hyperlink"/>
            <w:rFonts w:ascii="Calibri" w:hAnsi="Calibri" w:cs="Calibri"/>
            <w:sz w:val="22"/>
            <w:szCs w:val="22"/>
            <w:lang w:eastAsia="en-GB"/>
          </w:rPr>
          <w:t>IPSA Annual Performance Review template</w:t>
        </w:r>
      </w:hyperlink>
      <w:r>
        <w:rPr>
          <w:rFonts w:ascii="Calibri" w:hAnsi="Calibri" w:cs="Calibri"/>
          <w:sz w:val="22"/>
          <w:szCs w:val="22"/>
          <w:lang w:eastAsia="en-GB"/>
        </w:rPr>
        <w:t xml:space="preserve"> should be used for evaluating regular IPSAs.</w:t>
      </w:r>
    </w:p>
    <w:p w14:paraId="37A48AE6" w14:textId="77777777" w:rsidR="00804AF0" w:rsidRDefault="00804AF0">
      <w:pPr>
        <w:ind w:left="1080"/>
        <w:jc w:val="both"/>
        <w:textAlignment w:val="baseline"/>
        <w:rPr>
          <w:rFonts w:ascii="Calibri" w:hAnsi="Calibri" w:cs="Calibri"/>
          <w:sz w:val="22"/>
          <w:szCs w:val="22"/>
          <w:lang w:eastAsia="en-GB"/>
        </w:rPr>
      </w:pPr>
    </w:p>
    <w:p w14:paraId="3E716156" w14:textId="77777777" w:rsidR="00804AF0" w:rsidRDefault="00804AF0">
      <w:pPr>
        <w:jc w:val="both"/>
        <w:textAlignment w:val="baseline"/>
        <w:rPr>
          <w:rFonts w:ascii="Calibri" w:hAnsi="Calibri" w:cs="Calibri"/>
          <w:sz w:val="22"/>
          <w:szCs w:val="22"/>
          <w:lang w:eastAsia="en-GB"/>
        </w:rPr>
      </w:pPr>
    </w:p>
    <w:p w14:paraId="1EAFFA88" w14:textId="77777777" w:rsidR="00804AF0" w:rsidRDefault="009A47D6">
      <w:pPr>
        <w:rPr>
          <w:rFonts w:ascii="Calibri" w:hAnsi="Calibri" w:cs="Calibri"/>
          <w:b/>
          <w:bCs/>
          <w:sz w:val="22"/>
          <w:szCs w:val="22"/>
          <w:u w:val="single"/>
          <w:lang w:eastAsia="en-GB"/>
        </w:rPr>
      </w:pPr>
      <w:bookmarkStart w:id="127" w:name="_Annex_6:_To"/>
      <w:bookmarkEnd w:id="127"/>
      <w:r>
        <w:rPr>
          <w:rFonts w:ascii="Calibri" w:hAnsi="Calibri" w:cs="Calibri"/>
          <w:b/>
          <w:bCs/>
          <w:sz w:val="22"/>
          <w:szCs w:val="22"/>
          <w:u w:val="single"/>
          <w:lang w:eastAsia="en-GB"/>
        </w:rPr>
        <w:br w:type="page"/>
      </w:r>
    </w:p>
    <w:p w14:paraId="602B0886" w14:textId="77777777" w:rsidR="00804AF0" w:rsidRDefault="009A47D6">
      <w:pPr>
        <w:pStyle w:val="Heading1"/>
        <w:ind w:left="0"/>
        <w:jc w:val="left"/>
        <w:rPr>
          <w:rFonts w:ascii="Calibri" w:hAnsi="Calibri" w:cs="Calibri"/>
          <w:b/>
          <w:bCs/>
          <w:sz w:val="22"/>
          <w:szCs w:val="22"/>
          <w:u w:val="single"/>
          <w:lang w:eastAsia="en-GB"/>
        </w:rPr>
      </w:pPr>
      <w:bookmarkStart w:id="128" w:name="_Annex_6:_To_1"/>
      <w:bookmarkStart w:id="129" w:name="_Toc161312448"/>
      <w:bookmarkEnd w:id="128"/>
      <w:r>
        <w:rPr>
          <w:rFonts w:ascii="Calibri" w:hAnsi="Calibri" w:cs="Calibri"/>
          <w:b/>
          <w:bCs/>
          <w:sz w:val="22"/>
          <w:szCs w:val="22"/>
          <w:u w:val="single"/>
          <w:lang w:eastAsia="en-GB"/>
        </w:rPr>
        <w:lastRenderedPageBreak/>
        <w:t>Annex 6: To be included in IPSA file, where applicable – Checklist</w:t>
      </w:r>
      <w:bookmarkEnd w:id="129"/>
      <w:r>
        <w:rPr>
          <w:rFonts w:ascii="Calibri" w:hAnsi="Calibri" w:cs="Calibri"/>
          <w:b/>
          <w:bCs/>
          <w:sz w:val="22"/>
          <w:szCs w:val="22"/>
          <w:u w:val="single"/>
          <w:lang w:eastAsia="en-GB"/>
        </w:rPr>
        <w:t> </w:t>
      </w:r>
    </w:p>
    <w:p w14:paraId="6DF2E3B4"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w:t>
      </w:r>
    </w:p>
    <w:p w14:paraId="1A16673B" w14:textId="77777777" w:rsidR="00804AF0" w:rsidRDefault="009A47D6">
      <w:pPr>
        <w:jc w:val="both"/>
        <w:textAlignment w:val="baseline"/>
        <w:rPr>
          <w:rFonts w:ascii="Calibri" w:hAnsi="Calibri" w:cs="Calibri"/>
          <w:sz w:val="22"/>
          <w:szCs w:val="22"/>
          <w:lang w:eastAsia="en-GB"/>
        </w:rPr>
      </w:pPr>
      <w:r>
        <w:rPr>
          <w:rFonts w:ascii="Calibri" w:hAnsi="Calibri" w:cs="Calibri"/>
          <w:color w:val="000000"/>
          <w:sz w:val="22"/>
          <w:szCs w:val="22"/>
          <w:lang w:eastAsia="en-GB"/>
        </w:rPr>
        <w:t>Check list of documentation for the IPSA holder  </w:t>
      </w:r>
    </w:p>
    <w:p w14:paraId="6882F934" w14:textId="77777777" w:rsidR="00804AF0" w:rsidRDefault="009A47D6">
      <w:pPr>
        <w:pStyle w:val="ListParagraph"/>
        <w:numPr>
          <w:ilvl w:val="0"/>
          <w:numId w:val="45"/>
        </w:numPr>
        <w:jc w:val="both"/>
        <w:textAlignment w:val="baseline"/>
        <w:rPr>
          <w:rFonts w:ascii="Calibri" w:eastAsia="Times New Roman" w:hAnsi="Calibri" w:cs="Calibri"/>
          <w:sz w:val="22"/>
          <w:szCs w:val="22"/>
          <w:lang w:eastAsia="en-GB"/>
        </w:rPr>
      </w:pPr>
      <w:r>
        <w:rPr>
          <w:rFonts w:ascii="Calibri" w:eastAsia="Times New Roman" w:hAnsi="Calibri" w:cs="Calibri"/>
          <w:color w:val="000000"/>
          <w:sz w:val="22"/>
          <w:szCs w:val="22"/>
          <w:lang w:eastAsia="en-GB"/>
        </w:rPr>
        <w:t>Evidence of approved budget  </w:t>
      </w:r>
    </w:p>
    <w:p w14:paraId="039F37A1" w14:textId="4D0EECB3" w:rsidR="00804AF0" w:rsidRDefault="009A47D6">
      <w:pPr>
        <w:pStyle w:val="ListParagraph"/>
        <w:numPr>
          <w:ilvl w:val="0"/>
          <w:numId w:val="45"/>
        </w:numPr>
        <w:jc w:val="both"/>
        <w:textAlignment w:val="baseline"/>
        <w:rPr>
          <w:rFonts w:ascii="Calibri" w:eastAsia="Times New Roman" w:hAnsi="Calibri" w:cs="Calibri"/>
          <w:sz w:val="22"/>
          <w:szCs w:val="22"/>
          <w:lang w:eastAsia="en-GB"/>
        </w:rPr>
      </w:pPr>
      <w:hyperlink r:id="rId20" w:history="1">
        <w:r>
          <w:rPr>
            <w:rStyle w:val="Hyperlink"/>
            <w:rFonts w:ascii="Calibri" w:eastAsia="Times New Roman" w:hAnsi="Calibri" w:cs="Calibri"/>
            <w:sz w:val="22"/>
            <w:szCs w:val="22"/>
            <w:lang w:eastAsia="en-GB"/>
          </w:rPr>
          <w:t>Terms of Reference  </w:t>
        </w:r>
      </w:hyperlink>
    </w:p>
    <w:p w14:paraId="0E25D902" w14:textId="77777777" w:rsidR="00804AF0" w:rsidRDefault="009A47D6">
      <w:pPr>
        <w:pStyle w:val="ListParagraph"/>
        <w:numPr>
          <w:ilvl w:val="0"/>
          <w:numId w:val="45"/>
        </w:numPr>
        <w:jc w:val="both"/>
        <w:textAlignment w:val="baseline"/>
        <w:rPr>
          <w:rFonts w:ascii="Calibri" w:eastAsia="Times New Roman" w:hAnsi="Calibri" w:cs="Calibri"/>
          <w:sz w:val="22"/>
          <w:szCs w:val="22"/>
          <w:lang w:eastAsia="en-GB"/>
        </w:rPr>
      </w:pPr>
      <w:r>
        <w:rPr>
          <w:rFonts w:ascii="Calibri" w:eastAsia="Times New Roman" w:hAnsi="Calibri" w:cs="Calibri"/>
          <w:color w:val="000000"/>
          <w:sz w:val="22"/>
          <w:szCs w:val="22"/>
          <w:lang w:eastAsia="en-GB"/>
        </w:rPr>
        <w:t>Certification of appropriateness of functions for use of an IPSA  </w:t>
      </w:r>
    </w:p>
    <w:p w14:paraId="5D02DA12" w14:textId="77A3C6AB" w:rsidR="00804AF0" w:rsidRDefault="009A47D6">
      <w:pPr>
        <w:pStyle w:val="ListParagraph"/>
        <w:numPr>
          <w:ilvl w:val="0"/>
          <w:numId w:val="45"/>
        </w:numPr>
        <w:jc w:val="both"/>
        <w:textAlignment w:val="baseline"/>
        <w:rPr>
          <w:rFonts w:ascii="Calibri" w:eastAsia="Times New Roman" w:hAnsi="Calibri" w:cs="Calibri"/>
          <w:sz w:val="22"/>
          <w:szCs w:val="22"/>
          <w:lang w:eastAsia="en-GB"/>
        </w:rPr>
      </w:pPr>
      <w:hyperlink r:id="rId21" w:history="1">
        <w:r>
          <w:rPr>
            <w:rStyle w:val="Hyperlink"/>
            <w:rFonts w:ascii="Calibri" w:eastAsia="Times New Roman" w:hAnsi="Calibri" w:cs="Calibri"/>
            <w:sz w:val="22"/>
            <w:szCs w:val="22"/>
            <w:lang w:eastAsia="en-GB"/>
          </w:rPr>
          <w:t>Confirmation of remuneration level (e.g. costing sheet)</w:t>
        </w:r>
      </w:hyperlink>
      <w:r>
        <w:rPr>
          <w:rFonts w:ascii="Calibri" w:eastAsia="Times New Roman" w:hAnsi="Calibri" w:cs="Calibri"/>
          <w:color w:val="000000"/>
          <w:sz w:val="22"/>
          <w:szCs w:val="22"/>
          <w:lang w:eastAsia="en-GB"/>
        </w:rPr>
        <w:t>  </w:t>
      </w:r>
    </w:p>
    <w:p w14:paraId="5174D528" w14:textId="77777777" w:rsidR="00804AF0" w:rsidRDefault="009A47D6">
      <w:pPr>
        <w:pStyle w:val="ListParagraph"/>
        <w:numPr>
          <w:ilvl w:val="0"/>
          <w:numId w:val="45"/>
        </w:numPr>
        <w:jc w:val="both"/>
        <w:textAlignment w:val="baseline"/>
        <w:rPr>
          <w:rFonts w:ascii="Calibri" w:eastAsia="Times New Roman" w:hAnsi="Calibri" w:cs="Calibri"/>
          <w:sz w:val="22"/>
          <w:szCs w:val="22"/>
          <w:lang w:eastAsia="en-GB"/>
        </w:rPr>
      </w:pPr>
      <w:r>
        <w:rPr>
          <w:rFonts w:ascii="Calibri" w:eastAsia="Times New Roman" w:hAnsi="Calibri" w:cs="Calibri"/>
          <w:color w:val="000000"/>
          <w:sz w:val="22"/>
          <w:szCs w:val="22"/>
          <w:lang w:eastAsia="en-GB"/>
        </w:rPr>
        <w:t>Minutes of the Ad-hoc panel with relevant supporting engagement documents  </w:t>
      </w:r>
    </w:p>
    <w:p w14:paraId="0A223999" w14:textId="5E9F04F4" w:rsidR="00804AF0" w:rsidRDefault="009A47D6">
      <w:pPr>
        <w:pStyle w:val="ListParagraph"/>
        <w:numPr>
          <w:ilvl w:val="0"/>
          <w:numId w:val="45"/>
        </w:numPr>
        <w:jc w:val="both"/>
        <w:textAlignment w:val="baseline"/>
        <w:rPr>
          <w:rFonts w:ascii="Calibri" w:eastAsia="Times New Roman" w:hAnsi="Calibri" w:cs="Calibri"/>
          <w:sz w:val="22"/>
          <w:szCs w:val="22"/>
          <w:lang w:eastAsia="en-GB"/>
        </w:rPr>
      </w:pPr>
      <w:hyperlink r:id="rId22" w:history="1">
        <w:r>
          <w:rPr>
            <w:rStyle w:val="Hyperlink"/>
            <w:rFonts w:ascii="Calibri" w:eastAsia="Times New Roman" w:hAnsi="Calibri" w:cs="Calibri"/>
            <w:sz w:val="22"/>
            <w:szCs w:val="22"/>
            <w:lang w:eastAsia="en-GB"/>
          </w:rPr>
          <w:t>Reference check report  </w:t>
        </w:r>
      </w:hyperlink>
    </w:p>
    <w:p w14:paraId="5E0862CB" w14:textId="77777777" w:rsidR="00804AF0" w:rsidRDefault="009A47D6">
      <w:pPr>
        <w:pStyle w:val="ListParagraph"/>
        <w:numPr>
          <w:ilvl w:val="0"/>
          <w:numId w:val="45"/>
        </w:numPr>
        <w:jc w:val="both"/>
        <w:textAlignment w:val="baseline"/>
        <w:rPr>
          <w:rFonts w:ascii="Calibri" w:eastAsia="Times New Roman" w:hAnsi="Calibri" w:cs="Calibri"/>
          <w:sz w:val="22"/>
          <w:szCs w:val="22"/>
          <w:lang w:eastAsia="en-GB"/>
        </w:rPr>
      </w:pPr>
      <w:r>
        <w:rPr>
          <w:rFonts w:ascii="Calibri" w:eastAsia="Times New Roman" w:hAnsi="Calibri" w:cs="Calibri"/>
          <w:color w:val="000000"/>
          <w:sz w:val="22"/>
          <w:szCs w:val="22"/>
          <w:lang w:eastAsia="en-GB"/>
        </w:rPr>
        <w:t>Letter of IPSA offer – signed by the individual  </w:t>
      </w:r>
    </w:p>
    <w:p w14:paraId="02C2F924" w14:textId="6F21669A" w:rsidR="00804AF0" w:rsidRDefault="009A47D6">
      <w:pPr>
        <w:pStyle w:val="ListParagraph"/>
        <w:numPr>
          <w:ilvl w:val="0"/>
          <w:numId w:val="45"/>
        </w:numPr>
        <w:jc w:val="both"/>
        <w:textAlignment w:val="baseline"/>
        <w:rPr>
          <w:rFonts w:ascii="Calibri" w:eastAsia="Times New Roman" w:hAnsi="Calibri" w:cs="Calibri"/>
          <w:sz w:val="22"/>
          <w:szCs w:val="22"/>
          <w:lang w:eastAsia="en-GB"/>
        </w:rPr>
      </w:pPr>
      <w:hyperlink r:id="rId23" w:history="1">
        <w:r>
          <w:rPr>
            <w:rStyle w:val="Hyperlink"/>
            <w:rFonts w:ascii="Calibri" w:eastAsia="Times New Roman" w:hAnsi="Calibri" w:cs="Calibri"/>
            <w:sz w:val="22"/>
            <w:szCs w:val="22"/>
            <w:lang w:eastAsia="en-GB"/>
          </w:rPr>
          <w:t>Medical certification from recognized Physician  </w:t>
        </w:r>
      </w:hyperlink>
    </w:p>
    <w:p w14:paraId="0CDC8311" w14:textId="77777777" w:rsidR="00804AF0" w:rsidRDefault="009A47D6">
      <w:pPr>
        <w:pStyle w:val="ListParagraph"/>
        <w:numPr>
          <w:ilvl w:val="0"/>
          <w:numId w:val="45"/>
        </w:numPr>
        <w:jc w:val="both"/>
        <w:textAlignment w:val="baseline"/>
        <w:rPr>
          <w:rFonts w:ascii="Calibri" w:eastAsia="Times New Roman" w:hAnsi="Calibri" w:cs="Calibri"/>
          <w:sz w:val="22"/>
          <w:szCs w:val="22"/>
          <w:lang w:eastAsia="en-GB"/>
        </w:rPr>
      </w:pPr>
      <w:r>
        <w:rPr>
          <w:rFonts w:ascii="Calibri" w:eastAsia="Times New Roman" w:hAnsi="Calibri" w:cs="Calibri"/>
          <w:color w:val="000000"/>
          <w:sz w:val="22"/>
          <w:szCs w:val="22"/>
          <w:lang w:eastAsia="en-GB"/>
        </w:rPr>
        <w:t>Copies of professional qualifications in line with IPSA level  </w:t>
      </w:r>
    </w:p>
    <w:p w14:paraId="029CE45F" w14:textId="7F8BC10F" w:rsidR="00804AF0" w:rsidRDefault="009A47D6">
      <w:pPr>
        <w:pStyle w:val="ListParagraph"/>
        <w:numPr>
          <w:ilvl w:val="0"/>
          <w:numId w:val="45"/>
        </w:numPr>
        <w:jc w:val="both"/>
        <w:textAlignment w:val="baseline"/>
        <w:rPr>
          <w:rFonts w:ascii="Calibri" w:eastAsia="Times New Roman" w:hAnsi="Calibri" w:cs="Calibri"/>
          <w:sz w:val="22"/>
          <w:szCs w:val="22"/>
          <w:lang w:eastAsia="en-GB"/>
        </w:rPr>
      </w:pPr>
      <w:hyperlink r:id="rId24" w:history="1">
        <w:r>
          <w:rPr>
            <w:rStyle w:val="Hyperlink"/>
            <w:rFonts w:ascii="Calibri" w:eastAsia="Times New Roman" w:hAnsi="Calibri" w:cs="Calibri"/>
            <w:sz w:val="22"/>
            <w:szCs w:val="22"/>
            <w:lang w:eastAsia="en-GB"/>
          </w:rPr>
          <w:t>Signed IPSA form with acknowledgement of conditions of service  </w:t>
        </w:r>
      </w:hyperlink>
    </w:p>
    <w:p w14:paraId="57F1B5AA" w14:textId="77777777" w:rsidR="00804AF0" w:rsidRDefault="009A47D6">
      <w:pPr>
        <w:pStyle w:val="ListParagraph"/>
        <w:numPr>
          <w:ilvl w:val="0"/>
          <w:numId w:val="45"/>
        </w:numPr>
        <w:jc w:val="both"/>
        <w:textAlignment w:val="baseline"/>
        <w:rPr>
          <w:rFonts w:ascii="Calibri" w:eastAsia="Times New Roman" w:hAnsi="Calibri" w:cs="Calibri"/>
          <w:sz w:val="22"/>
          <w:szCs w:val="22"/>
          <w:lang w:eastAsia="en-GB"/>
        </w:rPr>
      </w:pPr>
      <w:r>
        <w:rPr>
          <w:rFonts w:ascii="Calibri" w:eastAsia="Times New Roman" w:hAnsi="Calibri" w:cs="Calibri"/>
          <w:color w:val="000000"/>
          <w:sz w:val="22"/>
          <w:szCs w:val="22"/>
          <w:lang w:eastAsia="en-GB"/>
        </w:rPr>
        <w:t>Proof of medical coverage  </w:t>
      </w:r>
    </w:p>
    <w:p w14:paraId="6ED32F4D" w14:textId="77777777" w:rsidR="00804AF0" w:rsidRDefault="009A47D6">
      <w:pPr>
        <w:pStyle w:val="ListParagraph"/>
        <w:numPr>
          <w:ilvl w:val="0"/>
          <w:numId w:val="45"/>
        </w:numPr>
        <w:jc w:val="both"/>
        <w:textAlignment w:val="baseline"/>
        <w:rPr>
          <w:rFonts w:ascii="Calibri" w:eastAsia="Times New Roman" w:hAnsi="Calibri" w:cs="Calibri"/>
          <w:sz w:val="22"/>
          <w:szCs w:val="22"/>
          <w:lang w:eastAsia="en-GB"/>
        </w:rPr>
      </w:pPr>
      <w:r>
        <w:rPr>
          <w:rFonts w:ascii="Calibri" w:eastAsia="Times New Roman" w:hAnsi="Calibri" w:cs="Calibri"/>
          <w:color w:val="000000"/>
          <w:sz w:val="22"/>
          <w:szCs w:val="22"/>
          <w:lang w:eastAsia="en-GB"/>
        </w:rPr>
        <w:t>Application for CIGNA medical coverage  </w:t>
      </w:r>
    </w:p>
    <w:p w14:paraId="36CA802E" w14:textId="77777777" w:rsidR="00804AF0" w:rsidRDefault="009A47D6">
      <w:pPr>
        <w:pStyle w:val="ListParagraph"/>
        <w:numPr>
          <w:ilvl w:val="0"/>
          <w:numId w:val="45"/>
        </w:numPr>
        <w:jc w:val="both"/>
        <w:textAlignment w:val="baseline"/>
        <w:rPr>
          <w:rFonts w:ascii="Calibri" w:eastAsia="Times New Roman" w:hAnsi="Calibri" w:cs="Calibri"/>
          <w:sz w:val="22"/>
          <w:szCs w:val="22"/>
          <w:lang w:eastAsia="en-GB"/>
        </w:rPr>
      </w:pPr>
      <w:r>
        <w:rPr>
          <w:rFonts w:ascii="Calibri" w:eastAsia="Times New Roman" w:hAnsi="Calibri" w:cs="Calibri"/>
          <w:color w:val="000000"/>
          <w:sz w:val="22"/>
          <w:szCs w:val="22"/>
          <w:lang w:eastAsia="en-GB"/>
        </w:rPr>
        <w:t>Application for Death and Disability coverage  </w:t>
      </w:r>
    </w:p>
    <w:p w14:paraId="11A42B12" w14:textId="77777777" w:rsidR="00804AF0" w:rsidRDefault="009A47D6">
      <w:pPr>
        <w:pStyle w:val="ListParagraph"/>
        <w:numPr>
          <w:ilvl w:val="0"/>
          <w:numId w:val="45"/>
        </w:numPr>
        <w:jc w:val="both"/>
        <w:textAlignment w:val="baseline"/>
        <w:rPr>
          <w:rFonts w:ascii="Calibri" w:eastAsia="Times New Roman" w:hAnsi="Calibri" w:cs="Calibri"/>
          <w:sz w:val="22"/>
          <w:szCs w:val="22"/>
          <w:lang w:eastAsia="en-GB"/>
        </w:rPr>
      </w:pPr>
      <w:r>
        <w:rPr>
          <w:rFonts w:ascii="Calibri" w:eastAsia="Times New Roman" w:hAnsi="Calibri" w:cs="Calibri"/>
          <w:color w:val="000000"/>
          <w:sz w:val="22"/>
          <w:szCs w:val="22"/>
          <w:lang w:eastAsia="en-GB"/>
        </w:rPr>
        <w:t>Signed acknowledgement that IPSA holder has received all documents and information related to social security and MAIP coverage  </w:t>
      </w:r>
    </w:p>
    <w:p w14:paraId="62151A84" w14:textId="77777777" w:rsidR="00804AF0" w:rsidRDefault="009A47D6">
      <w:pPr>
        <w:pStyle w:val="ListParagraph"/>
        <w:numPr>
          <w:ilvl w:val="0"/>
          <w:numId w:val="45"/>
        </w:numPr>
        <w:jc w:val="both"/>
        <w:textAlignment w:val="baseline"/>
        <w:rPr>
          <w:rFonts w:ascii="Calibri" w:eastAsia="Times New Roman" w:hAnsi="Calibri" w:cs="Calibri"/>
          <w:sz w:val="22"/>
          <w:szCs w:val="22"/>
          <w:lang w:eastAsia="en-GB"/>
        </w:rPr>
      </w:pPr>
      <w:r>
        <w:rPr>
          <w:rFonts w:ascii="Calibri" w:eastAsia="Times New Roman" w:hAnsi="Calibri" w:cs="Calibri"/>
          <w:color w:val="000000"/>
          <w:sz w:val="22"/>
          <w:szCs w:val="22"/>
          <w:lang w:eastAsia="en-GB"/>
        </w:rPr>
        <w:t>Amendments/Extensions to IPSA-with signed acceptance  </w:t>
      </w:r>
    </w:p>
    <w:p w14:paraId="5EA73702" w14:textId="77777777" w:rsidR="00804AF0" w:rsidRDefault="009A47D6">
      <w:pPr>
        <w:pStyle w:val="ListParagraph"/>
        <w:numPr>
          <w:ilvl w:val="0"/>
          <w:numId w:val="45"/>
        </w:numPr>
        <w:jc w:val="both"/>
        <w:textAlignment w:val="baseline"/>
        <w:rPr>
          <w:rFonts w:ascii="Calibri" w:eastAsia="Times New Roman" w:hAnsi="Calibri" w:cs="Calibri"/>
          <w:sz w:val="22"/>
          <w:szCs w:val="22"/>
          <w:lang w:eastAsia="en-GB"/>
        </w:rPr>
      </w:pPr>
      <w:r>
        <w:rPr>
          <w:rFonts w:ascii="Calibri" w:eastAsia="Times New Roman" w:hAnsi="Calibri" w:cs="Calibri"/>
          <w:color w:val="000000"/>
          <w:sz w:val="22"/>
          <w:szCs w:val="22"/>
          <w:lang w:eastAsia="en-GB"/>
        </w:rPr>
        <w:t>Birth Certificate of IPSA holder and designated beneficiary  </w:t>
      </w:r>
    </w:p>
    <w:p w14:paraId="4FF627A2" w14:textId="76BDE2D4" w:rsidR="00804AF0" w:rsidRDefault="009A47D6">
      <w:pPr>
        <w:pStyle w:val="ListParagraph"/>
        <w:numPr>
          <w:ilvl w:val="0"/>
          <w:numId w:val="45"/>
        </w:numPr>
        <w:jc w:val="both"/>
        <w:textAlignment w:val="baseline"/>
        <w:rPr>
          <w:rFonts w:ascii="Calibri" w:eastAsia="Times New Roman" w:hAnsi="Calibri" w:cs="Calibri"/>
          <w:sz w:val="22"/>
          <w:szCs w:val="22"/>
          <w:lang w:eastAsia="en-GB"/>
        </w:rPr>
      </w:pPr>
      <w:hyperlink r:id="rId25" w:history="1">
        <w:r>
          <w:rPr>
            <w:rStyle w:val="Hyperlink"/>
            <w:rFonts w:ascii="Calibri" w:eastAsia="Times New Roman" w:hAnsi="Calibri" w:cs="Calibri"/>
            <w:sz w:val="22"/>
            <w:szCs w:val="22"/>
            <w:lang w:eastAsia="en-GB"/>
          </w:rPr>
          <w:t>Bank details authorization for direct deposit of remuneration (or vendor form) </w:t>
        </w:r>
      </w:hyperlink>
    </w:p>
    <w:p w14:paraId="315B5EE0" w14:textId="77777777" w:rsidR="00804AF0" w:rsidRDefault="009A47D6">
      <w:pPr>
        <w:pStyle w:val="ListParagraph"/>
        <w:numPr>
          <w:ilvl w:val="0"/>
          <w:numId w:val="45"/>
        </w:numPr>
        <w:jc w:val="both"/>
        <w:textAlignment w:val="baseline"/>
        <w:rPr>
          <w:rFonts w:ascii="Calibri" w:eastAsia="Times New Roman" w:hAnsi="Calibri" w:cs="Calibri"/>
          <w:sz w:val="22"/>
          <w:szCs w:val="22"/>
          <w:lang w:eastAsia="en-GB"/>
        </w:rPr>
      </w:pPr>
      <w:hyperlink r:id="rId26" w:history="1">
        <w:r>
          <w:rPr>
            <w:rStyle w:val="Hyperlink"/>
            <w:rFonts w:ascii="Calibri" w:eastAsia="Times New Roman" w:hAnsi="Calibri" w:cs="Calibri"/>
            <w:sz w:val="22"/>
            <w:szCs w:val="22"/>
            <w:lang w:eastAsia="en-GB"/>
          </w:rPr>
          <w:t>Service Evaluation</w:t>
        </w:r>
      </w:hyperlink>
      <w:r>
        <w:rPr>
          <w:rFonts w:ascii="Calibri" w:eastAsia="Times New Roman" w:hAnsi="Calibri" w:cs="Calibri"/>
          <w:color w:val="000000"/>
          <w:sz w:val="22"/>
          <w:szCs w:val="22"/>
          <w:lang w:eastAsia="en-GB"/>
        </w:rPr>
        <w:t>/IPSA Extension Form  </w:t>
      </w:r>
    </w:p>
    <w:p w14:paraId="195375DE" w14:textId="77777777" w:rsidR="00804AF0" w:rsidRDefault="009A47D6">
      <w:pPr>
        <w:pStyle w:val="ListParagraph"/>
        <w:numPr>
          <w:ilvl w:val="0"/>
          <w:numId w:val="45"/>
        </w:numPr>
        <w:jc w:val="both"/>
        <w:textAlignment w:val="baseline"/>
        <w:rPr>
          <w:rFonts w:ascii="Calibri" w:eastAsia="Times New Roman" w:hAnsi="Calibri" w:cs="Calibri"/>
          <w:sz w:val="22"/>
          <w:szCs w:val="22"/>
          <w:lang w:eastAsia="en-GB"/>
        </w:rPr>
      </w:pPr>
      <w:r>
        <w:rPr>
          <w:rFonts w:ascii="Calibri" w:eastAsia="Times New Roman" w:hAnsi="Calibri" w:cs="Calibri"/>
          <w:color w:val="000000"/>
          <w:sz w:val="22"/>
          <w:szCs w:val="22"/>
          <w:lang w:eastAsia="en-GB"/>
        </w:rPr>
        <w:t>Minutes of the selection, where applicable  </w:t>
      </w:r>
    </w:p>
    <w:p w14:paraId="31DD8BDC" w14:textId="77777777" w:rsidR="00804AF0" w:rsidRDefault="009A47D6">
      <w:pPr>
        <w:pStyle w:val="ListParagraph"/>
        <w:numPr>
          <w:ilvl w:val="0"/>
          <w:numId w:val="45"/>
        </w:numPr>
        <w:jc w:val="both"/>
        <w:textAlignment w:val="baseline"/>
        <w:rPr>
          <w:rFonts w:ascii="Calibri" w:eastAsia="Times New Roman" w:hAnsi="Calibri" w:cs="Calibri"/>
          <w:sz w:val="22"/>
          <w:szCs w:val="22"/>
          <w:lang w:eastAsia="en-GB"/>
        </w:rPr>
      </w:pPr>
      <w:r>
        <w:rPr>
          <w:rFonts w:ascii="Calibri" w:eastAsia="Times New Roman" w:hAnsi="Calibri" w:cs="Calibri"/>
          <w:color w:val="000000"/>
          <w:sz w:val="22"/>
          <w:szCs w:val="22"/>
          <w:lang w:eastAsia="en-GB"/>
        </w:rPr>
        <w:t>Termination notification, where applicable</w:t>
      </w:r>
    </w:p>
    <w:p w14:paraId="1B4B31F8" w14:textId="77777777" w:rsidR="00804AF0" w:rsidRDefault="00804AF0">
      <w:pPr>
        <w:pStyle w:val="ListParagraph"/>
        <w:ind w:left="1800"/>
        <w:jc w:val="both"/>
        <w:textAlignment w:val="baseline"/>
        <w:rPr>
          <w:rFonts w:ascii="Calibri" w:eastAsia="Times New Roman" w:hAnsi="Calibri" w:cs="Calibri"/>
          <w:sz w:val="22"/>
          <w:szCs w:val="22"/>
          <w:lang w:eastAsia="en-GB"/>
        </w:rPr>
      </w:pPr>
    </w:p>
    <w:p w14:paraId="2EC8AFAA" w14:textId="77777777" w:rsidR="00804AF0" w:rsidRDefault="00804AF0">
      <w:pPr>
        <w:jc w:val="both"/>
        <w:textAlignment w:val="baseline"/>
        <w:rPr>
          <w:rFonts w:ascii="Calibri" w:hAnsi="Calibri" w:cs="Calibri"/>
          <w:sz w:val="22"/>
          <w:szCs w:val="22"/>
          <w:lang w:eastAsia="en-GB"/>
        </w:rPr>
      </w:pPr>
    </w:p>
    <w:p w14:paraId="6407EBEA" w14:textId="77777777" w:rsidR="00804AF0" w:rsidRDefault="009A47D6">
      <w:pPr>
        <w:rPr>
          <w:rFonts w:ascii="Calibri" w:hAnsi="Calibri" w:cs="Calibri"/>
          <w:b/>
          <w:bCs/>
          <w:sz w:val="22"/>
          <w:szCs w:val="22"/>
          <w:u w:val="single"/>
          <w:lang w:eastAsia="en-GB"/>
        </w:rPr>
      </w:pPr>
      <w:bookmarkStart w:id="130" w:name="_Annex_7_–"/>
      <w:bookmarkStart w:id="131" w:name="OLE_LINK4"/>
      <w:bookmarkEnd w:id="130"/>
      <w:r>
        <w:rPr>
          <w:rFonts w:ascii="Calibri" w:hAnsi="Calibri" w:cs="Calibri"/>
          <w:b/>
          <w:bCs/>
          <w:sz w:val="22"/>
          <w:szCs w:val="22"/>
          <w:u w:val="single"/>
          <w:lang w:eastAsia="en-GB"/>
        </w:rPr>
        <w:br w:type="page"/>
      </w:r>
    </w:p>
    <w:p w14:paraId="1EF26413" w14:textId="5B9C779D" w:rsidR="00804AF0" w:rsidRDefault="009A47D6">
      <w:pPr>
        <w:pStyle w:val="Heading1"/>
        <w:jc w:val="left"/>
        <w:rPr>
          <w:rFonts w:ascii="Calibri" w:hAnsi="Calibri" w:cs="Calibri"/>
          <w:b/>
          <w:bCs/>
          <w:sz w:val="22"/>
          <w:szCs w:val="22"/>
          <w:u w:val="single"/>
          <w:lang w:eastAsia="en-GB"/>
        </w:rPr>
      </w:pPr>
      <w:bookmarkStart w:id="132" w:name="_Annex_7_:"/>
      <w:bookmarkStart w:id="133" w:name="_Toc161312449"/>
      <w:bookmarkEnd w:id="132"/>
      <w:r>
        <w:rPr>
          <w:rFonts w:ascii="Calibri" w:hAnsi="Calibri" w:cs="Calibri"/>
          <w:b/>
          <w:bCs/>
          <w:sz w:val="22"/>
          <w:szCs w:val="22"/>
          <w:u w:val="single"/>
          <w:lang w:eastAsia="en-GB"/>
        </w:rPr>
        <w:lastRenderedPageBreak/>
        <w:t>Annex 7: Equipment &amp; Supplies</w:t>
      </w:r>
      <w:bookmarkEnd w:id="133"/>
      <w:r>
        <w:rPr>
          <w:rFonts w:ascii="Calibri" w:hAnsi="Calibri" w:cs="Calibri"/>
          <w:b/>
          <w:bCs/>
          <w:sz w:val="22"/>
          <w:szCs w:val="22"/>
          <w:u w:val="single"/>
          <w:lang w:eastAsia="en-GB"/>
        </w:rPr>
        <w:t> </w:t>
      </w:r>
    </w:p>
    <w:bookmarkEnd w:id="131"/>
    <w:p w14:paraId="53F5EE3D" w14:textId="77777777" w:rsidR="00804AF0" w:rsidRDefault="00804AF0">
      <w:pPr>
        <w:jc w:val="both"/>
        <w:textAlignment w:val="baseline"/>
        <w:rPr>
          <w:rFonts w:ascii="Calibri" w:hAnsi="Calibri" w:cs="Calibri"/>
          <w:sz w:val="22"/>
          <w:szCs w:val="22"/>
          <w:u w:val="single"/>
          <w:lang w:eastAsia="en-GB"/>
        </w:rPr>
      </w:pPr>
    </w:p>
    <w:p w14:paraId="1CC182FD" w14:textId="17CA0228"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Any equipment or supplies that may be furnished by UNDP to the IPSA holder for the performance of the IPSA holder’s obligations  under  the  IPSA remains the property of  UNDP,  and  any  such equipment or supplies must be returned to UNDP at the conclusion of the IPSA or before if no longer needed by the IPSA holder. Such equipment, when returned to UNDP, must be in the same condition as when delivered to the IPSA holder, subject to normal wear and tear, and the IPSA holder will be liable to compensate UNDP for any damage or degradation of the equipment that is beyond normal wear and tear.   </w:t>
      </w:r>
    </w:p>
    <w:p w14:paraId="46CADBCE" w14:textId="77777777" w:rsidR="00804AF0" w:rsidRDefault="00804AF0">
      <w:pPr>
        <w:jc w:val="both"/>
        <w:textAlignment w:val="baseline"/>
        <w:rPr>
          <w:rFonts w:ascii="Calibri" w:hAnsi="Calibri" w:cs="Calibri"/>
          <w:sz w:val="22"/>
          <w:szCs w:val="22"/>
          <w:lang w:eastAsia="en-GB"/>
        </w:rPr>
      </w:pPr>
    </w:p>
    <w:p w14:paraId="6F5F5B01" w14:textId="77777777" w:rsidR="00804AF0" w:rsidRDefault="00804AF0">
      <w:pPr>
        <w:jc w:val="both"/>
        <w:textAlignment w:val="baseline"/>
        <w:rPr>
          <w:rFonts w:ascii="Calibri" w:hAnsi="Calibri" w:cs="Calibri"/>
          <w:sz w:val="22"/>
          <w:szCs w:val="22"/>
          <w:lang w:eastAsia="en-GB"/>
        </w:rPr>
      </w:pPr>
    </w:p>
    <w:p w14:paraId="38332827" w14:textId="77777777" w:rsidR="00804AF0" w:rsidRDefault="009A47D6">
      <w:pPr>
        <w:rPr>
          <w:rFonts w:ascii="Calibri" w:hAnsi="Calibri" w:cs="Calibri"/>
          <w:b/>
          <w:bCs/>
          <w:sz w:val="22"/>
          <w:szCs w:val="22"/>
          <w:u w:val="single"/>
          <w:lang w:eastAsia="en-GB"/>
        </w:rPr>
      </w:pPr>
      <w:r>
        <w:rPr>
          <w:rFonts w:ascii="Calibri" w:hAnsi="Calibri" w:cs="Calibri"/>
          <w:b/>
          <w:bCs/>
          <w:sz w:val="22"/>
          <w:szCs w:val="22"/>
          <w:u w:val="single"/>
          <w:lang w:eastAsia="en-GB"/>
        </w:rPr>
        <w:br w:type="page"/>
      </w:r>
    </w:p>
    <w:p w14:paraId="1D984480" w14:textId="0B12643F" w:rsidR="00804AF0" w:rsidRDefault="009A47D6">
      <w:pPr>
        <w:pStyle w:val="Heading1"/>
        <w:jc w:val="left"/>
        <w:rPr>
          <w:rFonts w:ascii="Calibri" w:hAnsi="Calibri" w:cs="Calibri"/>
          <w:b/>
          <w:bCs/>
          <w:sz w:val="22"/>
          <w:szCs w:val="22"/>
          <w:u w:val="single"/>
          <w:lang w:eastAsia="en-GB"/>
        </w:rPr>
      </w:pPr>
      <w:bookmarkStart w:id="134" w:name="_Annex_8_:"/>
      <w:bookmarkStart w:id="135" w:name="_Toc161312450"/>
      <w:bookmarkEnd w:id="134"/>
      <w:r>
        <w:rPr>
          <w:rFonts w:ascii="Calibri" w:hAnsi="Calibri" w:cs="Calibri"/>
          <w:b/>
          <w:bCs/>
          <w:sz w:val="22"/>
          <w:szCs w:val="22"/>
          <w:u w:val="single"/>
          <w:lang w:eastAsia="en-GB"/>
        </w:rPr>
        <w:lastRenderedPageBreak/>
        <w:t>Annex 8: Transitional measures</w:t>
      </w:r>
      <w:bookmarkEnd w:id="135"/>
    </w:p>
    <w:p w14:paraId="75889E4A" w14:textId="77777777" w:rsidR="00804AF0" w:rsidRDefault="00804AF0">
      <w:pPr>
        <w:pStyle w:val="ListParagraph"/>
        <w:jc w:val="both"/>
        <w:textAlignment w:val="baseline"/>
        <w:rPr>
          <w:rFonts w:ascii="Calibri" w:hAnsi="Calibri" w:cs="Calibri"/>
          <w:b/>
          <w:bCs/>
          <w:sz w:val="22"/>
          <w:szCs w:val="22"/>
          <w:lang w:eastAsia="en-GB"/>
        </w:rPr>
      </w:pPr>
    </w:p>
    <w:p w14:paraId="152D7B24"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 xml:space="preserve">From the date of entry into force of this policy on 15th February 2021, all new international, non-staff hires against tasks which are not </w:t>
      </w:r>
      <w:proofErr w:type="gramStart"/>
      <w:r>
        <w:rPr>
          <w:rFonts w:ascii="Calibri" w:hAnsi="Calibri" w:cs="Calibri"/>
          <w:sz w:val="22"/>
          <w:szCs w:val="22"/>
          <w:lang w:eastAsia="en-GB"/>
        </w:rPr>
        <w:t>lump-sum</w:t>
      </w:r>
      <w:proofErr w:type="gramEnd"/>
      <w:r>
        <w:rPr>
          <w:rFonts w:ascii="Calibri" w:hAnsi="Calibri" w:cs="Calibri"/>
          <w:sz w:val="22"/>
          <w:szCs w:val="22"/>
          <w:lang w:eastAsia="en-GB"/>
        </w:rPr>
        <w:t xml:space="preserve"> based will be on IPSA, and the remuneration calculation will follow the formula introduced by this policy. </w:t>
      </w:r>
    </w:p>
    <w:p w14:paraId="0CD9CA1B" w14:textId="77777777" w:rsidR="00804AF0" w:rsidRDefault="00804AF0">
      <w:pPr>
        <w:jc w:val="both"/>
        <w:textAlignment w:val="baseline"/>
        <w:rPr>
          <w:rFonts w:ascii="Calibri" w:hAnsi="Calibri" w:cs="Calibri"/>
          <w:sz w:val="22"/>
          <w:szCs w:val="22"/>
          <w:lang w:eastAsia="en-GB"/>
        </w:rPr>
      </w:pPr>
    </w:p>
    <w:p w14:paraId="1A2B1FDD" w14:textId="77777777" w:rsidR="00804AF0" w:rsidRDefault="009A47D6">
      <w:pPr>
        <w:jc w:val="both"/>
        <w:textAlignment w:val="baseline"/>
        <w:rPr>
          <w:rFonts w:ascii="Calibri" w:hAnsi="Calibri" w:cs="Calibri"/>
          <w:sz w:val="22"/>
          <w:szCs w:val="22"/>
          <w:lang w:eastAsia="en-GB"/>
        </w:rPr>
      </w:pPr>
      <w:bookmarkStart w:id="136" w:name="_Hlk56979839"/>
      <w:r>
        <w:rPr>
          <w:rFonts w:ascii="Calibri" w:hAnsi="Calibri" w:cs="Calibri"/>
          <w:sz w:val="22"/>
          <w:szCs w:val="22"/>
          <w:lang w:eastAsia="en-GB"/>
        </w:rPr>
        <w:t>Also, from 15th February 2021, the use of the IC agreement will be limited to lump sum-based activities only. All other activities for which the services of an individual contractor are not based on a lump sum against specific deliverables will be undertaken </w:t>
      </w:r>
      <w:proofErr w:type="gramStart"/>
      <w:r>
        <w:rPr>
          <w:rFonts w:ascii="Calibri" w:hAnsi="Calibri" w:cs="Calibri"/>
          <w:sz w:val="22"/>
          <w:szCs w:val="22"/>
          <w:lang w:eastAsia="en-GB"/>
        </w:rPr>
        <w:t>on the basis of</w:t>
      </w:r>
      <w:proofErr w:type="gramEnd"/>
      <w:r>
        <w:rPr>
          <w:rFonts w:ascii="Calibri" w:hAnsi="Calibri" w:cs="Calibri"/>
          <w:sz w:val="22"/>
          <w:szCs w:val="22"/>
          <w:lang w:eastAsia="en-GB"/>
        </w:rPr>
        <w:t xml:space="preserve"> an IPSA. It is therefore envisaged that </w:t>
      </w:r>
      <w:proofErr w:type="gramStart"/>
      <w:r>
        <w:rPr>
          <w:rFonts w:ascii="Calibri" w:hAnsi="Calibri" w:cs="Calibri"/>
          <w:sz w:val="22"/>
          <w:szCs w:val="22"/>
          <w:lang w:eastAsia="en-GB"/>
        </w:rPr>
        <w:t>a number of</w:t>
      </w:r>
      <w:proofErr w:type="gramEnd"/>
      <w:r>
        <w:rPr>
          <w:rFonts w:ascii="Calibri" w:hAnsi="Calibri" w:cs="Calibri"/>
          <w:sz w:val="22"/>
          <w:szCs w:val="22"/>
          <w:lang w:eastAsia="en-GB"/>
        </w:rPr>
        <w:t xml:space="preserve"> ICs who fall under this category will be transitioned to IPSA </w:t>
      </w:r>
      <w:bookmarkStart w:id="137" w:name="_Hlk57177042"/>
      <w:r>
        <w:rPr>
          <w:rFonts w:ascii="Calibri" w:hAnsi="Calibri" w:cs="Calibri"/>
          <w:sz w:val="22"/>
          <w:szCs w:val="22"/>
          <w:lang w:eastAsia="en-GB"/>
        </w:rPr>
        <w:t xml:space="preserve">upon expiry of their existing contracts or before 1st January 2022, whichever is earlier. For example, should an IC with activities that are not lump-sum-based have an expiration date of 31 March 2021, an extension to that should be through a conversion to an IPSA as of 1 April 2021. Current IC agreements which are not </w:t>
      </w:r>
      <w:proofErr w:type="gramStart"/>
      <w:r>
        <w:rPr>
          <w:rFonts w:ascii="Calibri" w:hAnsi="Calibri" w:cs="Calibri"/>
          <w:sz w:val="22"/>
          <w:szCs w:val="22"/>
          <w:lang w:eastAsia="en-GB"/>
        </w:rPr>
        <w:t>lump-sum</w:t>
      </w:r>
      <w:proofErr w:type="gramEnd"/>
      <w:r>
        <w:rPr>
          <w:rFonts w:ascii="Calibri" w:hAnsi="Calibri" w:cs="Calibri"/>
          <w:sz w:val="22"/>
          <w:szCs w:val="22"/>
          <w:lang w:eastAsia="en-GB"/>
        </w:rPr>
        <w:t xml:space="preserve"> based may be extended on ICs any time before 15th of February for periods that may not exceed 31 December 2021.</w:t>
      </w:r>
      <w:bookmarkEnd w:id="137"/>
    </w:p>
    <w:bookmarkEnd w:id="136"/>
    <w:p w14:paraId="037221A7" w14:textId="77777777" w:rsidR="00804AF0" w:rsidRDefault="00804AF0">
      <w:pPr>
        <w:jc w:val="both"/>
        <w:textAlignment w:val="baseline"/>
        <w:rPr>
          <w:rFonts w:ascii="Calibri" w:hAnsi="Calibri" w:cs="Calibri"/>
          <w:sz w:val="22"/>
          <w:szCs w:val="22"/>
          <w:lang w:eastAsia="en-GB"/>
        </w:rPr>
      </w:pPr>
    </w:p>
    <w:p w14:paraId="4C81B844"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During the transition period throughout 2021, the conversion of ICs to IPSAs shall not require a new selection process if under the same TORs and are classified and paid at similar levels. When transitioned, the new remuneration formula of the IPSA shall apply, and the newly introduced benefits for the IPSA, where applicable, will apply as of their respective IPSA effective starting date. </w:t>
      </w:r>
    </w:p>
    <w:p w14:paraId="2786F62D" w14:textId="77777777" w:rsidR="00804AF0" w:rsidRDefault="00804AF0">
      <w:pPr>
        <w:jc w:val="both"/>
        <w:textAlignment w:val="baseline"/>
        <w:rPr>
          <w:rFonts w:ascii="Calibri" w:hAnsi="Calibri" w:cs="Calibri"/>
          <w:sz w:val="22"/>
          <w:szCs w:val="22"/>
          <w:lang w:eastAsia="en-GB"/>
        </w:rPr>
      </w:pPr>
    </w:p>
    <w:p w14:paraId="7F9EDE48" w14:textId="77777777" w:rsidR="00804AF0" w:rsidRDefault="009A47D6">
      <w:pPr>
        <w:jc w:val="both"/>
        <w:textAlignment w:val="baseline"/>
        <w:rPr>
          <w:rFonts w:ascii="Calibri" w:hAnsi="Calibri" w:cs="Calibri"/>
          <w:sz w:val="22"/>
          <w:szCs w:val="22"/>
          <w:lang w:eastAsia="en-GB"/>
        </w:rPr>
      </w:pPr>
      <w:r>
        <w:rPr>
          <w:rFonts w:ascii="Calibri" w:hAnsi="Calibri" w:cs="Calibri"/>
          <w:sz w:val="22"/>
          <w:szCs w:val="22"/>
          <w:lang w:eastAsia="en-GB"/>
        </w:rPr>
        <w:t>The effective date of entry into force of this Policy is 15th February 2021. </w:t>
      </w:r>
    </w:p>
    <w:p w14:paraId="0CC26A5E" w14:textId="77777777" w:rsidR="00804AF0" w:rsidRDefault="00804AF0">
      <w:pPr>
        <w:jc w:val="both"/>
        <w:textAlignment w:val="baseline"/>
        <w:rPr>
          <w:rFonts w:ascii="Calibri" w:hAnsi="Calibri" w:cs="Calibri"/>
          <w:sz w:val="22"/>
          <w:szCs w:val="22"/>
          <w:lang w:eastAsia="en-GB"/>
        </w:rPr>
      </w:pPr>
    </w:p>
    <w:p w14:paraId="19775584" w14:textId="77777777" w:rsidR="00804AF0" w:rsidRDefault="00804AF0">
      <w:pPr>
        <w:rPr>
          <w:rFonts w:ascii="Calibri" w:hAnsi="Calibri" w:cs="Calibri"/>
          <w:sz w:val="22"/>
          <w:szCs w:val="22"/>
        </w:rPr>
      </w:pPr>
    </w:p>
    <w:p w14:paraId="121879BB" w14:textId="77777777" w:rsidR="00804AF0" w:rsidRDefault="00804AF0"/>
    <w:sectPr w:rsidR="00804AF0">
      <w:headerReference w:type="default" r:id="rId27"/>
      <w:footerReference w:type="default" r:id="rId28"/>
      <w:headerReference w:type="first" r:id="rId29"/>
      <w:footerReference w:type="first" r:id="rId30"/>
      <w:pgSz w:w="12240" w:h="15840"/>
      <w:pgMar w:top="1080" w:right="1800" w:bottom="9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9DF891" w14:textId="77777777" w:rsidR="00E86A18" w:rsidRDefault="00E86A18">
      <w:r>
        <w:separator/>
      </w:r>
    </w:p>
  </w:endnote>
  <w:endnote w:type="continuationSeparator" w:id="0">
    <w:p w14:paraId="25ABD973" w14:textId="77777777" w:rsidR="00E86A18" w:rsidRDefault="00E86A18">
      <w:r>
        <w:continuationSeparator/>
      </w:r>
    </w:p>
  </w:endnote>
  <w:endnote w:type="continuationNotice" w:id="1">
    <w:p w14:paraId="44D9F203" w14:textId="77777777" w:rsidR="00E86A18" w:rsidRDefault="00E86A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CCE4B" w14:textId="50563CA0" w:rsidR="00804AF0" w:rsidRDefault="009A47D6">
    <w:pPr>
      <w:pStyle w:val="Footer"/>
      <w:rPr>
        <w:rFonts w:ascii="Calibri" w:hAnsi="Calibri"/>
        <w:sz w:val="22"/>
        <w:szCs w:val="22"/>
      </w:rPr>
    </w:pPr>
    <w:r>
      <w:rPr>
        <w:rFonts w:ascii="Calibri" w:hAnsi="Calibri"/>
        <w:sz w:val="22"/>
        <w:szCs w:val="22"/>
      </w:rPr>
      <w:t xml:space="preserve">Page </w:t>
    </w:r>
    <w:r>
      <w:rPr>
        <w:rFonts w:ascii="Calibri" w:hAnsi="Calibri"/>
        <w:b/>
        <w:sz w:val="22"/>
        <w:szCs w:val="22"/>
      </w:rPr>
      <w:fldChar w:fldCharType="begin"/>
    </w:r>
    <w:r>
      <w:rPr>
        <w:rFonts w:ascii="Calibri" w:hAnsi="Calibri"/>
        <w:b/>
        <w:sz w:val="22"/>
        <w:szCs w:val="22"/>
      </w:rPr>
      <w:instrText xml:space="preserve"> PAGE  \* Arabic  \* MERGEFORMAT </w:instrText>
    </w:r>
    <w:r>
      <w:rPr>
        <w:rFonts w:ascii="Calibri" w:hAnsi="Calibri"/>
        <w:b/>
        <w:sz w:val="22"/>
        <w:szCs w:val="22"/>
      </w:rPr>
      <w:fldChar w:fldCharType="separate"/>
    </w:r>
    <w:r>
      <w:rPr>
        <w:rFonts w:ascii="Calibri" w:hAnsi="Calibri"/>
        <w:b/>
        <w:sz w:val="22"/>
        <w:szCs w:val="22"/>
      </w:rPr>
      <w:t>1</w:t>
    </w:r>
    <w:r>
      <w:rPr>
        <w:rFonts w:ascii="Calibri" w:hAnsi="Calibri"/>
        <w:b/>
        <w:sz w:val="22"/>
        <w:szCs w:val="22"/>
      </w:rPr>
      <w:fldChar w:fldCharType="end"/>
    </w:r>
    <w:r>
      <w:rPr>
        <w:rFonts w:ascii="Calibri" w:hAnsi="Calibri"/>
        <w:sz w:val="22"/>
        <w:szCs w:val="22"/>
      </w:rPr>
      <w:t xml:space="preserve"> of </w:t>
    </w:r>
    <w:r>
      <w:rPr>
        <w:rFonts w:ascii="Calibri" w:hAnsi="Calibri"/>
        <w:b/>
        <w:sz w:val="22"/>
        <w:szCs w:val="22"/>
      </w:rPr>
      <w:fldChar w:fldCharType="begin"/>
    </w:r>
    <w:r>
      <w:rPr>
        <w:rFonts w:ascii="Calibri" w:hAnsi="Calibri"/>
        <w:b/>
        <w:sz w:val="22"/>
        <w:szCs w:val="22"/>
      </w:rPr>
      <w:instrText xml:space="preserve"> NUMPAGES  \* Arabic  \* MERGEFORMAT </w:instrText>
    </w:r>
    <w:r>
      <w:rPr>
        <w:rFonts w:ascii="Calibri" w:hAnsi="Calibri"/>
        <w:b/>
        <w:sz w:val="22"/>
        <w:szCs w:val="22"/>
      </w:rPr>
      <w:fldChar w:fldCharType="separate"/>
    </w:r>
    <w:r>
      <w:rPr>
        <w:rFonts w:ascii="Calibri" w:hAnsi="Calibri"/>
        <w:b/>
        <w:sz w:val="22"/>
        <w:szCs w:val="22"/>
      </w:rPr>
      <w:t>1</w:t>
    </w:r>
    <w:r>
      <w:rPr>
        <w:rFonts w:ascii="Calibri" w:hAnsi="Calibri"/>
        <w:b/>
        <w:sz w:val="22"/>
        <w:szCs w:val="22"/>
      </w:rPr>
      <w:fldChar w:fldCharType="end"/>
    </w:r>
    <w:r>
      <w:rPr>
        <w:rFonts w:ascii="Calibri" w:hAnsi="Calibri"/>
        <w:sz w:val="22"/>
        <w:szCs w:val="22"/>
      </w:rPr>
      <w:tab/>
      <w:t>Effective Date: 15/01/2023</w:t>
    </w:r>
    <w:r>
      <w:rPr>
        <w:rFonts w:ascii="Calibri" w:hAnsi="Calibri"/>
        <w:sz w:val="22"/>
        <w:szCs w:val="22"/>
      </w:rPr>
      <w:tab/>
      <w:t xml:space="preserve">Version #: </w:t>
    </w:r>
    <w:r w:rsidR="007B6FA2">
      <w:rPr>
        <w:rFonts w:ascii="Calibri" w:hAnsi="Calibri"/>
        <w:sz w:val="22"/>
        <w:szCs w:val="22"/>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D725D" w14:textId="77777777" w:rsidR="00804AF0" w:rsidRDefault="00804AF0">
    <w:pPr>
      <w:pStyle w:val="Footer"/>
      <w:rPr>
        <w:rFonts w:ascii="Calibri" w:hAnsi="Calibri"/>
        <w:sz w:val="22"/>
        <w:szCs w:val="22"/>
      </w:rPr>
    </w:pPr>
  </w:p>
  <w:p w14:paraId="7EF93A84" w14:textId="77777777" w:rsidR="00804AF0" w:rsidRDefault="009A47D6">
    <w:pPr>
      <w:pStyle w:val="Footer"/>
      <w:rPr>
        <w:rFonts w:ascii="Calibri" w:hAnsi="Calibri"/>
        <w:sz w:val="22"/>
        <w:szCs w:val="22"/>
      </w:rPr>
    </w:pPr>
    <w:r>
      <w:rPr>
        <w:rFonts w:ascii="Calibri" w:hAnsi="Calibri"/>
        <w:sz w:val="22"/>
        <w:szCs w:val="22"/>
      </w:rPr>
      <w:t xml:space="preserve">Page </w:t>
    </w:r>
    <w:r>
      <w:rPr>
        <w:rFonts w:ascii="Calibri" w:hAnsi="Calibri"/>
        <w:b/>
        <w:sz w:val="22"/>
        <w:szCs w:val="22"/>
      </w:rPr>
      <w:fldChar w:fldCharType="begin"/>
    </w:r>
    <w:r>
      <w:rPr>
        <w:rFonts w:ascii="Calibri" w:hAnsi="Calibri"/>
        <w:b/>
        <w:sz w:val="22"/>
        <w:szCs w:val="22"/>
      </w:rPr>
      <w:instrText xml:space="preserve"> PAGE  \* Arabic  \* MERGEFORMAT </w:instrText>
    </w:r>
    <w:r>
      <w:rPr>
        <w:rFonts w:ascii="Calibri" w:hAnsi="Calibri"/>
        <w:b/>
        <w:sz w:val="22"/>
        <w:szCs w:val="22"/>
      </w:rPr>
      <w:fldChar w:fldCharType="separate"/>
    </w:r>
    <w:r>
      <w:rPr>
        <w:rFonts w:ascii="Calibri" w:hAnsi="Calibri"/>
        <w:b/>
        <w:sz w:val="22"/>
        <w:szCs w:val="22"/>
      </w:rPr>
      <w:t>1</w:t>
    </w:r>
    <w:r>
      <w:rPr>
        <w:rFonts w:ascii="Calibri" w:hAnsi="Calibri"/>
        <w:b/>
        <w:sz w:val="22"/>
        <w:szCs w:val="22"/>
      </w:rPr>
      <w:fldChar w:fldCharType="end"/>
    </w:r>
    <w:r>
      <w:rPr>
        <w:rFonts w:ascii="Calibri" w:hAnsi="Calibri"/>
        <w:sz w:val="22"/>
        <w:szCs w:val="22"/>
      </w:rPr>
      <w:t xml:space="preserve"> of </w:t>
    </w:r>
    <w:r>
      <w:rPr>
        <w:rFonts w:ascii="Calibri" w:hAnsi="Calibri"/>
        <w:b/>
        <w:sz w:val="22"/>
        <w:szCs w:val="22"/>
      </w:rPr>
      <w:fldChar w:fldCharType="begin"/>
    </w:r>
    <w:r>
      <w:rPr>
        <w:rFonts w:ascii="Calibri" w:hAnsi="Calibri"/>
        <w:b/>
        <w:sz w:val="22"/>
        <w:szCs w:val="22"/>
      </w:rPr>
      <w:instrText xml:space="preserve"> NUMPAGES  \* Arabic  \* MERGEFORMAT </w:instrText>
    </w:r>
    <w:r>
      <w:rPr>
        <w:rFonts w:ascii="Calibri" w:hAnsi="Calibri"/>
        <w:b/>
        <w:sz w:val="22"/>
        <w:szCs w:val="22"/>
      </w:rPr>
      <w:fldChar w:fldCharType="separate"/>
    </w:r>
    <w:r>
      <w:rPr>
        <w:rFonts w:ascii="Calibri" w:hAnsi="Calibri"/>
        <w:b/>
        <w:sz w:val="22"/>
        <w:szCs w:val="22"/>
      </w:rPr>
      <w:t>5</w:t>
    </w:r>
    <w:r>
      <w:rPr>
        <w:rFonts w:ascii="Calibri" w:hAnsi="Calibri"/>
        <w:b/>
        <w:sz w:val="22"/>
        <w:szCs w:val="22"/>
      </w:rPr>
      <w:fldChar w:fldCharType="end"/>
    </w:r>
    <w:r>
      <w:rPr>
        <w:rFonts w:ascii="Calibri" w:hAnsi="Calibri"/>
        <w:sz w:val="22"/>
        <w:szCs w:val="22"/>
      </w:rPr>
      <w:tab/>
      <w:t>Effective Date: 15/01/2023</w:t>
    </w:r>
    <w:r>
      <w:rPr>
        <w:rFonts w:ascii="Calibri" w:hAnsi="Calibri"/>
        <w:sz w:val="22"/>
        <w:szCs w:val="22"/>
      </w:rPr>
      <w:tab/>
      <w:t>Version #: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13E0BD" w14:textId="77777777" w:rsidR="00E86A18" w:rsidRDefault="00E86A18">
      <w:r>
        <w:separator/>
      </w:r>
    </w:p>
  </w:footnote>
  <w:footnote w:type="continuationSeparator" w:id="0">
    <w:p w14:paraId="664428E6" w14:textId="77777777" w:rsidR="00E86A18" w:rsidRDefault="00E86A18">
      <w:r>
        <w:continuationSeparator/>
      </w:r>
    </w:p>
  </w:footnote>
  <w:footnote w:type="continuationNotice" w:id="1">
    <w:p w14:paraId="7C03A84F" w14:textId="77777777" w:rsidR="00E86A18" w:rsidRDefault="00E86A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9A270" w14:textId="77777777" w:rsidR="00804AF0" w:rsidRDefault="009A47D6">
    <w:pPr>
      <w:pStyle w:val="Header"/>
      <w:tabs>
        <w:tab w:val="left" w:pos="3420"/>
        <w:tab w:val="right" w:pos="8640"/>
      </w:tabs>
    </w:pPr>
    <w:r>
      <w:tab/>
    </w:r>
    <w:r>
      <w:tab/>
    </w:r>
    <w:r>
      <w:tab/>
    </w:r>
    <w:r>
      <w:rPr>
        <w:noProof/>
      </w:rPr>
      <w:drawing>
        <wp:inline distT="0" distB="0" distL="114300" distR="114300" wp14:anchorId="3DB2D01F" wp14:editId="0FE70E0E">
          <wp:extent cx="304800" cy="59436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pic:cNvPicPr>
                </pic:nvPicPr>
                <pic:blipFill>
                  <a:blip r:embed="rId1"/>
                  <a:srcRect b="15446"/>
                  <a:stretch>
                    <a:fillRect/>
                  </a:stretch>
                </pic:blipFill>
                <pic:spPr>
                  <a:xfrm>
                    <a:off x="0" y="0"/>
                    <a:ext cx="304800" cy="594360"/>
                  </a:xfrm>
                  <a:prstGeom prst="rect">
                    <a:avLst/>
                  </a:prstGeom>
                  <a:noFill/>
                  <a:ln>
                    <a:noFill/>
                  </a:ln>
                </pic:spPr>
              </pic:pic>
            </a:graphicData>
          </a:graphic>
        </wp:inline>
      </w:drawing>
    </w:r>
  </w:p>
  <w:p w14:paraId="40795BB5" w14:textId="77777777" w:rsidR="00804AF0" w:rsidRDefault="00804AF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01DC7" w14:textId="77777777" w:rsidR="00804AF0" w:rsidRDefault="009A47D6">
    <w:pPr>
      <w:pStyle w:val="Header"/>
      <w:jc w:val="right"/>
    </w:pPr>
    <w:r>
      <w:rPr>
        <w:noProof/>
      </w:rPr>
      <w:drawing>
        <wp:inline distT="0" distB="0" distL="114300" distR="114300" wp14:anchorId="2E12EBEE" wp14:editId="26F1CFD2">
          <wp:extent cx="304800" cy="702945"/>
          <wp:effectExtent l="0" t="0" r="0" b="1333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pic:cNvPicPr>
                </pic:nvPicPr>
                <pic:blipFill>
                  <a:blip r:embed="rId1"/>
                  <a:stretch>
                    <a:fillRect/>
                  </a:stretch>
                </pic:blipFill>
                <pic:spPr>
                  <a:xfrm>
                    <a:off x="0" y="0"/>
                    <a:ext cx="304800" cy="702945"/>
                  </a:xfrm>
                  <a:prstGeom prst="rect">
                    <a:avLst/>
                  </a:prstGeom>
                  <a:noFill/>
                  <a:ln>
                    <a:noFill/>
                  </a:ln>
                </pic:spPr>
              </pic:pic>
            </a:graphicData>
          </a:graphic>
        </wp:inline>
      </w:drawing>
    </w:r>
  </w:p>
  <w:p w14:paraId="1703312A" w14:textId="77777777" w:rsidR="00804AF0" w:rsidRDefault="00804AF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9766EC2"/>
    <w:multiLevelType w:val="multilevel"/>
    <w:tmpl w:val="89766EC2"/>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91510D88"/>
    <w:multiLevelType w:val="multilevel"/>
    <w:tmpl w:val="91510D88"/>
    <w:lvl w:ilvl="0">
      <w:start w:val="1"/>
      <w:numFmt w:val="lowerRoman"/>
      <w:lvlText w:val="%1."/>
      <w:lvlJc w:val="right"/>
      <w:pPr>
        <w:tabs>
          <w:tab w:val="left" w:pos="720"/>
        </w:tabs>
        <w:ind w:left="720" w:hanging="360"/>
      </w:pPr>
    </w:lvl>
    <w:lvl w:ilvl="1">
      <w:start w:val="1"/>
      <w:numFmt w:val="lowerRoman"/>
      <w:lvlText w:val="%2."/>
      <w:lvlJc w:val="right"/>
      <w:pPr>
        <w:tabs>
          <w:tab w:val="left" w:pos="1440"/>
        </w:tabs>
        <w:ind w:left="1440" w:hanging="360"/>
      </w:pPr>
    </w:lvl>
    <w:lvl w:ilvl="2">
      <w:start w:val="1"/>
      <w:numFmt w:val="lowerRoman"/>
      <w:lvlText w:val="%3."/>
      <w:lvlJc w:val="right"/>
      <w:pPr>
        <w:tabs>
          <w:tab w:val="left" w:pos="2160"/>
        </w:tabs>
        <w:ind w:left="2160" w:hanging="360"/>
      </w:pPr>
    </w:lvl>
    <w:lvl w:ilvl="3">
      <w:start w:val="1"/>
      <w:numFmt w:val="lowerRoman"/>
      <w:lvlText w:val="%4."/>
      <w:lvlJc w:val="right"/>
      <w:pPr>
        <w:tabs>
          <w:tab w:val="left" w:pos="2880"/>
        </w:tabs>
        <w:ind w:left="2880" w:hanging="360"/>
      </w:pPr>
    </w:lvl>
    <w:lvl w:ilvl="4">
      <w:start w:val="1"/>
      <w:numFmt w:val="lowerRoman"/>
      <w:lvlText w:val="%5."/>
      <w:lvlJc w:val="right"/>
      <w:pPr>
        <w:tabs>
          <w:tab w:val="left" w:pos="3600"/>
        </w:tabs>
        <w:ind w:left="3600" w:hanging="360"/>
      </w:pPr>
    </w:lvl>
    <w:lvl w:ilvl="5">
      <w:start w:val="1"/>
      <w:numFmt w:val="lowerRoman"/>
      <w:lvlText w:val="%6."/>
      <w:lvlJc w:val="right"/>
      <w:pPr>
        <w:tabs>
          <w:tab w:val="left" w:pos="4320"/>
        </w:tabs>
        <w:ind w:left="4320" w:hanging="360"/>
      </w:pPr>
    </w:lvl>
    <w:lvl w:ilvl="6">
      <w:start w:val="1"/>
      <w:numFmt w:val="lowerRoman"/>
      <w:lvlText w:val="%7."/>
      <w:lvlJc w:val="right"/>
      <w:pPr>
        <w:tabs>
          <w:tab w:val="left" w:pos="5040"/>
        </w:tabs>
        <w:ind w:left="5040" w:hanging="360"/>
      </w:pPr>
    </w:lvl>
    <w:lvl w:ilvl="7">
      <w:start w:val="1"/>
      <w:numFmt w:val="lowerRoman"/>
      <w:lvlText w:val="%8."/>
      <w:lvlJc w:val="right"/>
      <w:pPr>
        <w:tabs>
          <w:tab w:val="left" w:pos="5760"/>
        </w:tabs>
        <w:ind w:left="5760" w:hanging="360"/>
      </w:pPr>
    </w:lvl>
    <w:lvl w:ilvl="8">
      <w:start w:val="1"/>
      <w:numFmt w:val="lowerRoman"/>
      <w:lvlText w:val="%9."/>
      <w:lvlJc w:val="right"/>
      <w:pPr>
        <w:tabs>
          <w:tab w:val="left" w:pos="6480"/>
        </w:tabs>
        <w:ind w:left="6480" w:hanging="360"/>
      </w:pPr>
    </w:lvl>
  </w:abstractNum>
  <w:abstractNum w:abstractNumId="2" w15:restartNumberingAfterBreak="0">
    <w:nsid w:val="9B078187"/>
    <w:multiLevelType w:val="multilevel"/>
    <w:tmpl w:val="9B078187"/>
    <w:lvl w:ilvl="0">
      <w:start w:val="1"/>
      <w:numFmt w:val="lowerRoman"/>
      <w:lvlText w:val="%1."/>
      <w:lvlJc w:val="right"/>
      <w:pPr>
        <w:tabs>
          <w:tab w:val="left" w:pos="720"/>
        </w:tabs>
        <w:ind w:left="720" w:hanging="360"/>
      </w:pPr>
    </w:lvl>
    <w:lvl w:ilvl="1">
      <w:start w:val="1"/>
      <w:numFmt w:val="lowerRoman"/>
      <w:lvlText w:val="%2."/>
      <w:lvlJc w:val="right"/>
      <w:pPr>
        <w:tabs>
          <w:tab w:val="left" w:pos="1440"/>
        </w:tabs>
        <w:ind w:left="1440" w:hanging="360"/>
      </w:pPr>
    </w:lvl>
    <w:lvl w:ilvl="2">
      <w:start w:val="1"/>
      <w:numFmt w:val="lowerRoman"/>
      <w:lvlText w:val="%3."/>
      <w:lvlJc w:val="right"/>
      <w:pPr>
        <w:tabs>
          <w:tab w:val="left" w:pos="2160"/>
        </w:tabs>
        <w:ind w:left="2160" w:hanging="360"/>
      </w:pPr>
    </w:lvl>
    <w:lvl w:ilvl="3">
      <w:start w:val="1"/>
      <w:numFmt w:val="lowerRoman"/>
      <w:lvlText w:val="%4."/>
      <w:lvlJc w:val="right"/>
      <w:pPr>
        <w:tabs>
          <w:tab w:val="left" w:pos="2880"/>
        </w:tabs>
        <w:ind w:left="2880" w:hanging="360"/>
      </w:pPr>
    </w:lvl>
    <w:lvl w:ilvl="4">
      <w:start w:val="1"/>
      <w:numFmt w:val="lowerRoman"/>
      <w:lvlText w:val="%5."/>
      <w:lvlJc w:val="right"/>
      <w:pPr>
        <w:tabs>
          <w:tab w:val="left" w:pos="3600"/>
        </w:tabs>
        <w:ind w:left="3600" w:hanging="360"/>
      </w:pPr>
    </w:lvl>
    <w:lvl w:ilvl="5">
      <w:start w:val="1"/>
      <w:numFmt w:val="lowerRoman"/>
      <w:lvlText w:val="%6."/>
      <w:lvlJc w:val="right"/>
      <w:pPr>
        <w:tabs>
          <w:tab w:val="left" w:pos="4320"/>
        </w:tabs>
        <w:ind w:left="4320" w:hanging="360"/>
      </w:pPr>
    </w:lvl>
    <w:lvl w:ilvl="6">
      <w:start w:val="1"/>
      <w:numFmt w:val="lowerRoman"/>
      <w:lvlText w:val="%7."/>
      <w:lvlJc w:val="right"/>
      <w:pPr>
        <w:tabs>
          <w:tab w:val="left" w:pos="5040"/>
        </w:tabs>
        <w:ind w:left="5040" w:hanging="360"/>
      </w:pPr>
    </w:lvl>
    <w:lvl w:ilvl="7">
      <w:start w:val="1"/>
      <w:numFmt w:val="lowerRoman"/>
      <w:lvlText w:val="%8."/>
      <w:lvlJc w:val="right"/>
      <w:pPr>
        <w:tabs>
          <w:tab w:val="left" w:pos="5760"/>
        </w:tabs>
        <w:ind w:left="5760" w:hanging="360"/>
      </w:pPr>
    </w:lvl>
    <w:lvl w:ilvl="8">
      <w:start w:val="1"/>
      <w:numFmt w:val="lowerRoman"/>
      <w:lvlText w:val="%9."/>
      <w:lvlJc w:val="right"/>
      <w:pPr>
        <w:tabs>
          <w:tab w:val="left" w:pos="6480"/>
        </w:tabs>
        <w:ind w:left="6480" w:hanging="360"/>
      </w:pPr>
    </w:lvl>
  </w:abstractNum>
  <w:abstractNum w:abstractNumId="3" w15:restartNumberingAfterBreak="0">
    <w:nsid w:val="9B5F61D0"/>
    <w:multiLevelType w:val="multilevel"/>
    <w:tmpl w:val="9B5F61D0"/>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A2079BE7"/>
    <w:multiLevelType w:val="multilevel"/>
    <w:tmpl w:val="A2079BE7"/>
    <w:lvl w:ilvl="0">
      <w:start w:val="1"/>
      <w:numFmt w:val="lowerRoman"/>
      <w:lvlText w:val="%1."/>
      <w:lvlJc w:val="right"/>
      <w:pPr>
        <w:tabs>
          <w:tab w:val="left" w:pos="720"/>
        </w:tabs>
        <w:ind w:left="720" w:hanging="360"/>
      </w:pPr>
    </w:lvl>
    <w:lvl w:ilvl="1">
      <w:start w:val="1"/>
      <w:numFmt w:val="lowerRoman"/>
      <w:lvlText w:val="%2."/>
      <w:lvlJc w:val="right"/>
      <w:pPr>
        <w:tabs>
          <w:tab w:val="left" w:pos="1440"/>
        </w:tabs>
        <w:ind w:left="1440" w:hanging="360"/>
      </w:pPr>
    </w:lvl>
    <w:lvl w:ilvl="2">
      <w:start w:val="1"/>
      <w:numFmt w:val="lowerRoman"/>
      <w:lvlText w:val="%3."/>
      <w:lvlJc w:val="right"/>
      <w:pPr>
        <w:tabs>
          <w:tab w:val="left" w:pos="2160"/>
        </w:tabs>
        <w:ind w:left="2160" w:hanging="360"/>
      </w:pPr>
    </w:lvl>
    <w:lvl w:ilvl="3">
      <w:start w:val="1"/>
      <w:numFmt w:val="lowerRoman"/>
      <w:lvlText w:val="%4."/>
      <w:lvlJc w:val="right"/>
      <w:pPr>
        <w:tabs>
          <w:tab w:val="left" w:pos="2880"/>
        </w:tabs>
        <w:ind w:left="2880" w:hanging="360"/>
      </w:pPr>
    </w:lvl>
    <w:lvl w:ilvl="4">
      <w:start w:val="1"/>
      <w:numFmt w:val="lowerRoman"/>
      <w:lvlText w:val="%5."/>
      <w:lvlJc w:val="right"/>
      <w:pPr>
        <w:tabs>
          <w:tab w:val="left" w:pos="3600"/>
        </w:tabs>
        <w:ind w:left="3600" w:hanging="360"/>
      </w:pPr>
    </w:lvl>
    <w:lvl w:ilvl="5">
      <w:start w:val="1"/>
      <w:numFmt w:val="lowerRoman"/>
      <w:lvlText w:val="%6."/>
      <w:lvlJc w:val="right"/>
      <w:pPr>
        <w:tabs>
          <w:tab w:val="left" w:pos="4320"/>
        </w:tabs>
        <w:ind w:left="4320" w:hanging="360"/>
      </w:pPr>
    </w:lvl>
    <w:lvl w:ilvl="6">
      <w:start w:val="1"/>
      <w:numFmt w:val="lowerRoman"/>
      <w:lvlText w:val="%7."/>
      <w:lvlJc w:val="right"/>
      <w:pPr>
        <w:tabs>
          <w:tab w:val="left" w:pos="5040"/>
        </w:tabs>
        <w:ind w:left="5040" w:hanging="360"/>
      </w:pPr>
    </w:lvl>
    <w:lvl w:ilvl="7">
      <w:start w:val="1"/>
      <w:numFmt w:val="lowerRoman"/>
      <w:lvlText w:val="%8."/>
      <w:lvlJc w:val="right"/>
      <w:pPr>
        <w:tabs>
          <w:tab w:val="left" w:pos="5760"/>
        </w:tabs>
        <w:ind w:left="5760" w:hanging="360"/>
      </w:pPr>
    </w:lvl>
    <w:lvl w:ilvl="8">
      <w:start w:val="1"/>
      <w:numFmt w:val="lowerRoman"/>
      <w:lvlText w:val="%9."/>
      <w:lvlJc w:val="right"/>
      <w:pPr>
        <w:tabs>
          <w:tab w:val="left" w:pos="6480"/>
        </w:tabs>
        <w:ind w:left="6480" w:hanging="360"/>
      </w:pPr>
    </w:lvl>
  </w:abstractNum>
  <w:abstractNum w:abstractNumId="5" w15:restartNumberingAfterBreak="0">
    <w:nsid w:val="B13FBDF9"/>
    <w:multiLevelType w:val="multilevel"/>
    <w:tmpl w:val="B13FBDF9"/>
    <w:lvl w:ilvl="0">
      <w:start w:val="1"/>
      <w:numFmt w:val="lowerRoman"/>
      <w:lvlText w:val="%1."/>
      <w:lvlJc w:val="right"/>
      <w:pPr>
        <w:tabs>
          <w:tab w:val="left" w:pos="720"/>
        </w:tabs>
        <w:ind w:left="720" w:hanging="360"/>
      </w:pPr>
    </w:lvl>
    <w:lvl w:ilvl="1">
      <w:start w:val="1"/>
      <w:numFmt w:val="lowerRoman"/>
      <w:lvlText w:val="%2."/>
      <w:lvlJc w:val="right"/>
      <w:pPr>
        <w:tabs>
          <w:tab w:val="left" w:pos="1440"/>
        </w:tabs>
        <w:ind w:left="1440" w:hanging="360"/>
      </w:pPr>
    </w:lvl>
    <w:lvl w:ilvl="2">
      <w:start w:val="1"/>
      <w:numFmt w:val="lowerRoman"/>
      <w:lvlText w:val="%3."/>
      <w:lvlJc w:val="right"/>
      <w:pPr>
        <w:tabs>
          <w:tab w:val="left" w:pos="2160"/>
        </w:tabs>
        <w:ind w:left="2160" w:hanging="360"/>
      </w:pPr>
    </w:lvl>
    <w:lvl w:ilvl="3">
      <w:start w:val="1"/>
      <w:numFmt w:val="lowerRoman"/>
      <w:lvlText w:val="%4."/>
      <w:lvlJc w:val="right"/>
      <w:pPr>
        <w:tabs>
          <w:tab w:val="left" w:pos="2880"/>
        </w:tabs>
        <w:ind w:left="2880" w:hanging="360"/>
      </w:pPr>
    </w:lvl>
    <w:lvl w:ilvl="4">
      <w:start w:val="1"/>
      <w:numFmt w:val="lowerRoman"/>
      <w:lvlText w:val="%5."/>
      <w:lvlJc w:val="right"/>
      <w:pPr>
        <w:tabs>
          <w:tab w:val="left" w:pos="3600"/>
        </w:tabs>
        <w:ind w:left="3600" w:hanging="360"/>
      </w:pPr>
    </w:lvl>
    <w:lvl w:ilvl="5">
      <w:start w:val="1"/>
      <w:numFmt w:val="lowerRoman"/>
      <w:lvlText w:val="%6."/>
      <w:lvlJc w:val="right"/>
      <w:pPr>
        <w:tabs>
          <w:tab w:val="left" w:pos="4320"/>
        </w:tabs>
        <w:ind w:left="4320" w:hanging="360"/>
      </w:pPr>
    </w:lvl>
    <w:lvl w:ilvl="6">
      <w:start w:val="1"/>
      <w:numFmt w:val="lowerRoman"/>
      <w:lvlText w:val="%7."/>
      <w:lvlJc w:val="right"/>
      <w:pPr>
        <w:tabs>
          <w:tab w:val="left" w:pos="5040"/>
        </w:tabs>
        <w:ind w:left="5040" w:hanging="360"/>
      </w:pPr>
    </w:lvl>
    <w:lvl w:ilvl="7">
      <w:start w:val="1"/>
      <w:numFmt w:val="lowerRoman"/>
      <w:lvlText w:val="%8."/>
      <w:lvlJc w:val="right"/>
      <w:pPr>
        <w:tabs>
          <w:tab w:val="left" w:pos="5760"/>
        </w:tabs>
        <w:ind w:left="5760" w:hanging="360"/>
      </w:pPr>
    </w:lvl>
    <w:lvl w:ilvl="8">
      <w:start w:val="1"/>
      <w:numFmt w:val="lowerRoman"/>
      <w:lvlText w:val="%9."/>
      <w:lvlJc w:val="right"/>
      <w:pPr>
        <w:tabs>
          <w:tab w:val="left" w:pos="6480"/>
        </w:tabs>
        <w:ind w:left="6480" w:hanging="360"/>
      </w:pPr>
    </w:lvl>
  </w:abstractNum>
  <w:abstractNum w:abstractNumId="6" w15:restartNumberingAfterBreak="0">
    <w:nsid w:val="B1D586E1"/>
    <w:multiLevelType w:val="multilevel"/>
    <w:tmpl w:val="B1D586E1"/>
    <w:lvl w:ilvl="0">
      <w:start w:val="1"/>
      <w:numFmt w:val="lowerRoman"/>
      <w:lvlText w:val="%1."/>
      <w:lvlJc w:val="right"/>
      <w:pPr>
        <w:tabs>
          <w:tab w:val="left" w:pos="720"/>
        </w:tabs>
        <w:ind w:left="720" w:hanging="360"/>
      </w:pPr>
    </w:lvl>
    <w:lvl w:ilvl="1">
      <w:start w:val="1"/>
      <w:numFmt w:val="lowerRoman"/>
      <w:lvlText w:val="%2."/>
      <w:lvlJc w:val="right"/>
      <w:pPr>
        <w:tabs>
          <w:tab w:val="left" w:pos="1440"/>
        </w:tabs>
        <w:ind w:left="1440" w:hanging="360"/>
      </w:pPr>
    </w:lvl>
    <w:lvl w:ilvl="2">
      <w:start w:val="1"/>
      <w:numFmt w:val="lowerRoman"/>
      <w:lvlText w:val="%3."/>
      <w:lvlJc w:val="right"/>
      <w:pPr>
        <w:tabs>
          <w:tab w:val="left" w:pos="2160"/>
        </w:tabs>
        <w:ind w:left="2160" w:hanging="360"/>
      </w:pPr>
    </w:lvl>
    <w:lvl w:ilvl="3">
      <w:start w:val="1"/>
      <w:numFmt w:val="lowerRoman"/>
      <w:lvlText w:val="%4."/>
      <w:lvlJc w:val="right"/>
      <w:pPr>
        <w:tabs>
          <w:tab w:val="left" w:pos="2880"/>
        </w:tabs>
        <w:ind w:left="2880" w:hanging="360"/>
      </w:pPr>
    </w:lvl>
    <w:lvl w:ilvl="4">
      <w:start w:val="1"/>
      <w:numFmt w:val="lowerRoman"/>
      <w:lvlText w:val="%5."/>
      <w:lvlJc w:val="right"/>
      <w:pPr>
        <w:tabs>
          <w:tab w:val="left" w:pos="3600"/>
        </w:tabs>
        <w:ind w:left="3600" w:hanging="360"/>
      </w:pPr>
    </w:lvl>
    <w:lvl w:ilvl="5">
      <w:start w:val="1"/>
      <w:numFmt w:val="lowerRoman"/>
      <w:lvlText w:val="%6."/>
      <w:lvlJc w:val="right"/>
      <w:pPr>
        <w:tabs>
          <w:tab w:val="left" w:pos="4320"/>
        </w:tabs>
        <w:ind w:left="4320" w:hanging="360"/>
      </w:pPr>
    </w:lvl>
    <w:lvl w:ilvl="6">
      <w:start w:val="1"/>
      <w:numFmt w:val="lowerRoman"/>
      <w:lvlText w:val="%7."/>
      <w:lvlJc w:val="right"/>
      <w:pPr>
        <w:tabs>
          <w:tab w:val="left" w:pos="5040"/>
        </w:tabs>
        <w:ind w:left="5040" w:hanging="360"/>
      </w:pPr>
    </w:lvl>
    <w:lvl w:ilvl="7">
      <w:start w:val="1"/>
      <w:numFmt w:val="lowerRoman"/>
      <w:lvlText w:val="%8."/>
      <w:lvlJc w:val="right"/>
      <w:pPr>
        <w:tabs>
          <w:tab w:val="left" w:pos="5760"/>
        </w:tabs>
        <w:ind w:left="5760" w:hanging="360"/>
      </w:pPr>
    </w:lvl>
    <w:lvl w:ilvl="8">
      <w:start w:val="1"/>
      <w:numFmt w:val="lowerRoman"/>
      <w:lvlText w:val="%9."/>
      <w:lvlJc w:val="right"/>
      <w:pPr>
        <w:tabs>
          <w:tab w:val="left" w:pos="6480"/>
        </w:tabs>
        <w:ind w:left="6480" w:hanging="360"/>
      </w:pPr>
    </w:lvl>
  </w:abstractNum>
  <w:abstractNum w:abstractNumId="7" w15:restartNumberingAfterBreak="0">
    <w:nsid w:val="B9E5B884"/>
    <w:multiLevelType w:val="multilevel"/>
    <w:tmpl w:val="B9E5B884"/>
    <w:lvl w:ilvl="0">
      <w:start w:val="1"/>
      <w:numFmt w:val="lowerRoman"/>
      <w:lvlText w:val="%1."/>
      <w:lvlJc w:val="right"/>
      <w:pPr>
        <w:tabs>
          <w:tab w:val="left" w:pos="720"/>
        </w:tabs>
        <w:ind w:left="720" w:hanging="360"/>
      </w:pPr>
    </w:lvl>
    <w:lvl w:ilvl="1">
      <w:start w:val="1"/>
      <w:numFmt w:val="lowerRoman"/>
      <w:lvlText w:val="%2."/>
      <w:lvlJc w:val="right"/>
      <w:pPr>
        <w:tabs>
          <w:tab w:val="left" w:pos="1440"/>
        </w:tabs>
        <w:ind w:left="1440" w:hanging="360"/>
      </w:pPr>
    </w:lvl>
    <w:lvl w:ilvl="2">
      <w:start w:val="1"/>
      <w:numFmt w:val="lowerRoman"/>
      <w:lvlText w:val="%3."/>
      <w:lvlJc w:val="right"/>
      <w:pPr>
        <w:tabs>
          <w:tab w:val="left" w:pos="2160"/>
        </w:tabs>
        <w:ind w:left="2160" w:hanging="360"/>
      </w:pPr>
    </w:lvl>
    <w:lvl w:ilvl="3">
      <w:start w:val="1"/>
      <w:numFmt w:val="lowerRoman"/>
      <w:lvlText w:val="%4."/>
      <w:lvlJc w:val="right"/>
      <w:pPr>
        <w:tabs>
          <w:tab w:val="left" w:pos="2880"/>
        </w:tabs>
        <w:ind w:left="2880" w:hanging="360"/>
      </w:pPr>
    </w:lvl>
    <w:lvl w:ilvl="4">
      <w:start w:val="1"/>
      <w:numFmt w:val="lowerRoman"/>
      <w:lvlText w:val="%5."/>
      <w:lvlJc w:val="right"/>
      <w:pPr>
        <w:tabs>
          <w:tab w:val="left" w:pos="3600"/>
        </w:tabs>
        <w:ind w:left="3600" w:hanging="360"/>
      </w:pPr>
    </w:lvl>
    <w:lvl w:ilvl="5">
      <w:start w:val="1"/>
      <w:numFmt w:val="lowerRoman"/>
      <w:lvlText w:val="%6."/>
      <w:lvlJc w:val="right"/>
      <w:pPr>
        <w:tabs>
          <w:tab w:val="left" w:pos="4320"/>
        </w:tabs>
        <w:ind w:left="4320" w:hanging="360"/>
      </w:pPr>
    </w:lvl>
    <w:lvl w:ilvl="6">
      <w:start w:val="1"/>
      <w:numFmt w:val="lowerRoman"/>
      <w:lvlText w:val="%7."/>
      <w:lvlJc w:val="right"/>
      <w:pPr>
        <w:tabs>
          <w:tab w:val="left" w:pos="5040"/>
        </w:tabs>
        <w:ind w:left="5040" w:hanging="360"/>
      </w:pPr>
    </w:lvl>
    <w:lvl w:ilvl="7">
      <w:start w:val="1"/>
      <w:numFmt w:val="lowerRoman"/>
      <w:lvlText w:val="%8."/>
      <w:lvlJc w:val="right"/>
      <w:pPr>
        <w:tabs>
          <w:tab w:val="left" w:pos="5760"/>
        </w:tabs>
        <w:ind w:left="5760" w:hanging="360"/>
      </w:pPr>
    </w:lvl>
    <w:lvl w:ilvl="8">
      <w:start w:val="1"/>
      <w:numFmt w:val="lowerRoman"/>
      <w:lvlText w:val="%9."/>
      <w:lvlJc w:val="right"/>
      <w:pPr>
        <w:tabs>
          <w:tab w:val="left" w:pos="6480"/>
        </w:tabs>
        <w:ind w:left="6480" w:hanging="360"/>
      </w:pPr>
    </w:lvl>
  </w:abstractNum>
  <w:abstractNum w:abstractNumId="8" w15:restartNumberingAfterBreak="0">
    <w:nsid w:val="C6971E4A"/>
    <w:multiLevelType w:val="multilevel"/>
    <w:tmpl w:val="C6971E4A"/>
    <w:lvl w:ilvl="0">
      <w:start w:val="1"/>
      <w:numFmt w:val="lowerRoman"/>
      <w:lvlText w:val="%1."/>
      <w:lvlJc w:val="right"/>
      <w:pPr>
        <w:tabs>
          <w:tab w:val="left" w:pos="720"/>
        </w:tabs>
        <w:ind w:left="720" w:hanging="360"/>
      </w:pPr>
    </w:lvl>
    <w:lvl w:ilvl="1">
      <w:start w:val="1"/>
      <w:numFmt w:val="lowerRoman"/>
      <w:lvlText w:val="%2."/>
      <w:lvlJc w:val="right"/>
      <w:pPr>
        <w:tabs>
          <w:tab w:val="left" w:pos="1440"/>
        </w:tabs>
        <w:ind w:left="1440" w:hanging="360"/>
      </w:pPr>
    </w:lvl>
    <w:lvl w:ilvl="2">
      <w:start w:val="1"/>
      <w:numFmt w:val="lowerRoman"/>
      <w:lvlText w:val="%3."/>
      <w:lvlJc w:val="right"/>
      <w:pPr>
        <w:tabs>
          <w:tab w:val="left" w:pos="2160"/>
        </w:tabs>
        <w:ind w:left="2160" w:hanging="360"/>
      </w:pPr>
    </w:lvl>
    <w:lvl w:ilvl="3">
      <w:start w:val="1"/>
      <w:numFmt w:val="lowerRoman"/>
      <w:lvlText w:val="%4."/>
      <w:lvlJc w:val="right"/>
      <w:pPr>
        <w:tabs>
          <w:tab w:val="left" w:pos="2880"/>
        </w:tabs>
        <w:ind w:left="2880" w:hanging="360"/>
      </w:pPr>
    </w:lvl>
    <w:lvl w:ilvl="4">
      <w:start w:val="1"/>
      <w:numFmt w:val="lowerRoman"/>
      <w:lvlText w:val="%5."/>
      <w:lvlJc w:val="right"/>
      <w:pPr>
        <w:tabs>
          <w:tab w:val="left" w:pos="3600"/>
        </w:tabs>
        <w:ind w:left="3600" w:hanging="360"/>
      </w:pPr>
    </w:lvl>
    <w:lvl w:ilvl="5">
      <w:start w:val="1"/>
      <w:numFmt w:val="lowerRoman"/>
      <w:lvlText w:val="%6."/>
      <w:lvlJc w:val="right"/>
      <w:pPr>
        <w:tabs>
          <w:tab w:val="left" w:pos="4320"/>
        </w:tabs>
        <w:ind w:left="4320" w:hanging="360"/>
      </w:pPr>
    </w:lvl>
    <w:lvl w:ilvl="6">
      <w:start w:val="1"/>
      <w:numFmt w:val="lowerRoman"/>
      <w:lvlText w:val="%7."/>
      <w:lvlJc w:val="right"/>
      <w:pPr>
        <w:tabs>
          <w:tab w:val="left" w:pos="5040"/>
        </w:tabs>
        <w:ind w:left="5040" w:hanging="360"/>
      </w:pPr>
    </w:lvl>
    <w:lvl w:ilvl="7">
      <w:start w:val="1"/>
      <w:numFmt w:val="lowerRoman"/>
      <w:lvlText w:val="%8."/>
      <w:lvlJc w:val="right"/>
      <w:pPr>
        <w:tabs>
          <w:tab w:val="left" w:pos="5760"/>
        </w:tabs>
        <w:ind w:left="5760" w:hanging="360"/>
      </w:pPr>
    </w:lvl>
    <w:lvl w:ilvl="8">
      <w:start w:val="1"/>
      <w:numFmt w:val="lowerRoman"/>
      <w:lvlText w:val="%9."/>
      <w:lvlJc w:val="right"/>
      <w:pPr>
        <w:tabs>
          <w:tab w:val="left" w:pos="6480"/>
        </w:tabs>
        <w:ind w:left="6480" w:hanging="360"/>
      </w:pPr>
    </w:lvl>
  </w:abstractNum>
  <w:abstractNum w:abstractNumId="9" w15:restartNumberingAfterBreak="0">
    <w:nsid w:val="DBE7F6E3"/>
    <w:multiLevelType w:val="multilevel"/>
    <w:tmpl w:val="DBE7F6E3"/>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E2076940"/>
    <w:multiLevelType w:val="multilevel"/>
    <w:tmpl w:val="E2076940"/>
    <w:lvl w:ilvl="0">
      <w:start w:val="1"/>
      <w:numFmt w:val="upperRoman"/>
      <w:lvlText w:val="%1."/>
      <w:lvlJc w:val="right"/>
      <w:pPr>
        <w:ind w:left="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1" w15:restartNumberingAfterBreak="0">
    <w:nsid w:val="EE4BBD97"/>
    <w:multiLevelType w:val="multilevel"/>
    <w:tmpl w:val="EE4BBD97"/>
    <w:lvl w:ilvl="0">
      <w:start w:val="1"/>
      <w:numFmt w:val="lowerRoman"/>
      <w:lvlText w:val="%1."/>
      <w:lvlJc w:val="right"/>
      <w:pPr>
        <w:tabs>
          <w:tab w:val="left" w:pos="720"/>
        </w:tabs>
        <w:ind w:left="720" w:hanging="360"/>
      </w:pPr>
    </w:lvl>
    <w:lvl w:ilvl="1">
      <w:start w:val="1"/>
      <w:numFmt w:val="lowerRoman"/>
      <w:lvlText w:val="%2."/>
      <w:lvlJc w:val="right"/>
      <w:pPr>
        <w:tabs>
          <w:tab w:val="left" w:pos="1440"/>
        </w:tabs>
        <w:ind w:left="1440" w:hanging="360"/>
      </w:pPr>
    </w:lvl>
    <w:lvl w:ilvl="2">
      <w:start w:val="1"/>
      <w:numFmt w:val="lowerRoman"/>
      <w:lvlText w:val="%3."/>
      <w:lvlJc w:val="right"/>
      <w:pPr>
        <w:tabs>
          <w:tab w:val="left" w:pos="2160"/>
        </w:tabs>
        <w:ind w:left="2160" w:hanging="360"/>
      </w:pPr>
    </w:lvl>
    <w:lvl w:ilvl="3">
      <w:start w:val="1"/>
      <w:numFmt w:val="lowerRoman"/>
      <w:lvlText w:val="%4."/>
      <w:lvlJc w:val="right"/>
      <w:pPr>
        <w:tabs>
          <w:tab w:val="left" w:pos="2880"/>
        </w:tabs>
        <w:ind w:left="2880" w:hanging="360"/>
      </w:pPr>
    </w:lvl>
    <w:lvl w:ilvl="4">
      <w:start w:val="1"/>
      <w:numFmt w:val="lowerRoman"/>
      <w:lvlText w:val="%5."/>
      <w:lvlJc w:val="right"/>
      <w:pPr>
        <w:tabs>
          <w:tab w:val="left" w:pos="3600"/>
        </w:tabs>
        <w:ind w:left="3600" w:hanging="360"/>
      </w:pPr>
    </w:lvl>
    <w:lvl w:ilvl="5">
      <w:start w:val="1"/>
      <w:numFmt w:val="lowerRoman"/>
      <w:lvlText w:val="%6."/>
      <w:lvlJc w:val="right"/>
      <w:pPr>
        <w:tabs>
          <w:tab w:val="left" w:pos="4320"/>
        </w:tabs>
        <w:ind w:left="4320" w:hanging="360"/>
      </w:pPr>
    </w:lvl>
    <w:lvl w:ilvl="6">
      <w:start w:val="1"/>
      <w:numFmt w:val="lowerRoman"/>
      <w:lvlText w:val="%7."/>
      <w:lvlJc w:val="right"/>
      <w:pPr>
        <w:tabs>
          <w:tab w:val="left" w:pos="5040"/>
        </w:tabs>
        <w:ind w:left="5040" w:hanging="360"/>
      </w:pPr>
    </w:lvl>
    <w:lvl w:ilvl="7">
      <w:start w:val="1"/>
      <w:numFmt w:val="lowerRoman"/>
      <w:lvlText w:val="%8."/>
      <w:lvlJc w:val="right"/>
      <w:pPr>
        <w:tabs>
          <w:tab w:val="left" w:pos="5760"/>
        </w:tabs>
        <w:ind w:left="5760" w:hanging="360"/>
      </w:pPr>
    </w:lvl>
    <w:lvl w:ilvl="8">
      <w:start w:val="1"/>
      <w:numFmt w:val="lowerRoman"/>
      <w:lvlText w:val="%9."/>
      <w:lvlJc w:val="right"/>
      <w:pPr>
        <w:tabs>
          <w:tab w:val="left" w:pos="6480"/>
        </w:tabs>
        <w:ind w:left="6480" w:hanging="360"/>
      </w:pPr>
    </w:lvl>
  </w:abstractNum>
  <w:abstractNum w:abstractNumId="12" w15:restartNumberingAfterBreak="0">
    <w:nsid w:val="EFE4E8CA"/>
    <w:multiLevelType w:val="multilevel"/>
    <w:tmpl w:val="EFE4E8CA"/>
    <w:lvl w:ilvl="0">
      <w:start w:val="1"/>
      <w:numFmt w:val="lowerRoman"/>
      <w:lvlText w:val="%1."/>
      <w:lvlJc w:val="right"/>
      <w:pPr>
        <w:tabs>
          <w:tab w:val="left" w:pos="720"/>
        </w:tabs>
        <w:ind w:left="720" w:hanging="360"/>
      </w:pPr>
    </w:lvl>
    <w:lvl w:ilvl="1">
      <w:start w:val="1"/>
      <w:numFmt w:val="lowerRoman"/>
      <w:lvlText w:val="%2."/>
      <w:lvlJc w:val="right"/>
      <w:pPr>
        <w:tabs>
          <w:tab w:val="left" w:pos="1440"/>
        </w:tabs>
        <w:ind w:left="1440" w:hanging="360"/>
      </w:pPr>
    </w:lvl>
    <w:lvl w:ilvl="2">
      <w:start w:val="1"/>
      <w:numFmt w:val="lowerRoman"/>
      <w:lvlText w:val="%3."/>
      <w:lvlJc w:val="right"/>
      <w:pPr>
        <w:tabs>
          <w:tab w:val="left" w:pos="2160"/>
        </w:tabs>
        <w:ind w:left="2160" w:hanging="360"/>
      </w:pPr>
    </w:lvl>
    <w:lvl w:ilvl="3">
      <w:start w:val="1"/>
      <w:numFmt w:val="lowerRoman"/>
      <w:lvlText w:val="%4."/>
      <w:lvlJc w:val="right"/>
      <w:pPr>
        <w:tabs>
          <w:tab w:val="left" w:pos="2880"/>
        </w:tabs>
        <w:ind w:left="2880" w:hanging="360"/>
      </w:pPr>
    </w:lvl>
    <w:lvl w:ilvl="4">
      <w:start w:val="1"/>
      <w:numFmt w:val="lowerRoman"/>
      <w:lvlText w:val="%5."/>
      <w:lvlJc w:val="right"/>
      <w:pPr>
        <w:tabs>
          <w:tab w:val="left" w:pos="3600"/>
        </w:tabs>
        <w:ind w:left="3600" w:hanging="360"/>
      </w:pPr>
    </w:lvl>
    <w:lvl w:ilvl="5">
      <w:start w:val="1"/>
      <w:numFmt w:val="lowerRoman"/>
      <w:lvlText w:val="%6."/>
      <w:lvlJc w:val="right"/>
      <w:pPr>
        <w:tabs>
          <w:tab w:val="left" w:pos="4320"/>
        </w:tabs>
        <w:ind w:left="4320" w:hanging="360"/>
      </w:pPr>
    </w:lvl>
    <w:lvl w:ilvl="6">
      <w:start w:val="1"/>
      <w:numFmt w:val="lowerRoman"/>
      <w:lvlText w:val="%7."/>
      <w:lvlJc w:val="right"/>
      <w:pPr>
        <w:tabs>
          <w:tab w:val="left" w:pos="5040"/>
        </w:tabs>
        <w:ind w:left="5040" w:hanging="360"/>
      </w:pPr>
    </w:lvl>
    <w:lvl w:ilvl="7">
      <w:start w:val="1"/>
      <w:numFmt w:val="lowerRoman"/>
      <w:lvlText w:val="%8."/>
      <w:lvlJc w:val="right"/>
      <w:pPr>
        <w:tabs>
          <w:tab w:val="left" w:pos="5760"/>
        </w:tabs>
        <w:ind w:left="5760" w:hanging="360"/>
      </w:pPr>
    </w:lvl>
    <w:lvl w:ilvl="8">
      <w:start w:val="1"/>
      <w:numFmt w:val="lowerRoman"/>
      <w:lvlText w:val="%9."/>
      <w:lvlJc w:val="right"/>
      <w:pPr>
        <w:tabs>
          <w:tab w:val="left" w:pos="6480"/>
        </w:tabs>
        <w:ind w:left="6480" w:hanging="360"/>
      </w:pPr>
    </w:lvl>
  </w:abstractNum>
  <w:abstractNum w:abstractNumId="13" w15:restartNumberingAfterBreak="0">
    <w:nsid w:val="008D5A05"/>
    <w:multiLevelType w:val="multilevel"/>
    <w:tmpl w:val="008D5A05"/>
    <w:lvl w:ilvl="0">
      <w:start w:val="1"/>
      <w:numFmt w:val="lowerRoman"/>
      <w:lvlText w:val="%1."/>
      <w:lvlJc w:val="right"/>
      <w:pPr>
        <w:tabs>
          <w:tab w:val="left" w:pos="720"/>
        </w:tabs>
        <w:ind w:left="720" w:hanging="360"/>
      </w:pPr>
    </w:lvl>
    <w:lvl w:ilvl="1">
      <w:start w:val="1"/>
      <w:numFmt w:val="lowerRoman"/>
      <w:lvlText w:val="%2."/>
      <w:lvlJc w:val="right"/>
      <w:pPr>
        <w:tabs>
          <w:tab w:val="left" w:pos="1440"/>
        </w:tabs>
        <w:ind w:left="1440" w:hanging="360"/>
      </w:pPr>
    </w:lvl>
    <w:lvl w:ilvl="2">
      <w:start w:val="1"/>
      <w:numFmt w:val="lowerRoman"/>
      <w:lvlText w:val="%3."/>
      <w:lvlJc w:val="right"/>
      <w:pPr>
        <w:tabs>
          <w:tab w:val="left" w:pos="2160"/>
        </w:tabs>
        <w:ind w:left="2160" w:hanging="360"/>
      </w:pPr>
    </w:lvl>
    <w:lvl w:ilvl="3">
      <w:start w:val="1"/>
      <w:numFmt w:val="lowerRoman"/>
      <w:lvlText w:val="%4."/>
      <w:lvlJc w:val="right"/>
      <w:pPr>
        <w:tabs>
          <w:tab w:val="left" w:pos="2880"/>
        </w:tabs>
        <w:ind w:left="2880" w:hanging="360"/>
      </w:pPr>
    </w:lvl>
    <w:lvl w:ilvl="4">
      <w:start w:val="1"/>
      <w:numFmt w:val="lowerRoman"/>
      <w:lvlText w:val="%5."/>
      <w:lvlJc w:val="right"/>
      <w:pPr>
        <w:tabs>
          <w:tab w:val="left" w:pos="3600"/>
        </w:tabs>
        <w:ind w:left="3600" w:hanging="360"/>
      </w:pPr>
    </w:lvl>
    <w:lvl w:ilvl="5">
      <w:start w:val="1"/>
      <w:numFmt w:val="lowerRoman"/>
      <w:lvlText w:val="%6."/>
      <w:lvlJc w:val="right"/>
      <w:pPr>
        <w:tabs>
          <w:tab w:val="left" w:pos="4320"/>
        </w:tabs>
        <w:ind w:left="4320" w:hanging="360"/>
      </w:pPr>
    </w:lvl>
    <w:lvl w:ilvl="6">
      <w:start w:val="1"/>
      <w:numFmt w:val="lowerRoman"/>
      <w:lvlText w:val="%7."/>
      <w:lvlJc w:val="right"/>
      <w:pPr>
        <w:tabs>
          <w:tab w:val="left" w:pos="5040"/>
        </w:tabs>
        <w:ind w:left="5040" w:hanging="360"/>
      </w:pPr>
    </w:lvl>
    <w:lvl w:ilvl="7">
      <w:start w:val="1"/>
      <w:numFmt w:val="lowerRoman"/>
      <w:lvlText w:val="%8."/>
      <w:lvlJc w:val="right"/>
      <w:pPr>
        <w:tabs>
          <w:tab w:val="left" w:pos="5760"/>
        </w:tabs>
        <w:ind w:left="5760" w:hanging="360"/>
      </w:pPr>
    </w:lvl>
    <w:lvl w:ilvl="8">
      <w:start w:val="1"/>
      <w:numFmt w:val="lowerRoman"/>
      <w:lvlText w:val="%9."/>
      <w:lvlJc w:val="right"/>
      <w:pPr>
        <w:tabs>
          <w:tab w:val="left" w:pos="6480"/>
        </w:tabs>
        <w:ind w:left="6480" w:hanging="360"/>
      </w:pPr>
    </w:lvl>
  </w:abstractNum>
  <w:abstractNum w:abstractNumId="14" w15:restartNumberingAfterBreak="0">
    <w:nsid w:val="038B6EFA"/>
    <w:multiLevelType w:val="multilevel"/>
    <w:tmpl w:val="038B6EFA"/>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074770D6"/>
    <w:multiLevelType w:val="multilevel"/>
    <w:tmpl w:val="074770D6"/>
    <w:lvl w:ilvl="0">
      <w:start w:val="1"/>
      <w:numFmt w:val="lowerRoman"/>
      <w:lvlText w:val="%1."/>
      <w:lvlJc w:val="righ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04D7C11"/>
    <w:multiLevelType w:val="multilevel"/>
    <w:tmpl w:val="104D7C11"/>
    <w:lvl w:ilvl="0">
      <w:start w:val="1"/>
      <w:numFmt w:val="lowerRoman"/>
      <w:lvlText w:val="%1."/>
      <w:lvlJc w:val="right"/>
      <w:pPr>
        <w:tabs>
          <w:tab w:val="left" w:pos="720"/>
        </w:tabs>
        <w:ind w:left="720" w:hanging="360"/>
      </w:pPr>
    </w:lvl>
    <w:lvl w:ilvl="1">
      <w:start w:val="1"/>
      <w:numFmt w:val="lowerRoman"/>
      <w:lvlText w:val="%2."/>
      <w:lvlJc w:val="right"/>
      <w:pPr>
        <w:tabs>
          <w:tab w:val="left" w:pos="1440"/>
        </w:tabs>
        <w:ind w:left="1440" w:hanging="360"/>
      </w:pPr>
    </w:lvl>
    <w:lvl w:ilvl="2">
      <w:start w:val="1"/>
      <w:numFmt w:val="lowerRoman"/>
      <w:lvlText w:val="%3."/>
      <w:lvlJc w:val="right"/>
      <w:pPr>
        <w:tabs>
          <w:tab w:val="left" w:pos="2160"/>
        </w:tabs>
        <w:ind w:left="2160" w:hanging="360"/>
      </w:pPr>
    </w:lvl>
    <w:lvl w:ilvl="3">
      <w:start w:val="1"/>
      <w:numFmt w:val="lowerRoman"/>
      <w:lvlText w:val="%4."/>
      <w:lvlJc w:val="right"/>
      <w:pPr>
        <w:tabs>
          <w:tab w:val="left" w:pos="2880"/>
        </w:tabs>
        <w:ind w:left="2880" w:hanging="360"/>
      </w:pPr>
    </w:lvl>
    <w:lvl w:ilvl="4">
      <w:start w:val="1"/>
      <w:numFmt w:val="lowerRoman"/>
      <w:lvlText w:val="%5."/>
      <w:lvlJc w:val="right"/>
      <w:pPr>
        <w:tabs>
          <w:tab w:val="left" w:pos="3600"/>
        </w:tabs>
        <w:ind w:left="3600" w:hanging="360"/>
      </w:pPr>
    </w:lvl>
    <w:lvl w:ilvl="5">
      <w:start w:val="1"/>
      <w:numFmt w:val="lowerRoman"/>
      <w:lvlText w:val="%6."/>
      <w:lvlJc w:val="right"/>
      <w:pPr>
        <w:tabs>
          <w:tab w:val="left" w:pos="4320"/>
        </w:tabs>
        <w:ind w:left="4320" w:hanging="360"/>
      </w:pPr>
    </w:lvl>
    <w:lvl w:ilvl="6">
      <w:start w:val="1"/>
      <w:numFmt w:val="lowerRoman"/>
      <w:lvlText w:val="%7."/>
      <w:lvlJc w:val="right"/>
      <w:pPr>
        <w:tabs>
          <w:tab w:val="left" w:pos="5040"/>
        </w:tabs>
        <w:ind w:left="5040" w:hanging="360"/>
      </w:pPr>
    </w:lvl>
    <w:lvl w:ilvl="7">
      <w:start w:val="1"/>
      <w:numFmt w:val="lowerRoman"/>
      <w:lvlText w:val="%8."/>
      <w:lvlJc w:val="right"/>
      <w:pPr>
        <w:tabs>
          <w:tab w:val="left" w:pos="5760"/>
        </w:tabs>
        <w:ind w:left="5760" w:hanging="360"/>
      </w:pPr>
    </w:lvl>
    <w:lvl w:ilvl="8">
      <w:start w:val="1"/>
      <w:numFmt w:val="lowerRoman"/>
      <w:lvlText w:val="%9."/>
      <w:lvlJc w:val="right"/>
      <w:pPr>
        <w:tabs>
          <w:tab w:val="left" w:pos="6480"/>
        </w:tabs>
        <w:ind w:left="6480" w:hanging="360"/>
      </w:pPr>
    </w:lvl>
  </w:abstractNum>
  <w:abstractNum w:abstractNumId="17" w15:restartNumberingAfterBreak="0">
    <w:nsid w:val="120617ED"/>
    <w:multiLevelType w:val="multilevel"/>
    <w:tmpl w:val="120617ED"/>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Letter"/>
      <w:lvlText w:val="%3."/>
      <w:lvlJc w:val="left"/>
      <w:pPr>
        <w:tabs>
          <w:tab w:val="left" w:pos="2160"/>
        </w:tabs>
        <w:ind w:left="2160" w:hanging="360"/>
      </w:pPr>
    </w:lvl>
    <w:lvl w:ilvl="3">
      <w:start w:val="1"/>
      <w:numFmt w:val="lowerLetter"/>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Letter"/>
      <w:lvlText w:val="%6."/>
      <w:lvlJc w:val="left"/>
      <w:pPr>
        <w:tabs>
          <w:tab w:val="left" w:pos="4320"/>
        </w:tabs>
        <w:ind w:left="4320" w:hanging="360"/>
      </w:pPr>
    </w:lvl>
    <w:lvl w:ilvl="6">
      <w:start w:val="1"/>
      <w:numFmt w:val="lowerLetter"/>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Letter"/>
      <w:lvlText w:val="%9."/>
      <w:lvlJc w:val="left"/>
      <w:pPr>
        <w:tabs>
          <w:tab w:val="left" w:pos="6480"/>
        </w:tabs>
        <w:ind w:left="6480" w:hanging="360"/>
      </w:pPr>
    </w:lvl>
  </w:abstractNum>
  <w:abstractNum w:abstractNumId="18" w15:restartNumberingAfterBreak="0">
    <w:nsid w:val="17CF0A17"/>
    <w:multiLevelType w:val="multilevel"/>
    <w:tmpl w:val="17CF0A17"/>
    <w:lvl w:ilvl="0">
      <w:start w:val="1"/>
      <w:numFmt w:val="lowerLetter"/>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1A350F45"/>
    <w:multiLevelType w:val="multilevel"/>
    <w:tmpl w:val="1A350F45"/>
    <w:lvl w:ilvl="0">
      <w:start w:val="1"/>
      <w:numFmt w:val="lowerRoman"/>
      <w:lvlText w:val="%1."/>
      <w:lvlJc w:val="right"/>
      <w:pPr>
        <w:tabs>
          <w:tab w:val="left" w:pos="720"/>
        </w:tabs>
        <w:ind w:left="720" w:hanging="360"/>
      </w:pPr>
    </w:lvl>
    <w:lvl w:ilvl="1">
      <w:start w:val="1"/>
      <w:numFmt w:val="lowerRoman"/>
      <w:lvlText w:val="%2."/>
      <w:lvlJc w:val="right"/>
      <w:pPr>
        <w:tabs>
          <w:tab w:val="left" w:pos="1440"/>
        </w:tabs>
        <w:ind w:left="1440" w:hanging="360"/>
      </w:pPr>
    </w:lvl>
    <w:lvl w:ilvl="2">
      <w:start w:val="1"/>
      <w:numFmt w:val="lowerRoman"/>
      <w:lvlText w:val="%3."/>
      <w:lvlJc w:val="right"/>
      <w:pPr>
        <w:tabs>
          <w:tab w:val="left" w:pos="2160"/>
        </w:tabs>
        <w:ind w:left="2160" w:hanging="360"/>
      </w:pPr>
    </w:lvl>
    <w:lvl w:ilvl="3">
      <w:start w:val="1"/>
      <w:numFmt w:val="lowerRoman"/>
      <w:lvlText w:val="%4."/>
      <w:lvlJc w:val="right"/>
      <w:pPr>
        <w:tabs>
          <w:tab w:val="left" w:pos="2880"/>
        </w:tabs>
        <w:ind w:left="2880" w:hanging="360"/>
      </w:pPr>
    </w:lvl>
    <w:lvl w:ilvl="4">
      <w:start w:val="1"/>
      <w:numFmt w:val="lowerRoman"/>
      <w:lvlText w:val="%5."/>
      <w:lvlJc w:val="right"/>
      <w:pPr>
        <w:tabs>
          <w:tab w:val="left" w:pos="3600"/>
        </w:tabs>
        <w:ind w:left="3600" w:hanging="360"/>
      </w:pPr>
    </w:lvl>
    <w:lvl w:ilvl="5">
      <w:start w:val="1"/>
      <w:numFmt w:val="lowerRoman"/>
      <w:lvlText w:val="%6."/>
      <w:lvlJc w:val="right"/>
      <w:pPr>
        <w:tabs>
          <w:tab w:val="left" w:pos="4320"/>
        </w:tabs>
        <w:ind w:left="4320" w:hanging="360"/>
      </w:pPr>
    </w:lvl>
    <w:lvl w:ilvl="6">
      <w:start w:val="1"/>
      <w:numFmt w:val="lowerRoman"/>
      <w:lvlText w:val="%7."/>
      <w:lvlJc w:val="right"/>
      <w:pPr>
        <w:tabs>
          <w:tab w:val="left" w:pos="5040"/>
        </w:tabs>
        <w:ind w:left="5040" w:hanging="360"/>
      </w:pPr>
    </w:lvl>
    <w:lvl w:ilvl="7">
      <w:start w:val="1"/>
      <w:numFmt w:val="lowerRoman"/>
      <w:lvlText w:val="%8."/>
      <w:lvlJc w:val="right"/>
      <w:pPr>
        <w:tabs>
          <w:tab w:val="left" w:pos="5760"/>
        </w:tabs>
        <w:ind w:left="5760" w:hanging="360"/>
      </w:pPr>
    </w:lvl>
    <w:lvl w:ilvl="8">
      <w:start w:val="1"/>
      <w:numFmt w:val="lowerRoman"/>
      <w:lvlText w:val="%9."/>
      <w:lvlJc w:val="right"/>
      <w:pPr>
        <w:tabs>
          <w:tab w:val="left" w:pos="6480"/>
        </w:tabs>
        <w:ind w:left="6480" w:hanging="360"/>
      </w:pPr>
    </w:lvl>
  </w:abstractNum>
  <w:abstractNum w:abstractNumId="20" w15:restartNumberingAfterBreak="0">
    <w:nsid w:val="218FBECA"/>
    <w:multiLevelType w:val="multilevel"/>
    <w:tmpl w:val="218FBECA"/>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22BB39E7"/>
    <w:multiLevelType w:val="multilevel"/>
    <w:tmpl w:val="22BB39E7"/>
    <w:lvl w:ilvl="0">
      <w:start w:val="1"/>
      <w:numFmt w:val="lowerRoman"/>
      <w:lvlText w:val="%1."/>
      <w:lvlJc w:val="right"/>
      <w:pPr>
        <w:tabs>
          <w:tab w:val="left" w:pos="720"/>
        </w:tabs>
        <w:ind w:left="720" w:hanging="360"/>
      </w:pPr>
    </w:lvl>
    <w:lvl w:ilvl="1">
      <w:start w:val="1"/>
      <w:numFmt w:val="lowerRoman"/>
      <w:lvlText w:val="%2."/>
      <w:lvlJc w:val="right"/>
      <w:pPr>
        <w:tabs>
          <w:tab w:val="left" w:pos="1440"/>
        </w:tabs>
        <w:ind w:left="1440" w:hanging="360"/>
      </w:pPr>
    </w:lvl>
    <w:lvl w:ilvl="2">
      <w:start w:val="1"/>
      <w:numFmt w:val="lowerRoman"/>
      <w:lvlText w:val="%3."/>
      <w:lvlJc w:val="right"/>
      <w:pPr>
        <w:tabs>
          <w:tab w:val="left" w:pos="2160"/>
        </w:tabs>
        <w:ind w:left="2160" w:hanging="360"/>
      </w:pPr>
    </w:lvl>
    <w:lvl w:ilvl="3">
      <w:start w:val="1"/>
      <w:numFmt w:val="lowerRoman"/>
      <w:lvlText w:val="%4."/>
      <w:lvlJc w:val="right"/>
      <w:pPr>
        <w:tabs>
          <w:tab w:val="left" w:pos="2880"/>
        </w:tabs>
        <w:ind w:left="2880" w:hanging="360"/>
      </w:pPr>
    </w:lvl>
    <w:lvl w:ilvl="4">
      <w:start w:val="1"/>
      <w:numFmt w:val="lowerRoman"/>
      <w:lvlText w:val="%5."/>
      <w:lvlJc w:val="right"/>
      <w:pPr>
        <w:tabs>
          <w:tab w:val="left" w:pos="3600"/>
        </w:tabs>
        <w:ind w:left="3600" w:hanging="360"/>
      </w:pPr>
    </w:lvl>
    <w:lvl w:ilvl="5">
      <w:start w:val="1"/>
      <w:numFmt w:val="lowerRoman"/>
      <w:lvlText w:val="%6."/>
      <w:lvlJc w:val="right"/>
      <w:pPr>
        <w:tabs>
          <w:tab w:val="left" w:pos="4320"/>
        </w:tabs>
        <w:ind w:left="4320" w:hanging="360"/>
      </w:pPr>
    </w:lvl>
    <w:lvl w:ilvl="6">
      <w:start w:val="1"/>
      <w:numFmt w:val="lowerRoman"/>
      <w:lvlText w:val="%7."/>
      <w:lvlJc w:val="right"/>
      <w:pPr>
        <w:tabs>
          <w:tab w:val="left" w:pos="5040"/>
        </w:tabs>
        <w:ind w:left="5040" w:hanging="360"/>
      </w:pPr>
    </w:lvl>
    <w:lvl w:ilvl="7">
      <w:start w:val="1"/>
      <w:numFmt w:val="lowerRoman"/>
      <w:lvlText w:val="%8."/>
      <w:lvlJc w:val="right"/>
      <w:pPr>
        <w:tabs>
          <w:tab w:val="left" w:pos="5760"/>
        </w:tabs>
        <w:ind w:left="5760" w:hanging="360"/>
      </w:pPr>
    </w:lvl>
    <w:lvl w:ilvl="8">
      <w:start w:val="1"/>
      <w:numFmt w:val="lowerRoman"/>
      <w:lvlText w:val="%9."/>
      <w:lvlJc w:val="right"/>
      <w:pPr>
        <w:tabs>
          <w:tab w:val="left" w:pos="6480"/>
        </w:tabs>
        <w:ind w:left="6480" w:hanging="360"/>
      </w:pPr>
    </w:lvl>
  </w:abstractNum>
  <w:abstractNum w:abstractNumId="22" w15:restartNumberingAfterBreak="0">
    <w:nsid w:val="24F34A1D"/>
    <w:multiLevelType w:val="multilevel"/>
    <w:tmpl w:val="24F34A1D"/>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267334BF"/>
    <w:multiLevelType w:val="multilevel"/>
    <w:tmpl w:val="267334BF"/>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26F41043"/>
    <w:multiLevelType w:val="multilevel"/>
    <w:tmpl w:val="26F41043"/>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27425858"/>
    <w:multiLevelType w:val="multilevel"/>
    <w:tmpl w:val="27425858"/>
    <w:lvl w:ilvl="0">
      <w:start w:val="1"/>
      <w:numFmt w:val="bullet"/>
      <w:lvlText w:val="-"/>
      <w:lvlJc w:val="left"/>
      <w:pPr>
        <w:ind w:left="1080" w:hanging="360"/>
      </w:pPr>
      <w:rPr>
        <w:rFonts w:ascii="Calibri" w:eastAsia="Times New Roman" w:hAnsi="Calibri" w:cs="Calibr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6" w15:restartNumberingAfterBreak="0">
    <w:nsid w:val="27F60F06"/>
    <w:multiLevelType w:val="multilevel"/>
    <w:tmpl w:val="27F60F06"/>
    <w:lvl w:ilvl="0">
      <w:start w:val="1"/>
      <w:numFmt w:val="lowerRoman"/>
      <w:lvlText w:val="%1."/>
      <w:lvlJc w:val="right"/>
      <w:pPr>
        <w:tabs>
          <w:tab w:val="left" w:pos="720"/>
        </w:tabs>
        <w:ind w:left="720" w:hanging="360"/>
      </w:pPr>
    </w:lvl>
    <w:lvl w:ilvl="1">
      <w:start w:val="1"/>
      <w:numFmt w:val="lowerRoman"/>
      <w:lvlText w:val="%2."/>
      <w:lvlJc w:val="right"/>
      <w:pPr>
        <w:tabs>
          <w:tab w:val="left" w:pos="1440"/>
        </w:tabs>
        <w:ind w:left="1440" w:hanging="360"/>
      </w:pPr>
    </w:lvl>
    <w:lvl w:ilvl="2">
      <w:start w:val="1"/>
      <w:numFmt w:val="lowerRoman"/>
      <w:lvlText w:val="%3."/>
      <w:lvlJc w:val="right"/>
      <w:pPr>
        <w:tabs>
          <w:tab w:val="left" w:pos="2160"/>
        </w:tabs>
        <w:ind w:left="2160" w:hanging="360"/>
      </w:pPr>
    </w:lvl>
    <w:lvl w:ilvl="3">
      <w:start w:val="1"/>
      <w:numFmt w:val="lowerRoman"/>
      <w:lvlText w:val="%4."/>
      <w:lvlJc w:val="right"/>
      <w:pPr>
        <w:tabs>
          <w:tab w:val="left" w:pos="2880"/>
        </w:tabs>
        <w:ind w:left="2880" w:hanging="360"/>
      </w:pPr>
    </w:lvl>
    <w:lvl w:ilvl="4">
      <w:start w:val="1"/>
      <w:numFmt w:val="lowerRoman"/>
      <w:lvlText w:val="%5."/>
      <w:lvlJc w:val="right"/>
      <w:pPr>
        <w:tabs>
          <w:tab w:val="left" w:pos="3600"/>
        </w:tabs>
        <w:ind w:left="3600" w:hanging="360"/>
      </w:pPr>
    </w:lvl>
    <w:lvl w:ilvl="5">
      <w:start w:val="1"/>
      <w:numFmt w:val="lowerRoman"/>
      <w:lvlText w:val="%6."/>
      <w:lvlJc w:val="right"/>
      <w:pPr>
        <w:tabs>
          <w:tab w:val="left" w:pos="4320"/>
        </w:tabs>
        <w:ind w:left="4320" w:hanging="360"/>
      </w:pPr>
    </w:lvl>
    <w:lvl w:ilvl="6">
      <w:start w:val="1"/>
      <w:numFmt w:val="lowerRoman"/>
      <w:lvlText w:val="%7."/>
      <w:lvlJc w:val="right"/>
      <w:pPr>
        <w:tabs>
          <w:tab w:val="left" w:pos="5040"/>
        </w:tabs>
        <w:ind w:left="5040" w:hanging="360"/>
      </w:pPr>
    </w:lvl>
    <w:lvl w:ilvl="7">
      <w:start w:val="1"/>
      <w:numFmt w:val="lowerRoman"/>
      <w:lvlText w:val="%8."/>
      <w:lvlJc w:val="right"/>
      <w:pPr>
        <w:tabs>
          <w:tab w:val="left" w:pos="5760"/>
        </w:tabs>
        <w:ind w:left="5760" w:hanging="360"/>
      </w:pPr>
    </w:lvl>
    <w:lvl w:ilvl="8">
      <w:start w:val="1"/>
      <w:numFmt w:val="lowerRoman"/>
      <w:lvlText w:val="%9."/>
      <w:lvlJc w:val="right"/>
      <w:pPr>
        <w:tabs>
          <w:tab w:val="left" w:pos="6480"/>
        </w:tabs>
        <w:ind w:left="6480" w:hanging="360"/>
      </w:pPr>
    </w:lvl>
  </w:abstractNum>
  <w:abstractNum w:abstractNumId="27" w15:restartNumberingAfterBreak="0">
    <w:nsid w:val="30D772B1"/>
    <w:multiLevelType w:val="multilevel"/>
    <w:tmpl w:val="30D772B1"/>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Letter"/>
      <w:lvlText w:val="%3."/>
      <w:lvlJc w:val="left"/>
      <w:pPr>
        <w:tabs>
          <w:tab w:val="left" w:pos="2160"/>
        </w:tabs>
        <w:ind w:left="2160" w:hanging="360"/>
      </w:pPr>
    </w:lvl>
    <w:lvl w:ilvl="3">
      <w:start w:val="1"/>
      <w:numFmt w:val="lowerLetter"/>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Letter"/>
      <w:lvlText w:val="%6."/>
      <w:lvlJc w:val="left"/>
      <w:pPr>
        <w:tabs>
          <w:tab w:val="left" w:pos="4320"/>
        </w:tabs>
        <w:ind w:left="4320" w:hanging="360"/>
      </w:pPr>
    </w:lvl>
    <w:lvl w:ilvl="6">
      <w:start w:val="1"/>
      <w:numFmt w:val="lowerLetter"/>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Letter"/>
      <w:lvlText w:val="%9."/>
      <w:lvlJc w:val="left"/>
      <w:pPr>
        <w:tabs>
          <w:tab w:val="left" w:pos="6480"/>
        </w:tabs>
        <w:ind w:left="6480" w:hanging="360"/>
      </w:pPr>
    </w:lvl>
  </w:abstractNum>
  <w:abstractNum w:abstractNumId="28" w15:restartNumberingAfterBreak="0">
    <w:nsid w:val="32C14932"/>
    <w:multiLevelType w:val="multilevel"/>
    <w:tmpl w:val="32C14932"/>
    <w:lvl w:ilvl="0">
      <w:start w:val="1"/>
      <w:numFmt w:val="bullet"/>
      <w:pStyle w:val="BulletedList"/>
      <w:lvlText w:val=""/>
      <w:lvlJc w:val="left"/>
      <w:pPr>
        <w:ind w:left="1080" w:hanging="360"/>
      </w:pPr>
      <w:rPr>
        <w:rFonts w:ascii="Symbol" w:hAnsi="Symbol" w:hint="default"/>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9" w15:restartNumberingAfterBreak="0">
    <w:nsid w:val="339938FF"/>
    <w:multiLevelType w:val="multilevel"/>
    <w:tmpl w:val="339938FF"/>
    <w:lvl w:ilvl="0">
      <w:start w:val="1"/>
      <w:numFmt w:val="lowerLetter"/>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3618660A"/>
    <w:multiLevelType w:val="multilevel"/>
    <w:tmpl w:val="3618660A"/>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1" w15:restartNumberingAfterBreak="0">
    <w:nsid w:val="45516815"/>
    <w:multiLevelType w:val="multilevel"/>
    <w:tmpl w:val="45516815"/>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49B8683E"/>
    <w:multiLevelType w:val="multilevel"/>
    <w:tmpl w:val="49B8683E"/>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4CD88648"/>
    <w:multiLevelType w:val="multilevel"/>
    <w:tmpl w:val="4CD88648"/>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548C96B2"/>
    <w:multiLevelType w:val="singleLevel"/>
    <w:tmpl w:val="548C96B2"/>
    <w:lvl w:ilvl="0">
      <w:start w:val="1"/>
      <w:numFmt w:val="decimal"/>
      <w:lvlText w:val="%1."/>
      <w:lvlJc w:val="left"/>
      <w:pPr>
        <w:ind w:left="425" w:hanging="425"/>
      </w:pPr>
      <w:rPr>
        <w:rFonts w:hint="default"/>
        <w:b w:val="0"/>
        <w:bCs w:val="0"/>
      </w:rPr>
    </w:lvl>
  </w:abstractNum>
  <w:abstractNum w:abstractNumId="35" w15:restartNumberingAfterBreak="0">
    <w:nsid w:val="57B70063"/>
    <w:multiLevelType w:val="multilevel"/>
    <w:tmpl w:val="57B70063"/>
    <w:lvl w:ilvl="0">
      <w:start w:val="1"/>
      <w:numFmt w:val="lowerRoman"/>
      <w:lvlText w:val="%1."/>
      <w:lvlJc w:val="right"/>
      <w:pPr>
        <w:tabs>
          <w:tab w:val="left" w:pos="720"/>
        </w:tabs>
        <w:ind w:left="720" w:hanging="360"/>
      </w:pPr>
    </w:lvl>
    <w:lvl w:ilvl="1">
      <w:start w:val="1"/>
      <w:numFmt w:val="lowerRoman"/>
      <w:lvlText w:val="%2."/>
      <w:lvlJc w:val="right"/>
      <w:pPr>
        <w:tabs>
          <w:tab w:val="left" w:pos="1440"/>
        </w:tabs>
        <w:ind w:left="1440" w:hanging="360"/>
      </w:pPr>
    </w:lvl>
    <w:lvl w:ilvl="2">
      <w:start w:val="1"/>
      <w:numFmt w:val="lowerRoman"/>
      <w:lvlText w:val="%3."/>
      <w:lvlJc w:val="right"/>
      <w:pPr>
        <w:tabs>
          <w:tab w:val="left" w:pos="2160"/>
        </w:tabs>
        <w:ind w:left="2160" w:hanging="360"/>
      </w:pPr>
    </w:lvl>
    <w:lvl w:ilvl="3">
      <w:start w:val="1"/>
      <w:numFmt w:val="lowerRoman"/>
      <w:lvlText w:val="%4."/>
      <w:lvlJc w:val="right"/>
      <w:pPr>
        <w:tabs>
          <w:tab w:val="left" w:pos="2880"/>
        </w:tabs>
        <w:ind w:left="2880" w:hanging="360"/>
      </w:pPr>
    </w:lvl>
    <w:lvl w:ilvl="4">
      <w:start w:val="1"/>
      <w:numFmt w:val="lowerRoman"/>
      <w:lvlText w:val="%5."/>
      <w:lvlJc w:val="right"/>
      <w:pPr>
        <w:tabs>
          <w:tab w:val="left" w:pos="3600"/>
        </w:tabs>
        <w:ind w:left="3600" w:hanging="360"/>
      </w:pPr>
    </w:lvl>
    <w:lvl w:ilvl="5">
      <w:start w:val="1"/>
      <w:numFmt w:val="lowerRoman"/>
      <w:lvlText w:val="%6."/>
      <w:lvlJc w:val="right"/>
      <w:pPr>
        <w:tabs>
          <w:tab w:val="left" w:pos="4320"/>
        </w:tabs>
        <w:ind w:left="4320" w:hanging="360"/>
      </w:pPr>
    </w:lvl>
    <w:lvl w:ilvl="6">
      <w:start w:val="1"/>
      <w:numFmt w:val="lowerRoman"/>
      <w:lvlText w:val="%7."/>
      <w:lvlJc w:val="right"/>
      <w:pPr>
        <w:tabs>
          <w:tab w:val="left" w:pos="5040"/>
        </w:tabs>
        <w:ind w:left="5040" w:hanging="360"/>
      </w:pPr>
    </w:lvl>
    <w:lvl w:ilvl="7">
      <w:start w:val="1"/>
      <w:numFmt w:val="lowerRoman"/>
      <w:lvlText w:val="%8."/>
      <w:lvlJc w:val="right"/>
      <w:pPr>
        <w:tabs>
          <w:tab w:val="left" w:pos="5760"/>
        </w:tabs>
        <w:ind w:left="5760" w:hanging="360"/>
      </w:pPr>
    </w:lvl>
    <w:lvl w:ilvl="8">
      <w:start w:val="1"/>
      <w:numFmt w:val="lowerRoman"/>
      <w:lvlText w:val="%9."/>
      <w:lvlJc w:val="right"/>
      <w:pPr>
        <w:tabs>
          <w:tab w:val="left" w:pos="6480"/>
        </w:tabs>
        <w:ind w:left="6480" w:hanging="360"/>
      </w:pPr>
    </w:lvl>
  </w:abstractNum>
  <w:abstractNum w:abstractNumId="36" w15:restartNumberingAfterBreak="0">
    <w:nsid w:val="5A3578EA"/>
    <w:multiLevelType w:val="multilevel"/>
    <w:tmpl w:val="5A3578EA"/>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62E4F8E2"/>
    <w:multiLevelType w:val="multilevel"/>
    <w:tmpl w:val="62E4F8E2"/>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66CE2BEA"/>
    <w:multiLevelType w:val="multilevel"/>
    <w:tmpl w:val="66CE2BEA"/>
    <w:lvl w:ilvl="0">
      <w:start w:val="1"/>
      <w:numFmt w:val="lowerRoman"/>
      <w:lvlText w:val="%1."/>
      <w:lvlJc w:val="left"/>
      <w:pPr>
        <w:tabs>
          <w:tab w:val="left" w:pos="720"/>
        </w:tabs>
        <w:ind w:left="720" w:hanging="360"/>
      </w:pPr>
      <w:rPr>
        <w:rFonts w:ascii="Calibri" w:eastAsia="Times New Roman" w:hAnsi="Calibri" w:cs="Calibri"/>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67876B4C"/>
    <w:multiLevelType w:val="multilevel"/>
    <w:tmpl w:val="67876B4C"/>
    <w:lvl w:ilvl="0">
      <w:start w:val="2"/>
      <w:numFmt w:val="lowerRoman"/>
      <w:lvlText w:val="%1."/>
      <w:lvlJc w:val="right"/>
      <w:pPr>
        <w:tabs>
          <w:tab w:val="left" w:pos="720"/>
        </w:tabs>
        <w:ind w:left="720" w:hanging="360"/>
      </w:pPr>
    </w:lvl>
    <w:lvl w:ilvl="1">
      <w:start w:val="1"/>
      <w:numFmt w:val="lowerRoman"/>
      <w:lvlText w:val="%2."/>
      <w:lvlJc w:val="right"/>
      <w:pPr>
        <w:tabs>
          <w:tab w:val="left" w:pos="1440"/>
        </w:tabs>
        <w:ind w:left="1440" w:hanging="360"/>
      </w:pPr>
    </w:lvl>
    <w:lvl w:ilvl="2">
      <w:start w:val="1"/>
      <w:numFmt w:val="lowerRoman"/>
      <w:lvlText w:val="%3."/>
      <w:lvlJc w:val="right"/>
      <w:pPr>
        <w:tabs>
          <w:tab w:val="left" w:pos="2160"/>
        </w:tabs>
        <w:ind w:left="2160" w:hanging="360"/>
      </w:pPr>
    </w:lvl>
    <w:lvl w:ilvl="3">
      <w:start w:val="1"/>
      <w:numFmt w:val="lowerRoman"/>
      <w:lvlText w:val="%4."/>
      <w:lvlJc w:val="right"/>
      <w:pPr>
        <w:tabs>
          <w:tab w:val="left" w:pos="2880"/>
        </w:tabs>
        <w:ind w:left="2880" w:hanging="360"/>
      </w:pPr>
    </w:lvl>
    <w:lvl w:ilvl="4">
      <w:start w:val="1"/>
      <w:numFmt w:val="lowerRoman"/>
      <w:lvlText w:val="%5."/>
      <w:lvlJc w:val="right"/>
      <w:pPr>
        <w:tabs>
          <w:tab w:val="left" w:pos="3600"/>
        </w:tabs>
        <w:ind w:left="3600" w:hanging="360"/>
      </w:pPr>
    </w:lvl>
    <w:lvl w:ilvl="5">
      <w:start w:val="1"/>
      <w:numFmt w:val="lowerRoman"/>
      <w:lvlText w:val="%6."/>
      <w:lvlJc w:val="right"/>
      <w:pPr>
        <w:tabs>
          <w:tab w:val="left" w:pos="4320"/>
        </w:tabs>
        <w:ind w:left="4320" w:hanging="360"/>
      </w:pPr>
    </w:lvl>
    <w:lvl w:ilvl="6">
      <w:start w:val="1"/>
      <w:numFmt w:val="lowerRoman"/>
      <w:lvlText w:val="%7."/>
      <w:lvlJc w:val="right"/>
      <w:pPr>
        <w:tabs>
          <w:tab w:val="left" w:pos="5040"/>
        </w:tabs>
        <w:ind w:left="5040" w:hanging="360"/>
      </w:pPr>
    </w:lvl>
    <w:lvl w:ilvl="7">
      <w:start w:val="1"/>
      <w:numFmt w:val="lowerRoman"/>
      <w:lvlText w:val="%8."/>
      <w:lvlJc w:val="right"/>
      <w:pPr>
        <w:tabs>
          <w:tab w:val="left" w:pos="5760"/>
        </w:tabs>
        <w:ind w:left="5760" w:hanging="360"/>
      </w:pPr>
    </w:lvl>
    <w:lvl w:ilvl="8">
      <w:start w:val="1"/>
      <w:numFmt w:val="lowerRoman"/>
      <w:lvlText w:val="%9."/>
      <w:lvlJc w:val="right"/>
      <w:pPr>
        <w:tabs>
          <w:tab w:val="left" w:pos="6480"/>
        </w:tabs>
        <w:ind w:left="6480" w:hanging="360"/>
      </w:pPr>
    </w:lvl>
  </w:abstractNum>
  <w:abstractNum w:abstractNumId="40" w15:restartNumberingAfterBreak="0">
    <w:nsid w:val="6DD26715"/>
    <w:multiLevelType w:val="multilevel"/>
    <w:tmpl w:val="6DD26715"/>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6EEAB894"/>
    <w:multiLevelType w:val="multilevel"/>
    <w:tmpl w:val="6EEAB894"/>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2" w15:restartNumberingAfterBreak="0">
    <w:nsid w:val="77FBEF93"/>
    <w:multiLevelType w:val="multilevel"/>
    <w:tmpl w:val="77FBEF93"/>
    <w:lvl w:ilvl="0">
      <w:start w:val="1"/>
      <w:numFmt w:val="lowerRoman"/>
      <w:lvlText w:val="%1."/>
      <w:lvlJc w:val="right"/>
      <w:pPr>
        <w:tabs>
          <w:tab w:val="left" w:pos="720"/>
        </w:tabs>
        <w:ind w:left="720" w:hanging="360"/>
      </w:pPr>
    </w:lvl>
    <w:lvl w:ilvl="1">
      <w:start w:val="1"/>
      <w:numFmt w:val="lowerRoman"/>
      <w:lvlText w:val="%2."/>
      <w:lvlJc w:val="right"/>
      <w:pPr>
        <w:tabs>
          <w:tab w:val="left" w:pos="1440"/>
        </w:tabs>
        <w:ind w:left="1440" w:hanging="360"/>
      </w:pPr>
    </w:lvl>
    <w:lvl w:ilvl="2">
      <w:start w:val="1"/>
      <w:numFmt w:val="lowerRoman"/>
      <w:lvlText w:val="%3."/>
      <w:lvlJc w:val="right"/>
      <w:pPr>
        <w:tabs>
          <w:tab w:val="left" w:pos="2160"/>
        </w:tabs>
        <w:ind w:left="2160" w:hanging="360"/>
      </w:pPr>
    </w:lvl>
    <w:lvl w:ilvl="3">
      <w:start w:val="1"/>
      <w:numFmt w:val="lowerRoman"/>
      <w:lvlText w:val="%4."/>
      <w:lvlJc w:val="right"/>
      <w:pPr>
        <w:tabs>
          <w:tab w:val="left" w:pos="2880"/>
        </w:tabs>
        <w:ind w:left="2880" w:hanging="360"/>
      </w:pPr>
    </w:lvl>
    <w:lvl w:ilvl="4">
      <w:start w:val="1"/>
      <w:numFmt w:val="lowerRoman"/>
      <w:lvlText w:val="%5."/>
      <w:lvlJc w:val="right"/>
      <w:pPr>
        <w:tabs>
          <w:tab w:val="left" w:pos="3600"/>
        </w:tabs>
        <w:ind w:left="3600" w:hanging="360"/>
      </w:pPr>
    </w:lvl>
    <w:lvl w:ilvl="5">
      <w:start w:val="1"/>
      <w:numFmt w:val="lowerRoman"/>
      <w:lvlText w:val="%6."/>
      <w:lvlJc w:val="right"/>
      <w:pPr>
        <w:tabs>
          <w:tab w:val="left" w:pos="4320"/>
        </w:tabs>
        <w:ind w:left="4320" w:hanging="360"/>
      </w:pPr>
    </w:lvl>
    <w:lvl w:ilvl="6">
      <w:start w:val="1"/>
      <w:numFmt w:val="lowerRoman"/>
      <w:lvlText w:val="%7."/>
      <w:lvlJc w:val="right"/>
      <w:pPr>
        <w:tabs>
          <w:tab w:val="left" w:pos="5040"/>
        </w:tabs>
        <w:ind w:left="5040" w:hanging="360"/>
      </w:pPr>
    </w:lvl>
    <w:lvl w:ilvl="7">
      <w:start w:val="1"/>
      <w:numFmt w:val="lowerRoman"/>
      <w:lvlText w:val="%8."/>
      <w:lvlJc w:val="right"/>
      <w:pPr>
        <w:tabs>
          <w:tab w:val="left" w:pos="5760"/>
        </w:tabs>
        <w:ind w:left="5760" w:hanging="360"/>
      </w:pPr>
    </w:lvl>
    <w:lvl w:ilvl="8">
      <w:start w:val="1"/>
      <w:numFmt w:val="lowerRoman"/>
      <w:lvlText w:val="%9."/>
      <w:lvlJc w:val="right"/>
      <w:pPr>
        <w:tabs>
          <w:tab w:val="left" w:pos="6480"/>
        </w:tabs>
        <w:ind w:left="6480" w:hanging="360"/>
      </w:pPr>
    </w:lvl>
  </w:abstractNum>
  <w:abstractNum w:abstractNumId="43" w15:restartNumberingAfterBreak="0">
    <w:nsid w:val="7F41269C"/>
    <w:multiLevelType w:val="multilevel"/>
    <w:tmpl w:val="7F41269C"/>
    <w:lvl w:ilvl="0">
      <w:start w:val="1"/>
      <w:numFmt w:val="lowerRoman"/>
      <w:lvlText w:val="%1."/>
      <w:lvlJc w:val="right"/>
      <w:pPr>
        <w:tabs>
          <w:tab w:val="left" w:pos="720"/>
        </w:tabs>
        <w:ind w:left="720" w:hanging="360"/>
      </w:pPr>
    </w:lvl>
    <w:lvl w:ilvl="1">
      <w:start w:val="1"/>
      <w:numFmt w:val="lowerRoman"/>
      <w:lvlText w:val="%2."/>
      <w:lvlJc w:val="right"/>
      <w:pPr>
        <w:tabs>
          <w:tab w:val="left" w:pos="1440"/>
        </w:tabs>
        <w:ind w:left="1440" w:hanging="360"/>
      </w:pPr>
    </w:lvl>
    <w:lvl w:ilvl="2">
      <w:start w:val="1"/>
      <w:numFmt w:val="lowerRoman"/>
      <w:lvlText w:val="%3."/>
      <w:lvlJc w:val="right"/>
      <w:pPr>
        <w:tabs>
          <w:tab w:val="left" w:pos="2160"/>
        </w:tabs>
        <w:ind w:left="2160" w:hanging="360"/>
      </w:pPr>
    </w:lvl>
    <w:lvl w:ilvl="3">
      <w:start w:val="1"/>
      <w:numFmt w:val="lowerRoman"/>
      <w:lvlText w:val="%4."/>
      <w:lvlJc w:val="right"/>
      <w:pPr>
        <w:tabs>
          <w:tab w:val="left" w:pos="2880"/>
        </w:tabs>
        <w:ind w:left="2880" w:hanging="360"/>
      </w:pPr>
    </w:lvl>
    <w:lvl w:ilvl="4">
      <w:start w:val="1"/>
      <w:numFmt w:val="lowerRoman"/>
      <w:lvlText w:val="%5."/>
      <w:lvlJc w:val="right"/>
      <w:pPr>
        <w:tabs>
          <w:tab w:val="left" w:pos="3600"/>
        </w:tabs>
        <w:ind w:left="3600" w:hanging="360"/>
      </w:pPr>
    </w:lvl>
    <w:lvl w:ilvl="5">
      <w:start w:val="1"/>
      <w:numFmt w:val="lowerRoman"/>
      <w:lvlText w:val="%6."/>
      <w:lvlJc w:val="right"/>
      <w:pPr>
        <w:tabs>
          <w:tab w:val="left" w:pos="4320"/>
        </w:tabs>
        <w:ind w:left="4320" w:hanging="360"/>
      </w:pPr>
    </w:lvl>
    <w:lvl w:ilvl="6">
      <w:start w:val="1"/>
      <w:numFmt w:val="lowerRoman"/>
      <w:lvlText w:val="%7."/>
      <w:lvlJc w:val="right"/>
      <w:pPr>
        <w:tabs>
          <w:tab w:val="left" w:pos="5040"/>
        </w:tabs>
        <w:ind w:left="5040" w:hanging="360"/>
      </w:pPr>
    </w:lvl>
    <w:lvl w:ilvl="7">
      <w:start w:val="1"/>
      <w:numFmt w:val="lowerRoman"/>
      <w:lvlText w:val="%8."/>
      <w:lvlJc w:val="right"/>
      <w:pPr>
        <w:tabs>
          <w:tab w:val="left" w:pos="5760"/>
        </w:tabs>
        <w:ind w:left="5760" w:hanging="360"/>
      </w:pPr>
    </w:lvl>
    <w:lvl w:ilvl="8">
      <w:start w:val="1"/>
      <w:numFmt w:val="lowerRoman"/>
      <w:lvlText w:val="%9."/>
      <w:lvlJc w:val="right"/>
      <w:pPr>
        <w:tabs>
          <w:tab w:val="left" w:pos="6480"/>
        </w:tabs>
        <w:ind w:left="6480" w:hanging="360"/>
      </w:pPr>
    </w:lvl>
  </w:abstractNum>
  <w:abstractNum w:abstractNumId="44" w15:restartNumberingAfterBreak="0">
    <w:nsid w:val="7F89E752"/>
    <w:multiLevelType w:val="multilevel"/>
    <w:tmpl w:val="7F89E752"/>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804812243">
    <w:abstractNumId w:val="28"/>
  </w:num>
  <w:num w:numId="2" w16cid:durableId="1936131177">
    <w:abstractNumId w:val="10"/>
  </w:num>
  <w:num w:numId="3" w16cid:durableId="287859078">
    <w:abstractNumId w:val="36"/>
  </w:num>
  <w:num w:numId="4" w16cid:durableId="1114054187">
    <w:abstractNumId w:val="34"/>
  </w:num>
  <w:num w:numId="5" w16cid:durableId="1173837223">
    <w:abstractNumId w:val="9"/>
  </w:num>
  <w:num w:numId="6" w16cid:durableId="183324645">
    <w:abstractNumId w:val="14"/>
  </w:num>
  <w:num w:numId="7" w16cid:durableId="1926648953">
    <w:abstractNumId w:val="37"/>
  </w:num>
  <w:num w:numId="8" w16cid:durableId="750464806">
    <w:abstractNumId w:val="31"/>
  </w:num>
  <w:num w:numId="9" w16cid:durableId="1579947471">
    <w:abstractNumId w:val="15"/>
  </w:num>
  <w:num w:numId="10" w16cid:durableId="1030303951">
    <w:abstractNumId w:val="20"/>
  </w:num>
  <w:num w:numId="11" w16cid:durableId="1553811097">
    <w:abstractNumId w:val="23"/>
  </w:num>
  <w:num w:numId="12" w16cid:durableId="1681395474">
    <w:abstractNumId w:val="18"/>
  </w:num>
  <w:num w:numId="13" w16cid:durableId="525682298">
    <w:abstractNumId w:val="29"/>
  </w:num>
  <w:num w:numId="14" w16cid:durableId="219174759">
    <w:abstractNumId w:val="0"/>
  </w:num>
  <w:num w:numId="15" w16cid:durableId="1021396378">
    <w:abstractNumId w:val="38"/>
  </w:num>
  <w:num w:numId="16" w16cid:durableId="820004713">
    <w:abstractNumId w:val="33"/>
  </w:num>
  <w:num w:numId="17" w16cid:durableId="1601376793">
    <w:abstractNumId w:val="40"/>
  </w:num>
  <w:num w:numId="18" w16cid:durableId="1519927876">
    <w:abstractNumId w:val="22"/>
  </w:num>
  <w:num w:numId="19" w16cid:durableId="1484927253">
    <w:abstractNumId w:val="44"/>
  </w:num>
  <w:num w:numId="20" w16cid:durableId="1051149204">
    <w:abstractNumId w:val="32"/>
  </w:num>
  <w:num w:numId="21" w16cid:durableId="439104193">
    <w:abstractNumId w:val="41"/>
  </w:num>
  <w:num w:numId="22" w16cid:durableId="310135476">
    <w:abstractNumId w:val="3"/>
  </w:num>
  <w:num w:numId="23" w16cid:durableId="1505628897">
    <w:abstractNumId w:val="42"/>
  </w:num>
  <w:num w:numId="24" w16cid:durableId="1515614274">
    <w:abstractNumId w:val="5"/>
  </w:num>
  <w:num w:numId="25" w16cid:durableId="1687438395">
    <w:abstractNumId w:val="7"/>
  </w:num>
  <w:num w:numId="26" w16cid:durableId="1154495512">
    <w:abstractNumId w:val="8"/>
  </w:num>
  <w:num w:numId="27" w16cid:durableId="1954358177">
    <w:abstractNumId w:val="6"/>
  </w:num>
  <w:num w:numId="28" w16cid:durableId="2111001114">
    <w:abstractNumId w:val="25"/>
  </w:num>
  <w:num w:numId="29" w16cid:durableId="2078043284">
    <w:abstractNumId w:val="12"/>
  </w:num>
  <w:num w:numId="30" w16cid:durableId="1505046605">
    <w:abstractNumId w:val="1"/>
  </w:num>
  <w:num w:numId="31" w16cid:durableId="856501531">
    <w:abstractNumId w:val="4"/>
  </w:num>
  <w:num w:numId="32" w16cid:durableId="1662929978">
    <w:abstractNumId w:val="2"/>
  </w:num>
  <w:num w:numId="33" w16cid:durableId="1351836868">
    <w:abstractNumId w:val="21"/>
  </w:num>
  <w:num w:numId="34" w16cid:durableId="1134182034">
    <w:abstractNumId w:val="35"/>
  </w:num>
  <w:num w:numId="35" w16cid:durableId="497426692">
    <w:abstractNumId w:val="26"/>
  </w:num>
  <w:num w:numId="36" w16cid:durableId="1086534672">
    <w:abstractNumId w:val="43"/>
  </w:num>
  <w:num w:numId="37" w16cid:durableId="400449645">
    <w:abstractNumId w:val="13"/>
  </w:num>
  <w:num w:numId="38" w16cid:durableId="1714773193">
    <w:abstractNumId w:val="19"/>
  </w:num>
  <w:num w:numId="39" w16cid:durableId="1558272853">
    <w:abstractNumId w:val="11"/>
  </w:num>
  <w:num w:numId="40" w16cid:durableId="1095631619">
    <w:abstractNumId w:val="17"/>
  </w:num>
  <w:num w:numId="41" w16cid:durableId="316150581">
    <w:abstractNumId w:val="24"/>
  </w:num>
  <w:num w:numId="42" w16cid:durableId="2072539788">
    <w:abstractNumId w:val="27"/>
  </w:num>
  <w:num w:numId="43" w16cid:durableId="2122920561">
    <w:abstractNumId w:val="16"/>
  </w:num>
  <w:num w:numId="44" w16cid:durableId="533614138">
    <w:abstractNumId w:val="39"/>
  </w:num>
  <w:num w:numId="45" w16cid:durableId="184274329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720"/>
  <w:characterSpacingControl w:val="doNotCompress"/>
  <w:footnotePr>
    <w:footnote w:id="-1"/>
    <w:footnote w:id="0"/>
    <w:footnote w:id="1"/>
  </w:footnotePr>
  <w:endnotePr>
    <w:endnote w:id="-1"/>
    <w:endnote w:id="0"/>
    <w:endnote w:id="1"/>
  </w:endnotePr>
  <w:compat>
    <w:doNotLeaveBackslashAlon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W2MDI2tDQ0NrAwMrVQ0lEKTi0uzszPAykwrAUAyNC9RywAAAA="/>
  </w:docVars>
  <w:rsids>
    <w:rsidRoot w:val="006A295A"/>
    <w:rsid w:val="00010EB5"/>
    <w:rsid w:val="000120BB"/>
    <w:rsid w:val="00022E58"/>
    <w:rsid w:val="00023C04"/>
    <w:rsid w:val="00030286"/>
    <w:rsid w:val="00034076"/>
    <w:rsid w:val="00046540"/>
    <w:rsid w:val="00052072"/>
    <w:rsid w:val="0005529A"/>
    <w:rsid w:val="00057139"/>
    <w:rsid w:val="000657DE"/>
    <w:rsid w:val="0006617B"/>
    <w:rsid w:val="00066C36"/>
    <w:rsid w:val="00070F17"/>
    <w:rsid w:val="00071401"/>
    <w:rsid w:val="000717BE"/>
    <w:rsid w:val="0007215E"/>
    <w:rsid w:val="00077DAE"/>
    <w:rsid w:val="00080F58"/>
    <w:rsid w:val="00087399"/>
    <w:rsid w:val="00093DD2"/>
    <w:rsid w:val="000A158C"/>
    <w:rsid w:val="000B6527"/>
    <w:rsid w:val="000B7377"/>
    <w:rsid w:val="000C0D5B"/>
    <w:rsid w:val="000C1AC3"/>
    <w:rsid w:val="000C29DA"/>
    <w:rsid w:val="000D0AD2"/>
    <w:rsid w:val="000E6465"/>
    <w:rsid w:val="000E73F7"/>
    <w:rsid w:val="001046BC"/>
    <w:rsid w:val="0010593D"/>
    <w:rsid w:val="00112DA1"/>
    <w:rsid w:val="00114AF8"/>
    <w:rsid w:val="00114C91"/>
    <w:rsid w:val="00115D41"/>
    <w:rsid w:val="00125DC3"/>
    <w:rsid w:val="00134A3A"/>
    <w:rsid w:val="00136E54"/>
    <w:rsid w:val="00142977"/>
    <w:rsid w:val="001469CA"/>
    <w:rsid w:val="00155A49"/>
    <w:rsid w:val="00160BC9"/>
    <w:rsid w:val="00163989"/>
    <w:rsid w:val="00163A7D"/>
    <w:rsid w:val="00165A30"/>
    <w:rsid w:val="00167E0F"/>
    <w:rsid w:val="00170B53"/>
    <w:rsid w:val="00171714"/>
    <w:rsid w:val="001721EA"/>
    <w:rsid w:val="00172E72"/>
    <w:rsid w:val="001743B4"/>
    <w:rsid w:val="00176321"/>
    <w:rsid w:val="001769F5"/>
    <w:rsid w:val="00177175"/>
    <w:rsid w:val="00181EC5"/>
    <w:rsid w:val="00183D50"/>
    <w:rsid w:val="00186248"/>
    <w:rsid w:val="00192536"/>
    <w:rsid w:val="001A32B8"/>
    <w:rsid w:val="001B3029"/>
    <w:rsid w:val="001B463D"/>
    <w:rsid w:val="001C1137"/>
    <w:rsid w:val="001C3E54"/>
    <w:rsid w:val="001C455B"/>
    <w:rsid w:val="001C50D7"/>
    <w:rsid w:val="001C7148"/>
    <w:rsid w:val="001D1A3A"/>
    <w:rsid w:val="001D1B37"/>
    <w:rsid w:val="001D4424"/>
    <w:rsid w:val="001E3835"/>
    <w:rsid w:val="001E4A29"/>
    <w:rsid w:val="001E4B8F"/>
    <w:rsid w:val="001E677A"/>
    <w:rsid w:val="001E708B"/>
    <w:rsid w:val="001E759C"/>
    <w:rsid w:val="001E7DCE"/>
    <w:rsid w:val="001F0BE9"/>
    <w:rsid w:val="001F1675"/>
    <w:rsid w:val="001F506D"/>
    <w:rsid w:val="001F6445"/>
    <w:rsid w:val="002046C5"/>
    <w:rsid w:val="0020614B"/>
    <w:rsid w:val="0020638C"/>
    <w:rsid w:val="00207B98"/>
    <w:rsid w:val="0021534E"/>
    <w:rsid w:val="002233B1"/>
    <w:rsid w:val="00225161"/>
    <w:rsid w:val="00227910"/>
    <w:rsid w:val="00231002"/>
    <w:rsid w:val="002326C7"/>
    <w:rsid w:val="00232A7A"/>
    <w:rsid w:val="002410BE"/>
    <w:rsid w:val="00242E2D"/>
    <w:rsid w:val="00250388"/>
    <w:rsid w:val="00262C6D"/>
    <w:rsid w:val="00265B94"/>
    <w:rsid w:val="002701FD"/>
    <w:rsid w:val="00270498"/>
    <w:rsid w:val="00274531"/>
    <w:rsid w:val="0027527F"/>
    <w:rsid w:val="002754E9"/>
    <w:rsid w:val="002815D0"/>
    <w:rsid w:val="0028237E"/>
    <w:rsid w:val="00283F94"/>
    <w:rsid w:val="00285D35"/>
    <w:rsid w:val="00290CC6"/>
    <w:rsid w:val="00291380"/>
    <w:rsid w:val="00292140"/>
    <w:rsid w:val="002949FE"/>
    <w:rsid w:val="00295AE7"/>
    <w:rsid w:val="002A14B0"/>
    <w:rsid w:val="002A15C7"/>
    <w:rsid w:val="002B11EC"/>
    <w:rsid w:val="002B1970"/>
    <w:rsid w:val="002B1FB6"/>
    <w:rsid w:val="002B5C83"/>
    <w:rsid w:val="002C2EF8"/>
    <w:rsid w:val="002D7EAF"/>
    <w:rsid w:val="002E2778"/>
    <w:rsid w:val="002E46A6"/>
    <w:rsid w:val="002E5216"/>
    <w:rsid w:val="002F2173"/>
    <w:rsid w:val="00300BC6"/>
    <w:rsid w:val="003011E2"/>
    <w:rsid w:val="00303C38"/>
    <w:rsid w:val="00331498"/>
    <w:rsid w:val="003317F3"/>
    <w:rsid w:val="00332B54"/>
    <w:rsid w:val="00332CE9"/>
    <w:rsid w:val="003349C0"/>
    <w:rsid w:val="0034222D"/>
    <w:rsid w:val="003534DD"/>
    <w:rsid w:val="003568FB"/>
    <w:rsid w:val="00361BF7"/>
    <w:rsid w:val="00364BB6"/>
    <w:rsid w:val="0036664E"/>
    <w:rsid w:val="00366E21"/>
    <w:rsid w:val="003756A2"/>
    <w:rsid w:val="00377E46"/>
    <w:rsid w:val="00377F95"/>
    <w:rsid w:val="0038069F"/>
    <w:rsid w:val="00383C9B"/>
    <w:rsid w:val="003849F7"/>
    <w:rsid w:val="003906AC"/>
    <w:rsid w:val="00393623"/>
    <w:rsid w:val="003966EB"/>
    <w:rsid w:val="003A575F"/>
    <w:rsid w:val="003B281E"/>
    <w:rsid w:val="003B6192"/>
    <w:rsid w:val="003C151C"/>
    <w:rsid w:val="003D19C7"/>
    <w:rsid w:val="003E3152"/>
    <w:rsid w:val="003E64D1"/>
    <w:rsid w:val="003F0AF5"/>
    <w:rsid w:val="003F1857"/>
    <w:rsid w:val="003F76B6"/>
    <w:rsid w:val="00400042"/>
    <w:rsid w:val="0040275E"/>
    <w:rsid w:val="0040593F"/>
    <w:rsid w:val="004213F5"/>
    <w:rsid w:val="004218DB"/>
    <w:rsid w:val="00423B8E"/>
    <w:rsid w:val="00425744"/>
    <w:rsid w:val="00425C8A"/>
    <w:rsid w:val="004345B5"/>
    <w:rsid w:val="0044147F"/>
    <w:rsid w:val="00444E57"/>
    <w:rsid w:val="00445CF8"/>
    <w:rsid w:val="00447701"/>
    <w:rsid w:val="00450A05"/>
    <w:rsid w:val="004517BE"/>
    <w:rsid w:val="004625C4"/>
    <w:rsid w:val="004639F2"/>
    <w:rsid w:val="00467B57"/>
    <w:rsid w:val="00471784"/>
    <w:rsid w:val="004750BC"/>
    <w:rsid w:val="004761CC"/>
    <w:rsid w:val="00480984"/>
    <w:rsid w:val="00487732"/>
    <w:rsid w:val="00497FD1"/>
    <w:rsid w:val="004B1AD1"/>
    <w:rsid w:val="004B775E"/>
    <w:rsid w:val="004B7DEB"/>
    <w:rsid w:val="004C0912"/>
    <w:rsid w:val="004C2066"/>
    <w:rsid w:val="004D200F"/>
    <w:rsid w:val="004E5DF7"/>
    <w:rsid w:val="004E5F3B"/>
    <w:rsid w:val="004E7FB0"/>
    <w:rsid w:val="004F48B2"/>
    <w:rsid w:val="00502019"/>
    <w:rsid w:val="00510B05"/>
    <w:rsid w:val="00516C3E"/>
    <w:rsid w:val="00520008"/>
    <w:rsid w:val="005204FF"/>
    <w:rsid w:val="0052702F"/>
    <w:rsid w:val="00536466"/>
    <w:rsid w:val="0054066B"/>
    <w:rsid w:val="00541DC0"/>
    <w:rsid w:val="00550F61"/>
    <w:rsid w:val="0055471B"/>
    <w:rsid w:val="00561AE4"/>
    <w:rsid w:val="00563888"/>
    <w:rsid w:val="00564056"/>
    <w:rsid w:val="00564902"/>
    <w:rsid w:val="00565534"/>
    <w:rsid w:val="00565B0F"/>
    <w:rsid w:val="00566A09"/>
    <w:rsid w:val="00575F41"/>
    <w:rsid w:val="005768C2"/>
    <w:rsid w:val="005806FC"/>
    <w:rsid w:val="005822CC"/>
    <w:rsid w:val="00583C2E"/>
    <w:rsid w:val="00585AEF"/>
    <w:rsid w:val="00587CCA"/>
    <w:rsid w:val="005938FD"/>
    <w:rsid w:val="005A1DF4"/>
    <w:rsid w:val="005A3339"/>
    <w:rsid w:val="005A766A"/>
    <w:rsid w:val="005B2C74"/>
    <w:rsid w:val="005B3DBD"/>
    <w:rsid w:val="005B4582"/>
    <w:rsid w:val="005B48A2"/>
    <w:rsid w:val="005B79B5"/>
    <w:rsid w:val="005C07F7"/>
    <w:rsid w:val="005C3C2C"/>
    <w:rsid w:val="005C3CB1"/>
    <w:rsid w:val="005C4836"/>
    <w:rsid w:val="005C50B9"/>
    <w:rsid w:val="005C6C01"/>
    <w:rsid w:val="005D00AA"/>
    <w:rsid w:val="005D6CE8"/>
    <w:rsid w:val="005F3029"/>
    <w:rsid w:val="005F5F45"/>
    <w:rsid w:val="005F5FE8"/>
    <w:rsid w:val="005F7A31"/>
    <w:rsid w:val="006058DD"/>
    <w:rsid w:val="00613891"/>
    <w:rsid w:val="006179D1"/>
    <w:rsid w:val="00620527"/>
    <w:rsid w:val="00622171"/>
    <w:rsid w:val="00622BF0"/>
    <w:rsid w:val="006238A4"/>
    <w:rsid w:val="006271E2"/>
    <w:rsid w:val="00636895"/>
    <w:rsid w:val="00636B8E"/>
    <w:rsid w:val="006410AB"/>
    <w:rsid w:val="006411DD"/>
    <w:rsid w:val="006416E4"/>
    <w:rsid w:val="006471E7"/>
    <w:rsid w:val="00650051"/>
    <w:rsid w:val="00655889"/>
    <w:rsid w:val="00660331"/>
    <w:rsid w:val="00672837"/>
    <w:rsid w:val="00675992"/>
    <w:rsid w:val="00684AD6"/>
    <w:rsid w:val="00685E79"/>
    <w:rsid w:val="00694A2E"/>
    <w:rsid w:val="0069724A"/>
    <w:rsid w:val="006976E9"/>
    <w:rsid w:val="006978A6"/>
    <w:rsid w:val="006A0A39"/>
    <w:rsid w:val="006A295A"/>
    <w:rsid w:val="006A33C0"/>
    <w:rsid w:val="006A6364"/>
    <w:rsid w:val="006A6D67"/>
    <w:rsid w:val="006A7479"/>
    <w:rsid w:val="006B0893"/>
    <w:rsid w:val="006B124D"/>
    <w:rsid w:val="006B6625"/>
    <w:rsid w:val="006C08CD"/>
    <w:rsid w:val="006C2D5C"/>
    <w:rsid w:val="006C5464"/>
    <w:rsid w:val="006C693C"/>
    <w:rsid w:val="006C6D74"/>
    <w:rsid w:val="006D12FF"/>
    <w:rsid w:val="006E0A9D"/>
    <w:rsid w:val="006E30F5"/>
    <w:rsid w:val="006E4674"/>
    <w:rsid w:val="006E59C6"/>
    <w:rsid w:val="006E7E06"/>
    <w:rsid w:val="006F0BD3"/>
    <w:rsid w:val="006F15C3"/>
    <w:rsid w:val="006F225D"/>
    <w:rsid w:val="00701D97"/>
    <w:rsid w:val="0070217D"/>
    <w:rsid w:val="00712703"/>
    <w:rsid w:val="00712A5B"/>
    <w:rsid w:val="00713ED2"/>
    <w:rsid w:val="00714CAC"/>
    <w:rsid w:val="007315BB"/>
    <w:rsid w:val="00733BE0"/>
    <w:rsid w:val="00740074"/>
    <w:rsid w:val="00745235"/>
    <w:rsid w:val="007467A3"/>
    <w:rsid w:val="00747549"/>
    <w:rsid w:val="00760D3F"/>
    <w:rsid w:val="00761023"/>
    <w:rsid w:val="00761AC6"/>
    <w:rsid w:val="007647E8"/>
    <w:rsid w:val="00772840"/>
    <w:rsid w:val="007731F3"/>
    <w:rsid w:val="007738D3"/>
    <w:rsid w:val="007771E2"/>
    <w:rsid w:val="00780AD9"/>
    <w:rsid w:val="00781D05"/>
    <w:rsid w:val="0078327E"/>
    <w:rsid w:val="00783B5E"/>
    <w:rsid w:val="00783C0F"/>
    <w:rsid w:val="00784806"/>
    <w:rsid w:val="0078627A"/>
    <w:rsid w:val="00786A10"/>
    <w:rsid w:val="00790A24"/>
    <w:rsid w:val="00795BF2"/>
    <w:rsid w:val="007A51E0"/>
    <w:rsid w:val="007A6589"/>
    <w:rsid w:val="007B10B6"/>
    <w:rsid w:val="007B2556"/>
    <w:rsid w:val="007B4408"/>
    <w:rsid w:val="007B6FA2"/>
    <w:rsid w:val="007C1DF2"/>
    <w:rsid w:val="007C73C6"/>
    <w:rsid w:val="007C7A80"/>
    <w:rsid w:val="007E00F1"/>
    <w:rsid w:val="007E2644"/>
    <w:rsid w:val="007E2BB4"/>
    <w:rsid w:val="007E3624"/>
    <w:rsid w:val="007E5FC7"/>
    <w:rsid w:val="007F3058"/>
    <w:rsid w:val="007F3369"/>
    <w:rsid w:val="008024B6"/>
    <w:rsid w:val="00802626"/>
    <w:rsid w:val="00802861"/>
    <w:rsid w:val="00804AF0"/>
    <w:rsid w:val="00804C55"/>
    <w:rsid w:val="0081081E"/>
    <w:rsid w:val="0082035D"/>
    <w:rsid w:val="008247FA"/>
    <w:rsid w:val="008502B1"/>
    <w:rsid w:val="008521A1"/>
    <w:rsid w:val="008603D8"/>
    <w:rsid w:val="00861069"/>
    <w:rsid w:val="008635F2"/>
    <w:rsid w:val="008652AF"/>
    <w:rsid w:val="00877812"/>
    <w:rsid w:val="00883C57"/>
    <w:rsid w:val="008937CB"/>
    <w:rsid w:val="0089690D"/>
    <w:rsid w:val="00897CE4"/>
    <w:rsid w:val="008A0EDA"/>
    <w:rsid w:val="008A593D"/>
    <w:rsid w:val="008B156E"/>
    <w:rsid w:val="008C181D"/>
    <w:rsid w:val="008D2900"/>
    <w:rsid w:val="008D301D"/>
    <w:rsid w:val="008D5AC8"/>
    <w:rsid w:val="008E2681"/>
    <w:rsid w:val="008E45CC"/>
    <w:rsid w:val="008E52BB"/>
    <w:rsid w:val="008E587B"/>
    <w:rsid w:val="008F27A5"/>
    <w:rsid w:val="00904429"/>
    <w:rsid w:val="0090695D"/>
    <w:rsid w:val="00913139"/>
    <w:rsid w:val="00914541"/>
    <w:rsid w:val="00922835"/>
    <w:rsid w:val="009257F6"/>
    <w:rsid w:val="00936B87"/>
    <w:rsid w:val="0094199A"/>
    <w:rsid w:val="00943C6A"/>
    <w:rsid w:val="00946E96"/>
    <w:rsid w:val="0095255E"/>
    <w:rsid w:val="00952A99"/>
    <w:rsid w:val="009542B7"/>
    <w:rsid w:val="00954C4C"/>
    <w:rsid w:val="00956154"/>
    <w:rsid w:val="0096338C"/>
    <w:rsid w:val="009634EF"/>
    <w:rsid w:val="00965AA3"/>
    <w:rsid w:val="00967367"/>
    <w:rsid w:val="0097048D"/>
    <w:rsid w:val="00971030"/>
    <w:rsid w:val="00971AC0"/>
    <w:rsid w:val="00974D85"/>
    <w:rsid w:val="00977BFC"/>
    <w:rsid w:val="00981431"/>
    <w:rsid w:val="00983BBA"/>
    <w:rsid w:val="00991C1F"/>
    <w:rsid w:val="00993505"/>
    <w:rsid w:val="009A3A04"/>
    <w:rsid w:val="009A47D6"/>
    <w:rsid w:val="009A6016"/>
    <w:rsid w:val="009B1709"/>
    <w:rsid w:val="009B18F0"/>
    <w:rsid w:val="009B5E4A"/>
    <w:rsid w:val="009B7BAC"/>
    <w:rsid w:val="009C0A72"/>
    <w:rsid w:val="009C11E6"/>
    <w:rsid w:val="009C3CAE"/>
    <w:rsid w:val="009D518D"/>
    <w:rsid w:val="009D610C"/>
    <w:rsid w:val="009D682F"/>
    <w:rsid w:val="009D6F2D"/>
    <w:rsid w:val="009E0B08"/>
    <w:rsid w:val="009F1AC1"/>
    <w:rsid w:val="009F36D8"/>
    <w:rsid w:val="009F67D8"/>
    <w:rsid w:val="00A037AB"/>
    <w:rsid w:val="00A037F9"/>
    <w:rsid w:val="00A107E4"/>
    <w:rsid w:val="00A14D36"/>
    <w:rsid w:val="00A23B8A"/>
    <w:rsid w:val="00A24DA0"/>
    <w:rsid w:val="00A25E02"/>
    <w:rsid w:val="00A322E6"/>
    <w:rsid w:val="00A328FB"/>
    <w:rsid w:val="00A33E69"/>
    <w:rsid w:val="00A36014"/>
    <w:rsid w:val="00A37DF6"/>
    <w:rsid w:val="00A40100"/>
    <w:rsid w:val="00A55258"/>
    <w:rsid w:val="00A64FA2"/>
    <w:rsid w:val="00A65DAD"/>
    <w:rsid w:val="00A73345"/>
    <w:rsid w:val="00A74393"/>
    <w:rsid w:val="00A74E39"/>
    <w:rsid w:val="00A8077F"/>
    <w:rsid w:val="00A80FAE"/>
    <w:rsid w:val="00A85A6C"/>
    <w:rsid w:val="00A94E3C"/>
    <w:rsid w:val="00AA1DA9"/>
    <w:rsid w:val="00AA1F89"/>
    <w:rsid w:val="00AA57D4"/>
    <w:rsid w:val="00AB5D2F"/>
    <w:rsid w:val="00AD4160"/>
    <w:rsid w:val="00AE27CB"/>
    <w:rsid w:val="00AE384A"/>
    <w:rsid w:val="00AE4A4A"/>
    <w:rsid w:val="00AF61D2"/>
    <w:rsid w:val="00AF71BB"/>
    <w:rsid w:val="00B00AF6"/>
    <w:rsid w:val="00B02C75"/>
    <w:rsid w:val="00B06437"/>
    <w:rsid w:val="00B07399"/>
    <w:rsid w:val="00B22E88"/>
    <w:rsid w:val="00B24900"/>
    <w:rsid w:val="00B25319"/>
    <w:rsid w:val="00B25859"/>
    <w:rsid w:val="00B25B8C"/>
    <w:rsid w:val="00B35655"/>
    <w:rsid w:val="00B530E6"/>
    <w:rsid w:val="00B53BB9"/>
    <w:rsid w:val="00B72534"/>
    <w:rsid w:val="00B73E2B"/>
    <w:rsid w:val="00B7701A"/>
    <w:rsid w:val="00B7744F"/>
    <w:rsid w:val="00B83F70"/>
    <w:rsid w:val="00B851A0"/>
    <w:rsid w:val="00B969A3"/>
    <w:rsid w:val="00B97313"/>
    <w:rsid w:val="00BA3507"/>
    <w:rsid w:val="00BA3DFC"/>
    <w:rsid w:val="00BA656B"/>
    <w:rsid w:val="00BB1B5D"/>
    <w:rsid w:val="00BC0250"/>
    <w:rsid w:val="00BC0A41"/>
    <w:rsid w:val="00BD2469"/>
    <w:rsid w:val="00BD7E23"/>
    <w:rsid w:val="00BE1901"/>
    <w:rsid w:val="00BE24A9"/>
    <w:rsid w:val="00BE3E4E"/>
    <w:rsid w:val="00BE427E"/>
    <w:rsid w:val="00BF5027"/>
    <w:rsid w:val="00BF5D43"/>
    <w:rsid w:val="00BF6509"/>
    <w:rsid w:val="00BF7CCF"/>
    <w:rsid w:val="00C072A2"/>
    <w:rsid w:val="00C122DC"/>
    <w:rsid w:val="00C14395"/>
    <w:rsid w:val="00C174A3"/>
    <w:rsid w:val="00C177E3"/>
    <w:rsid w:val="00C17B69"/>
    <w:rsid w:val="00C2292B"/>
    <w:rsid w:val="00C245D5"/>
    <w:rsid w:val="00C24E5A"/>
    <w:rsid w:val="00C2526E"/>
    <w:rsid w:val="00C26A7F"/>
    <w:rsid w:val="00C26B71"/>
    <w:rsid w:val="00C328F5"/>
    <w:rsid w:val="00C3315E"/>
    <w:rsid w:val="00C3401E"/>
    <w:rsid w:val="00C37F18"/>
    <w:rsid w:val="00C4389A"/>
    <w:rsid w:val="00C458AC"/>
    <w:rsid w:val="00C460A9"/>
    <w:rsid w:val="00C561A3"/>
    <w:rsid w:val="00C64BC7"/>
    <w:rsid w:val="00C7591E"/>
    <w:rsid w:val="00C8208C"/>
    <w:rsid w:val="00C83205"/>
    <w:rsid w:val="00C849A7"/>
    <w:rsid w:val="00C861F9"/>
    <w:rsid w:val="00C873E1"/>
    <w:rsid w:val="00C87BA6"/>
    <w:rsid w:val="00C921FB"/>
    <w:rsid w:val="00C9252D"/>
    <w:rsid w:val="00CA0A52"/>
    <w:rsid w:val="00CA651C"/>
    <w:rsid w:val="00CB583C"/>
    <w:rsid w:val="00CB5AD5"/>
    <w:rsid w:val="00CB605C"/>
    <w:rsid w:val="00CC097F"/>
    <w:rsid w:val="00CD6566"/>
    <w:rsid w:val="00CD6A9C"/>
    <w:rsid w:val="00CE1D77"/>
    <w:rsid w:val="00CE3CA6"/>
    <w:rsid w:val="00CF3DED"/>
    <w:rsid w:val="00CF7076"/>
    <w:rsid w:val="00D03003"/>
    <w:rsid w:val="00D12DD9"/>
    <w:rsid w:val="00D130C4"/>
    <w:rsid w:val="00D14D4C"/>
    <w:rsid w:val="00D22F0B"/>
    <w:rsid w:val="00D255C2"/>
    <w:rsid w:val="00D319E6"/>
    <w:rsid w:val="00D37DA2"/>
    <w:rsid w:val="00D40C92"/>
    <w:rsid w:val="00D4298B"/>
    <w:rsid w:val="00D458EF"/>
    <w:rsid w:val="00D46637"/>
    <w:rsid w:val="00D47118"/>
    <w:rsid w:val="00D474CF"/>
    <w:rsid w:val="00D50566"/>
    <w:rsid w:val="00D659D0"/>
    <w:rsid w:val="00D6741F"/>
    <w:rsid w:val="00D7205E"/>
    <w:rsid w:val="00D74C95"/>
    <w:rsid w:val="00D74F7F"/>
    <w:rsid w:val="00D8081D"/>
    <w:rsid w:val="00D83392"/>
    <w:rsid w:val="00D83838"/>
    <w:rsid w:val="00D85783"/>
    <w:rsid w:val="00D85CA0"/>
    <w:rsid w:val="00D85F61"/>
    <w:rsid w:val="00D87FAD"/>
    <w:rsid w:val="00D905FA"/>
    <w:rsid w:val="00D913C4"/>
    <w:rsid w:val="00D957DD"/>
    <w:rsid w:val="00DA35D2"/>
    <w:rsid w:val="00DA47DA"/>
    <w:rsid w:val="00DA5488"/>
    <w:rsid w:val="00DB1BBD"/>
    <w:rsid w:val="00DB7C92"/>
    <w:rsid w:val="00DD2528"/>
    <w:rsid w:val="00DD4CA3"/>
    <w:rsid w:val="00DD5909"/>
    <w:rsid w:val="00DE0E71"/>
    <w:rsid w:val="00DE445D"/>
    <w:rsid w:val="00DF330D"/>
    <w:rsid w:val="00DF4E0F"/>
    <w:rsid w:val="00E030C6"/>
    <w:rsid w:val="00E07A68"/>
    <w:rsid w:val="00E07CA2"/>
    <w:rsid w:val="00E1127F"/>
    <w:rsid w:val="00E1290B"/>
    <w:rsid w:val="00E144F4"/>
    <w:rsid w:val="00E23276"/>
    <w:rsid w:val="00E3217E"/>
    <w:rsid w:val="00E43141"/>
    <w:rsid w:val="00E516D2"/>
    <w:rsid w:val="00E51F67"/>
    <w:rsid w:val="00E52F68"/>
    <w:rsid w:val="00E5323B"/>
    <w:rsid w:val="00E54C5D"/>
    <w:rsid w:val="00E574F6"/>
    <w:rsid w:val="00E65C3A"/>
    <w:rsid w:val="00E66333"/>
    <w:rsid w:val="00E74333"/>
    <w:rsid w:val="00E81508"/>
    <w:rsid w:val="00E81D74"/>
    <w:rsid w:val="00E86A18"/>
    <w:rsid w:val="00E87877"/>
    <w:rsid w:val="00E87E12"/>
    <w:rsid w:val="00E93261"/>
    <w:rsid w:val="00E9424E"/>
    <w:rsid w:val="00E97187"/>
    <w:rsid w:val="00EC1B0F"/>
    <w:rsid w:val="00EC1BFE"/>
    <w:rsid w:val="00EC50A3"/>
    <w:rsid w:val="00EC6344"/>
    <w:rsid w:val="00ED11DE"/>
    <w:rsid w:val="00ED5882"/>
    <w:rsid w:val="00EE2B1C"/>
    <w:rsid w:val="00EE47CF"/>
    <w:rsid w:val="00EE7B9A"/>
    <w:rsid w:val="00EF0CAC"/>
    <w:rsid w:val="00EF551B"/>
    <w:rsid w:val="00EF6A39"/>
    <w:rsid w:val="00EF70D6"/>
    <w:rsid w:val="00F04B82"/>
    <w:rsid w:val="00F06313"/>
    <w:rsid w:val="00F102D1"/>
    <w:rsid w:val="00F15EE9"/>
    <w:rsid w:val="00F16787"/>
    <w:rsid w:val="00F2055F"/>
    <w:rsid w:val="00F27C59"/>
    <w:rsid w:val="00F41F60"/>
    <w:rsid w:val="00F466AB"/>
    <w:rsid w:val="00F472AC"/>
    <w:rsid w:val="00F47310"/>
    <w:rsid w:val="00F47388"/>
    <w:rsid w:val="00F51291"/>
    <w:rsid w:val="00F52937"/>
    <w:rsid w:val="00F56943"/>
    <w:rsid w:val="00F61891"/>
    <w:rsid w:val="00F6715B"/>
    <w:rsid w:val="00F732E2"/>
    <w:rsid w:val="00F73C96"/>
    <w:rsid w:val="00F76F74"/>
    <w:rsid w:val="00F80B8E"/>
    <w:rsid w:val="00F820D3"/>
    <w:rsid w:val="00F82736"/>
    <w:rsid w:val="00F82AF9"/>
    <w:rsid w:val="00F84FF0"/>
    <w:rsid w:val="00F87C63"/>
    <w:rsid w:val="00F948AE"/>
    <w:rsid w:val="00F95E70"/>
    <w:rsid w:val="00F97E3B"/>
    <w:rsid w:val="00FC6492"/>
    <w:rsid w:val="00FC7CF7"/>
    <w:rsid w:val="00FD0A2F"/>
    <w:rsid w:val="00FE0939"/>
    <w:rsid w:val="00FE1A0A"/>
    <w:rsid w:val="00FE78B0"/>
    <w:rsid w:val="00FF3899"/>
    <w:rsid w:val="00FF3C53"/>
    <w:rsid w:val="00FF41FE"/>
    <w:rsid w:val="00FF44F1"/>
    <w:rsid w:val="00FF5D33"/>
    <w:rsid w:val="00FF76E4"/>
    <w:rsid w:val="016072AF"/>
    <w:rsid w:val="020925B8"/>
    <w:rsid w:val="02D1729F"/>
    <w:rsid w:val="04043713"/>
    <w:rsid w:val="055F25EE"/>
    <w:rsid w:val="083579C3"/>
    <w:rsid w:val="0CC67C78"/>
    <w:rsid w:val="0DB97A45"/>
    <w:rsid w:val="0E4B5E5D"/>
    <w:rsid w:val="11CC0579"/>
    <w:rsid w:val="15355F42"/>
    <w:rsid w:val="154D2C97"/>
    <w:rsid w:val="1BD83FB4"/>
    <w:rsid w:val="263B75CA"/>
    <w:rsid w:val="27B817E0"/>
    <w:rsid w:val="28A1438C"/>
    <w:rsid w:val="2A62271D"/>
    <w:rsid w:val="30BE1091"/>
    <w:rsid w:val="340B19E8"/>
    <w:rsid w:val="34171BC6"/>
    <w:rsid w:val="398702CA"/>
    <w:rsid w:val="39FB1E66"/>
    <w:rsid w:val="3CF772CF"/>
    <w:rsid w:val="3D544396"/>
    <w:rsid w:val="3FD124CF"/>
    <w:rsid w:val="424402BA"/>
    <w:rsid w:val="439629ED"/>
    <w:rsid w:val="440D2D81"/>
    <w:rsid w:val="443C5186"/>
    <w:rsid w:val="45871F95"/>
    <w:rsid w:val="46F064EB"/>
    <w:rsid w:val="48EE0783"/>
    <w:rsid w:val="4D5F6476"/>
    <w:rsid w:val="512B5897"/>
    <w:rsid w:val="54161DFB"/>
    <w:rsid w:val="552C10A0"/>
    <w:rsid w:val="553A6DB1"/>
    <w:rsid w:val="568A3A61"/>
    <w:rsid w:val="5690758D"/>
    <w:rsid w:val="574C2248"/>
    <w:rsid w:val="57D52A60"/>
    <w:rsid w:val="58F93D73"/>
    <w:rsid w:val="5BFB6756"/>
    <w:rsid w:val="5C805F45"/>
    <w:rsid w:val="5D095155"/>
    <w:rsid w:val="5F227822"/>
    <w:rsid w:val="65CA6A8B"/>
    <w:rsid w:val="66C54162"/>
    <w:rsid w:val="679705A0"/>
    <w:rsid w:val="684A197A"/>
    <w:rsid w:val="69B74A07"/>
    <w:rsid w:val="6C391CC2"/>
    <w:rsid w:val="6C4F5FC2"/>
    <w:rsid w:val="72B83258"/>
    <w:rsid w:val="744B09C1"/>
    <w:rsid w:val="74C83AD0"/>
    <w:rsid w:val="75AC5DCB"/>
    <w:rsid w:val="76D32109"/>
    <w:rsid w:val="78CB0669"/>
    <w:rsid w:val="79F37723"/>
    <w:rsid w:val="7DCC3271"/>
    <w:rsid w:val="7E6D2B56"/>
    <w:rsid w:val="7EB64B61"/>
    <w:rsid w:val="7EBA645D"/>
    <w:rsid w:val="7EE9378C"/>
    <w:rsid w:val="7EED1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F51C3"/>
  <w15:docId w15:val="{62FF3620-1A04-404A-B045-1AA366198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rPr>
  </w:style>
  <w:style w:type="paragraph" w:styleId="Heading1">
    <w:name w:val="heading 1"/>
    <w:basedOn w:val="Normal"/>
    <w:next w:val="Normal"/>
    <w:link w:val="Heading1Char"/>
    <w:qFormat/>
    <w:pPr>
      <w:keepNext/>
      <w:ind w:left="-720"/>
      <w:jc w:val="center"/>
      <w:outlineLvl w:val="0"/>
    </w:pPr>
    <w:rPr>
      <w:sz w:val="40"/>
    </w:rPr>
  </w:style>
  <w:style w:type="paragraph" w:styleId="Heading4">
    <w:name w:val="heading 4"/>
    <w:basedOn w:val="Normal"/>
    <w:next w:val="Normal"/>
    <w:link w:val="Heading4Char"/>
    <w:uiPriority w:val="9"/>
    <w:unhideWhenUsed/>
    <w:qFormat/>
    <w:pPr>
      <w:keepNext/>
      <w:keepLines/>
      <w:spacing w:before="200"/>
      <w:outlineLvl w:val="3"/>
    </w:pPr>
    <w:rPr>
      <w:rFonts w:ascii="Calibri" w:eastAsia="MS Gothic" w:hAnsi="Calibri"/>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Lucida Grande" w:hAnsi="Lucida Grande" w:cs="Lucida Grande"/>
      <w:sz w:val="18"/>
      <w:szCs w:val="18"/>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iPriority w:val="99"/>
    <w:unhideWhenUsed/>
    <w:qFormat/>
    <w:rPr>
      <w:b/>
      <w:bCs/>
    </w:rPr>
  </w:style>
  <w:style w:type="character" w:styleId="FollowedHyperlink">
    <w:name w:val="FollowedHyperlink"/>
    <w:qFormat/>
    <w:rPr>
      <w:color w:val="3366FF"/>
      <w:u w:val="none"/>
    </w:rPr>
  </w:style>
  <w:style w:type="paragraph" w:styleId="Footer">
    <w:name w:val="footer"/>
    <w:basedOn w:val="Normal"/>
    <w:link w:val="FooterChar"/>
    <w:uiPriority w:val="99"/>
    <w:unhideWhenUsed/>
    <w:qFormat/>
    <w:pPr>
      <w:tabs>
        <w:tab w:val="center" w:pos="4680"/>
        <w:tab w:val="right" w:pos="9360"/>
      </w:tabs>
    </w:pPr>
  </w:style>
  <w:style w:type="character" w:styleId="FootnoteReference">
    <w:name w:val="footnote reference"/>
    <w:uiPriority w:val="99"/>
    <w:qFormat/>
    <w:rPr>
      <w:vertAlign w:val="superscript"/>
    </w:rPr>
  </w:style>
  <w:style w:type="paragraph" w:styleId="FootnoteText">
    <w:name w:val="footnote text"/>
    <w:basedOn w:val="Normal"/>
    <w:link w:val="FootnoteTextChar"/>
    <w:uiPriority w:val="99"/>
    <w:rPr>
      <w:sz w:val="20"/>
      <w:szCs w:val="20"/>
    </w:r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uiPriority w:val="99"/>
    <w:qFormat/>
    <w:rPr>
      <w:color w:val="3366FF"/>
      <w:u w:val="none"/>
    </w:rPr>
  </w:style>
  <w:style w:type="paragraph" w:styleId="TOC1">
    <w:name w:val="toc 1"/>
    <w:basedOn w:val="Normal"/>
    <w:next w:val="Normal"/>
    <w:uiPriority w:val="39"/>
    <w:unhideWhenUsed/>
    <w:pPr>
      <w:spacing w:after="100"/>
    </w:pPr>
  </w:style>
  <w:style w:type="character" w:customStyle="1" w:styleId="Heading1Char">
    <w:name w:val="Heading 1 Char"/>
    <w:basedOn w:val="DefaultParagraphFont"/>
    <w:link w:val="Heading1"/>
    <w:qFormat/>
    <w:rPr>
      <w:rFonts w:ascii="Times New Roman" w:eastAsia="Times New Roman" w:hAnsi="Times New Roman" w:cs="Times New Roman"/>
      <w:sz w:val="40"/>
    </w:rPr>
  </w:style>
  <w:style w:type="character" w:customStyle="1" w:styleId="Heading4Char">
    <w:name w:val="Heading 4 Char"/>
    <w:basedOn w:val="DefaultParagraphFont"/>
    <w:link w:val="Heading4"/>
    <w:uiPriority w:val="9"/>
    <w:semiHidden/>
    <w:qFormat/>
    <w:rPr>
      <w:rFonts w:ascii="Calibri" w:eastAsia="MS Gothic" w:hAnsi="Calibri" w:cs="Times New Roman"/>
      <w:b/>
      <w:bCs/>
      <w:i/>
      <w:iCs/>
      <w:color w:val="4F81BD"/>
    </w:rPr>
  </w:style>
  <w:style w:type="character" w:customStyle="1" w:styleId="BalloonTextChar">
    <w:name w:val="Balloon Text Char"/>
    <w:basedOn w:val="DefaultParagraphFont"/>
    <w:link w:val="BalloonText"/>
    <w:uiPriority w:val="99"/>
    <w:semiHidden/>
    <w:qFormat/>
    <w:rPr>
      <w:rFonts w:ascii="Lucida Grande" w:eastAsia="Times New Roman" w:hAnsi="Lucida Grande" w:cs="Lucida Grande"/>
      <w:sz w:val="18"/>
      <w:szCs w:val="18"/>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Times New Roman" w:hAnsi="Times New Roman" w:cs="Times New Roman"/>
    </w:rPr>
  </w:style>
  <w:style w:type="character" w:customStyle="1" w:styleId="FootnoteTextChar">
    <w:name w:val="Footnote Text Char"/>
    <w:basedOn w:val="DefaultParagraphFont"/>
    <w:link w:val="FootnoteText"/>
    <w:uiPriority w:val="99"/>
    <w:qFormat/>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qFormat/>
    <w:rPr>
      <w:rFonts w:ascii="Times New Roman" w:eastAsia="Times New Roman" w:hAnsi="Times New Roman" w:cs="Times New Roman"/>
    </w:rPr>
  </w:style>
  <w:style w:type="paragraph" w:customStyle="1" w:styleId="Tabletext">
    <w:name w:val="Table text"/>
    <w:basedOn w:val="Normal"/>
    <w:qFormat/>
    <w:rPr>
      <w:rFonts w:ascii="Arial" w:hAnsi="Arial"/>
      <w:sz w:val="22"/>
      <w:szCs w:val="20"/>
      <w:lang w:val="en-GB"/>
    </w:rPr>
  </w:style>
  <w:style w:type="paragraph" w:customStyle="1" w:styleId="FrontPageTitle">
    <w:name w:val="Front Page Title"/>
    <w:basedOn w:val="Normal"/>
    <w:qFormat/>
    <w:pPr>
      <w:spacing w:before="180"/>
      <w:jc w:val="right"/>
    </w:pPr>
    <w:rPr>
      <w:rFonts w:cs="Arial"/>
      <w:b/>
      <w:bCs/>
      <w:sz w:val="40"/>
    </w:rPr>
  </w:style>
  <w:style w:type="paragraph" w:customStyle="1" w:styleId="FrontPageSubtitle">
    <w:name w:val="Front Page Subtitle"/>
    <w:basedOn w:val="FrontPageTitle"/>
    <w:qFormat/>
    <w:rPr>
      <w:sz w:val="32"/>
    </w:rPr>
  </w:style>
  <w:style w:type="character" w:customStyle="1" w:styleId="ms-rtethemeforecolor-2-01">
    <w:name w:val="ms-rtethemeforecolor-2-01"/>
    <w:qFormat/>
    <w:rPr>
      <w:color w:val="000000"/>
    </w:rPr>
  </w:style>
  <w:style w:type="paragraph" w:styleId="ListParagraph">
    <w:name w:val="List Paragraph"/>
    <w:basedOn w:val="Normal"/>
    <w:link w:val="ListParagraphChar"/>
    <w:uiPriority w:val="34"/>
    <w:qFormat/>
    <w:pPr>
      <w:contextualSpacing/>
    </w:pPr>
    <w:rPr>
      <w:rFonts w:ascii="Cambria" w:eastAsia="MS Mincho" w:hAnsi="Cambria"/>
    </w:rPr>
  </w:style>
  <w:style w:type="character" w:customStyle="1" w:styleId="ListParagraphChar">
    <w:name w:val="List Paragraph Char"/>
    <w:link w:val="ListParagraph"/>
    <w:uiPriority w:val="34"/>
    <w:qFormat/>
    <w:locked/>
  </w:style>
  <w:style w:type="paragraph" w:styleId="NoSpacing">
    <w:name w:val="No Spacing"/>
    <w:basedOn w:val="Normal"/>
    <w:uiPriority w:val="1"/>
    <w:qFormat/>
    <w:rPr>
      <w:rFonts w:ascii="Cambria" w:eastAsia="MS Mincho" w:hAnsi="Cambria"/>
    </w:rPr>
  </w:style>
  <w:style w:type="paragraph" w:customStyle="1" w:styleId="BulletedList">
    <w:name w:val="BulletedList"/>
    <w:basedOn w:val="NoSpacing"/>
    <w:qFormat/>
    <w:pPr>
      <w:numPr>
        <w:numId w:val="1"/>
      </w:numPr>
    </w:pPr>
  </w:style>
  <w:style w:type="paragraph" w:customStyle="1" w:styleId="Boldoneline">
    <w:name w:val="Boldoneline"/>
    <w:basedOn w:val="NoSpacing"/>
    <w:qFormat/>
    <w:pPr>
      <w:spacing w:before="360"/>
    </w:pPr>
    <w:rPr>
      <w:b/>
    </w:rPr>
  </w:style>
  <w:style w:type="character" w:styleId="PlaceholderText">
    <w:name w:val="Placeholder Text"/>
    <w:basedOn w:val="DefaultParagraphFont"/>
    <w:uiPriority w:val="99"/>
    <w:semiHidden/>
    <w:qFormat/>
    <w:rPr>
      <w:color w:val="808080"/>
    </w:rPr>
  </w:style>
  <w:style w:type="paragraph" w:customStyle="1" w:styleId="Revision1">
    <w:name w:val="Revision1"/>
    <w:uiPriority w:val="99"/>
    <w:semiHidden/>
    <w:qFormat/>
    <w:rPr>
      <w:rFonts w:ascii="Times New Roman" w:eastAsia="Times New Roman" w:hAnsi="Times New Roman"/>
      <w:sz w:val="24"/>
      <w:szCs w:val="24"/>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msonormal0">
    <w:name w:val="msonormal"/>
    <w:basedOn w:val="Normal"/>
    <w:qFormat/>
    <w:pPr>
      <w:spacing w:before="100" w:beforeAutospacing="1" w:after="100" w:afterAutospacing="1"/>
    </w:pPr>
    <w:rPr>
      <w:lang w:val="en-GB" w:eastAsia="en-GB"/>
    </w:rPr>
  </w:style>
  <w:style w:type="paragraph" w:customStyle="1" w:styleId="paragraph">
    <w:name w:val="paragraph"/>
    <w:basedOn w:val="Normal"/>
    <w:qFormat/>
    <w:pPr>
      <w:spacing w:before="100" w:beforeAutospacing="1" w:after="100" w:afterAutospacing="1"/>
    </w:pPr>
    <w:rPr>
      <w:lang w:val="en-GB" w:eastAsia="en-GB"/>
    </w:rPr>
  </w:style>
  <w:style w:type="character" w:customStyle="1" w:styleId="textrun">
    <w:name w:val="textrun"/>
    <w:basedOn w:val="DefaultParagraphFont"/>
    <w:qFormat/>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outlineelement">
    <w:name w:val="outlineelement"/>
    <w:basedOn w:val="Normal"/>
    <w:qFormat/>
    <w:pPr>
      <w:spacing w:before="100" w:beforeAutospacing="1" w:after="100" w:afterAutospacing="1"/>
    </w:pPr>
    <w:rPr>
      <w:lang w:val="en-GB" w:eastAsia="en-GB"/>
    </w:rPr>
  </w:style>
  <w:style w:type="character" w:customStyle="1" w:styleId="superscript">
    <w:name w:val="superscript"/>
    <w:basedOn w:val="DefaultParagraphFont"/>
    <w:qFormat/>
  </w:style>
  <w:style w:type="character" w:customStyle="1" w:styleId="wacimagecontainer">
    <w:name w:val="wacimagecontainer"/>
    <w:basedOn w:val="DefaultParagraphFont"/>
    <w:qFormat/>
  </w:style>
  <w:style w:type="character" w:customStyle="1" w:styleId="fieldrange">
    <w:name w:val="fieldrange"/>
    <w:basedOn w:val="DefaultParagraphFont"/>
    <w:qFormat/>
  </w:style>
  <w:style w:type="character" w:customStyle="1" w:styleId="UnresolvedMention2">
    <w:name w:val="Unresolved Mention2"/>
    <w:basedOn w:val="DefaultParagraphFont"/>
    <w:uiPriority w:val="99"/>
    <w:unhideWhenUsed/>
    <w:qFormat/>
    <w:rPr>
      <w:color w:val="605E5C"/>
      <w:shd w:val="clear" w:color="auto" w:fill="E1DFDD"/>
    </w:rPr>
  </w:style>
  <w:style w:type="paragraph" w:customStyle="1" w:styleId="Default">
    <w:name w:val="Default"/>
    <w:qFormat/>
    <w:pPr>
      <w:autoSpaceDE w:val="0"/>
      <w:autoSpaceDN w:val="0"/>
      <w:adjustRightInd w:val="0"/>
    </w:pPr>
    <w:rPr>
      <w:rFonts w:ascii="Times New Roman" w:eastAsia="Cambria" w:hAnsi="Times New Roman"/>
      <w:color w:val="000000"/>
      <w:sz w:val="24"/>
      <w:szCs w:val="24"/>
    </w:rPr>
  </w:style>
  <w:style w:type="character" w:customStyle="1" w:styleId="x1a">
    <w:name w:val="x1a"/>
    <w:basedOn w:val="DefaultParagraphFont"/>
    <w:qFormat/>
  </w:style>
  <w:style w:type="character" w:customStyle="1" w:styleId="appsboldfont">
    <w:name w:val="appsboldfont"/>
    <w:basedOn w:val="DefaultParagraphFont"/>
    <w:qFormat/>
  </w:style>
  <w:style w:type="paragraph" w:customStyle="1" w:styleId="TOCHeading1">
    <w:name w:val="TOC Heading1"/>
    <w:basedOn w:val="Heading1"/>
    <w:next w:val="Normal"/>
    <w:uiPriority w:val="39"/>
    <w:unhideWhenUsed/>
    <w:qFormat/>
    <w:pPr>
      <w:keepLines/>
      <w:spacing w:before="240" w:line="259" w:lineRule="auto"/>
      <w:ind w:left="0"/>
      <w:jc w:val="left"/>
      <w:outlineLvl w:val="9"/>
    </w:pPr>
    <w:rPr>
      <w:rFonts w:ascii="Calibri" w:eastAsia="MS Gothic" w:hAnsi="Calibri"/>
      <w:color w:val="366091"/>
      <w:sz w:val="32"/>
      <w:szCs w:val="32"/>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UnresolvedMention4">
    <w:name w:val="Unresolved Mention4"/>
    <w:basedOn w:val="DefaultParagraphFont"/>
    <w:uiPriority w:val="99"/>
    <w:unhideWhenUsed/>
    <w:rPr>
      <w:color w:val="605E5C"/>
      <w:shd w:val="clear" w:color="auto" w:fill="E1DFDD"/>
    </w:rPr>
  </w:style>
  <w:style w:type="paragraph" w:customStyle="1" w:styleId="Revision2">
    <w:name w:val="Revision2"/>
    <w:uiPriority w:val="99"/>
    <w:semiHidden/>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BB1B5D"/>
    <w:rPr>
      <w:color w:val="605E5C"/>
      <w:shd w:val="clear" w:color="auto" w:fill="E1DFDD"/>
    </w:rPr>
  </w:style>
  <w:style w:type="paragraph" w:styleId="Revision">
    <w:name w:val="Revision"/>
    <w:hidden/>
    <w:uiPriority w:val="99"/>
    <w:unhideWhenUsed/>
    <w:rsid w:val="00AE4A4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20https://info.undp.org/gssu/SiteAssets/PSA/IPSA/Human%20Resources%20Practitioners/3-Forms%20and%20Templates/Certificate_of_Good_Health.doc" TargetMode="External"/><Relationship Id="rId13" Type="http://schemas.openxmlformats.org/officeDocument/2006/relationships/hyperlink" Target="https://estm.fa.em2.oraclecloud.com/hcmUI/faces/FndOverview?fnd=%3B%3B%3B%3Bfalse%3B256%3B%3B%3B&amp;fndGlobalItemNodeId=itemNode_manager_resources_CareerandPerformance&amp;_afrLoop=51988636887518897&amp;_afrWindowMode=0&amp;_afrWindowId=il1sewf7g&amp;_adf.ctrl-state=15xm4069zv_108&amp;_afrFS=16&amp;_afrMT=screen&amp;_afrMFW=1756&amp;_afrMFH=880&amp;_afrMFDW=2195&amp;_afrMFDH=1235&amp;_afrMFC=8&amp;_afrMFCI=0&amp;_afrMFM=0&amp;_afrMFR=210&amp;_afrMFG=0&amp;_afrMFS=0&amp;_afrMFO=0" TargetMode="External"/><Relationship Id="rId18" Type="http://schemas.openxmlformats.org/officeDocument/2006/relationships/hyperlink" Target="https://popp.undp.org/node/726" TargetMode="External"/><Relationship Id="rId26" Type="http://schemas.openxmlformats.org/officeDocument/2006/relationships/hyperlink" Target="https://popp.undp.org/node/726" TargetMode="External"/><Relationship Id="rId3" Type="http://schemas.openxmlformats.org/officeDocument/2006/relationships/settings" Target="settings.xml"/><Relationship Id="rId21" Type="http://schemas.openxmlformats.org/officeDocument/2006/relationships/hyperlink" Target="https://undp.sharepoint.com/:x:/r/teams/OHR-Portal/Shared%20Documents/PSA/PSA_Remuneration_setting_Tool.xlsx?d=w2524519f19b2477e827dd17bb45c0e50&amp;csf=1&amp;web=1&amp;e=mmEUfz" TargetMode="External"/><Relationship Id="rId7" Type="http://schemas.openxmlformats.org/officeDocument/2006/relationships/hyperlink" Target="%20https://info.undp.org/gssu/SiteAssets/PSA/IPSA/Human%20Resources%20Practitioners/3-Forms%20and%20Templates/Guide%20in%20Writing%20a%20TOR%20for%20IPSA.docx" TargetMode="External"/><Relationship Id="rId12" Type="http://schemas.openxmlformats.org/officeDocument/2006/relationships/hyperlink" Target="mailto:reportmisconduct@undp.org" TargetMode="External"/><Relationship Id="rId17" Type="http://schemas.openxmlformats.org/officeDocument/2006/relationships/hyperlink" Target="https://estm.fa.em2.oraclecloud.com/hcmUI/faces/FndOverview?fnd=%3B%3B%3B%3Bfalse%3B256%3B%3B%3B&amp;fndGlobalItemNodeId=itemNode_manager_resources_CareerandPerformance&amp;_afrLoop=51988636887518897&amp;_afrWindowMode=0&amp;_afrWindowId=il1sewf7g&amp;_adf.ctrl-state=15xm4069zv_108&amp;_afrFS=16&amp;_afrMT=screen&amp;_afrMFW=1756&amp;_afrMFH=880&amp;_afrMFDW=2195&amp;_afrMFDH=1235&amp;_afrMFC=8&amp;_afrMFCI=0&amp;_afrMFM=0&amp;_afrMFR=210&amp;_afrMFG=0&amp;_afrMFS=0&amp;_afrMFO=0" TargetMode="External"/><Relationship Id="rId25" Type="http://schemas.openxmlformats.org/officeDocument/2006/relationships/hyperlink" Target="https://undp.sharepoint.com/:w:/r/teams/GSSC/Shared%20Documents/HR/PSA/IPSA/Forms%20and%20Template/Vendor-Person_profile_update.doc?d=wb438bbc6de764c2e80031449a0616152&amp;csf=1&amp;web=1&amp;e=Dbw3I1" TargetMode="External"/><Relationship Id="rId2" Type="http://schemas.openxmlformats.org/officeDocument/2006/relationships/styles" Target="styles.xml"/><Relationship Id="rId16" Type="http://schemas.openxmlformats.org/officeDocument/2006/relationships/hyperlink" Target="https://hr.partneragencies.org/" TargetMode="External"/><Relationship Id="rId20" Type="http://schemas.openxmlformats.org/officeDocument/2006/relationships/hyperlink" Target="https://undp.sharepoint.com/:w:/r/teams/GSSC/Shared%20Documents/HR/PSA/IPSA/Forms%20and%20Template/Guide%20in%20Writing%20a%20TOR%20for%20IPSA.docx?d=w341018457f93459695abef4e1a03c5e5&amp;csf=1&amp;web=1&amp;e=bwmemB"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arassment.support@undp.org" TargetMode="External"/><Relationship Id="rId24" Type="http://schemas.openxmlformats.org/officeDocument/2006/relationships/hyperlink" Target="https://undp.sharepoint.com/:w:/r/teams/GSSC/Shared%20Documents/HR/PSA/IPSA/Forms%20and%20Template/PSA%20Face%20Sheet%20and%20GTC%20(Regular)_Revised.docx?d=w5c7721ca75c14825b7633733e22f5d62&amp;csf=1&amp;web=1&amp;e=WrR0Ha"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undp.sharepoint.com/:w:/r/teams/GSSC/_layouts/15/Doc.aspx?sourcedoc=%7B3E1D49A6-AEF0-494A-847A-4BF5096DDAFF%7D&amp;file=PSA%20Face%20Sheet%20and%20GTC%20(Regular)_Revised.docx&amp;action=default&amp;mobileredirect=true" TargetMode="External"/><Relationship Id="rId23" Type="http://schemas.openxmlformats.org/officeDocument/2006/relationships/hyperlink" Target="https://undp.sharepoint.com/:w:/r/teams/GSSC/Shared%20Documents/HR/PSA/IPSA/Forms%20and%20Template/Certificate_of_Good_Health.doc?d=w007d76c856c24a3397e1ba43eb85216d&amp;csf=1&amp;web=1&amp;e=yRDlkX" TargetMode="External"/><Relationship Id="rId28" Type="http://schemas.openxmlformats.org/officeDocument/2006/relationships/footer" Target="footer1.xml"/><Relationship Id="rId10" Type="http://schemas.openxmlformats.org/officeDocument/2006/relationships/hyperlink" Target="https://info.undp.org/gssu/SiteAssets/PSA/IPSA/Human%20Resources%20Practitioners/4-IPSA%20Contract%20Template%20and%20GTC/PSA%20face%20sheet.docx" TargetMode="External"/><Relationship Id="rId19" Type="http://schemas.openxmlformats.org/officeDocument/2006/relationships/hyperlink" Target="https://popp.undp.org/node/726"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nfo.undp.org/gssu/SiteAssets/PSA/IPSA/Human%20Resources%20Practitioners/5-Useful%20Tools/PSA_Remuneration_setting_Tool.xlsx" TargetMode="External"/><Relationship Id="rId14" Type="http://schemas.openxmlformats.org/officeDocument/2006/relationships/hyperlink" Target="https://undp.sharepoint.com/:w:/r/teams/GSSC/Shared%20Documents/HR/PSA/IPSA/Forms%20and%20Template%20(1)/Annual%20Performance%20Review%20(by%20Supervisors)_Short-term.docx?d=wabb6a59d6ec0433abfdd4428d5c76aa4&amp;csf=1&amp;web=1&amp;e=6Fwa9M" TargetMode="External"/><Relationship Id="rId22" Type="http://schemas.openxmlformats.org/officeDocument/2006/relationships/hyperlink" Target="https://undp.sharepoint.com/:w:/r/teams/GSSC/Shared%20Documents/HR/PSA/IPSA/Forms%20and%20Template/PSA%20Reference%20Check%20Form.docx?d=wd27c64d734e34077acd3b217a65ee641&amp;csf=1&amp;web=1&amp;e=iW5CSG" TargetMode="External"/><Relationship Id="rId27" Type="http://schemas.openxmlformats.org/officeDocument/2006/relationships/header" Target="header1.xm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45</Pages>
  <Words>15790</Words>
  <Characters>90007</Characters>
  <Application>Microsoft Office Word</Application>
  <DocSecurity>0</DocSecurity>
  <Lines>750</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Esperanza M Garcia</dc:creator>
  <cp:lastModifiedBy>Emiliana Zhivkova</cp:lastModifiedBy>
  <cp:revision>5</cp:revision>
  <cp:lastPrinted>2022-04-27T22:08:00Z</cp:lastPrinted>
  <dcterms:created xsi:type="dcterms:W3CDTF">2025-09-16T21:35:00Z</dcterms:created>
  <dcterms:modified xsi:type="dcterms:W3CDTF">2025-09-16T21:38:00Z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dd5f9cb9-cd31-4941-bc4e-d4e975f1e23c</vt:lpwstr>
  </property>
  <property fmtid="{D5CDD505-2E9C-101B-9397-08002B2CF9AE}" pid="3" name="BusinessUnit">
    <vt:lpwstr>349;#Human Resources Management|1f57ad6b-760b-4b5a-be19-36e6fe76fd85</vt:lpwstr>
  </property>
  <property fmtid="{D5CDD505-2E9C-101B-9397-08002B2CF9AE}" pid="4" name="POPPBusinessProcess">
    <vt:lpwstr/>
  </property>
  <property fmtid="{D5CDD505-2E9C-101B-9397-08002B2CF9AE}" pid="5" name="l0e6ef0c43e74560bd7f3acd1f5e8571">
    <vt:lpwstr>Human Resources Management|1f57ad6b-760b-4b5a-be19-36e6fe76fd85</vt:lpwstr>
  </property>
  <property fmtid="{D5CDD505-2E9C-101B-9397-08002B2CF9AE}" pid="6" name="UNDP_POPP_BUSINESSUNIT">
    <vt:lpwstr>349;#Human Resources Management|1f57ad6b-760b-4b5a-be19-36e6fe76fd85</vt:lpwstr>
  </property>
  <property fmtid="{D5CDD505-2E9C-101B-9397-08002B2CF9AE}" pid="7" name="UNDPCountry">
    <vt:lpwstr/>
  </property>
  <property fmtid="{D5CDD505-2E9C-101B-9397-08002B2CF9AE}" pid="8" name="UndpDocTypeMM">
    <vt:lpwstr/>
  </property>
  <property fmtid="{D5CDD505-2E9C-101B-9397-08002B2CF9AE}" pid="9" name="UNDPDocumentCategory">
    <vt:lpwstr/>
  </property>
  <property fmtid="{D5CDD505-2E9C-101B-9397-08002B2CF9AE}" pid="10" name="UN Languages">
    <vt:lpwstr/>
  </property>
  <property fmtid="{D5CDD505-2E9C-101B-9397-08002B2CF9AE}" pid="11" name="UndpUnitMM">
    <vt:lpwstr/>
  </property>
  <property fmtid="{D5CDD505-2E9C-101B-9397-08002B2CF9AE}" pid="12" name="eRegFilingCodeMM">
    <vt:lpwstr/>
  </property>
  <property fmtid="{D5CDD505-2E9C-101B-9397-08002B2CF9AE}" pid="13" name="UNDPFocusAreas">
    <vt:lpwstr/>
  </property>
  <property fmtid="{D5CDD505-2E9C-101B-9397-08002B2CF9AE}" pid="14" name="UNDP_POPP_BUSINESSPROCESS_HIDDEN">
    <vt:lpwstr/>
  </property>
  <property fmtid="{D5CDD505-2E9C-101B-9397-08002B2CF9AE}" pid="15" name="DLCPolicyLabelValue">
    <vt:lpwstr>Effective Date: {Effective Date}                                                Version #: {POPPRefItemVersion}</vt:lpwstr>
  </property>
  <property fmtid="{D5CDD505-2E9C-101B-9397-08002B2CF9AE}" pid="16" name="UNDP_POPP_DOCUMENT_TYPE">
    <vt:lpwstr>Policy</vt:lpwstr>
  </property>
  <property fmtid="{D5CDD505-2E9C-101B-9397-08002B2CF9AE}" pid="17" name="UNDP_POPP_VERSION_COMMENTS">
    <vt:lpwstr/>
  </property>
  <property fmtid="{D5CDD505-2E9C-101B-9397-08002B2CF9AE}" pid="18" name="UNDP_POPP_DOCUMENT_LANGUAGE">
    <vt:lpwstr>English</vt:lpwstr>
  </property>
  <property fmtid="{D5CDD505-2E9C-101B-9397-08002B2CF9AE}" pid="19" name="UNDP_POPP_FILEVERSION">
    <vt:r8>1024</vt:r8>
  </property>
  <property fmtid="{D5CDD505-2E9C-101B-9397-08002B2CF9AE}" pid="20" name="UNDP_POPP_REFITEM_VERSION">
    <vt:r8>2</vt:r8>
  </property>
  <property fmtid="{D5CDD505-2E9C-101B-9397-08002B2CF9AE}" pid="21" name="ContentTypeId">
    <vt:lpwstr>0x01010061FF32BFFC2B4E50A3A86F4682D7D367007687F3382310C0489D2A99E053BA6D39</vt:lpwstr>
  </property>
  <property fmtid="{D5CDD505-2E9C-101B-9397-08002B2CF9AE}" pid="22" name="UndpDocStatus">
    <vt:lpwstr>Draft</vt:lpwstr>
  </property>
  <property fmtid="{D5CDD505-2E9C-101B-9397-08002B2CF9AE}" pid="23" name="UndpClassificationLevel">
    <vt:lpwstr>Internal Use Only</vt:lpwstr>
  </property>
  <property fmtid="{D5CDD505-2E9C-101B-9397-08002B2CF9AE}" pid="24" name="UndpIsTemplate">
    <vt:lpwstr>No</vt:lpwstr>
  </property>
  <property fmtid="{D5CDD505-2E9C-101B-9397-08002B2CF9AE}" pid="25" name="KSOProductBuildVer">
    <vt:lpwstr>1033-11.2.0.11537</vt:lpwstr>
  </property>
  <property fmtid="{D5CDD505-2E9C-101B-9397-08002B2CF9AE}" pid="26" name="ICV">
    <vt:lpwstr>86CC71A0633148A0836AE03F110E96CC</vt:lpwstr>
  </property>
</Properties>
</file>