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0D39D" w14:textId="153A2CB4" w:rsidR="00964A4E" w:rsidRDefault="002E4883" w:rsidP="00EA0169">
      <w:pPr>
        <w:rPr>
          <w:b/>
          <w:color w:val="000000"/>
        </w:rPr>
      </w:pPr>
      <w:r>
        <w:rPr>
          <w:b/>
          <w:color w:val="000000"/>
        </w:rPr>
        <w:t xml:space="preserve">   </w:t>
      </w:r>
    </w:p>
    <w:p w14:paraId="2440D39E" w14:textId="47798EC4" w:rsidR="007D0569" w:rsidRPr="003C26C1" w:rsidRDefault="00785474" w:rsidP="00D1045D">
      <w:pPr>
        <w:jc w:val="both"/>
        <w:rPr>
          <w:color w:val="000000"/>
          <w:spacing w:val="-3"/>
        </w:rPr>
      </w:pPr>
      <w:r w:rsidRPr="003C26C1">
        <w:rPr>
          <w:b/>
          <w:color w:val="000000"/>
        </w:rPr>
        <w:t>NOTE</w:t>
      </w:r>
      <w:r w:rsidR="00015FDE" w:rsidRPr="003C26C1">
        <w:rPr>
          <w:b/>
          <w:color w:val="000000"/>
        </w:rPr>
        <w:t xml:space="preserve"> ON UNITED NATIONS </w:t>
      </w:r>
      <w:r w:rsidR="00633D61" w:rsidRPr="003C26C1">
        <w:rPr>
          <w:b/>
          <w:color w:val="000000"/>
        </w:rPr>
        <w:t xml:space="preserve">SECRETARIAT </w:t>
      </w:r>
      <w:r w:rsidR="00015FDE" w:rsidRPr="003C26C1">
        <w:rPr>
          <w:b/>
          <w:color w:val="000000"/>
        </w:rPr>
        <w:t>DOCUMENT REQUIREMENTS</w:t>
      </w:r>
      <w:r w:rsidRPr="003C26C1">
        <w:rPr>
          <w:b/>
          <w:color w:val="000000"/>
        </w:rPr>
        <w:t xml:space="preserve">: </w:t>
      </w:r>
      <w:r w:rsidRPr="003C26C1">
        <w:rPr>
          <w:color w:val="000000"/>
          <w:spacing w:val="-3"/>
        </w:rPr>
        <w:t xml:space="preserve">The </w:t>
      </w:r>
      <w:r w:rsidR="00AE4374" w:rsidRPr="003C26C1">
        <w:rPr>
          <w:color w:val="000000"/>
          <w:spacing w:val="-3"/>
        </w:rPr>
        <w:t xml:space="preserve">narrative of the </w:t>
      </w:r>
      <w:r w:rsidR="00AF4F67" w:rsidRPr="003C26C1">
        <w:rPr>
          <w:color w:val="000000"/>
          <w:spacing w:val="-3"/>
        </w:rPr>
        <w:t xml:space="preserve">CPD </w:t>
      </w:r>
      <w:r w:rsidR="00AE4374" w:rsidRPr="003C26C1">
        <w:rPr>
          <w:color w:val="000000"/>
          <w:spacing w:val="-3"/>
        </w:rPr>
        <w:t xml:space="preserve">and </w:t>
      </w:r>
      <w:r w:rsidR="002E4883">
        <w:rPr>
          <w:color w:val="000000"/>
          <w:spacing w:val="-3"/>
        </w:rPr>
        <w:t>A</w:t>
      </w:r>
      <w:r w:rsidR="002E4883" w:rsidRPr="003C26C1">
        <w:rPr>
          <w:color w:val="000000"/>
          <w:spacing w:val="-3"/>
        </w:rPr>
        <w:t xml:space="preserve">nnex </w:t>
      </w:r>
      <w:r w:rsidR="0052087E" w:rsidRPr="003C26C1">
        <w:rPr>
          <w:color w:val="000000"/>
          <w:spacing w:val="-3"/>
        </w:rPr>
        <w:t>A</w:t>
      </w:r>
      <w:r w:rsidR="00AE4374" w:rsidRPr="003C26C1">
        <w:rPr>
          <w:color w:val="000000"/>
          <w:spacing w:val="-3"/>
        </w:rPr>
        <w:t xml:space="preserve"> (results and resources framework) </w:t>
      </w:r>
      <w:r w:rsidR="00AF4F67" w:rsidRPr="003C26C1">
        <w:rPr>
          <w:color w:val="000000"/>
          <w:spacing w:val="-3"/>
        </w:rPr>
        <w:t xml:space="preserve">should not exceed </w:t>
      </w:r>
      <w:r w:rsidR="00AE4374" w:rsidRPr="003C26C1">
        <w:rPr>
          <w:color w:val="000000"/>
          <w:spacing w:val="-3"/>
        </w:rPr>
        <w:t xml:space="preserve">a combined total of </w:t>
      </w:r>
      <w:r w:rsidR="00072229" w:rsidRPr="003C26C1">
        <w:rPr>
          <w:color w:val="000000"/>
          <w:spacing w:val="-3"/>
        </w:rPr>
        <w:t>6,000 w</w:t>
      </w:r>
      <w:r w:rsidR="00090F4F" w:rsidRPr="003C26C1">
        <w:rPr>
          <w:color w:val="000000"/>
          <w:spacing w:val="-3"/>
        </w:rPr>
        <w:t xml:space="preserve">ords. </w:t>
      </w:r>
      <w:r w:rsidR="007D0569" w:rsidRPr="003C26C1">
        <w:rPr>
          <w:color w:val="000000"/>
          <w:spacing w:val="-3"/>
        </w:rPr>
        <w:t>Other annexes are not included in the official word count.</w:t>
      </w:r>
    </w:p>
    <w:p w14:paraId="2440D39F" w14:textId="77777777" w:rsidR="007D0569" w:rsidRPr="003C26C1" w:rsidRDefault="007D0569" w:rsidP="00D1045D">
      <w:pPr>
        <w:jc w:val="both"/>
        <w:rPr>
          <w:color w:val="000000"/>
          <w:spacing w:val="-3"/>
        </w:rPr>
      </w:pPr>
    </w:p>
    <w:p w14:paraId="2440D3A0" w14:textId="7CA18D89" w:rsidR="00AE4374" w:rsidRPr="003C26C1" w:rsidRDefault="001F7421" w:rsidP="00D1045D">
      <w:pPr>
        <w:jc w:val="both"/>
        <w:rPr>
          <w:spacing w:val="-3"/>
        </w:rPr>
      </w:pPr>
      <w:r w:rsidRPr="003C26C1">
        <w:rPr>
          <w:color w:val="000000"/>
          <w:spacing w:val="-3"/>
        </w:rPr>
        <w:t xml:space="preserve">The distribution of </w:t>
      </w:r>
      <w:r w:rsidR="0072226F" w:rsidRPr="003C26C1">
        <w:rPr>
          <w:color w:val="000000"/>
          <w:spacing w:val="-3"/>
        </w:rPr>
        <w:t xml:space="preserve">6,000 </w:t>
      </w:r>
      <w:r w:rsidRPr="003C26C1">
        <w:rPr>
          <w:color w:val="000000"/>
          <w:spacing w:val="-3"/>
        </w:rPr>
        <w:t xml:space="preserve">words between the narrative section and the </w:t>
      </w:r>
      <w:r w:rsidR="006F24D8" w:rsidRPr="003C26C1">
        <w:rPr>
          <w:color w:val="000000"/>
          <w:spacing w:val="-3"/>
        </w:rPr>
        <w:t xml:space="preserve">RRF </w:t>
      </w:r>
      <w:r w:rsidRPr="003C26C1">
        <w:rPr>
          <w:color w:val="000000"/>
          <w:spacing w:val="-3"/>
        </w:rPr>
        <w:t>is at the discretion of the Country Office</w:t>
      </w:r>
      <w:r w:rsidR="00BF4E1B" w:rsidRPr="003C26C1">
        <w:rPr>
          <w:color w:val="000000"/>
          <w:spacing w:val="-3"/>
        </w:rPr>
        <w:t>.</w:t>
      </w:r>
      <w:r w:rsidR="00424A78" w:rsidRPr="003C26C1">
        <w:rPr>
          <w:color w:val="000000"/>
          <w:spacing w:val="-3"/>
        </w:rPr>
        <w:t xml:space="preserve"> </w:t>
      </w:r>
      <w:r w:rsidR="00036AF4" w:rsidRPr="003C26C1">
        <w:rPr>
          <w:color w:val="000000"/>
          <w:spacing w:val="-3"/>
        </w:rPr>
        <w:t xml:space="preserve">Nevertheless, </w:t>
      </w:r>
      <w:r w:rsidR="0072226F" w:rsidRPr="003C26C1">
        <w:rPr>
          <w:color w:val="000000"/>
          <w:spacing w:val="-3"/>
        </w:rPr>
        <w:t xml:space="preserve">it is recommended that </w:t>
      </w:r>
      <w:r w:rsidR="00036AF4" w:rsidRPr="003C26C1">
        <w:rPr>
          <w:color w:val="000000"/>
          <w:spacing w:val="-3"/>
        </w:rPr>
        <w:t>a minimum o</w:t>
      </w:r>
      <w:r w:rsidR="00BF2DAF" w:rsidRPr="003C26C1">
        <w:rPr>
          <w:color w:val="000000"/>
          <w:spacing w:val="-3"/>
        </w:rPr>
        <w:t xml:space="preserve">f </w:t>
      </w:r>
      <w:r w:rsidR="00885F85" w:rsidRPr="003C26C1">
        <w:rPr>
          <w:color w:val="000000"/>
          <w:spacing w:val="-3"/>
        </w:rPr>
        <w:t>four</w:t>
      </w:r>
      <w:r w:rsidR="00BF2DAF" w:rsidRPr="003C26C1">
        <w:rPr>
          <w:color w:val="000000"/>
          <w:spacing w:val="-3"/>
        </w:rPr>
        <w:t xml:space="preserve"> pages </w:t>
      </w:r>
      <w:r w:rsidR="0072226F" w:rsidRPr="003C26C1">
        <w:rPr>
          <w:color w:val="000000"/>
          <w:spacing w:val="-3"/>
        </w:rPr>
        <w:t>is</w:t>
      </w:r>
      <w:r w:rsidR="00BF2DAF" w:rsidRPr="003C26C1">
        <w:rPr>
          <w:color w:val="000000"/>
          <w:spacing w:val="-3"/>
        </w:rPr>
        <w:t xml:space="preserve"> set aside for the RRF</w:t>
      </w:r>
      <w:r w:rsidR="00036AF4" w:rsidRPr="003C26C1">
        <w:rPr>
          <w:color w:val="000000"/>
          <w:spacing w:val="-3"/>
        </w:rPr>
        <w:t>.</w:t>
      </w:r>
      <w:r w:rsidR="00AE4374" w:rsidRPr="003C26C1">
        <w:rPr>
          <w:color w:val="000000"/>
          <w:spacing w:val="-3"/>
        </w:rPr>
        <w:t xml:space="preserve"> </w:t>
      </w:r>
      <w:r w:rsidR="00036AF4" w:rsidRPr="003C26C1">
        <w:rPr>
          <w:color w:val="000000"/>
          <w:spacing w:val="-3"/>
        </w:rPr>
        <w:t xml:space="preserve">This can help ensure that </w:t>
      </w:r>
      <w:r w:rsidR="00036AF4" w:rsidRPr="003C26C1">
        <w:rPr>
          <w:spacing w:val="-3"/>
        </w:rPr>
        <w:t xml:space="preserve">the CPD </w:t>
      </w:r>
      <w:r w:rsidR="0072226F" w:rsidRPr="003C26C1">
        <w:rPr>
          <w:spacing w:val="-3"/>
        </w:rPr>
        <w:t>communicates</w:t>
      </w:r>
      <w:r w:rsidR="00036AF4" w:rsidRPr="003C26C1">
        <w:rPr>
          <w:spacing w:val="-3"/>
        </w:rPr>
        <w:t xml:space="preserve"> </w:t>
      </w:r>
      <w:r w:rsidR="00633D61" w:rsidRPr="003C26C1">
        <w:rPr>
          <w:spacing w:val="-3"/>
        </w:rPr>
        <w:t>UNDP’s contributions to national results</w:t>
      </w:r>
      <w:r w:rsidR="00036AF4" w:rsidRPr="003C26C1">
        <w:rPr>
          <w:spacing w:val="-3"/>
        </w:rPr>
        <w:t xml:space="preserve">, </w:t>
      </w:r>
      <w:r w:rsidR="00633D61" w:rsidRPr="003C26C1">
        <w:rPr>
          <w:spacing w:val="-3"/>
        </w:rPr>
        <w:t xml:space="preserve">through </w:t>
      </w:r>
      <w:r w:rsidR="00885F85" w:rsidRPr="003C26C1">
        <w:rPr>
          <w:spacing w:val="-3"/>
        </w:rPr>
        <w:t>the</w:t>
      </w:r>
      <w:r w:rsidR="001913A7">
        <w:rPr>
          <w:spacing w:val="-3"/>
        </w:rPr>
        <w:t xml:space="preserve"> </w:t>
      </w:r>
      <w:r w:rsidR="00A35B8F">
        <w:rPr>
          <w:spacing w:val="-3"/>
        </w:rPr>
        <w:t>Cooperation Framework</w:t>
      </w:r>
      <w:r w:rsidR="00A35B8F" w:rsidRPr="003C26C1">
        <w:rPr>
          <w:spacing w:val="-3"/>
        </w:rPr>
        <w:t xml:space="preserve"> </w:t>
      </w:r>
      <w:r w:rsidR="005662FB" w:rsidRPr="003C26C1">
        <w:rPr>
          <w:spacing w:val="-3"/>
        </w:rPr>
        <w:t>or</w:t>
      </w:r>
      <w:r w:rsidR="009E16E6" w:rsidRPr="003C26C1">
        <w:rPr>
          <w:spacing w:val="-3"/>
        </w:rPr>
        <w:t xml:space="preserve"> </w:t>
      </w:r>
      <w:r w:rsidR="00885F85" w:rsidRPr="003C26C1">
        <w:rPr>
          <w:spacing w:val="-3"/>
        </w:rPr>
        <w:t>its</w:t>
      </w:r>
      <w:r w:rsidR="009E16E6" w:rsidRPr="003C26C1">
        <w:rPr>
          <w:spacing w:val="-3"/>
        </w:rPr>
        <w:t xml:space="preserve"> equivalent</w:t>
      </w:r>
      <w:r w:rsidR="00885F85" w:rsidRPr="003C26C1">
        <w:rPr>
          <w:spacing w:val="-3"/>
        </w:rPr>
        <w:t>,</w:t>
      </w:r>
      <w:r w:rsidR="00036AF4" w:rsidRPr="003C26C1">
        <w:rPr>
          <w:spacing w:val="-3"/>
        </w:rPr>
        <w:t xml:space="preserve"> using clear</w:t>
      </w:r>
      <w:r w:rsidR="0072226F" w:rsidRPr="003C26C1">
        <w:rPr>
          <w:spacing w:val="-3"/>
        </w:rPr>
        <w:t xml:space="preserve"> </w:t>
      </w:r>
      <w:r w:rsidR="00036AF4" w:rsidRPr="003C26C1">
        <w:rPr>
          <w:spacing w:val="-3"/>
        </w:rPr>
        <w:t xml:space="preserve">indicators, </w:t>
      </w:r>
      <w:r w:rsidR="00BF2DAF" w:rsidRPr="003C26C1">
        <w:rPr>
          <w:spacing w:val="-3"/>
        </w:rPr>
        <w:t>baselines, targets</w:t>
      </w:r>
      <w:r w:rsidR="00036AF4" w:rsidRPr="003C26C1">
        <w:rPr>
          <w:spacing w:val="-3"/>
        </w:rPr>
        <w:t xml:space="preserve"> and sources of information.</w:t>
      </w:r>
    </w:p>
    <w:p w14:paraId="2440D3A1" w14:textId="77777777" w:rsidR="00AE4374" w:rsidRPr="003C26C1" w:rsidRDefault="00AE4374" w:rsidP="00D1045D">
      <w:pPr>
        <w:jc w:val="both"/>
        <w:rPr>
          <w:spacing w:val="-3"/>
        </w:rPr>
      </w:pPr>
    </w:p>
    <w:p w14:paraId="2440D3A2" w14:textId="77777777" w:rsidR="00785474" w:rsidRPr="003C26C1" w:rsidRDefault="00AE4374" w:rsidP="00D1045D">
      <w:pPr>
        <w:jc w:val="both"/>
        <w:rPr>
          <w:color w:val="000000"/>
          <w:spacing w:val="-3"/>
        </w:rPr>
      </w:pPr>
      <w:r w:rsidRPr="003C26C1">
        <w:rPr>
          <w:color w:val="000000"/>
          <w:spacing w:val="-3"/>
        </w:rPr>
        <w:t xml:space="preserve">The narrative section and </w:t>
      </w:r>
      <w:r w:rsidR="0052087E" w:rsidRPr="003C26C1">
        <w:rPr>
          <w:color w:val="000000"/>
          <w:spacing w:val="-3"/>
        </w:rPr>
        <w:t>a</w:t>
      </w:r>
      <w:r w:rsidRPr="003C26C1">
        <w:rPr>
          <w:color w:val="000000"/>
          <w:spacing w:val="-3"/>
        </w:rPr>
        <w:t xml:space="preserve">nnex </w:t>
      </w:r>
      <w:r w:rsidR="0052087E" w:rsidRPr="003C26C1">
        <w:rPr>
          <w:color w:val="000000"/>
          <w:spacing w:val="-3"/>
        </w:rPr>
        <w:t>A</w:t>
      </w:r>
      <w:r w:rsidRPr="003C26C1">
        <w:rPr>
          <w:color w:val="000000"/>
          <w:spacing w:val="-3"/>
        </w:rPr>
        <w:t xml:space="preserve"> (RRF</w:t>
      </w:r>
      <w:r w:rsidR="0072226F" w:rsidRPr="003C26C1">
        <w:rPr>
          <w:color w:val="000000"/>
          <w:spacing w:val="-3"/>
        </w:rPr>
        <w:t>)</w:t>
      </w:r>
      <w:r w:rsidRPr="003C26C1">
        <w:rPr>
          <w:color w:val="000000"/>
          <w:spacing w:val="-3"/>
        </w:rPr>
        <w:t xml:space="preserve"> will be translated. Other annexes will not be translated. </w:t>
      </w:r>
      <w:r w:rsidR="00EB472E" w:rsidRPr="003C26C1">
        <w:rPr>
          <w:color w:val="000000"/>
          <w:spacing w:val="-3"/>
        </w:rPr>
        <w:t xml:space="preserve">CPD narratives and RRFs that </w:t>
      </w:r>
      <w:r w:rsidR="00633D61" w:rsidRPr="003C26C1">
        <w:rPr>
          <w:color w:val="000000"/>
          <w:spacing w:val="-3"/>
        </w:rPr>
        <w:t xml:space="preserve">exceed </w:t>
      </w:r>
      <w:r w:rsidR="0072226F" w:rsidRPr="003C26C1">
        <w:rPr>
          <w:color w:val="000000"/>
          <w:spacing w:val="-3"/>
        </w:rPr>
        <w:t xml:space="preserve">6,000 words in length </w:t>
      </w:r>
      <w:r w:rsidR="00633D61" w:rsidRPr="003C26C1">
        <w:rPr>
          <w:color w:val="000000"/>
          <w:spacing w:val="-3"/>
        </w:rPr>
        <w:t>incur additional cost.</w:t>
      </w:r>
      <w:r w:rsidR="00424A78" w:rsidRPr="003C26C1">
        <w:rPr>
          <w:color w:val="000000"/>
          <w:spacing w:val="-3"/>
        </w:rPr>
        <w:t xml:space="preserve"> </w:t>
      </w:r>
      <w:r w:rsidR="00074D9A" w:rsidRPr="003C26C1">
        <w:rPr>
          <w:color w:val="000000"/>
          <w:spacing w:val="-3"/>
        </w:rPr>
        <w:t xml:space="preserve">Country </w:t>
      </w:r>
      <w:r w:rsidR="00EB472E" w:rsidRPr="003C26C1">
        <w:rPr>
          <w:color w:val="000000"/>
          <w:spacing w:val="-3"/>
        </w:rPr>
        <w:t>o</w:t>
      </w:r>
      <w:r w:rsidR="00074D9A" w:rsidRPr="003C26C1">
        <w:rPr>
          <w:color w:val="000000"/>
          <w:spacing w:val="-3"/>
        </w:rPr>
        <w:t>ffice</w:t>
      </w:r>
      <w:r w:rsidR="00542930" w:rsidRPr="003C26C1">
        <w:rPr>
          <w:color w:val="000000"/>
          <w:spacing w:val="-3"/>
        </w:rPr>
        <w:t xml:space="preserve">s </w:t>
      </w:r>
      <w:r w:rsidR="00BF2DAF" w:rsidRPr="003C26C1">
        <w:rPr>
          <w:color w:val="000000"/>
          <w:spacing w:val="-3"/>
        </w:rPr>
        <w:t>cannot</w:t>
      </w:r>
      <w:r w:rsidR="00074D9A" w:rsidRPr="003C26C1">
        <w:rPr>
          <w:color w:val="000000"/>
          <w:spacing w:val="-3"/>
        </w:rPr>
        <w:t xml:space="preserve">, therefore, </w:t>
      </w:r>
      <w:r w:rsidR="00C31467" w:rsidRPr="000367E0">
        <w:rPr>
          <w:color w:val="000000"/>
          <w:spacing w:val="-3"/>
        </w:rPr>
        <w:t xml:space="preserve">adjust </w:t>
      </w:r>
      <w:r w:rsidR="00BF2DAF" w:rsidRPr="000367E0">
        <w:rPr>
          <w:color w:val="000000"/>
          <w:spacing w:val="-3"/>
        </w:rPr>
        <w:t xml:space="preserve">the </w:t>
      </w:r>
      <w:r w:rsidR="00C31467" w:rsidRPr="000367E0">
        <w:rPr>
          <w:color w:val="000000"/>
          <w:spacing w:val="-3"/>
        </w:rPr>
        <w:t>font or margins when completing the document.</w:t>
      </w:r>
      <w:r w:rsidR="00CF7EA0" w:rsidRPr="000367E0">
        <w:rPr>
          <w:color w:val="000000"/>
          <w:spacing w:val="-3"/>
        </w:rPr>
        <w:t xml:space="preserve"> </w:t>
      </w:r>
      <w:r w:rsidR="00CF7EA0" w:rsidRPr="003C26C1">
        <w:rPr>
          <w:color w:val="000000"/>
          <w:spacing w:val="-3"/>
          <w:u w:val="single"/>
        </w:rPr>
        <w:t>Documen</w:t>
      </w:r>
      <w:r w:rsidR="00633D61" w:rsidRPr="003C26C1">
        <w:rPr>
          <w:color w:val="000000"/>
          <w:spacing w:val="-3"/>
          <w:u w:val="single"/>
        </w:rPr>
        <w:t>ts that do not adhere to format</w:t>
      </w:r>
      <w:r w:rsidR="00CF7EA0" w:rsidRPr="003C26C1">
        <w:rPr>
          <w:color w:val="000000"/>
          <w:spacing w:val="-3"/>
          <w:u w:val="single"/>
        </w:rPr>
        <w:t xml:space="preserve"> will </w:t>
      </w:r>
      <w:r w:rsidR="006E1166" w:rsidRPr="003C26C1">
        <w:rPr>
          <w:color w:val="000000"/>
          <w:spacing w:val="-3"/>
          <w:u w:val="single"/>
        </w:rPr>
        <w:t>not be appraised</w:t>
      </w:r>
      <w:r w:rsidR="00CF7EA0" w:rsidRPr="003C26C1">
        <w:rPr>
          <w:color w:val="000000"/>
          <w:spacing w:val="-3"/>
        </w:rPr>
        <w:t>.</w:t>
      </w:r>
    </w:p>
    <w:p w14:paraId="2440D3A3" w14:textId="77777777" w:rsidR="00785474" w:rsidRPr="003C26C1" w:rsidRDefault="00785474" w:rsidP="00D9153B">
      <w:pPr>
        <w:rPr>
          <w:rFonts w:ascii="Arial" w:hAnsi="Arial"/>
          <w:color w:val="000000"/>
          <w:spacing w:val="-2"/>
        </w:rPr>
      </w:pPr>
    </w:p>
    <w:p w14:paraId="2440D3A4" w14:textId="77777777" w:rsidR="00785474" w:rsidRPr="003C26C1" w:rsidRDefault="00785474" w:rsidP="00D9153B">
      <w:pPr>
        <w:rPr>
          <w:color w:val="000000"/>
          <w:sz w:val="6"/>
        </w:rPr>
        <w:sectPr w:rsidR="00785474" w:rsidRPr="003C26C1" w:rsidSect="00677A8F">
          <w:headerReference w:type="even" r:id="rId13"/>
          <w:headerReference w:type="default" r:id="rId14"/>
          <w:footerReference w:type="even" r:id="rId15"/>
          <w:footerReference w:type="default" r:id="rId16"/>
          <w:headerReference w:type="first" r:id="rId17"/>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2440D3A5" w14:textId="77777777" w:rsidR="00785474" w:rsidRPr="003C26C1" w:rsidRDefault="00CF7EA0"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rPr>
      </w:pPr>
      <w:r w:rsidRPr="003C26C1">
        <w:rPr>
          <w:b/>
          <w:color w:val="000000"/>
        </w:rPr>
        <w:t xml:space="preserve">[Session] of </w:t>
      </w:r>
      <w:r w:rsidR="00785474" w:rsidRPr="003C26C1">
        <w:rPr>
          <w:b/>
          <w:color w:val="000000"/>
        </w:rPr>
        <w:t>(year)</w:t>
      </w:r>
    </w:p>
    <w:p w14:paraId="2440D3A6" w14:textId="01D2E1F1" w:rsidR="00785474" w:rsidRPr="003C26C1" w:rsidRDefault="00785474"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3C26C1">
        <w:rPr>
          <w:color w:val="000000"/>
        </w:rPr>
        <w:t>(date), (Location)</w:t>
      </w:r>
    </w:p>
    <w:p w14:paraId="2440D3A7" w14:textId="77777777" w:rsidR="00785474" w:rsidRPr="003C26C1" w:rsidRDefault="00785474"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3C26C1">
        <w:rPr>
          <w:color w:val="000000"/>
        </w:rPr>
        <w:t>Item (number) of the provisional agenda</w:t>
      </w:r>
    </w:p>
    <w:p w14:paraId="2440D3A8" w14:textId="77777777" w:rsidR="00785474" w:rsidRPr="003C26C1" w:rsidRDefault="00785474" w:rsidP="00D9153B">
      <w:pPr>
        <w:ind w:right="1260"/>
        <w:rPr>
          <w:b/>
          <w:color w:val="000000"/>
        </w:rPr>
      </w:pPr>
      <w:r w:rsidRPr="003C26C1">
        <w:rPr>
          <w:b/>
          <w:color w:val="000000"/>
        </w:rPr>
        <w:t>Country programmes and related matters</w:t>
      </w:r>
    </w:p>
    <w:p w14:paraId="2440D3A9" w14:textId="77777777" w:rsidR="00785474" w:rsidRPr="003C26C1" w:rsidRDefault="00785474" w:rsidP="00D9153B">
      <w:pPr>
        <w:pStyle w:val="SingleTxt"/>
        <w:spacing w:after="0" w:line="120" w:lineRule="exact"/>
        <w:rPr>
          <w:color w:val="000000"/>
          <w:sz w:val="10"/>
        </w:rPr>
      </w:pPr>
    </w:p>
    <w:p w14:paraId="2440D3AA" w14:textId="77777777" w:rsidR="00785474" w:rsidRPr="003C26C1" w:rsidRDefault="00785474" w:rsidP="00D9153B">
      <w:pPr>
        <w:pStyle w:val="SingleTxt"/>
        <w:spacing w:after="0" w:line="120" w:lineRule="exact"/>
        <w:rPr>
          <w:color w:val="000000"/>
          <w:sz w:val="10"/>
        </w:rPr>
      </w:pPr>
    </w:p>
    <w:p w14:paraId="2440D3AB" w14:textId="77777777" w:rsidR="00785474" w:rsidRPr="003C26C1" w:rsidRDefault="00785474" w:rsidP="00D9153B">
      <w:pPr>
        <w:pStyle w:val="SingleTxt"/>
        <w:spacing w:after="0" w:line="120" w:lineRule="exact"/>
        <w:rPr>
          <w:color w:val="000000"/>
          <w:sz w:val="10"/>
        </w:rPr>
      </w:pPr>
    </w:p>
    <w:p w14:paraId="2440D3AC" w14:textId="77777777" w:rsidR="00785474" w:rsidRPr="003C26C1" w:rsidRDefault="00785474" w:rsidP="007D056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rPr>
      </w:pPr>
      <w:r w:rsidRPr="003C26C1">
        <w:rPr>
          <w:rFonts w:asciiTheme="minorHAnsi" w:hAnsiTheme="minorHAnsi"/>
          <w:color w:val="000000"/>
        </w:rPr>
        <w:tab/>
      </w:r>
      <w:r w:rsidRPr="003C26C1">
        <w:rPr>
          <w:color w:val="000000"/>
        </w:rPr>
        <w:t>Draft country programme document for (name of country) (Duration)</w:t>
      </w:r>
      <w:r w:rsidRPr="003C26C1">
        <w:rPr>
          <w:color w:val="000000"/>
        </w:rPr>
        <w:br/>
      </w:r>
    </w:p>
    <w:p w14:paraId="2440D3AD" w14:textId="77777777" w:rsidR="00785474" w:rsidRPr="003C26C1" w:rsidRDefault="00785474" w:rsidP="00D9153B">
      <w:pPr>
        <w:pStyle w:val="HCh"/>
        <w:spacing w:after="120"/>
        <w:rPr>
          <w:b w:val="0"/>
          <w:color w:val="000000"/>
          <w:sz w:val="20"/>
          <w:lang w:val="fr-FR"/>
        </w:rPr>
      </w:pPr>
      <w:r w:rsidRPr="003C26C1">
        <w:rPr>
          <w:b w:val="0"/>
          <w:color w:val="000000"/>
          <w:sz w:val="20"/>
          <w:lang w:val="en-US"/>
        </w:rPr>
        <w:t xml:space="preserve"> </w:t>
      </w:r>
      <w:r w:rsidR="00550849" w:rsidRPr="003C26C1">
        <w:rPr>
          <w:b w:val="0"/>
          <w:color w:val="000000"/>
          <w:sz w:val="20"/>
          <w:lang w:val="fr-FR"/>
        </w:rPr>
        <w:t>Content</w:t>
      </w:r>
    </w:p>
    <w:tbl>
      <w:tblPr>
        <w:tblW w:w="11694" w:type="dxa"/>
        <w:tblLayout w:type="fixed"/>
        <w:tblLook w:val="01E0" w:firstRow="1" w:lastRow="1" w:firstColumn="1" w:lastColumn="1" w:noHBand="0" w:noVBand="0"/>
      </w:tblPr>
      <w:tblGrid>
        <w:gridCol w:w="1728"/>
        <w:gridCol w:w="7758"/>
        <w:gridCol w:w="1553"/>
        <w:gridCol w:w="655"/>
      </w:tblGrid>
      <w:tr w:rsidR="00785474" w:rsidRPr="003C26C1" w14:paraId="2440D3B2" w14:textId="77777777" w:rsidTr="00550849">
        <w:trPr>
          <w:trHeight w:val="382"/>
        </w:trPr>
        <w:tc>
          <w:tcPr>
            <w:tcW w:w="1728" w:type="dxa"/>
            <w:vAlign w:val="center"/>
          </w:tcPr>
          <w:p w14:paraId="2440D3AE" w14:textId="77777777" w:rsidR="00785474" w:rsidRPr="003C26C1" w:rsidRDefault="00785474" w:rsidP="00D63B91">
            <w:pPr>
              <w:spacing w:after="60"/>
              <w:rPr>
                <w:color w:val="000000"/>
              </w:rPr>
            </w:pPr>
          </w:p>
        </w:tc>
        <w:tc>
          <w:tcPr>
            <w:tcW w:w="7758" w:type="dxa"/>
            <w:vAlign w:val="center"/>
          </w:tcPr>
          <w:p w14:paraId="2440D3AF" w14:textId="0BEE65C6" w:rsidR="00785474" w:rsidRPr="003C26C1" w:rsidRDefault="00023AEE" w:rsidP="00F0264E">
            <w:pPr>
              <w:pStyle w:val="ListParagraph"/>
              <w:numPr>
                <w:ilvl w:val="0"/>
                <w:numId w:val="22"/>
              </w:numPr>
              <w:spacing w:after="120"/>
              <w:rPr>
                <w:color w:val="000000"/>
              </w:rPr>
            </w:pPr>
            <w:r>
              <w:rPr>
                <w:color w:val="000000"/>
              </w:rPr>
              <w:t>UNDP</w:t>
            </w:r>
            <w:r w:rsidR="0072070F">
              <w:rPr>
                <w:color w:val="000000"/>
              </w:rPr>
              <w:t xml:space="preserve"> within</w:t>
            </w:r>
            <w:r w:rsidR="007C2934">
              <w:rPr>
                <w:color w:val="000000"/>
              </w:rPr>
              <w:t xml:space="preserve"> the</w:t>
            </w:r>
            <w:r w:rsidR="005119D0">
              <w:rPr>
                <w:color w:val="000000"/>
              </w:rPr>
              <w:t xml:space="preserve"> UN</w:t>
            </w:r>
            <w:r w:rsidR="007C2934">
              <w:rPr>
                <w:color w:val="000000"/>
              </w:rPr>
              <w:t xml:space="preserve"> </w:t>
            </w:r>
            <w:r w:rsidR="000C4E54">
              <w:rPr>
                <w:color w:val="000000"/>
              </w:rPr>
              <w:t>Cooperation Framework</w:t>
            </w:r>
            <w:r w:rsidR="00B23747" w:rsidRPr="003C26C1">
              <w:rPr>
                <w:color w:val="000000"/>
              </w:rPr>
              <w:t xml:space="preserve"> </w:t>
            </w:r>
          </w:p>
        </w:tc>
        <w:tc>
          <w:tcPr>
            <w:tcW w:w="1553" w:type="dxa"/>
            <w:vAlign w:val="center"/>
          </w:tcPr>
          <w:p w14:paraId="2440D3B0" w14:textId="77777777" w:rsidR="00785474" w:rsidRPr="003C26C1" w:rsidRDefault="00785474" w:rsidP="00D63B91">
            <w:pPr>
              <w:spacing w:after="60"/>
              <w:rPr>
                <w:color w:val="000000"/>
              </w:rPr>
            </w:pPr>
          </w:p>
        </w:tc>
        <w:tc>
          <w:tcPr>
            <w:tcW w:w="655" w:type="dxa"/>
            <w:vAlign w:val="center"/>
          </w:tcPr>
          <w:p w14:paraId="2440D3B1" w14:textId="77777777" w:rsidR="00785474" w:rsidRPr="003C26C1" w:rsidRDefault="00785474" w:rsidP="00D63B91">
            <w:pPr>
              <w:spacing w:after="60"/>
              <w:rPr>
                <w:color w:val="000000"/>
              </w:rPr>
            </w:pPr>
          </w:p>
        </w:tc>
      </w:tr>
      <w:tr w:rsidR="00785474" w:rsidRPr="003C26C1" w14:paraId="2440D3B7" w14:textId="77777777" w:rsidTr="00550849">
        <w:trPr>
          <w:trHeight w:val="427"/>
        </w:trPr>
        <w:tc>
          <w:tcPr>
            <w:tcW w:w="1728" w:type="dxa"/>
            <w:vAlign w:val="center"/>
          </w:tcPr>
          <w:p w14:paraId="2440D3B3" w14:textId="77777777" w:rsidR="00785474" w:rsidRPr="003C26C1" w:rsidRDefault="00785474" w:rsidP="00D63B91">
            <w:pPr>
              <w:spacing w:after="60"/>
              <w:rPr>
                <w:color w:val="000000"/>
              </w:rPr>
            </w:pPr>
          </w:p>
        </w:tc>
        <w:tc>
          <w:tcPr>
            <w:tcW w:w="7758" w:type="dxa"/>
            <w:vAlign w:val="center"/>
          </w:tcPr>
          <w:p w14:paraId="2440D3B4" w14:textId="77777777" w:rsidR="00785474" w:rsidRPr="003C26C1" w:rsidRDefault="00677F8A" w:rsidP="00F0264E">
            <w:pPr>
              <w:pStyle w:val="ListParagraph"/>
              <w:numPr>
                <w:ilvl w:val="0"/>
                <w:numId w:val="22"/>
              </w:numPr>
              <w:spacing w:after="120"/>
              <w:rPr>
                <w:color w:val="000000"/>
              </w:rPr>
            </w:pPr>
            <w:r w:rsidRPr="003C26C1">
              <w:rPr>
                <w:color w:val="000000"/>
              </w:rPr>
              <w:t>Programme Priorities</w:t>
            </w:r>
            <w:r w:rsidR="00B23747" w:rsidRPr="003C26C1">
              <w:rPr>
                <w:color w:val="000000"/>
              </w:rPr>
              <w:t xml:space="preserve"> and Partnership</w:t>
            </w:r>
            <w:r w:rsidR="00A91284" w:rsidRPr="003C26C1">
              <w:rPr>
                <w:color w:val="000000"/>
              </w:rPr>
              <w:t>s</w:t>
            </w:r>
          </w:p>
        </w:tc>
        <w:tc>
          <w:tcPr>
            <w:tcW w:w="1553" w:type="dxa"/>
            <w:vAlign w:val="center"/>
          </w:tcPr>
          <w:p w14:paraId="2440D3B5" w14:textId="77777777" w:rsidR="00785474" w:rsidRPr="003C26C1" w:rsidRDefault="00785474" w:rsidP="00D63B91">
            <w:pPr>
              <w:spacing w:after="60"/>
              <w:rPr>
                <w:color w:val="000000"/>
              </w:rPr>
            </w:pPr>
          </w:p>
        </w:tc>
        <w:tc>
          <w:tcPr>
            <w:tcW w:w="655" w:type="dxa"/>
            <w:vAlign w:val="center"/>
          </w:tcPr>
          <w:p w14:paraId="2440D3B6" w14:textId="77777777" w:rsidR="00785474" w:rsidRPr="003C26C1" w:rsidRDefault="00785474" w:rsidP="00D63B91">
            <w:pPr>
              <w:spacing w:after="60"/>
              <w:rPr>
                <w:color w:val="000000"/>
              </w:rPr>
            </w:pPr>
          </w:p>
        </w:tc>
      </w:tr>
      <w:tr w:rsidR="00785474" w:rsidRPr="003C26C1" w14:paraId="2440D3BD" w14:textId="77777777" w:rsidTr="00550849">
        <w:tc>
          <w:tcPr>
            <w:tcW w:w="1728" w:type="dxa"/>
            <w:vAlign w:val="center"/>
          </w:tcPr>
          <w:p w14:paraId="2440D3B8" w14:textId="77777777" w:rsidR="00785474" w:rsidRPr="003C26C1" w:rsidRDefault="00785474" w:rsidP="00D63B91">
            <w:pPr>
              <w:spacing w:after="60"/>
              <w:rPr>
                <w:color w:val="000000"/>
              </w:rPr>
            </w:pPr>
          </w:p>
        </w:tc>
        <w:tc>
          <w:tcPr>
            <w:tcW w:w="7758" w:type="dxa"/>
            <w:vAlign w:val="center"/>
          </w:tcPr>
          <w:p w14:paraId="2440D3B9" w14:textId="77777777" w:rsidR="00B23747" w:rsidRPr="003C26C1" w:rsidRDefault="00784424" w:rsidP="00F0264E">
            <w:pPr>
              <w:pStyle w:val="ListParagraph"/>
              <w:numPr>
                <w:ilvl w:val="0"/>
                <w:numId w:val="22"/>
              </w:numPr>
              <w:spacing w:after="120"/>
              <w:rPr>
                <w:color w:val="000000"/>
              </w:rPr>
            </w:pPr>
            <w:r>
              <w:rPr>
                <w:color w:val="000000"/>
              </w:rPr>
              <w:t>Programme and Risk Management</w:t>
            </w:r>
          </w:p>
          <w:p w14:paraId="2440D3BA" w14:textId="77777777" w:rsidR="00785474" w:rsidRPr="003C26C1" w:rsidRDefault="0073233C" w:rsidP="00F0264E">
            <w:pPr>
              <w:pStyle w:val="ListParagraph"/>
              <w:numPr>
                <w:ilvl w:val="0"/>
                <w:numId w:val="22"/>
              </w:numPr>
              <w:spacing w:after="120"/>
              <w:rPr>
                <w:color w:val="000000"/>
              </w:rPr>
            </w:pPr>
            <w:r w:rsidRPr="003C26C1">
              <w:rPr>
                <w:color w:val="000000"/>
              </w:rPr>
              <w:t>M</w:t>
            </w:r>
            <w:r w:rsidR="00633D61" w:rsidRPr="003C26C1">
              <w:rPr>
                <w:color w:val="000000"/>
              </w:rPr>
              <w:t xml:space="preserve">onitoring and </w:t>
            </w:r>
            <w:r w:rsidR="00FB7F35" w:rsidRPr="003C26C1">
              <w:rPr>
                <w:color w:val="000000"/>
              </w:rPr>
              <w:t>Evaluation</w:t>
            </w:r>
          </w:p>
        </w:tc>
        <w:tc>
          <w:tcPr>
            <w:tcW w:w="1553" w:type="dxa"/>
            <w:vAlign w:val="center"/>
          </w:tcPr>
          <w:p w14:paraId="2440D3BB" w14:textId="77777777" w:rsidR="00785474" w:rsidRPr="003C26C1" w:rsidRDefault="00785474" w:rsidP="00D63B91">
            <w:pPr>
              <w:spacing w:after="60"/>
              <w:rPr>
                <w:color w:val="000000"/>
              </w:rPr>
            </w:pPr>
          </w:p>
        </w:tc>
        <w:tc>
          <w:tcPr>
            <w:tcW w:w="655" w:type="dxa"/>
            <w:vAlign w:val="center"/>
          </w:tcPr>
          <w:p w14:paraId="2440D3BC" w14:textId="77777777" w:rsidR="00785474" w:rsidRPr="003C26C1" w:rsidRDefault="00785474" w:rsidP="00D63B91">
            <w:pPr>
              <w:spacing w:after="60"/>
              <w:rPr>
                <w:color w:val="000000"/>
              </w:rPr>
            </w:pPr>
          </w:p>
        </w:tc>
      </w:tr>
      <w:tr w:rsidR="00785474" w:rsidRPr="003C26C1" w14:paraId="2440D3C2" w14:textId="77777777" w:rsidTr="00550849">
        <w:tc>
          <w:tcPr>
            <w:tcW w:w="1728" w:type="dxa"/>
            <w:vAlign w:val="center"/>
          </w:tcPr>
          <w:p w14:paraId="2440D3BE" w14:textId="77777777" w:rsidR="00785474" w:rsidRPr="003C26C1" w:rsidRDefault="00785474" w:rsidP="00D63B91">
            <w:pPr>
              <w:spacing w:after="60"/>
              <w:rPr>
                <w:color w:val="000000"/>
              </w:rPr>
            </w:pPr>
          </w:p>
        </w:tc>
        <w:tc>
          <w:tcPr>
            <w:tcW w:w="7758" w:type="dxa"/>
            <w:vAlign w:val="center"/>
          </w:tcPr>
          <w:p w14:paraId="2440D3BF" w14:textId="77777777" w:rsidR="00785474" w:rsidRPr="003C26C1" w:rsidRDefault="00785474" w:rsidP="00D63B91">
            <w:pPr>
              <w:spacing w:after="120"/>
              <w:rPr>
                <w:color w:val="000000"/>
              </w:rPr>
            </w:pPr>
          </w:p>
        </w:tc>
        <w:tc>
          <w:tcPr>
            <w:tcW w:w="1553" w:type="dxa"/>
            <w:vAlign w:val="center"/>
          </w:tcPr>
          <w:p w14:paraId="2440D3C0" w14:textId="77777777" w:rsidR="00785474" w:rsidRPr="003C26C1" w:rsidRDefault="00785474" w:rsidP="00D63B91">
            <w:pPr>
              <w:spacing w:after="60"/>
              <w:rPr>
                <w:color w:val="000000"/>
              </w:rPr>
            </w:pPr>
          </w:p>
        </w:tc>
        <w:tc>
          <w:tcPr>
            <w:tcW w:w="655" w:type="dxa"/>
            <w:vAlign w:val="center"/>
          </w:tcPr>
          <w:p w14:paraId="2440D3C1" w14:textId="77777777" w:rsidR="00785474" w:rsidRPr="003C26C1" w:rsidRDefault="00785474" w:rsidP="00D63B91">
            <w:pPr>
              <w:spacing w:after="60"/>
              <w:rPr>
                <w:color w:val="000000"/>
              </w:rPr>
            </w:pPr>
          </w:p>
        </w:tc>
      </w:tr>
      <w:tr w:rsidR="00785474" w:rsidRPr="003C26C1" w14:paraId="2440D3C7" w14:textId="77777777" w:rsidTr="00550849">
        <w:trPr>
          <w:trHeight w:val="247"/>
        </w:trPr>
        <w:tc>
          <w:tcPr>
            <w:tcW w:w="1728" w:type="dxa"/>
            <w:vAlign w:val="center"/>
          </w:tcPr>
          <w:p w14:paraId="2440D3C3" w14:textId="77777777" w:rsidR="00785474" w:rsidRPr="003C26C1" w:rsidRDefault="00424A78" w:rsidP="00D63B91">
            <w:pPr>
              <w:spacing w:after="120"/>
              <w:rPr>
                <w:color w:val="000000"/>
              </w:rPr>
            </w:pPr>
            <w:r w:rsidRPr="003C26C1">
              <w:rPr>
                <w:color w:val="000000"/>
              </w:rPr>
              <w:t xml:space="preserve"> </w:t>
            </w:r>
            <w:r w:rsidR="00550849" w:rsidRPr="003C26C1">
              <w:rPr>
                <w:color w:val="000000"/>
              </w:rPr>
              <w:t>Annex</w:t>
            </w:r>
            <w:r w:rsidR="00E97DBB" w:rsidRPr="003C26C1">
              <w:rPr>
                <w:color w:val="000000"/>
              </w:rPr>
              <w:t>es</w:t>
            </w:r>
          </w:p>
        </w:tc>
        <w:tc>
          <w:tcPr>
            <w:tcW w:w="7758" w:type="dxa"/>
            <w:vAlign w:val="center"/>
          </w:tcPr>
          <w:p w14:paraId="2440D3C4" w14:textId="77777777" w:rsidR="00785474" w:rsidRPr="003C26C1" w:rsidRDefault="00785474" w:rsidP="00D63B91">
            <w:pPr>
              <w:spacing w:after="120"/>
              <w:rPr>
                <w:color w:val="000000"/>
              </w:rPr>
            </w:pPr>
          </w:p>
        </w:tc>
        <w:tc>
          <w:tcPr>
            <w:tcW w:w="1553" w:type="dxa"/>
            <w:vAlign w:val="center"/>
          </w:tcPr>
          <w:p w14:paraId="2440D3C5" w14:textId="77777777" w:rsidR="00785474" w:rsidRPr="003C26C1" w:rsidRDefault="00785474" w:rsidP="00D63B91">
            <w:pPr>
              <w:spacing w:after="120"/>
              <w:rPr>
                <w:color w:val="000000"/>
              </w:rPr>
            </w:pPr>
          </w:p>
        </w:tc>
        <w:tc>
          <w:tcPr>
            <w:tcW w:w="655" w:type="dxa"/>
            <w:vAlign w:val="center"/>
          </w:tcPr>
          <w:p w14:paraId="2440D3C6" w14:textId="77777777" w:rsidR="00785474" w:rsidRPr="003C26C1" w:rsidRDefault="00785474" w:rsidP="00D63B91">
            <w:pPr>
              <w:spacing w:after="120"/>
              <w:rPr>
                <w:color w:val="000000"/>
              </w:rPr>
            </w:pPr>
          </w:p>
        </w:tc>
      </w:tr>
      <w:tr w:rsidR="00785474" w:rsidRPr="003C26C1" w14:paraId="2440D3CE" w14:textId="77777777" w:rsidTr="00550849">
        <w:tc>
          <w:tcPr>
            <w:tcW w:w="1728" w:type="dxa"/>
            <w:vAlign w:val="center"/>
          </w:tcPr>
          <w:p w14:paraId="2440D3C8" w14:textId="77777777" w:rsidR="00785474" w:rsidRPr="003C26C1" w:rsidRDefault="00785474" w:rsidP="00D63B91">
            <w:pPr>
              <w:rPr>
                <w:color w:val="000000"/>
              </w:rPr>
            </w:pPr>
          </w:p>
        </w:tc>
        <w:tc>
          <w:tcPr>
            <w:tcW w:w="7758" w:type="dxa"/>
            <w:vAlign w:val="center"/>
          </w:tcPr>
          <w:p w14:paraId="2440D3C9" w14:textId="77777777" w:rsidR="00785474" w:rsidRPr="003C26C1" w:rsidRDefault="00F0264E" w:rsidP="00F0264E">
            <w:pPr>
              <w:rPr>
                <w:color w:val="000000"/>
              </w:rPr>
            </w:pPr>
            <w:r w:rsidRPr="003C26C1">
              <w:rPr>
                <w:color w:val="000000"/>
              </w:rPr>
              <w:t>A.</w:t>
            </w:r>
            <w:r w:rsidR="006821E3" w:rsidRPr="003C26C1">
              <w:rPr>
                <w:color w:val="000000"/>
              </w:rPr>
              <w:t xml:space="preserve"> </w:t>
            </w:r>
            <w:r w:rsidR="0051132C" w:rsidRPr="003C26C1">
              <w:rPr>
                <w:color w:val="000000"/>
              </w:rPr>
              <w:t>Results and</w:t>
            </w:r>
            <w:r w:rsidR="00424A78" w:rsidRPr="003C26C1">
              <w:rPr>
                <w:color w:val="000000"/>
              </w:rPr>
              <w:t xml:space="preserve"> </w:t>
            </w:r>
            <w:r w:rsidR="0051132C" w:rsidRPr="003C26C1">
              <w:rPr>
                <w:color w:val="000000"/>
              </w:rPr>
              <w:t>Resources Fr</w:t>
            </w:r>
            <w:r w:rsidR="00785474" w:rsidRPr="003C26C1">
              <w:rPr>
                <w:color w:val="000000"/>
              </w:rPr>
              <w:t xml:space="preserve">amework </w:t>
            </w:r>
          </w:p>
          <w:p w14:paraId="2440D3CA" w14:textId="77777777" w:rsidR="00F0264E" w:rsidRPr="003C26C1" w:rsidRDefault="006821E3" w:rsidP="00F0264E">
            <w:pPr>
              <w:rPr>
                <w:color w:val="000000"/>
              </w:rPr>
            </w:pPr>
            <w:r w:rsidRPr="003C26C1">
              <w:rPr>
                <w:color w:val="000000"/>
              </w:rPr>
              <w:t>B.</w:t>
            </w:r>
            <w:r w:rsidR="00424A78" w:rsidRPr="003C26C1">
              <w:rPr>
                <w:color w:val="000000"/>
              </w:rPr>
              <w:t xml:space="preserve"> </w:t>
            </w:r>
            <w:r w:rsidRPr="003C26C1">
              <w:rPr>
                <w:color w:val="000000"/>
              </w:rPr>
              <w:t>Fully</w:t>
            </w:r>
            <w:r w:rsidR="0052087E" w:rsidRPr="003C26C1">
              <w:rPr>
                <w:color w:val="000000"/>
              </w:rPr>
              <w:t>-c</w:t>
            </w:r>
            <w:r w:rsidRPr="003C26C1">
              <w:rPr>
                <w:color w:val="000000"/>
              </w:rPr>
              <w:t xml:space="preserve">osted </w:t>
            </w:r>
            <w:r w:rsidR="00F0264E" w:rsidRPr="003C26C1">
              <w:rPr>
                <w:color w:val="000000"/>
              </w:rPr>
              <w:t>Evaluation Plan</w:t>
            </w:r>
          </w:p>
          <w:p w14:paraId="2440D3CB" w14:textId="77777777" w:rsidR="00F0264E" w:rsidRPr="003C26C1" w:rsidRDefault="00F0264E" w:rsidP="009F4860">
            <w:pPr>
              <w:rPr>
                <w:i/>
                <w:color w:val="000000"/>
              </w:rPr>
            </w:pPr>
          </w:p>
        </w:tc>
        <w:tc>
          <w:tcPr>
            <w:tcW w:w="1553" w:type="dxa"/>
            <w:vAlign w:val="center"/>
          </w:tcPr>
          <w:p w14:paraId="2440D3CC" w14:textId="77777777" w:rsidR="00785474" w:rsidRPr="003C26C1" w:rsidRDefault="00785474" w:rsidP="00D63B91">
            <w:pPr>
              <w:rPr>
                <w:color w:val="000000"/>
              </w:rPr>
            </w:pPr>
          </w:p>
        </w:tc>
        <w:tc>
          <w:tcPr>
            <w:tcW w:w="655" w:type="dxa"/>
            <w:vAlign w:val="center"/>
          </w:tcPr>
          <w:p w14:paraId="2440D3CD" w14:textId="77777777" w:rsidR="00785474" w:rsidRPr="003C26C1" w:rsidRDefault="00785474" w:rsidP="00D63B91">
            <w:pPr>
              <w:rPr>
                <w:color w:val="000000"/>
              </w:rPr>
            </w:pPr>
          </w:p>
        </w:tc>
      </w:tr>
      <w:tr w:rsidR="00785474" w:rsidRPr="003C26C1" w14:paraId="2440D3D5" w14:textId="77777777" w:rsidTr="00550849">
        <w:trPr>
          <w:trHeight w:val="418"/>
        </w:trPr>
        <w:tc>
          <w:tcPr>
            <w:tcW w:w="1728" w:type="dxa"/>
            <w:vAlign w:val="center"/>
          </w:tcPr>
          <w:p w14:paraId="2440D3CF" w14:textId="77777777" w:rsidR="00785474" w:rsidRPr="003C26C1" w:rsidRDefault="00415E7F" w:rsidP="00550849">
            <w:pPr>
              <w:rPr>
                <w:color w:val="000000"/>
              </w:rPr>
            </w:pPr>
            <w:r w:rsidRPr="003C26C1">
              <w:rPr>
                <w:color w:val="000000"/>
              </w:rPr>
              <w:t>Attach</w:t>
            </w:r>
            <w:r w:rsidR="00550849" w:rsidRPr="003C26C1">
              <w:rPr>
                <w:color w:val="000000"/>
              </w:rPr>
              <w:t>m</w:t>
            </w:r>
            <w:r w:rsidRPr="003C26C1">
              <w:rPr>
                <w:color w:val="000000"/>
              </w:rPr>
              <w:t>ent</w:t>
            </w:r>
            <w:r w:rsidR="00E97DBB" w:rsidRPr="003C26C1">
              <w:rPr>
                <w:color w:val="000000"/>
              </w:rPr>
              <w:t>s</w:t>
            </w:r>
          </w:p>
        </w:tc>
        <w:tc>
          <w:tcPr>
            <w:tcW w:w="7758" w:type="dxa"/>
            <w:vAlign w:val="center"/>
          </w:tcPr>
          <w:p w14:paraId="2440D3D0" w14:textId="77777777" w:rsidR="00865ADF" w:rsidRPr="003C26C1" w:rsidRDefault="00424A78" w:rsidP="00D63B91">
            <w:pPr>
              <w:rPr>
                <w:color w:val="000000"/>
              </w:rPr>
            </w:pPr>
            <w:r w:rsidRPr="003C26C1">
              <w:rPr>
                <w:color w:val="000000"/>
              </w:rPr>
              <w:t xml:space="preserve"> </w:t>
            </w:r>
          </w:p>
          <w:p w14:paraId="2440D3D1" w14:textId="77777777" w:rsidR="00E5696D" w:rsidRPr="003C26C1" w:rsidRDefault="00550849" w:rsidP="00D63B91">
            <w:pPr>
              <w:rPr>
                <w:color w:val="0000FF"/>
              </w:rPr>
            </w:pPr>
            <w:r w:rsidRPr="003C26C1">
              <w:rPr>
                <w:color w:val="000000"/>
              </w:rPr>
              <w:t xml:space="preserve"> </w:t>
            </w:r>
            <w:r w:rsidR="00865ADF" w:rsidRPr="003C26C1">
              <w:rPr>
                <w:color w:val="000000"/>
              </w:rPr>
              <w:t>I.</w:t>
            </w:r>
            <w:r w:rsidRPr="003C26C1">
              <w:rPr>
                <w:color w:val="000000"/>
              </w:rPr>
              <w:t xml:space="preserve"> </w:t>
            </w:r>
            <w:r w:rsidR="00E5696D" w:rsidRPr="003C26C1">
              <w:rPr>
                <w:color w:val="000000"/>
              </w:rPr>
              <w:t>Resource Mobili</w:t>
            </w:r>
            <w:r w:rsidR="001F6425" w:rsidRPr="003C26C1">
              <w:rPr>
                <w:color w:val="000000"/>
              </w:rPr>
              <w:t>z</w:t>
            </w:r>
            <w:r w:rsidR="00E5696D" w:rsidRPr="003C26C1">
              <w:rPr>
                <w:color w:val="000000"/>
              </w:rPr>
              <w:t xml:space="preserve">ation Target </w:t>
            </w:r>
            <w:r w:rsidR="00DB4203" w:rsidRPr="003C26C1">
              <w:rPr>
                <w:color w:val="000000"/>
              </w:rPr>
              <w:t>(RMT)</w:t>
            </w:r>
            <w:r w:rsidR="0052087E" w:rsidRPr="003C26C1">
              <w:rPr>
                <w:color w:val="000000"/>
              </w:rPr>
              <w:t xml:space="preserve"> </w:t>
            </w:r>
            <w:r w:rsidR="00E5696D" w:rsidRPr="003C26C1">
              <w:rPr>
                <w:color w:val="000000"/>
              </w:rPr>
              <w:t>Table</w:t>
            </w:r>
            <w:r w:rsidR="0052087E" w:rsidRPr="003C26C1">
              <w:rPr>
                <w:color w:val="000000"/>
              </w:rPr>
              <w:t xml:space="preserve"> </w:t>
            </w:r>
            <w:r w:rsidR="0052087E" w:rsidRPr="003C26C1">
              <w:rPr>
                <w:color w:val="0000FF"/>
              </w:rPr>
              <w:t>(FOR INTERNAL USE ONLY)</w:t>
            </w:r>
          </w:p>
          <w:p w14:paraId="1F161669" w14:textId="570C1051" w:rsidR="00785474" w:rsidRDefault="00865ADF" w:rsidP="00C01083">
            <w:pPr>
              <w:rPr>
                <w:color w:val="0000FF"/>
              </w:rPr>
            </w:pPr>
            <w:r w:rsidRPr="003C26C1">
              <w:rPr>
                <w:color w:val="000000"/>
              </w:rPr>
              <w:t>II.</w:t>
            </w:r>
            <w:r w:rsidR="00424A78" w:rsidRPr="003C26C1">
              <w:rPr>
                <w:color w:val="000000"/>
              </w:rPr>
              <w:t xml:space="preserve"> </w:t>
            </w:r>
            <w:r w:rsidR="00C01083">
              <w:rPr>
                <w:color w:val="000000"/>
              </w:rPr>
              <w:t>CO Profile</w:t>
            </w:r>
            <w:r w:rsidR="00C96618">
              <w:rPr>
                <w:color w:val="000000"/>
              </w:rPr>
              <w:t xml:space="preserve"> &amp; P</w:t>
            </w:r>
            <w:r w:rsidR="00192198">
              <w:rPr>
                <w:color w:val="000000"/>
              </w:rPr>
              <w:t>CA</w:t>
            </w:r>
            <w:r w:rsidR="001C742E">
              <w:rPr>
                <w:color w:val="000000"/>
              </w:rPr>
              <w:t>P</w:t>
            </w:r>
            <w:r w:rsidR="00424A78" w:rsidRPr="003C26C1">
              <w:rPr>
                <w:color w:val="000000"/>
              </w:rPr>
              <w:t xml:space="preserve"> </w:t>
            </w:r>
            <w:r w:rsidR="00415E7F" w:rsidRPr="003C26C1">
              <w:rPr>
                <w:color w:val="0000FF"/>
              </w:rPr>
              <w:t>(</w:t>
            </w:r>
            <w:r w:rsidR="0052087E" w:rsidRPr="003C26C1">
              <w:rPr>
                <w:color w:val="0000FF"/>
              </w:rPr>
              <w:t>FOR INTERNAL USE ONLY)</w:t>
            </w:r>
          </w:p>
          <w:p w14:paraId="2440D3D2" w14:textId="5FC214E4" w:rsidR="00766334" w:rsidRPr="003C26C1" w:rsidRDefault="00766334" w:rsidP="00C01083">
            <w:pPr>
              <w:rPr>
                <w:color w:val="000000"/>
              </w:rPr>
            </w:pPr>
            <w:r w:rsidRPr="00367A28">
              <w:t>III. One</w:t>
            </w:r>
            <w:r w:rsidR="007C2934">
              <w:t>-</w:t>
            </w:r>
            <w:r w:rsidRPr="00367A28">
              <w:t>page diagram of the programme’s theory of change</w:t>
            </w:r>
            <w:r w:rsidR="009D765F" w:rsidRPr="00367A28">
              <w:t xml:space="preserve"> </w:t>
            </w:r>
            <w:r w:rsidR="009D765F" w:rsidRPr="003C26C1">
              <w:rPr>
                <w:color w:val="0000FF"/>
              </w:rPr>
              <w:t>(FOR INTERNAL USE ONLY)</w:t>
            </w:r>
          </w:p>
        </w:tc>
        <w:tc>
          <w:tcPr>
            <w:tcW w:w="1553" w:type="dxa"/>
            <w:vAlign w:val="center"/>
          </w:tcPr>
          <w:p w14:paraId="2440D3D3" w14:textId="77777777" w:rsidR="00785474" w:rsidRPr="003C26C1" w:rsidRDefault="00785474" w:rsidP="00D63B91">
            <w:pPr>
              <w:rPr>
                <w:color w:val="000000"/>
              </w:rPr>
            </w:pPr>
          </w:p>
        </w:tc>
        <w:tc>
          <w:tcPr>
            <w:tcW w:w="655" w:type="dxa"/>
            <w:vAlign w:val="center"/>
          </w:tcPr>
          <w:p w14:paraId="2440D3D4" w14:textId="77777777" w:rsidR="00785474" w:rsidRPr="003C26C1" w:rsidRDefault="00785474" w:rsidP="00D63B91">
            <w:pPr>
              <w:rPr>
                <w:color w:val="000000"/>
              </w:rPr>
            </w:pPr>
          </w:p>
        </w:tc>
      </w:tr>
    </w:tbl>
    <w:p w14:paraId="2440D3D6" w14:textId="77777777" w:rsidR="00785474" w:rsidRPr="003C26C1" w:rsidRDefault="00785474" w:rsidP="00D63B91"/>
    <w:p w14:paraId="2440D3D7" w14:textId="09822126" w:rsidR="00A918A7" w:rsidRPr="003C26C1" w:rsidRDefault="00785474" w:rsidP="00C35A4B">
      <w:pPr>
        <w:pStyle w:val="Heading2"/>
        <w:ind w:left="1530" w:right="1267" w:hanging="263"/>
        <w:jc w:val="both"/>
        <w:rPr>
          <w:rFonts w:ascii="Times New Roman" w:hAnsi="Times New Roman"/>
          <w:bCs/>
          <w:color w:val="000000"/>
          <w:sz w:val="24"/>
          <w:szCs w:val="24"/>
        </w:rPr>
      </w:pPr>
      <w:r w:rsidRPr="003C26C1">
        <w:br w:type="page"/>
      </w:r>
      <w:r w:rsidR="0059112A" w:rsidRPr="003C26C1">
        <w:rPr>
          <w:rFonts w:ascii="Times New Roman" w:hAnsi="Times New Roman"/>
          <w:bCs/>
          <w:color w:val="000000"/>
          <w:sz w:val="24"/>
          <w:szCs w:val="24"/>
        </w:rPr>
        <w:lastRenderedPageBreak/>
        <w:t xml:space="preserve">I. </w:t>
      </w:r>
      <w:r w:rsidR="007C2934">
        <w:rPr>
          <w:rFonts w:ascii="Times New Roman" w:hAnsi="Times New Roman"/>
          <w:bCs/>
          <w:color w:val="000000"/>
          <w:sz w:val="24"/>
          <w:szCs w:val="24"/>
        </w:rPr>
        <w:t>UNDP</w:t>
      </w:r>
      <w:r w:rsidR="0072070F">
        <w:rPr>
          <w:rFonts w:ascii="Times New Roman" w:hAnsi="Times New Roman"/>
          <w:bCs/>
          <w:color w:val="000000"/>
          <w:sz w:val="24"/>
          <w:szCs w:val="24"/>
        </w:rPr>
        <w:t xml:space="preserve"> within</w:t>
      </w:r>
      <w:r w:rsidR="007C2934">
        <w:rPr>
          <w:rFonts w:ascii="Times New Roman" w:hAnsi="Times New Roman"/>
          <w:bCs/>
          <w:color w:val="000000"/>
          <w:sz w:val="24"/>
          <w:szCs w:val="24"/>
        </w:rPr>
        <w:t xml:space="preserve"> the </w:t>
      </w:r>
      <w:r w:rsidR="0072070F">
        <w:rPr>
          <w:rFonts w:ascii="Times New Roman" w:hAnsi="Times New Roman"/>
          <w:bCs/>
          <w:color w:val="000000"/>
          <w:sz w:val="24"/>
          <w:szCs w:val="24"/>
        </w:rPr>
        <w:t xml:space="preserve">UN </w:t>
      </w:r>
      <w:r w:rsidR="0049255A">
        <w:rPr>
          <w:rFonts w:ascii="Times New Roman" w:hAnsi="Times New Roman"/>
          <w:bCs/>
          <w:color w:val="000000"/>
          <w:sz w:val="24"/>
          <w:szCs w:val="24"/>
        </w:rPr>
        <w:t>Cooper</w:t>
      </w:r>
      <w:r w:rsidR="0067557E">
        <w:rPr>
          <w:rFonts w:ascii="Times New Roman" w:hAnsi="Times New Roman"/>
          <w:bCs/>
          <w:color w:val="000000"/>
          <w:sz w:val="24"/>
          <w:szCs w:val="24"/>
        </w:rPr>
        <w:t>ation Framework</w:t>
      </w:r>
    </w:p>
    <w:p w14:paraId="7910FD0C" w14:textId="77777777" w:rsidR="007026CB" w:rsidRDefault="007026CB" w:rsidP="007026CB">
      <w:pPr>
        <w:ind w:left="1260" w:right="1210"/>
        <w:jc w:val="both"/>
      </w:pPr>
    </w:p>
    <w:p w14:paraId="133B36DD" w14:textId="7C659B8C" w:rsidR="00121554" w:rsidRDefault="002225D3" w:rsidP="00091984">
      <w:pPr>
        <w:ind w:left="1260" w:right="1210"/>
        <w:jc w:val="both"/>
      </w:pPr>
      <w:r w:rsidRPr="003C26C1">
        <w:t xml:space="preserve">This section </w:t>
      </w:r>
      <w:r w:rsidR="00797309">
        <w:t xml:space="preserve">explains UNDP’s contribution to </w:t>
      </w:r>
      <w:r w:rsidR="000A7192">
        <w:t xml:space="preserve">national priorities </w:t>
      </w:r>
      <w:r w:rsidR="001D220F">
        <w:t xml:space="preserve">as part of </w:t>
      </w:r>
      <w:r w:rsidR="00797309">
        <w:t xml:space="preserve">the United Nations </w:t>
      </w:r>
      <w:r w:rsidR="00332ED2">
        <w:t>Sustainable Development Cooperation Framework</w:t>
      </w:r>
      <w:r w:rsidR="005119D0">
        <w:t xml:space="preserve"> (i.e., Cooperation Framework)</w:t>
      </w:r>
      <w:r w:rsidR="00AC1BE7" w:rsidRPr="003C26C1">
        <w:t>.</w:t>
      </w:r>
      <w:r w:rsidR="00424A78" w:rsidRPr="003C26C1">
        <w:t xml:space="preserve"> </w:t>
      </w:r>
      <w:r w:rsidR="00332ED2">
        <w:t xml:space="preserve">This includes an elaboration of UNDP’s comparative advantage </w:t>
      </w:r>
      <w:r w:rsidR="004145F0">
        <w:t xml:space="preserve">and the </w:t>
      </w:r>
      <w:r w:rsidR="00A31BF6">
        <w:t xml:space="preserve">unique </w:t>
      </w:r>
      <w:r w:rsidR="00AE22F5">
        <w:t xml:space="preserve">value proposition </w:t>
      </w:r>
      <w:r w:rsidR="004145F0">
        <w:t xml:space="preserve">UNDP will bring to the UNCT towards collective delivery of results agreed in the </w:t>
      </w:r>
      <w:r w:rsidR="0067557E">
        <w:t>Cooperation Framework</w:t>
      </w:r>
      <w:r w:rsidR="004145F0">
        <w:t xml:space="preserve">. </w:t>
      </w:r>
      <w:r w:rsidR="000611AB" w:rsidRPr="003C26C1">
        <w:t xml:space="preserve">This </w:t>
      </w:r>
      <w:r w:rsidR="000611AB">
        <w:t>must</w:t>
      </w:r>
      <w:r w:rsidR="000611AB" w:rsidRPr="003C26C1">
        <w:t xml:space="preserve"> be based on </w:t>
      </w:r>
      <w:r w:rsidR="000611AB">
        <w:t>a well-articulated theory of change for the programme. The CPD theory of change is anchored in the Cooperation Framework’s theory of change, drawing on evidence from the Common Country Analysis (CCA).</w:t>
      </w:r>
    </w:p>
    <w:p w14:paraId="6280D9E4" w14:textId="77777777" w:rsidR="00121554" w:rsidRDefault="00121554" w:rsidP="00091984">
      <w:pPr>
        <w:ind w:left="1260" w:right="1210"/>
        <w:jc w:val="both"/>
      </w:pPr>
    </w:p>
    <w:p w14:paraId="13CBFCC7" w14:textId="77777777" w:rsidR="00121554" w:rsidRDefault="00121554" w:rsidP="00091984">
      <w:pPr>
        <w:ind w:left="1260" w:right="1210"/>
        <w:jc w:val="both"/>
      </w:pPr>
      <w:r>
        <w:t>Suggested content:</w:t>
      </w:r>
    </w:p>
    <w:p w14:paraId="265F9AEC" w14:textId="0D092D99" w:rsidR="007820ED" w:rsidRDefault="00597DC7" w:rsidP="00342E94">
      <w:pPr>
        <w:pStyle w:val="ListParagraph"/>
        <w:numPr>
          <w:ilvl w:val="0"/>
          <w:numId w:val="42"/>
        </w:numPr>
        <w:spacing w:before="120"/>
        <w:ind w:left="1620" w:right="1210"/>
        <w:jc w:val="both"/>
      </w:pPr>
      <w:r>
        <w:t>F</w:t>
      </w:r>
      <w:r w:rsidR="000611AB" w:rsidRPr="003C26C1">
        <w:t xml:space="preserve">irst, a brief </w:t>
      </w:r>
      <w:r w:rsidR="00597A78">
        <w:t>(1-2 paragraph) summary</w:t>
      </w:r>
      <w:r w:rsidR="000611AB" w:rsidRPr="003C26C1">
        <w:t xml:space="preserve"> of country context and national priorities without repeating the </w:t>
      </w:r>
      <w:r w:rsidR="000611AB">
        <w:t>Cooperation Framework</w:t>
      </w:r>
      <w:r w:rsidR="000611AB" w:rsidRPr="003C26C1">
        <w:t xml:space="preserve"> situation analysis</w:t>
      </w:r>
      <w:r>
        <w:t>.</w:t>
      </w:r>
      <w:r w:rsidR="00174F19">
        <w:t xml:space="preserve"> </w:t>
      </w:r>
      <w:r w:rsidR="007820ED">
        <w:t>Specifically state those groups left furthest behind and why and UNDP’s contribution to target specific groups to leave no one behind. Specify how women</w:t>
      </w:r>
      <w:r w:rsidR="00484BE0">
        <w:t xml:space="preserve"> and</w:t>
      </w:r>
      <w:r w:rsidR="007820ED">
        <w:t xml:space="preserve"> different marginalized groups – particularly those identified through the CCA - are affected and are affected differently by development challenges.</w:t>
      </w:r>
      <w:r w:rsidR="007820ED" w:rsidRPr="000611AB">
        <w:t xml:space="preserve"> </w:t>
      </w:r>
    </w:p>
    <w:p w14:paraId="6B7C295B" w14:textId="77777777" w:rsidR="005A2AD8" w:rsidRDefault="005A2AD8" w:rsidP="00342E94">
      <w:pPr>
        <w:pStyle w:val="ListParagraph"/>
        <w:numPr>
          <w:ilvl w:val="0"/>
          <w:numId w:val="42"/>
        </w:numPr>
        <w:spacing w:before="120"/>
        <w:ind w:left="1620" w:right="1210"/>
        <w:jc w:val="both"/>
      </w:pPr>
      <w:r>
        <w:t xml:space="preserve">Describe UNDP’s unique comparative advantages to address specific key causal factors of development challenges identified in the CCA. </w:t>
      </w:r>
    </w:p>
    <w:p w14:paraId="621A92E0" w14:textId="77777777" w:rsidR="00264990" w:rsidRDefault="00264990" w:rsidP="00264990">
      <w:pPr>
        <w:pStyle w:val="ListParagraph"/>
        <w:numPr>
          <w:ilvl w:val="0"/>
          <w:numId w:val="41"/>
        </w:numPr>
        <w:spacing w:before="120"/>
        <w:ind w:left="1620" w:right="1210"/>
        <w:jc w:val="both"/>
      </w:pPr>
      <w:r>
        <w:t>Explain k</w:t>
      </w:r>
      <w:r w:rsidRPr="003C26C1">
        <w:t xml:space="preserve">ey successes and shortfalls during the preceding </w:t>
      </w:r>
      <w:r>
        <w:t>programme</w:t>
      </w:r>
      <w:r w:rsidRPr="003C26C1">
        <w:t xml:space="preserve"> cycle and what this reveals about what worked and what did not</w:t>
      </w:r>
      <w:r>
        <w:t>,</w:t>
      </w:r>
      <w:r w:rsidRPr="003C26C1">
        <w:t xml:space="preserve"> citing evidence from evaluations and other authoritative sources</w:t>
      </w:r>
      <w:r>
        <w:t>.</w:t>
      </w:r>
    </w:p>
    <w:p w14:paraId="0C52D833" w14:textId="538E2296" w:rsidR="00AD66C0" w:rsidRDefault="00174F19" w:rsidP="00AD66C0">
      <w:pPr>
        <w:pStyle w:val="ListParagraph"/>
        <w:numPr>
          <w:ilvl w:val="0"/>
          <w:numId w:val="41"/>
        </w:numPr>
        <w:spacing w:before="120"/>
        <w:ind w:left="1620" w:right="1210"/>
        <w:jc w:val="both"/>
      </w:pPr>
      <w:r>
        <w:t>Drawing on UNDP’s comparative advantages, e</w:t>
      </w:r>
      <w:r w:rsidR="00AD66C0">
        <w:t xml:space="preserve">laborate on key issues in the Cooperation Framework that UNDP will support, such as economic transformation, </w:t>
      </w:r>
      <w:r w:rsidR="009352C3">
        <w:t xml:space="preserve">eradication of multidimensional poverty, </w:t>
      </w:r>
      <w:r w:rsidR="00AD66C0">
        <w:t>conflict prevention, SDG financing and the humanitarian-development-peace nexus.</w:t>
      </w:r>
    </w:p>
    <w:p w14:paraId="48941E71" w14:textId="429395D9" w:rsidR="000611AB" w:rsidRDefault="007820ED" w:rsidP="0048041F">
      <w:pPr>
        <w:pStyle w:val="ListParagraph"/>
        <w:numPr>
          <w:ilvl w:val="0"/>
          <w:numId w:val="41"/>
        </w:numPr>
        <w:spacing w:before="120"/>
        <w:ind w:left="1620" w:right="1210"/>
        <w:jc w:val="both"/>
      </w:pPr>
      <w:r>
        <w:t xml:space="preserve">Specify concrete examples where UNDP’s comparative advantage adds value for this particular programme. Examples include UNDP’s integration offer, our innovation expertise (i.e., Accelerator Labs), leading roles in sub-regional initiatives, thematic expertise, partnerships, country platforms, etc. </w:t>
      </w:r>
      <w:r w:rsidR="00B75A27">
        <w:t xml:space="preserve">Also, how </w:t>
      </w:r>
      <w:r w:rsidR="000611AB">
        <w:t>UNDP will address complex development challenges through innovative ways of problem solving that it offers in the context of NextGen UNDP and its offer for integrated support.</w:t>
      </w:r>
    </w:p>
    <w:p w14:paraId="2A64AFD5" w14:textId="12F25A41" w:rsidR="000611AB" w:rsidRDefault="001D547F" w:rsidP="00342E94">
      <w:pPr>
        <w:pStyle w:val="ListParagraph"/>
        <w:numPr>
          <w:ilvl w:val="0"/>
          <w:numId w:val="41"/>
        </w:numPr>
        <w:spacing w:before="120"/>
        <w:ind w:left="1620" w:right="1210"/>
        <w:jc w:val="both"/>
      </w:pPr>
      <w:r>
        <w:t>Articulate</w:t>
      </w:r>
      <w:r w:rsidR="000611AB" w:rsidRPr="003C26C1">
        <w:t xml:space="preserve"> how UNDP will contribute to an integrated UN response, and the role of other partnerships connected directly to the achievement of results, especially with other UN funds and programmes, and through </w:t>
      </w:r>
      <w:r w:rsidR="000611AB">
        <w:t>south-south</w:t>
      </w:r>
      <w:r w:rsidR="000611AB" w:rsidRPr="003C26C1">
        <w:t xml:space="preserve"> and triangular co-operation.</w:t>
      </w:r>
    </w:p>
    <w:p w14:paraId="719D2FA1" w14:textId="77777777" w:rsidR="0067557E" w:rsidRDefault="0067557E" w:rsidP="00091984">
      <w:pPr>
        <w:ind w:left="1260" w:right="1210"/>
        <w:jc w:val="both"/>
      </w:pPr>
    </w:p>
    <w:p w14:paraId="49F9CB8B" w14:textId="0E0B7C56" w:rsidR="00091984" w:rsidRDefault="00091984" w:rsidP="00091984">
      <w:pPr>
        <w:ind w:left="1260" w:right="1210"/>
        <w:jc w:val="both"/>
      </w:pPr>
      <w:r>
        <w:t xml:space="preserve">If the CPD is done in a country without a Cooperation Framework, this section should be titled “Rationale” and this section should describe: a) a brief analysis of the country context and national priorities; b) key successes and shortfalls during the preceding CPD cycle drawing on evaluation and other evidence; and c) the theory of change for the proposed programme, along with UNDP’s </w:t>
      </w:r>
      <w:r w:rsidR="002A4CE1">
        <w:t>comparative advantage</w:t>
      </w:r>
      <w:r w:rsidR="00F041B2">
        <w:t xml:space="preserve"> as applicable to the specific country context.</w:t>
      </w:r>
    </w:p>
    <w:p w14:paraId="2440D3DF" w14:textId="77777777" w:rsidR="00BD76A4" w:rsidRPr="003C26C1" w:rsidRDefault="00BD76A4" w:rsidP="00BD76A4">
      <w:pPr>
        <w:pStyle w:val="Heading2"/>
        <w:ind w:left="1267" w:right="1267"/>
        <w:jc w:val="both"/>
        <w:rPr>
          <w:rFonts w:ascii="Times New Roman" w:hAnsi="Times New Roman"/>
          <w:bCs/>
          <w:color w:val="000000"/>
          <w:sz w:val="24"/>
          <w:szCs w:val="24"/>
        </w:rPr>
      </w:pPr>
    </w:p>
    <w:p w14:paraId="2440D3E0" w14:textId="77777777" w:rsidR="004820B0" w:rsidRPr="003C26C1" w:rsidRDefault="004820B0" w:rsidP="00BD76A4">
      <w:pPr>
        <w:pStyle w:val="Heading2"/>
        <w:ind w:left="1267" w:right="1267"/>
        <w:jc w:val="both"/>
        <w:rPr>
          <w:rFonts w:ascii="Times New Roman" w:hAnsi="Times New Roman"/>
          <w:color w:val="000000"/>
          <w:spacing w:val="-3"/>
          <w:sz w:val="20"/>
        </w:rPr>
      </w:pPr>
      <w:r w:rsidRPr="003C26C1">
        <w:rPr>
          <w:rFonts w:ascii="Times New Roman" w:hAnsi="Times New Roman"/>
          <w:bCs/>
          <w:color w:val="000000"/>
          <w:sz w:val="24"/>
          <w:szCs w:val="24"/>
        </w:rPr>
        <w:t xml:space="preserve">II. </w:t>
      </w:r>
      <w:r w:rsidR="00677F8A" w:rsidRPr="003C26C1">
        <w:rPr>
          <w:rFonts w:ascii="Times New Roman" w:hAnsi="Times New Roman"/>
          <w:bCs/>
          <w:color w:val="000000"/>
          <w:sz w:val="24"/>
          <w:szCs w:val="24"/>
        </w:rPr>
        <w:t>Programme Priorities</w:t>
      </w:r>
      <w:r w:rsidR="002B6341" w:rsidRPr="003C26C1">
        <w:rPr>
          <w:rFonts w:ascii="Times New Roman" w:hAnsi="Times New Roman"/>
          <w:bCs/>
          <w:color w:val="000000"/>
          <w:sz w:val="24"/>
          <w:szCs w:val="24"/>
        </w:rPr>
        <w:t xml:space="preserve"> </w:t>
      </w:r>
      <w:r w:rsidR="004736BE" w:rsidRPr="003C26C1">
        <w:rPr>
          <w:rFonts w:ascii="Times New Roman" w:hAnsi="Times New Roman"/>
          <w:bCs/>
          <w:color w:val="000000"/>
          <w:sz w:val="24"/>
          <w:szCs w:val="24"/>
        </w:rPr>
        <w:t xml:space="preserve">and </w:t>
      </w:r>
      <w:r w:rsidR="002B6341" w:rsidRPr="003C26C1">
        <w:rPr>
          <w:rFonts w:ascii="Times New Roman" w:hAnsi="Times New Roman"/>
          <w:bCs/>
          <w:color w:val="000000"/>
          <w:sz w:val="24"/>
          <w:szCs w:val="24"/>
        </w:rPr>
        <w:t>Partnerships</w:t>
      </w:r>
      <w:r w:rsidR="00074DB9" w:rsidRPr="003C26C1">
        <w:rPr>
          <w:rFonts w:ascii="Times New Roman" w:hAnsi="Times New Roman"/>
          <w:bCs/>
          <w:color w:val="000000"/>
          <w:sz w:val="24"/>
          <w:szCs w:val="24"/>
        </w:rPr>
        <w:t xml:space="preserve"> </w:t>
      </w:r>
    </w:p>
    <w:p w14:paraId="2440D3E1" w14:textId="77777777" w:rsidR="00E42084" w:rsidRPr="003C26C1" w:rsidRDefault="00E42084" w:rsidP="00BD76A4"/>
    <w:p w14:paraId="331928EA" w14:textId="714A49AD" w:rsidR="005644AD" w:rsidRDefault="00C1591E" w:rsidP="002F47EB">
      <w:pPr>
        <w:pStyle w:val="ListParagraph"/>
        <w:ind w:left="1260" w:right="1210"/>
        <w:contextualSpacing/>
        <w:jc w:val="both"/>
      </w:pPr>
      <w:r w:rsidRPr="003C26C1">
        <w:t>T</w:t>
      </w:r>
      <w:r w:rsidR="002C36C8" w:rsidRPr="003C26C1">
        <w:t xml:space="preserve">his section presents the </w:t>
      </w:r>
      <w:r w:rsidRPr="003C26C1">
        <w:t xml:space="preserve">programme priorities </w:t>
      </w:r>
      <w:r w:rsidR="002C36C8" w:rsidRPr="003C26C1">
        <w:t xml:space="preserve">that UNDP proposes to focus on </w:t>
      </w:r>
      <w:r w:rsidR="000B6379">
        <w:t xml:space="preserve">in support </w:t>
      </w:r>
      <w:r w:rsidR="00DE1C5A">
        <w:t>of</w:t>
      </w:r>
      <w:r w:rsidR="0018356F" w:rsidRPr="003C26C1">
        <w:t xml:space="preserve"> </w:t>
      </w:r>
      <w:r w:rsidR="0013239A" w:rsidRPr="003C26C1">
        <w:t>national priorities</w:t>
      </w:r>
      <w:r w:rsidR="00CA2747">
        <w:t xml:space="preserve"> </w:t>
      </w:r>
      <w:r w:rsidR="001D0646">
        <w:t>to achieve</w:t>
      </w:r>
      <w:r w:rsidR="00CA2747">
        <w:t xml:space="preserve"> the SDGs</w:t>
      </w:r>
      <w:r w:rsidR="00927F35">
        <w:t xml:space="preserve"> as part of the Cooperation Framework</w:t>
      </w:r>
      <w:r w:rsidR="0013239A" w:rsidRPr="003C26C1">
        <w:t xml:space="preserve">. </w:t>
      </w:r>
      <w:r w:rsidR="00545568">
        <w:t xml:space="preserve">Rather than </w:t>
      </w:r>
      <w:r w:rsidR="00622074">
        <w:t>repeating</w:t>
      </w:r>
      <w:r w:rsidR="00545568">
        <w:t xml:space="preserve"> the </w:t>
      </w:r>
      <w:r w:rsidR="00CA7DAD">
        <w:t xml:space="preserve">specific outcomes of the programme, which are </w:t>
      </w:r>
      <w:r w:rsidR="00622074">
        <w:t>stated</w:t>
      </w:r>
      <w:r w:rsidR="00CA7DAD">
        <w:t xml:space="preserve"> in the Results and Resources Framework, </w:t>
      </w:r>
      <w:r w:rsidR="00F527A6">
        <w:t xml:space="preserve">this section should focus on the </w:t>
      </w:r>
      <w:r w:rsidR="00BC6D0F">
        <w:t xml:space="preserve">systems thinking </w:t>
      </w:r>
      <w:r w:rsidR="00351F5A">
        <w:t>con</w:t>
      </w:r>
      <w:r w:rsidR="000153EB">
        <w:t xml:space="preserve">tributions to concrete benefits for </w:t>
      </w:r>
      <w:r w:rsidR="001874A7">
        <w:t xml:space="preserve">people and </w:t>
      </w:r>
      <w:r w:rsidR="000153EB">
        <w:t xml:space="preserve">society. </w:t>
      </w:r>
    </w:p>
    <w:p w14:paraId="217D01CD" w14:textId="77777777" w:rsidR="005644AD" w:rsidRDefault="005644AD" w:rsidP="002F47EB">
      <w:pPr>
        <w:pStyle w:val="ListParagraph"/>
        <w:ind w:left="1260" w:right="1210"/>
        <w:contextualSpacing/>
        <w:jc w:val="both"/>
      </w:pPr>
    </w:p>
    <w:p w14:paraId="0C58FD75" w14:textId="77777777" w:rsidR="005644AD" w:rsidRDefault="005644AD" w:rsidP="002F47EB">
      <w:pPr>
        <w:pStyle w:val="ListParagraph"/>
        <w:ind w:left="1260" w:right="1210"/>
        <w:contextualSpacing/>
        <w:jc w:val="both"/>
      </w:pPr>
      <w:r>
        <w:t>Suggested content:</w:t>
      </w:r>
    </w:p>
    <w:p w14:paraId="56F9DA53" w14:textId="2F848F8B" w:rsidR="00BC299D" w:rsidRDefault="00BC299D" w:rsidP="00342E94">
      <w:pPr>
        <w:pStyle w:val="ListParagraph"/>
        <w:numPr>
          <w:ilvl w:val="0"/>
          <w:numId w:val="43"/>
        </w:numPr>
        <w:spacing w:before="120"/>
        <w:ind w:left="1620" w:right="1210"/>
        <w:jc w:val="both"/>
      </w:pPr>
      <w:r>
        <w:lastRenderedPageBreak/>
        <w:t>Present the vision for the programme in clear and simple terms</w:t>
      </w:r>
      <w:r w:rsidR="00ED38BF">
        <w:t xml:space="preserve"> that describes the </w:t>
      </w:r>
      <w:r w:rsidR="00323D35">
        <w:t xml:space="preserve">benefits for people that </w:t>
      </w:r>
      <w:r w:rsidR="001508E6">
        <w:t>is</w:t>
      </w:r>
      <w:r w:rsidR="00323D35">
        <w:t xml:space="preserve"> expected from UNDP’s programme over the next </w:t>
      </w:r>
      <w:r w:rsidR="00E51630">
        <w:t>4-5 years</w:t>
      </w:r>
      <w:r>
        <w:t xml:space="preserve">. </w:t>
      </w:r>
    </w:p>
    <w:p w14:paraId="56568490" w14:textId="4AE8C3B4" w:rsidR="005644AD" w:rsidRDefault="005644AD" w:rsidP="00342E94">
      <w:pPr>
        <w:pStyle w:val="ListParagraph"/>
        <w:numPr>
          <w:ilvl w:val="0"/>
          <w:numId w:val="43"/>
        </w:numPr>
        <w:spacing w:before="120"/>
        <w:ind w:left="1620" w:right="1210"/>
        <w:jc w:val="both"/>
      </w:pPr>
      <w:r>
        <w:t>I</w:t>
      </w:r>
      <w:r w:rsidRPr="003C26C1">
        <w:t xml:space="preserve">ndicate briefly but substantively </w:t>
      </w:r>
      <w:r w:rsidRPr="003C26C1">
        <w:rPr>
          <w:i/>
        </w:rPr>
        <w:t>how</w:t>
      </w:r>
      <w:r w:rsidRPr="003C26C1">
        <w:t xml:space="preserve"> UNDP intends to address the relevant priorit</w:t>
      </w:r>
      <w:r>
        <w:t>ies</w:t>
      </w:r>
      <w:r w:rsidR="00ED5DB2">
        <w:t xml:space="preserve"> of the Cooperation Framework</w:t>
      </w:r>
      <w:r w:rsidRPr="003C26C1">
        <w:t>, explaining the mix of strategies that will be utilized to support the achievement of results</w:t>
      </w:r>
      <w:r>
        <w:t xml:space="preserve"> and elaborating on key assumptions about how and why these strategies will lead to change</w:t>
      </w:r>
      <w:r w:rsidRPr="003C26C1">
        <w:t xml:space="preserve">. </w:t>
      </w:r>
      <w:r w:rsidR="002236F0">
        <w:t xml:space="preserve">Explain how the causal analysis described in the CCA and Cooperation Framework translates into identified </w:t>
      </w:r>
      <w:r w:rsidR="00C36083">
        <w:t>change</w:t>
      </w:r>
      <w:r w:rsidR="002236F0">
        <w:t xml:space="preserve"> pathways that will be the focus of a coherent strategy to support the country in achieving the SDGs.</w:t>
      </w:r>
    </w:p>
    <w:p w14:paraId="4DD2FD96" w14:textId="3F8EB50D" w:rsidR="000A2ABD" w:rsidRPr="00532D58" w:rsidRDefault="005644AD" w:rsidP="000A2ABD">
      <w:pPr>
        <w:pStyle w:val="ListParagraph"/>
        <w:numPr>
          <w:ilvl w:val="0"/>
          <w:numId w:val="43"/>
        </w:numPr>
        <w:spacing w:before="120"/>
        <w:ind w:left="1620" w:right="1210"/>
        <w:jc w:val="both"/>
      </w:pPr>
      <w:r>
        <w:t xml:space="preserve">Showcase the linkages between the programme priorities and how the integrated solutions </w:t>
      </w:r>
      <w:r w:rsidR="00834A7F">
        <w:t xml:space="preserve">leveraging the applicable Six Signature Solutions and </w:t>
      </w:r>
      <w:r w:rsidR="00D476E4">
        <w:t>E</w:t>
      </w:r>
      <w:r w:rsidR="00834A7F">
        <w:t>nablers</w:t>
      </w:r>
      <w:r w:rsidR="00834A7F">
        <w:rPr>
          <w:rStyle w:val="FootnoteReference"/>
          <w:lang w:val="en-IE"/>
        </w:rPr>
        <w:footnoteReference w:id="1"/>
      </w:r>
      <w:r w:rsidR="00834A7F">
        <w:t xml:space="preserve"> </w:t>
      </w:r>
      <w:r>
        <w:t>that UNDP offers could provide accelerated, innovative and catalytic results that have direct impact on all priorities of the Cooperation Framework.</w:t>
      </w:r>
      <w:r w:rsidR="00AD3E9B">
        <w:t xml:space="preserve"> </w:t>
      </w:r>
      <w:r w:rsidR="00B718E0" w:rsidRPr="00342E94">
        <w:rPr>
          <w:color w:val="000000"/>
        </w:rPr>
        <w:t>Explain how these priorities work together to form a coherent strategy to support SDG achievement and monitoring in the country/sub-region.</w:t>
      </w:r>
      <w:r w:rsidR="000611AB" w:rsidRPr="00342E94">
        <w:rPr>
          <w:color w:val="000000"/>
        </w:rPr>
        <w:t xml:space="preserve"> </w:t>
      </w:r>
    </w:p>
    <w:p w14:paraId="1F04C7E8" w14:textId="7EBD5133" w:rsidR="005644AD" w:rsidRPr="005644AD" w:rsidRDefault="005644AD" w:rsidP="00342E94">
      <w:pPr>
        <w:pStyle w:val="ListParagraph"/>
        <w:numPr>
          <w:ilvl w:val="0"/>
          <w:numId w:val="43"/>
        </w:numPr>
        <w:spacing w:before="120"/>
        <w:ind w:left="1620" w:right="1210"/>
        <w:jc w:val="both"/>
      </w:pPr>
      <w:r>
        <w:t>Describe the partnerships that are critical for outcome level change to be achieved, including South-South Cooperation</w:t>
      </w:r>
      <w:r w:rsidR="001C742E">
        <w:t xml:space="preserve"> and</w:t>
      </w:r>
      <w:r>
        <w:t xml:space="preserve"> </w:t>
      </w:r>
      <w:r w:rsidR="001C742E">
        <w:t xml:space="preserve">UN Volunteers, </w:t>
      </w:r>
      <w:r>
        <w:t xml:space="preserve">but also with a broad range of stakeholders at the national and sub-national level such as </w:t>
      </w:r>
      <w:r w:rsidR="00395201">
        <w:t xml:space="preserve">government institutions at all levels, </w:t>
      </w:r>
      <w:r>
        <w:t>private sector, civil society, citizens</w:t>
      </w:r>
      <w:r w:rsidR="00AD340D">
        <w:t xml:space="preserve">, international financial institutions, </w:t>
      </w:r>
      <w:r>
        <w:t xml:space="preserve">and parliamentarians. </w:t>
      </w:r>
      <w:r w:rsidRPr="005644AD">
        <w:rPr>
          <w:color w:val="000000"/>
        </w:rPr>
        <w:t xml:space="preserve">These partnerships should be presented within the text describing those strategies, rather than in a separate paragraph. </w:t>
      </w:r>
    </w:p>
    <w:p w14:paraId="70081A08" w14:textId="3EA8070C" w:rsidR="005644AD" w:rsidRPr="00342E94" w:rsidRDefault="0057363E" w:rsidP="00342E94">
      <w:pPr>
        <w:pStyle w:val="ListParagraph"/>
        <w:numPr>
          <w:ilvl w:val="0"/>
          <w:numId w:val="43"/>
        </w:numPr>
        <w:spacing w:before="120"/>
        <w:ind w:left="1620" w:right="1210"/>
        <w:jc w:val="both"/>
      </w:pPr>
      <w:r>
        <w:t xml:space="preserve">UNDP’s role </w:t>
      </w:r>
      <w:r w:rsidRPr="005644AD">
        <w:rPr>
          <w:i/>
        </w:rPr>
        <w:t>vis-à-vis</w:t>
      </w:r>
      <w:r>
        <w:t xml:space="preserve"> other partners, including UN agencies, to contribute to outcome level change should be clear. This role should be derived from UNDP’s mandate, Strategic Plan, and positioning in the country.</w:t>
      </w:r>
      <w:r w:rsidR="00B718E0" w:rsidRPr="005644AD">
        <w:rPr>
          <w:color w:val="000000"/>
        </w:rPr>
        <w:t xml:space="preserve"> What is described here should be consistent with the indicative country programme outputs in the RRF.</w:t>
      </w:r>
    </w:p>
    <w:p w14:paraId="2440D3E2" w14:textId="1B37C629" w:rsidR="002C36C8" w:rsidRDefault="005644AD">
      <w:pPr>
        <w:pStyle w:val="ListParagraph"/>
        <w:numPr>
          <w:ilvl w:val="0"/>
          <w:numId w:val="43"/>
        </w:numPr>
        <w:spacing w:before="120"/>
        <w:ind w:left="1620" w:right="1210"/>
        <w:jc w:val="both"/>
      </w:pPr>
      <w:r>
        <w:t>Reflect how s</w:t>
      </w:r>
      <w:r w:rsidR="00E552CC">
        <w:t xml:space="preserve">olutions </w:t>
      </w:r>
      <w:r>
        <w:t xml:space="preserve">have/will </w:t>
      </w:r>
      <w:r w:rsidR="00E552CC">
        <w:t>be informed by stakeholders</w:t>
      </w:r>
      <w:r w:rsidR="00927F35">
        <w:t>, including citizens</w:t>
      </w:r>
      <w:r w:rsidR="00E50B82">
        <w:t>, reflecting the principles of national ownership and stakeholder engagement</w:t>
      </w:r>
      <w:r w:rsidR="00E552CC">
        <w:t xml:space="preserve">. </w:t>
      </w:r>
      <w:r w:rsidR="0090759D">
        <w:t xml:space="preserve">They should draw on learning of what worked and what did not </w:t>
      </w:r>
      <w:r w:rsidR="0090759D" w:rsidRPr="003C26C1">
        <w:t>during the preceding CPD cycle citing evidence from evaluations and other sources</w:t>
      </w:r>
      <w:r w:rsidR="0090759D">
        <w:t xml:space="preserve">. </w:t>
      </w:r>
    </w:p>
    <w:p w14:paraId="2440D3E3" w14:textId="77777777" w:rsidR="002C36C8" w:rsidRPr="004D6254" w:rsidRDefault="002C36C8" w:rsidP="004736BE">
      <w:pPr>
        <w:shd w:val="clear" w:color="auto" w:fill="FFFFFF" w:themeFill="background1"/>
        <w:ind w:left="1267" w:right="1210"/>
        <w:jc w:val="both"/>
      </w:pPr>
    </w:p>
    <w:p w14:paraId="2440D3E4" w14:textId="41744D51" w:rsidR="00D1045D" w:rsidRPr="003C26C1" w:rsidRDefault="002A70EA" w:rsidP="00D1045D">
      <w:pPr>
        <w:shd w:val="clear" w:color="auto" w:fill="FFFFFF" w:themeFill="background1"/>
        <w:ind w:left="1260" w:right="1210"/>
      </w:pPr>
      <w:r w:rsidRPr="004D6254">
        <w:t>Attention</w:t>
      </w:r>
      <w:r w:rsidR="00BF2DAF" w:rsidRPr="004D6254">
        <w:t xml:space="preserve"> needs</w:t>
      </w:r>
      <w:r w:rsidRPr="004D6254">
        <w:t xml:space="preserve"> to be paid to the</w:t>
      </w:r>
      <w:r w:rsidRPr="003C26C1">
        <w:t xml:space="preserve"> </w:t>
      </w:r>
      <w:r w:rsidR="00BB5893">
        <w:t>Quality Standards for Programming (</w:t>
      </w:r>
      <w:r w:rsidR="008139A5" w:rsidRPr="008139A5">
        <w:t>https://popp.undp.org/SitePages/POPPSubject.aspx?SBJID=446&amp;Menu=BusinessUnit</w:t>
      </w:r>
      <w:r w:rsidR="00BB5893">
        <w:t>).</w:t>
      </w:r>
    </w:p>
    <w:p w14:paraId="2440D3F6" w14:textId="77777777" w:rsidR="004736BE" w:rsidRPr="003C26C1" w:rsidRDefault="004736BE" w:rsidP="00AD68A5">
      <w:pPr>
        <w:ind w:left="1627" w:right="1267"/>
        <w:jc w:val="both"/>
        <w:rPr>
          <w:color w:val="000000"/>
        </w:rPr>
      </w:pPr>
    </w:p>
    <w:p w14:paraId="2440D3F7" w14:textId="77777777" w:rsidR="0063402B" w:rsidRPr="003C26C1" w:rsidRDefault="0063402B" w:rsidP="0063402B">
      <w:pPr>
        <w:pStyle w:val="Heading1"/>
        <w:tabs>
          <w:tab w:val="left" w:pos="1800"/>
        </w:tabs>
        <w:spacing w:after="120"/>
        <w:ind w:left="1267" w:right="1267"/>
        <w:jc w:val="both"/>
        <w:rPr>
          <w:rFonts w:ascii="Times New Roman" w:hAnsi="Times New Roman"/>
          <w:color w:val="000000"/>
          <w:sz w:val="20"/>
          <w:lang w:val="en-US"/>
        </w:rPr>
      </w:pPr>
      <w:r w:rsidRPr="003C26C1">
        <w:rPr>
          <w:rFonts w:ascii="Times New Roman" w:hAnsi="Times New Roman"/>
          <w:color w:val="000000"/>
          <w:sz w:val="24"/>
          <w:szCs w:val="24"/>
        </w:rPr>
        <w:t>I</w:t>
      </w:r>
      <w:r w:rsidRPr="003C26C1">
        <w:rPr>
          <w:rFonts w:ascii="Times New Roman" w:hAnsi="Times New Roman"/>
          <w:color w:val="000000"/>
          <w:sz w:val="24"/>
          <w:szCs w:val="24"/>
          <w:lang w:val="en-US"/>
        </w:rPr>
        <w:t>II</w:t>
      </w:r>
      <w:r w:rsidRPr="003C26C1">
        <w:rPr>
          <w:rFonts w:ascii="Times New Roman" w:hAnsi="Times New Roman"/>
          <w:color w:val="000000"/>
          <w:sz w:val="24"/>
          <w:szCs w:val="24"/>
        </w:rPr>
        <w:t xml:space="preserve">. </w:t>
      </w:r>
      <w:r w:rsidRPr="003C26C1">
        <w:rPr>
          <w:rFonts w:ascii="Times New Roman" w:hAnsi="Times New Roman"/>
          <w:color w:val="000000"/>
          <w:sz w:val="24"/>
          <w:szCs w:val="24"/>
          <w:lang w:val="en-US"/>
        </w:rPr>
        <w:t>Programme and Risk</w:t>
      </w:r>
      <w:r w:rsidR="00AC1BE7" w:rsidRPr="003C26C1">
        <w:rPr>
          <w:rFonts w:ascii="Times New Roman" w:hAnsi="Times New Roman"/>
          <w:color w:val="000000"/>
          <w:sz w:val="24"/>
          <w:szCs w:val="24"/>
          <w:lang w:val="en-US"/>
        </w:rPr>
        <w:t xml:space="preserve"> </w:t>
      </w:r>
      <w:r w:rsidR="001C6C08" w:rsidRPr="003C26C1">
        <w:rPr>
          <w:rFonts w:ascii="Times New Roman" w:hAnsi="Times New Roman"/>
          <w:color w:val="000000"/>
          <w:sz w:val="24"/>
          <w:szCs w:val="24"/>
          <w:lang w:val="en-US"/>
        </w:rPr>
        <w:t>Management</w:t>
      </w:r>
      <w:r w:rsidRPr="003C26C1">
        <w:rPr>
          <w:rFonts w:ascii="Times New Roman" w:hAnsi="Times New Roman"/>
          <w:color w:val="000000"/>
          <w:sz w:val="24"/>
          <w:szCs w:val="24"/>
        </w:rPr>
        <w:t xml:space="preserve"> </w:t>
      </w:r>
    </w:p>
    <w:p w14:paraId="7E867498" w14:textId="77777777" w:rsidR="00AC01D4" w:rsidRDefault="002E1495" w:rsidP="00220C88">
      <w:pPr>
        <w:ind w:left="1260" w:right="1210"/>
        <w:jc w:val="both"/>
      </w:pPr>
      <w:r w:rsidRPr="003C26C1">
        <w:t xml:space="preserve">This section lays out the specific management initiatives that will </w:t>
      </w:r>
      <w:r w:rsidR="00AD68A5" w:rsidRPr="003C26C1">
        <w:t xml:space="preserve">achieve </w:t>
      </w:r>
      <w:r w:rsidRPr="003C26C1">
        <w:t xml:space="preserve">programme </w:t>
      </w:r>
      <w:r w:rsidR="00220C88">
        <w:t xml:space="preserve">quality, </w:t>
      </w:r>
      <w:r w:rsidRPr="003C26C1">
        <w:t>efficiency and effectiveness</w:t>
      </w:r>
      <w:r w:rsidR="00AA6913" w:rsidRPr="003C26C1">
        <w:t xml:space="preserve"> in the pursuit of development results</w:t>
      </w:r>
      <w:r w:rsidRPr="003C26C1">
        <w:t>.</w:t>
      </w:r>
      <w:r w:rsidR="004332A4">
        <w:t xml:space="preserve"> </w:t>
      </w:r>
    </w:p>
    <w:p w14:paraId="6D9C22D3" w14:textId="77777777" w:rsidR="00AC01D4" w:rsidRDefault="00AC01D4" w:rsidP="00220C88">
      <w:pPr>
        <w:ind w:left="1260" w:right="1210"/>
        <w:jc w:val="both"/>
      </w:pPr>
    </w:p>
    <w:p w14:paraId="30DE8C41" w14:textId="77777777" w:rsidR="00AC01D4" w:rsidRDefault="00AC01D4" w:rsidP="00220C88">
      <w:pPr>
        <w:ind w:left="1260" w:right="1210"/>
        <w:jc w:val="both"/>
      </w:pPr>
      <w:r>
        <w:t>Suggested content:</w:t>
      </w:r>
    </w:p>
    <w:p w14:paraId="433227DF" w14:textId="7866A9E0" w:rsidR="00AC01D4" w:rsidRPr="00342E94" w:rsidRDefault="00AC01D4" w:rsidP="00342E94">
      <w:pPr>
        <w:pStyle w:val="ListParagraph"/>
        <w:numPr>
          <w:ilvl w:val="0"/>
          <w:numId w:val="44"/>
        </w:numPr>
        <w:tabs>
          <w:tab w:val="left" w:pos="8640"/>
        </w:tabs>
        <w:spacing w:before="120"/>
        <w:ind w:left="1620" w:right="1210"/>
        <w:jc w:val="both"/>
        <w:rPr>
          <w:color w:val="000000"/>
        </w:rPr>
      </w:pPr>
      <w:r>
        <w:t>Discuss</w:t>
      </w:r>
      <w:r w:rsidRPr="003C26C1">
        <w:t xml:space="preserve"> specific risks </w:t>
      </w:r>
      <w:r>
        <w:t xml:space="preserve">(threats </w:t>
      </w:r>
      <w:r w:rsidRPr="003C26C1">
        <w:t>and opportunities</w:t>
      </w:r>
      <w:r>
        <w:t>)</w:t>
      </w:r>
      <w:r w:rsidRPr="003C26C1">
        <w:t xml:space="preserve"> </w:t>
      </w:r>
      <w:r>
        <w:t>to the programme’s objectives, drawing on the assumptions identified through the theory of change</w:t>
      </w:r>
      <w:r w:rsidRPr="00670BC4">
        <w:t xml:space="preserve"> </w:t>
      </w:r>
      <w:r w:rsidRPr="003C26C1">
        <w:t xml:space="preserve">so that UNDP can minimize the </w:t>
      </w:r>
      <w:r>
        <w:t>likelihood</w:t>
      </w:r>
      <w:r w:rsidRPr="003C26C1">
        <w:t xml:space="preserve"> of any disruption to</w:t>
      </w:r>
      <w:r>
        <w:t xml:space="preserve"> the</w:t>
      </w:r>
      <w:r w:rsidRPr="003C26C1">
        <w:t xml:space="preserve"> programme</w:t>
      </w:r>
      <w:r>
        <w:t xml:space="preserve"> and pursue opportunities to maximize benefits for the targeted groups</w:t>
      </w:r>
      <w:r w:rsidRPr="003C26C1">
        <w:t>.</w:t>
      </w:r>
      <w:r>
        <w:t xml:space="preserve"> </w:t>
      </w:r>
    </w:p>
    <w:p w14:paraId="30158588" w14:textId="09FE81C3" w:rsidR="00AC01D4" w:rsidRPr="00AA4DAA" w:rsidRDefault="00AC01D4" w:rsidP="00342E94">
      <w:pPr>
        <w:pStyle w:val="ListParagraph"/>
        <w:numPr>
          <w:ilvl w:val="0"/>
          <w:numId w:val="44"/>
        </w:numPr>
        <w:tabs>
          <w:tab w:val="left" w:pos="8640"/>
        </w:tabs>
        <w:spacing w:before="120"/>
        <w:ind w:left="1620" w:right="1210"/>
        <w:jc w:val="both"/>
        <w:rPr>
          <w:color w:val="000000"/>
        </w:rPr>
      </w:pPr>
      <w:r>
        <w:rPr>
          <w:color w:val="000000"/>
        </w:rPr>
        <w:t>H</w:t>
      </w:r>
      <w:r w:rsidRPr="00AA4DAA">
        <w:rPr>
          <w:color w:val="000000"/>
        </w:rPr>
        <w:t xml:space="preserve">ighlight potential social and environmental risks and impacts noting a commitment to apply UNDP’s </w:t>
      </w:r>
      <w:hyperlink r:id="rId18" w:history="1">
        <w:r w:rsidRPr="00523B73">
          <w:rPr>
            <w:rStyle w:val="Hyperlink"/>
          </w:rPr>
          <w:t>Social and Environmental Standards and Accountability Mechanism</w:t>
        </w:r>
      </w:hyperlink>
      <w:r w:rsidRPr="00AA4DAA">
        <w:rPr>
          <w:color w:val="000000"/>
        </w:rPr>
        <w:t xml:space="preserve"> as tools to help manage these risks.</w:t>
      </w:r>
      <w:r w:rsidRPr="003C26C1">
        <w:t xml:space="preserve">  </w:t>
      </w:r>
      <w:r w:rsidRPr="00AA4DAA">
        <w:rPr>
          <w:color w:val="000000"/>
        </w:rPr>
        <w:t xml:space="preserve">Early warning and risk management arrangements to anticipate any significant change in circumstances (e.g., risk monitoring, grievance mechanism) should be described, as relevant, along with contingencies built into the programme to ensure UNDP can be highly responsive. </w:t>
      </w:r>
    </w:p>
    <w:p w14:paraId="7623B19A" w14:textId="77777777" w:rsidR="00AC01D4" w:rsidRPr="007E058A" w:rsidRDefault="00AC01D4" w:rsidP="00342E94">
      <w:pPr>
        <w:pStyle w:val="ListParagraph"/>
        <w:numPr>
          <w:ilvl w:val="0"/>
          <w:numId w:val="44"/>
        </w:numPr>
        <w:spacing w:before="120"/>
        <w:ind w:left="1620" w:right="1210"/>
        <w:jc w:val="both"/>
        <w:rPr>
          <w:color w:val="000000"/>
        </w:rPr>
      </w:pPr>
      <w:r>
        <w:t xml:space="preserve">Describe the </w:t>
      </w:r>
      <w:r w:rsidRPr="007E058A">
        <w:rPr>
          <w:color w:val="000000"/>
        </w:rPr>
        <w:t>governance mechanisms that will be used to ensure UN/UNDP support is implemented in line with nationally-owned expectations and how partners participate to ensure mutual accountability, including in programme design.</w:t>
      </w:r>
    </w:p>
    <w:p w14:paraId="2BB6F667" w14:textId="77777777" w:rsidR="00AC01D4" w:rsidRPr="00342E94" w:rsidRDefault="00AC01D4" w:rsidP="00342E94">
      <w:pPr>
        <w:pStyle w:val="ListParagraph"/>
        <w:numPr>
          <w:ilvl w:val="0"/>
          <w:numId w:val="44"/>
        </w:numPr>
        <w:spacing w:before="120"/>
        <w:ind w:left="1627" w:right="1210"/>
        <w:jc w:val="both"/>
        <w:rPr>
          <w:color w:val="000000"/>
        </w:rPr>
      </w:pPr>
      <w:r>
        <w:lastRenderedPageBreak/>
        <w:t>E</w:t>
      </w:r>
      <w:r w:rsidR="004332A4">
        <w:t xml:space="preserve">laborate on the use </w:t>
      </w:r>
      <w:r w:rsidR="00702D07">
        <w:t xml:space="preserve">of </w:t>
      </w:r>
      <w:r w:rsidR="00A84BAC">
        <w:t>innovative</w:t>
      </w:r>
      <w:r w:rsidR="004332A4">
        <w:t xml:space="preserve"> programming instruments for the effective delivery of quality results, such as the </w:t>
      </w:r>
      <w:r w:rsidR="000A3A38">
        <w:t>e</w:t>
      </w:r>
      <w:r w:rsidR="004332A4">
        <w:t xml:space="preserve">ngagement </w:t>
      </w:r>
      <w:r w:rsidR="000A3A38">
        <w:t>f</w:t>
      </w:r>
      <w:r w:rsidR="004332A4">
        <w:t xml:space="preserve">acility and </w:t>
      </w:r>
      <w:r w:rsidR="000A3A38">
        <w:t>d</w:t>
      </w:r>
      <w:r w:rsidR="004332A4">
        <w:t xml:space="preserve">evelopment </w:t>
      </w:r>
      <w:r w:rsidR="000A3A38">
        <w:t>s</w:t>
      </w:r>
      <w:r w:rsidR="004332A4">
        <w:t>ervices</w:t>
      </w:r>
      <w:r w:rsidR="000A3A38">
        <w:t xml:space="preserve"> in addition to standard development projects</w:t>
      </w:r>
      <w:r w:rsidR="004332A4">
        <w:t>.</w:t>
      </w:r>
      <w:r w:rsidR="00424A78" w:rsidRPr="003C26C1">
        <w:t xml:space="preserve"> </w:t>
      </w:r>
    </w:p>
    <w:p w14:paraId="2440D3F9" w14:textId="5C1D8D88" w:rsidR="002E1495" w:rsidRPr="003C26C1" w:rsidRDefault="0078772C" w:rsidP="00342E94">
      <w:pPr>
        <w:pStyle w:val="ListParagraph"/>
        <w:numPr>
          <w:ilvl w:val="0"/>
          <w:numId w:val="46"/>
        </w:numPr>
        <w:tabs>
          <w:tab w:val="left" w:pos="8640"/>
        </w:tabs>
        <w:spacing w:before="120"/>
        <w:ind w:left="1627" w:right="1296"/>
        <w:jc w:val="both"/>
      </w:pPr>
      <w:r>
        <w:rPr>
          <w:color w:val="000000"/>
        </w:rPr>
        <w:t xml:space="preserve"> </w:t>
      </w:r>
      <w:r w:rsidR="00AC01D4">
        <w:t>D</w:t>
      </w:r>
      <w:r w:rsidR="002E1495" w:rsidRPr="003C26C1">
        <w:t>epending on context, areas highlighted could include managing partnerships</w:t>
      </w:r>
      <w:r w:rsidR="00AD68A5" w:rsidRPr="003C26C1">
        <w:t xml:space="preserve"> differently</w:t>
      </w:r>
      <w:r w:rsidR="002E1495" w:rsidRPr="003C26C1">
        <w:t xml:space="preserve">, </w:t>
      </w:r>
      <w:r w:rsidR="005632F1">
        <w:t>adjusting project tolerance and risk levels</w:t>
      </w:r>
      <w:r w:rsidR="002E1495" w:rsidRPr="003C26C1">
        <w:t xml:space="preserve">, </w:t>
      </w:r>
      <w:r w:rsidR="00AD68A5" w:rsidRPr="003C26C1">
        <w:t xml:space="preserve">adjusting the </w:t>
      </w:r>
      <w:r w:rsidR="00AA6913" w:rsidRPr="003C26C1">
        <w:t xml:space="preserve">choice of </w:t>
      </w:r>
      <w:r w:rsidR="002E1495" w:rsidRPr="003C26C1">
        <w:t>HACT</w:t>
      </w:r>
      <w:r w:rsidR="00AA6913" w:rsidRPr="003C26C1">
        <w:t xml:space="preserve"> arrangement</w:t>
      </w:r>
      <w:r w:rsidR="002E1495" w:rsidRPr="003C26C1">
        <w:t xml:space="preserve">, </w:t>
      </w:r>
      <w:r w:rsidR="00AD68A5" w:rsidRPr="003C26C1">
        <w:t>diversif</w:t>
      </w:r>
      <w:r w:rsidR="0066371E" w:rsidRPr="003C26C1">
        <w:t xml:space="preserve">ying </w:t>
      </w:r>
      <w:r w:rsidR="002E1495" w:rsidRPr="003C26C1">
        <w:t xml:space="preserve">resource </w:t>
      </w:r>
      <w:r w:rsidR="004224CE" w:rsidRPr="003C26C1">
        <w:t>mobilization</w:t>
      </w:r>
      <w:r w:rsidR="002E1495" w:rsidRPr="003C26C1">
        <w:t xml:space="preserve"> </w:t>
      </w:r>
      <w:r w:rsidR="00AA6913" w:rsidRPr="003C26C1">
        <w:t xml:space="preserve">efforts, </w:t>
      </w:r>
      <w:r w:rsidR="0066371E" w:rsidRPr="003C26C1">
        <w:t xml:space="preserve">making </w:t>
      </w:r>
      <w:r w:rsidR="00AA6913" w:rsidRPr="003C26C1">
        <w:t xml:space="preserve">structural </w:t>
      </w:r>
      <w:r w:rsidR="00AD68A5" w:rsidRPr="003C26C1">
        <w:t xml:space="preserve">changes in </w:t>
      </w:r>
      <w:r w:rsidR="00AA6913" w:rsidRPr="003C26C1">
        <w:t xml:space="preserve">the </w:t>
      </w:r>
      <w:r w:rsidR="00AD68A5" w:rsidRPr="003C26C1">
        <w:t>Country Office</w:t>
      </w:r>
      <w:r w:rsidR="007C5CE1" w:rsidRPr="003C26C1">
        <w:t xml:space="preserve">, </w:t>
      </w:r>
      <w:r w:rsidR="00537E27" w:rsidRPr="003C26C1">
        <w:t>social and environmental impact assessment and management</w:t>
      </w:r>
      <w:r w:rsidR="007C5CE1" w:rsidRPr="003C26C1">
        <w:t>,</w:t>
      </w:r>
      <w:r w:rsidR="00550866">
        <w:t xml:space="preserve"> grievance mechanisms and</w:t>
      </w:r>
      <w:r w:rsidR="007C5CE1" w:rsidRPr="003C26C1">
        <w:t xml:space="preserve"> dispute resolution,</w:t>
      </w:r>
      <w:r w:rsidR="00AD68A5" w:rsidRPr="003C26C1">
        <w:t xml:space="preserve"> </w:t>
      </w:r>
      <w:r w:rsidR="00063E24" w:rsidRPr="003C26C1">
        <w:t xml:space="preserve">and </w:t>
      </w:r>
      <w:r w:rsidR="0066371E" w:rsidRPr="003C26C1">
        <w:t>other relevant actions</w:t>
      </w:r>
      <w:r w:rsidR="00063E24" w:rsidRPr="003C26C1">
        <w:t xml:space="preserve">. </w:t>
      </w:r>
    </w:p>
    <w:p w14:paraId="2440D3FA" w14:textId="77777777" w:rsidR="00063E24" w:rsidRPr="003C26C1" w:rsidRDefault="00063E24" w:rsidP="00342E94">
      <w:pPr>
        <w:tabs>
          <w:tab w:val="left" w:pos="8640"/>
        </w:tabs>
        <w:ind w:right="1300"/>
        <w:jc w:val="both"/>
      </w:pPr>
    </w:p>
    <w:p w14:paraId="643AE9A3" w14:textId="0182A42D" w:rsidR="005632F1" w:rsidRPr="00121554" w:rsidRDefault="009F4860" w:rsidP="00407DD6">
      <w:pPr>
        <w:ind w:left="1260" w:right="1210"/>
        <w:jc w:val="both"/>
        <w:rPr>
          <w:color w:val="000000"/>
        </w:rPr>
      </w:pPr>
      <w:r w:rsidRPr="00342E94">
        <w:rPr>
          <w:color w:val="000000"/>
        </w:rPr>
        <w:t>Standard clause</w:t>
      </w:r>
      <w:r w:rsidR="005632F1" w:rsidRPr="00342E94">
        <w:rPr>
          <w:color w:val="000000"/>
        </w:rPr>
        <w:t>s</w:t>
      </w:r>
      <w:r w:rsidRPr="00342E94">
        <w:rPr>
          <w:color w:val="000000"/>
        </w:rPr>
        <w:t xml:space="preserve"> to be written into the CPD verbatim: </w:t>
      </w:r>
    </w:p>
    <w:p w14:paraId="2440D407" w14:textId="27798333" w:rsidR="009F4860" w:rsidRDefault="009F4860" w:rsidP="00342E94">
      <w:pPr>
        <w:pStyle w:val="ListParagraph"/>
        <w:numPr>
          <w:ilvl w:val="0"/>
          <w:numId w:val="40"/>
        </w:numPr>
        <w:ind w:left="1620" w:right="1210"/>
        <w:jc w:val="both"/>
        <w:rPr>
          <w:color w:val="000000"/>
        </w:rPr>
      </w:pPr>
      <w:r w:rsidRPr="00342E94">
        <w:rPr>
          <w:color w:val="000000"/>
        </w:rPr>
        <w:t xml:space="preserve">“This country programme document outlines UNDP’s contributions to national results and serves as the primary unit of accountability to the Executive Board for results alignment and resources assigned to the programme at country level. Accountabilities of managers at the country, regional and headquarter levels with respect to country programmes is prescribed in the organization’s </w:t>
      </w:r>
      <w:hyperlink r:id="rId19" w:history="1">
        <w:r w:rsidR="00A20043" w:rsidRPr="00A20043">
          <w:rPr>
            <w:rStyle w:val="Hyperlink"/>
          </w:rPr>
          <w:t>Programme and Operations Policies and Procedures</w:t>
        </w:r>
      </w:hyperlink>
      <w:r w:rsidR="00A20043">
        <w:rPr>
          <w:color w:val="000000"/>
        </w:rPr>
        <w:t xml:space="preserve"> and </w:t>
      </w:r>
      <w:hyperlink r:id="rId20" w:history="1">
        <w:r w:rsidR="00A20043" w:rsidRPr="00A9591E">
          <w:rPr>
            <w:rStyle w:val="Hyperlink"/>
          </w:rPr>
          <w:t>Internal Control Framework</w:t>
        </w:r>
      </w:hyperlink>
      <w:r w:rsidR="00A20043">
        <w:rPr>
          <w:color w:val="000000"/>
        </w:rPr>
        <w:t>.</w:t>
      </w:r>
    </w:p>
    <w:p w14:paraId="18D0D8AF" w14:textId="552DE0B8" w:rsidR="005632F1" w:rsidRPr="00342E94" w:rsidRDefault="005632F1" w:rsidP="00342E94">
      <w:pPr>
        <w:pStyle w:val="ListParagraph"/>
        <w:numPr>
          <w:ilvl w:val="0"/>
          <w:numId w:val="40"/>
        </w:numPr>
        <w:spacing w:before="120"/>
        <w:ind w:left="1620" w:right="1210"/>
        <w:jc w:val="both"/>
        <w:rPr>
          <w:iCs/>
          <w:lang w:val="en-ZW"/>
        </w:rPr>
      </w:pPr>
      <w:r w:rsidRPr="005632F1">
        <w:rPr>
          <w:color w:val="000000"/>
        </w:rPr>
        <w:t>“</w:t>
      </w:r>
      <w:r w:rsidRPr="005632F1">
        <w:rPr>
          <w:lang w:val="en-ZW"/>
        </w:rPr>
        <w:t xml:space="preserve">The programme will be nationally executed. If necessary, national execution may be replaced by direct execution for part or all of the programme to enable response to </w:t>
      </w:r>
      <w:r w:rsidRPr="005632F1">
        <w:rPr>
          <w:i/>
          <w:lang w:val="en-ZW"/>
        </w:rPr>
        <w:t>force majeure</w:t>
      </w:r>
      <w:r w:rsidRPr="005632F1">
        <w:rPr>
          <w:lang w:val="en-ZW"/>
        </w:rPr>
        <w:t xml:space="preserve">. Harmonised Approach to Cash Transfers (HACT), will be used in a coordinated fashion with other UN agencies to manage financial risks. </w:t>
      </w:r>
      <w:r w:rsidRPr="005632F1">
        <w:rPr>
          <w:iCs/>
          <w:lang w:val="en-ZW"/>
        </w:rPr>
        <w:t>Cost definitions and classifications for programme and development effectiveness will be charged to the concerned projects.”</w:t>
      </w:r>
    </w:p>
    <w:p w14:paraId="2440D408" w14:textId="77777777" w:rsidR="002A7363" w:rsidRPr="003C26C1" w:rsidRDefault="002A7363" w:rsidP="00550849">
      <w:pPr>
        <w:ind w:left="1620" w:right="1267"/>
        <w:jc w:val="both"/>
        <w:rPr>
          <w:color w:val="000000"/>
        </w:rPr>
      </w:pPr>
    </w:p>
    <w:p w14:paraId="2440D409" w14:textId="77777777" w:rsidR="00701B6B" w:rsidRPr="003C26C1" w:rsidRDefault="001B3F87" w:rsidP="00550849">
      <w:pPr>
        <w:pStyle w:val="Heading1"/>
        <w:tabs>
          <w:tab w:val="left" w:pos="1800"/>
        </w:tabs>
        <w:ind w:left="1267" w:right="1267"/>
        <w:jc w:val="both"/>
        <w:rPr>
          <w:rFonts w:ascii="Times New Roman" w:hAnsi="Times New Roman"/>
          <w:color w:val="000000"/>
          <w:sz w:val="24"/>
          <w:szCs w:val="24"/>
          <w:lang w:val="en-US"/>
        </w:rPr>
      </w:pPr>
      <w:r w:rsidRPr="003C26C1">
        <w:rPr>
          <w:rFonts w:ascii="Times New Roman" w:hAnsi="Times New Roman"/>
          <w:color w:val="000000"/>
          <w:sz w:val="24"/>
          <w:szCs w:val="24"/>
        </w:rPr>
        <w:t>I</w:t>
      </w:r>
      <w:r w:rsidRPr="003C26C1">
        <w:rPr>
          <w:rFonts w:ascii="Times New Roman" w:hAnsi="Times New Roman"/>
          <w:color w:val="000000"/>
          <w:sz w:val="24"/>
          <w:szCs w:val="24"/>
          <w:lang w:val="en-US"/>
        </w:rPr>
        <w:t>V</w:t>
      </w:r>
      <w:r w:rsidR="001D42D1" w:rsidRPr="003C26C1">
        <w:rPr>
          <w:rFonts w:ascii="Times New Roman" w:hAnsi="Times New Roman"/>
          <w:color w:val="000000"/>
          <w:sz w:val="24"/>
          <w:szCs w:val="24"/>
        </w:rPr>
        <w:t xml:space="preserve">. Monitoring and </w:t>
      </w:r>
      <w:r w:rsidRPr="003C26C1">
        <w:rPr>
          <w:rFonts w:ascii="Times New Roman" w:hAnsi="Times New Roman"/>
          <w:color w:val="000000"/>
          <w:sz w:val="24"/>
          <w:szCs w:val="24"/>
          <w:lang w:val="en-US"/>
        </w:rPr>
        <w:t>Evaluation</w:t>
      </w:r>
    </w:p>
    <w:p w14:paraId="2440D40A" w14:textId="77777777" w:rsidR="001D42D1" w:rsidRPr="003C26C1" w:rsidRDefault="001D42D1" w:rsidP="00550849">
      <w:pPr>
        <w:pStyle w:val="Heading1"/>
        <w:tabs>
          <w:tab w:val="left" w:pos="1800"/>
        </w:tabs>
        <w:ind w:left="1267" w:right="1267"/>
        <w:jc w:val="both"/>
        <w:rPr>
          <w:rFonts w:ascii="Times New Roman" w:hAnsi="Times New Roman"/>
          <w:color w:val="000000"/>
          <w:sz w:val="24"/>
          <w:szCs w:val="24"/>
          <w:lang w:val="en-US"/>
        </w:rPr>
      </w:pPr>
    </w:p>
    <w:p w14:paraId="453D23B7" w14:textId="5C2F4EB2" w:rsidR="00702D07" w:rsidRDefault="00DF7B14" w:rsidP="00342E94">
      <w:pPr>
        <w:ind w:left="1260" w:right="1210"/>
        <w:jc w:val="both"/>
        <w:rPr>
          <w:color w:val="000000"/>
        </w:rPr>
      </w:pPr>
      <w:r w:rsidRPr="003C26C1">
        <w:t xml:space="preserve">This section outlines the approach to monitoring and evaluation </w:t>
      </w:r>
      <w:r w:rsidR="00AA6913" w:rsidRPr="003C26C1">
        <w:t xml:space="preserve">of </w:t>
      </w:r>
      <w:r w:rsidR="00165A12">
        <w:t xml:space="preserve">the </w:t>
      </w:r>
      <w:r w:rsidR="00B24090" w:rsidRPr="003C26C1">
        <w:t>programme</w:t>
      </w:r>
      <w:r w:rsidRPr="003C26C1">
        <w:t>, with a stron</w:t>
      </w:r>
      <w:r w:rsidR="005B7929" w:rsidRPr="003C26C1">
        <w:t xml:space="preserve">g focus on </w:t>
      </w:r>
      <w:r w:rsidR="005B7929" w:rsidRPr="00342E94">
        <w:t>monitoring</w:t>
      </w:r>
      <w:r w:rsidR="00AC275F" w:rsidRPr="00342E94">
        <w:t>, data</w:t>
      </w:r>
      <w:r w:rsidR="005B7929" w:rsidRPr="00342E94">
        <w:t xml:space="preserve"> collection</w:t>
      </w:r>
      <w:r w:rsidR="00AC275F" w:rsidRPr="00342E94">
        <w:t>, analysis and reporting</w:t>
      </w:r>
      <w:r w:rsidR="005B7929" w:rsidRPr="00342E94">
        <w:t>.</w:t>
      </w:r>
      <w:r w:rsidR="005B7929" w:rsidRPr="003C26C1">
        <w:rPr>
          <w:b/>
        </w:rPr>
        <w:t xml:space="preserve"> </w:t>
      </w:r>
      <w:r w:rsidR="0000312F" w:rsidRPr="008A1313">
        <w:t>As</w:t>
      </w:r>
      <w:r w:rsidR="0000312F" w:rsidRPr="003C18B3">
        <w:t xml:space="preserve"> </w:t>
      </w:r>
      <w:r w:rsidR="0000312F">
        <w:t>the</w:t>
      </w:r>
      <w:r w:rsidR="0000312F" w:rsidRPr="003C18B3">
        <w:t xml:space="preserve"> programme unit plans its activities through the country programme period, it is important </w:t>
      </w:r>
      <w:r w:rsidR="0000312F">
        <w:t xml:space="preserve">to </w:t>
      </w:r>
      <w:r w:rsidR="0000312F" w:rsidRPr="003C18B3">
        <w:t xml:space="preserve">plan how the unit will check its progress towards </w:t>
      </w:r>
      <w:r w:rsidR="0000312F">
        <w:t xml:space="preserve">the </w:t>
      </w:r>
      <w:r w:rsidR="0000312F" w:rsidRPr="003C18B3">
        <w:t>agreed development goals and outcomes</w:t>
      </w:r>
      <w:r w:rsidR="0000312F">
        <w:t>,</w:t>
      </w:r>
      <w:r w:rsidR="0000312F" w:rsidRPr="00EA048E">
        <w:t xml:space="preserve"> </w:t>
      </w:r>
      <w:r w:rsidR="0000312F" w:rsidRPr="00CE7C16">
        <w:t>produce evaluation findings to support change</w:t>
      </w:r>
      <w:r w:rsidR="0000312F">
        <w:t xml:space="preserve">, </w:t>
      </w:r>
      <w:r w:rsidR="0000312F" w:rsidRPr="00CE7C16">
        <w:t>aid knowledge-gathering and inform the work of UNDP.</w:t>
      </w:r>
      <w:r w:rsidR="00702D07">
        <w:t xml:space="preserve"> </w:t>
      </w:r>
      <w:r w:rsidR="00702D07" w:rsidRPr="003C26C1">
        <w:rPr>
          <w:color w:val="000000"/>
        </w:rPr>
        <w:t>If there are issues with globally available or national data (availability, quality, periodicity of update, reliability</w:t>
      </w:r>
      <w:r w:rsidR="00702D07">
        <w:rPr>
          <w:color w:val="000000"/>
        </w:rPr>
        <w:t>, disaggregation by sex</w:t>
      </w:r>
      <w:r w:rsidR="00702D07" w:rsidRPr="003C26C1">
        <w:rPr>
          <w:color w:val="000000"/>
        </w:rPr>
        <w:t xml:space="preserve">), </w:t>
      </w:r>
      <w:r w:rsidR="00AC01D4">
        <w:rPr>
          <w:color w:val="000000"/>
        </w:rPr>
        <w:t xml:space="preserve">note </w:t>
      </w:r>
      <w:r w:rsidR="00702D07" w:rsidRPr="003C26C1">
        <w:rPr>
          <w:color w:val="000000"/>
        </w:rPr>
        <w:t>how</w:t>
      </w:r>
      <w:r w:rsidR="00AC01D4">
        <w:rPr>
          <w:color w:val="000000"/>
        </w:rPr>
        <w:t xml:space="preserve"> this</w:t>
      </w:r>
      <w:r w:rsidR="00702D07" w:rsidRPr="003C26C1">
        <w:rPr>
          <w:color w:val="000000"/>
        </w:rPr>
        <w:t xml:space="preserve"> will this be addressed</w:t>
      </w:r>
      <w:r w:rsidR="00702D07">
        <w:rPr>
          <w:color w:val="000000"/>
        </w:rPr>
        <w:t xml:space="preserve">, </w:t>
      </w:r>
      <w:r w:rsidR="00702D07" w:rsidRPr="003C26C1">
        <w:rPr>
          <w:color w:val="000000"/>
        </w:rPr>
        <w:t>including through national capacity development for monitoring, assurance and evaluation</w:t>
      </w:r>
      <w:r w:rsidR="00702D07">
        <w:rPr>
          <w:color w:val="000000"/>
        </w:rPr>
        <w:t xml:space="preserve">. </w:t>
      </w:r>
      <w:r w:rsidR="00DA4B42">
        <w:rPr>
          <w:color w:val="000000"/>
        </w:rPr>
        <w:t>Highlight any</w:t>
      </w:r>
      <w:r w:rsidR="00702D07" w:rsidRPr="003C26C1">
        <w:rPr>
          <w:color w:val="000000"/>
        </w:rPr>
        <w:t xml:space="preserve"> innovative methods </w:t>
      </w:r>
      <w:r w:rsidR="00DA4B42">
        <w:rPr>
          <w:color w:val="000000"/>
        </w:rPr>
        <w:t xml:space="preserve">that </w:t>
      </w:r>
      <w:r w:rsidR="00702D07" w:rsidRPr="003C26C1">
        <w:rPr>
          <w:color w:val="000000"/>
        </w:rPr>
        <w:t>will be used to make monitoring and assurance more inclusive</w:t>
      </w:r>
      <w:r w:rsidR="00EE587F">
        <w:rPr>
          <w:color w:val="000000"/>
        </w:rPr>
        <w:t xml:space="preserve"> and in support of real time decision making</w:t>
      </w:r>
      <w:r w:rsidR="00DA4B42">
        <w:rPr>
          <w:color w:val="000000"/>
        </w:rPr>
        <w:t>.</w:t>
      </w:r>
      <w:r w:rsidR="00702D07" w:rsidRPr="003C26C1">
        <w:rPr>
          <w:color w:val="000000"/>
        </w:rPr>
        <w:t xml:space="preserve"> </w:t>
      </w:r>
    </w:p>
    <w:p w14:paraId="2440D40C" w14:textId="77777777" w:rsidR="002F4067" w:rsidRPr="003C26C1" w:rsidRDefault="002F4067" w:rsidP="00550849">
      <w:pPr>
        <w:ind w:left="1440" w:right="1210"/>
        <w:jc w:val="both"/>
      </w:pPr>
    </w:p>
    <w:p w14:paraId="2440D40D" w14:textId="558DCBFC" w:rsidR="00701B6B" w:rsidRPr="003C26C1" w:rsidRDefault="00701B6B" w:rsidP="00342E94">
      <w:pPr>
        <w:ind w:left="1260" w:right="1210"/>
        <w:jc w:val="both"/>
        <w:rPr>
          <w:lang w:eastAsia="x-none"/>
        </w:rPr>
      </w:pPr>
      <w:r w:rsidRPr="003C26C1">
        <w:t>This</w:t>
      </w:r>
      <w:r w:rsidR="00DF7B14" w:rsidRPr="003C26C1">
        <w:t xml:space="preserve"> section </w:t>
      </w:r>
      <w:r w:rsidR="00D90F5A">
        <w:t>should</w:t>
      </w:r>
      <w:r w:rsidR="00D90F5A" w:rsidRPr="003C26C1">
        <w:t xml:space="preserve"> </w:t>
      </w:r>
      <w:r w:rsidR="00592A14">
        <w:t xml:space="preserve">also </w:t>
      </w:r>
      <w:r w:rsidR="002F4067" w:rsidRPr="003C26C1">
        <w:t>i</w:t>
      </w:r>
      <w:r w:rsidR="00DF7B14" w:rsidRPr="003C26C1">
        <w:t xml:space="preserve">ndicate how the evaluation function and other </w:t>
      </w:r>
      <w:r w:rsidRPr="003C26C1">
        <w:t xml:space="preserve">sources of </w:t>
      </w:r>
      <w:r w:rsidR="00DF7B14" w:rsidRPr="003C26C1">
        <w:t>information will be used</w:t>
      </w:r>
      <w:r w:rsidRPr="003C26C1">
        <w:t xml:space="preserve">, through on-going learning and adaptation, to </w:t>
      </w:r>
      <w:r w:rsidR="00DF7B14" w:rsidRPr="003C26C1">
        <w:t>strategicall</w:t>
      </w:r>
      <w:r w:rsidR="00B24090" w:rsidRPr="003C26C1">
        <w:t>y shape policy</w:t>
      </w:r>
      <w:r w:rsidRPr="003C26C1">
        <w:t xml:space="preserve"> advice and advocacy</w:t>
      </w:r>
      <w:r w:rsidR="00B24090" w:rsidRPr="003C26C1">
        <w:t xml:space="preserve">, </w:t>
      </w:r>
      <w:r w:rsidRPr="003C26C1">
        <w:t xml:space="preserve">and </w:t>
      </w:r>
      <w:r w:rsidR="00DF7B14" w:rsidRPr="003C26C1">
        <w:t xml:space="preserve">programme </w:t>
      </w:r>
      <w:r w:rsidRPr="003C26C1">
        <w:t>design and implementation</w:t>
      </w:r>
      <w:r w:rsidR="00DF7B14" w:rsidRPr="003C26C1">
        <w:t>.</w:t>
      </w:r>
      <w:r w:rsidR="00424A78" w:rsidRPr="003C26C1">
        <w:t xml:space="preserve"> </w:t>
      </w:r>
    </w:p>
    <w:p w14:paraId="2440D40E" w14:textId="77777777" w:rsidR="00D81AC7" w:rsidRPr="003C26C1" w:rsidRDefault="00D81AC7" w:rsidP="00701B6B">
      <w:pPr>
        <w:ind w:left="1440" w:right="1210"/>
        <w:jc w:val="both"/>
      </w:pPr>
    </w:p>
    <w:p w14:paraId="33C50E95" w14:textId="7E942490" w:rsidR="00A04C82" w:rsidRPr="003C26C1" w:rsidRDefault="00701B6B" w:rsidP="00342E94">
      <w:pPr>
        <w:ind w:left="1260" w:right="1210"/>
        <w:jc w:val="both"/>
        <w:rPr>
          <w:color w:val="000000"/>
        </w:rPr>
      </w:pPr>
      <w:r w:rsidRPr="003C26C1">
        <w:t>In looking at data issues, t</w:t>
      </w:r>
      <w:r w:rsidR="00D81AC7" w:rsidRPr="003C26C1">
        <w:t>his section</w:t>
      </w:r>
      <w:r w:rsidR="00E63FE6">
        <w:t xml:space="preserve"> also</w:t>
      </w:r>
      <w:r w:rsidR="00D81AC7" w:rsidRPr="003C26C1">
        <w:t xml:space="preserve"> </w:t>
      </w:r>
      <w:r w:rsidRPr="003C26C1">
        <w:t xml:space="preserve">needs to </w:t>
      </w:r>
      <w:r w:rsidR="00DF7B14" w:rsidRPr="003C26C1">
        <w:rPr>
          <w:lang w:eastAsia="x-none"/>
        </w:rPr>
        <w:t xml:space="preserve">highlight how UNDP will work with other UN agencies, multilateral and bilateral partners to strengthen national M&amp;E </w:t>
      </w:r>
      <w:r w:rsidR="00AA6913" w:rsidRPr="003C26C1">
        <w:rPr>
          <w:lang w:eastAsia="x-none"/>
        </w:rPr>
        <w:t xml:space="preserve">and, more broadly, statistical, </w:t>
      </w:r>
      <w:r w:rsidR="00DF7B14" w:rsidRPr="003C26C1">
        <w:rPr>
          <w:lang w:eastAsia="x-none"/>
        </w:rPr>
        <w:t xml:space="preserve">systems </w:t>
      </w:r>
      <w:r w:rsidR="002F4067" w:rsidRPr="003C26C1">
        <w:rPr>
          <w:lang w:eastAsia="x-none"/>
        </w:rPr>
        <w:t xml:space="preserve">so that </w:t>
      </w:r>
      <w:r w:rsidR="002F4067" w:rsidRPr="003C26C1">
        <w:rPr>
          <w:i/>
          <w:lang w:eastAsia="x-none"/>
        </w:rPr>
        <w:t>country capacities</w:t>
      </w:r>
      <w:r w:rsidR="002F4067" w:rsidRPr="003C26C1">
        <w:rPr>
          <w:lang w:eastAsia="x-none"/>
        </w:rPr>
        <w:t xml:space="preserve"> for analysis, </w:t>
      </w:r>
      <w:r w:rsidR="00DF7B14" w:rsidRPr="003C26C1">
        <w:rPr>
          <w:lang w:eastAsia="x-none"/>
        </w:rPr>
        <w:t xml:space="preserve">reflection and learning </w:t>
      </w:r>
      <w:r w:rsidR="009C41EC">
        <w:rPr>
          <w:lang w:eastAsia="x-none"/>
        </w:rPr>
        <w:t xml:space="preserve">with regard to monitoring sustainable development progress </w:t>
      </w:r>
      <w:r w:rsidR="002F4067" w:rsidRPr="003C26C1">
        <w:rPr>
          <w:lang w:eastAsia="x-none"/>
        </w:rPr>
        <w:t>can be built-up over time.</w:t>
      </w:r>
      <w:r w:rsidR="00424A78" w:rsidRPr="003C26C1">
        <w:rPr>
          <w:lang w:eastAsia="x-none"/>
        </w:rPr>
        <w:t xml:space="preserve"> </w:t>
      </w:r>
      <w:r w:rsidR="00A04C82">
        <w:rPr>
          <w:lang w:eastAsia="x-none"/>
        </w:rPr>
        <w:t xml:space="preserve">To the extent possible, note what </w:t>
      </w:r>
      <w:r w:rsidR="00A04C82" w:rsidRPr="003C26C1">
        <w:t>nationally-owned sources of data, analysis and evidence</w:t>
      </w:r>
      <w:r w:rsidR="00A04C82" w:rsidRPr="003C26C1">
        <w:rPr>
          <w:color w:val="000000"/>
        </w:rPr>
        <w:t xml:space="preserve"> will be used to track UNDP contributions to national results</w:t>
      </w:r>
      <w:r w:rsidR="00702D07">
        <w:rPr>
          <w:color w:val="000000"/>
        </w:rPr>
        <w:t xml:space="preserve">, </w:t>
      </w:r>
      <w:r w:rsidR="00A04C82" w:rsidRPr="003C26C1">
        <w:rPr>
          <w:color w:val="000000"/>
        </w:rPr>
        <w:t>measured through national M&amp;E/statistical systems</w:t>
      </w:r>
      <w:r w:rsidR="00702D07">
        <w:rPr>
          <w:color w:val="000000"/>
        </w:rPr>
        <w:t>.</w:t>
      </w:r>
    </w:p>
    <w:p w14:paraId="2440D41D" w14:textId="3A9F6B15" w:rsidR="00EE0DF2" w:rsidRPr="003C26C1" w:rsidRDefault="00EE0DF2" w:rsidP="00DC5B77">
      <w:pPr>
        <w:ind w:right="1210"/>
        <w:jc w:val="both"/>
        <w:rPr>
          <w:color w:val="000000"/>
        </w:rPr>
        <w:sectPr w:rsidR="00EE0DF2" w:rsidRPr="003C26C1" w:rsidSect="00677A8F">
          <w:footnotePr>
            <w:numRestart w:val="eachSect"/>
          </w:footnotePr>
          <w:endnotePr>
            <w:numFmt w:val="decimal"/>
            <w:numStart w:val="7"/>
          </w:endnotePr>
          <w:type w:val="continuous"/>
          <w:pgSz w:w="12240" w:h="15840" w:code="1"/>
          <w:pgMar w:top="1166" w:right="1195" w:bottom="1440" w:left="1195" w:header="576" w:footer="1037" w:gutter="0"/>
          <w:cols w:space="720"/>
          <w:noEndnote/>
          <w:titlePg/>
          <w:docGrid w:linePitch="272"/>
        </w:sectPr>
      </w:pPr>
    </w:p>
    <w:p w14:paraId="2440D41E" w14:textId="77777777" w:rsidR="00A4768C" w:rsidRPr="003C26C1" w:rsidRDefault="00A4768C" w:rsidP="00200195">
      <w:pPr>
        <w:pStyle w:val="Heading4"/>
        <w:spacing w:after="120"/>
        <w:rPr>
          <w:rFonts w:ascii="Times New Roman" w:hAnsi="Times New Roman"/>
          <w:bCs/>
          <w:color w:val="000000"/>
          <w:sz w:val="20"/>
        </w:rPr>
      </w:pPr>
      <w:r w:rsidRPr="003C26C1">
        <w:rPr>
          <w:rFonts w:ascii="Times New Roman" w:hAnsi="Times New Roman"/>
          <w:bCs/>
          <w:color w:val="000000"/>
          <w:sz w:val="20"/>
        </w:rPr>
        <w:lastRenderedPageBreak/>
        <w:t>Guidance:</w:t>
      </w:r>
    </w:p>
    <w:p w14:paraId="2440D41F" w14:textId="3769C41D" w:rsidR="00BA2DEF" w:rsidRDefault="00A4768C" w:rsidP="00612219">
      <w:pPr>
        <w:jc w:val="both"/>
      </w:pPr>
      <w:r w:rsidRPr="003C26C1">
        <w:t xml:space="preserve">The number of CPD outcomes should not exceed </w:t>
      </w:r>
      <w:r w:rsidR="00C8231E">
        <w:t>the maximum allowed based on the country office typology (</w:t>
      </w:r>
      <w:r w:rsidR="0057649A">
        <w:t xml:space="preserve">typically </w:t>
      </w:r>
      <w:r w:rsidR="00C8231E">
        <w:t>between 2 to 4</w:t>
      </w:r>
      <w:r w:rsidR="0057649A">
        <w:t xml:space="preserve">, in exceptional </w:t>
      </w:r>
      <w:r w:rsidR="001B6419">
        <w:t>crisis contexts</w:t>
      </w:r>
      <w:r w:rsidR="0057649A">
        <w:t xml:space="preserve"> up to 5</w:t>
      </w:r>
      <w:r w:rsidRPr="003C26C1">
        <w:t>.</w:t>
      </w:r>
      <w:r w:rsidR="00C8231E">
        <w:t>)</w:t>
      </w:r>
      <w:r w:rsidRPr="003C26C1">
        <w:t xml:space="preserve"> These outcomes </w:t>
      </w:r>
      <w:r w:rsidR="00545568">
        <w:t>are</w:t>
      </w:r>
      <w:r w:rsidR="00545568" w:rsidRPr="003C26C1">
        <w:t xml:space="preserve"> </w:t>
      </w:r>
      <w:r w:rsidRPr="003C26C1">
        <w:t xml:space="preserve">be copied verbatim from the </w:t>
      </w:r>
      <w:r w:rsidR="00AA4D5A">
        <w:t>Cooperation Framework</w:t>
      </w:r>
      <w:r w:rsidR="00AA4D5A" w:rsidRPr="003C26C1">
        <w:t xml:space="preserve"> </w:t>
      </w:r>
      <w:r w:rsidRPr="003C26C1">
        <w:t xml:space="preserve">(i.e. CPD outcomes </w:t>
      </w:r>
      <w:r w:rsidRPr="003C26C1">
        <w:rPr>
          <w:i/>
        </w:rPr>
        <w:t>are</w:t>
      </w:r>
      <w:r w:rsidRPr="003C26C1">
        <w:rPr>
          <w:b/>
        </w:rPr>
        <w:t xml:space="preserve"> </w:t>
      </w:r>
      <w:r w:rsidR="00AA4D5A">
        <w:t>Cooperation Framework</w:t>
      </w:r>
      <w:r w:rsidR="00AA4D5A" w:rsidRPr="003C26C1">
        <w:t xml:space="preserve"> </w:t>
      </w:r>
      <w:r w:rsidRPr="003C26C1">
        <w:t xml:space="preserve">outcomes). In cases where the </w:t>
      </w:r>
      <w:r w:rsidR="00F53138" w:rsidRPr="003C26C1">
        <w:t xml:space="preserve">number of </w:t>
      </w:r>
      <w:r w:rsidR="00E101C6">
        <w:t xml:space="preserve">relevant </w:t>
      </w:r>
      <w:r w:rsidR="00AA4D5A">
        <w:t>Cooperation Framework</w:t>
      </w:r>
      <w:r w:rsidR="00AA4D5A" w:rsidRPr="003C26C1">
        <w:t xml:space="preserve"> </w:t>
      </w:r>
      <w:r w:rsidR="00F53138" w:rsidRPr="003C26C1">
        <w:t>outcomes exceed</w:t>
      </w:r>
      <w:r w:rsidRPr="003C26C1">
        <w:t xml:space="preserve"> </w:t>
      </w:r>
      <w:r w:rsidR="00C8231E">
        <w:t>the maximum allowed</w:t>
      </w:r>
      <w:r w:rsidR="00F53138" w:rsidRPr="003C26C1">
        <w:t xml:space="preserve">, UNDP should select </w:t>
      </w:r>
      <w:r w:rsidR="00E80B43" w:rsidRPr="003C26C1">
        <w:t xml:space="preserve">those which the </w:t>
      </w:r>
      <w:r w:rsidR="00BA2DEF" w:rsidRPr="003C26C1">
        <w:t>organization</w:t>
      </w:r>
      <w:r w:rsidR="00E80B43" w:rsidRPr="003C26C1">
        <w:t xml:space="preserve"> PRIMARILY contributes to </w:t>
      </w:r>
      <w:r w:rsidR="00F53138" w:rsidRPr="003C26C1">
        <w:t xml:space="preserve">(based on thorough analysis of </w:t>
      </w:r>
      <w:r w:rsidR="00E80B43" w:rsidRPr="003C26C1">
        <w:t>UNDP’s role vis-à-vis others</w:t>
      </w:r>
      <w:r w:rsidR="00F53138" w:rsidRPr="003C26C1">
        <w:t>)</w:t>
      </w:r>
      <w:r w:rsidR="00E80B43" w:rsidRPr="003C26C1">
        <w:t xml:space="preserve">, </w:t>
      </w:r>
      <w:r w:rsidR="00612219" w:rsidRPr="003C26C1">
        <w:t xml:space="preserve">consistent with </w:t>
      </w:r>
      <w:r w:rsidR="00E80B43" w:rsidRPr="003C26C1">
        <w:t>UNDP’s organizational</w:t>
      </w:r>
      <w:r w:rsidR="00BA2DEF" w:rsidRPr="003C26C1">
        <w:t xml:space="preserve"> priorities </w:t>
      </w:r>
      <w:r w:rsidR="00AA6913" w:rsidRPr="003C26C1">
        <w:t>as reflected in the Strategic Plan.</w:t>
      </w:r>
      <w:r w:rsidR="00424A78" w:rsidRPr="003C26C1">
        <w:t xml:space="preserve"> </w:t>
      </w:r>
      <w:r w:rsidR="00C45232" w:rsidRPr="003C26C1">
        <w:t xml:space="preserve"> </w:t>
      </w:r>
    </w:p>
    <w:p w14:paraId="4E141437" w14:textId="73586E66" w:rsidR="00202B58" w:rsidRDefault="00202B58" w:rsidP="00612219">
      <w:pPr>
        <w:jc w:val="both"/>
      </w:pPr>
    </w:p>
    <w:p w14:paraId="229038E4" w14:textId="7D401401" w:rsidR="00202B58" w:rsidRPr="003C26C1" w:rsidRDefault="00202B58" w:rsidP="00121554">
      <w:pPr>
        <w:jc w:val="both"/>
        <w:rPr>
          <w:lang w:eastAsia="x-none"/>
        </w:rPr>
      </w:pPr>
      <w:r w:rsidRPr="003C26C1">
        <w:rPr>
          <w:lang w:eastAsia="x-none"/>
        </w:rPr>
        <w:t>The ideal mix of CPD outcome</w:t>
      </w:r>
      <w:r>
        <w:rPr>
          <w:lang w:eastAsia="x-none"/>
        </w:rPr>
        <w:t xml:space="preserve"> and output</w:t>
      </w:r>
      <w:r w:rsidRPr="003C26C1">
        <w:rPr>
          <w:lang w:eastAsia="x-none"/>
        </w:rPr>
        <w:t xml:space="preserve"> indicators</w:t>
      </w:r>
      <w:r>
        <w:rPr>
          <w:lang w:eastAsia="x-none"/>
        </w:rPr>
        <w:t xml:space="preserve"> should reflect the monitoring of SDG progress in the country through</w:t>
      </w:r>
      <w:r w:rsidRPr="003C26C1">
        <w:rPr>
          <w:lang w:eastAsia="x-none"/>
        </w:rPr>
        <w:t xml:space="preserve"> a combination of the relevant </w:t>
      </w:r>
      <w:r w:rsidRPr="003C26C1">
        <w:rPr>
          <w:i/>
          <w:lang w:eastAsia="x-none"/>
        </w:rPr>
        <w:t xml:space="preserve">corporate </w:t>
      </w:r>
      <w:r w:rsidRPr="003C26C1">
        <w:rPr>
          <w:lang w:eastAsia="x-none"/>
        </w:rPr>
        <w:t>IRRF outcome</w:t>
      </w:r>
      <w:r w:rsidR="00EF5716">
        <w:rPr>
          <w:lang w:eastAsia="x-none"/>
        </w:rPr>
        <w:t>/output</w:t>
      </w:r>
      <w:r w:rsidRPr="003C26C1">
        <w:rPr>
          <w:lang w:eastAsia="x-none"/>
        </w:rPr>
        <w:t xml:space="preserve"> indicators and a select number of country-specific </w:t>
      </w:r>
      <w:r>
        <w:rPr>
          <w:lang w:eastAsia="x-none"/>
        </w:rPr>
        <w:t xml:space="preserve">and SDG </w:t>
      </w:r>
      <w:r w:rsidRPr="003C26C1">
        <w:rPr>
          <w:lang w:eastAsia="x-none"/>
        </w:rPr>
        <w:t>indicators, as relevant</w:t>
      </w:r>
      <w:r>
        <w:rPr>
          <w:lang w:eastAsia="x-none"/>
        </w:rPr>
        <w:t>, drawn from the Cooperation Framework</w:t>
      </w:r>
      <w:r w:rsidRPr="003C26C1">
        <w:rPr>
          <w:lang w:eastAsia="x-none"/>
        </w:rPr>
        <w:t xml:space="preserve">. </w:t>
      </w:r>
      <w:r w:rsidRPr="003C26C1">
        <w:t xml:space="preserve">Since CPDs inherit outcome indicators </w:t>
      </w:r>
      <w:r w:rsidR="00383832">
        <w:t xml:space="preserve">verbatim </w:t>
      </w:r>
      <w:r w:rsidRPr="003C26C1">
        <w:t xml:space="preserve">from the </w:t>
      </w:r>
      <w:r>
        <w:t>Cooperation Framework</w:t>
      </w:r>
      <w:r w:rsidRPr="003C26C1">
        <w:t xml:space="preserve">, it is important for UNDP to work with the UNCT during </w:t>
      </w:r>
      <w:r>
        <w:t>Cooperation Framework</w:t>
      </w:r>
      <w:r w:rsidRPr="003C26C1">
        <w:t xml:space="preserve"> preparations to include relevant outcome indicators at that stage.</w:t>
      </w:r>
    </w:p>
    <w:p w14:paraId="2440D420" w14:textId="77777777" w:rsidR="00BA2DEF" w:rsidRPr="003C26C1" w:rsidRDefault="00BA2DEF" w:rsidP="00612219">
      <w:pPr>
        <w:jc w:val="both"/>
      </w:pPr>
    </w:p>
    <w:p w14:paraId="6A1549AB" w14:textId="7538C93D" w:rsidR="00B45DF2" w:rsidRPr="003C26C1" w:rsidRDefault="00C45232" w:rsidP="00612219">
      <w:pPr>
        <w:jc w:val="both"/>
      </w:pPr>
      <w:r w:rsidRPr="003C26C1">
        <w:t xml:space="preserve">In cases where UNDP contributes significantly to </w:t>
      </w:r>
      <w:r w:rsidR="00BA2DEF" w:rsidRPr="003C26C1">
        <w:t xml:space="preserve">more </w:t>
      </w:r>
      <w:r w:rsidR="007E5629">
        <w:t>Cooperation Framework</w:t>
      </w:r>
      <w:r w:rsidR="007E5629" w:rsidRPr="003C26C1">
        <w:t xml:space="preserve"> </w:t>
      </w:r>
      <w:r w:rsidRPr="003C26C1">
        <w:t xml:space="preserve">outcomes </w:t>
      </w:r>
      <w:r w:rsidR="00BA2DEF" w:rsidRPr="003C26C1">
        <w:t>than the</w:t>
      </w:r>
      <w:r w:rsidR="00905B05" w:rsidRPr="003C26C1">
        <w:t xml:space="preserve"> primary </w:t>
      </w:r>
      <w:r w:rsidR="005E6B93">
        <w:t>allowed</w:t>
      </w:r>
      <w:r w:rsidR="00905B05" w:rsidRPr="003C26C1">
        <w:t xml:space="preserve">, additional indicators from other </w:t>
      </w:r>
      <w:r w:rsidR="007E5629">
        <w:t>Cooperation Framework</w:t>
      </w:r>
      <w:r w:rsidR="007E5629" w:rsidRPr="003C26C1">
        <w:t xml:space="preserve"> </w:t>
      </w:r>
      <w:r w:rsidR="00905B05" w:rsidRPr="003C26C1">
        <w:t xml:space="preserve">outcomes could be inserted in the Results and Resources Framework under the most relevant primary outcome to ensure </w:t>
      </w:r>
      <w:r w:rsidR="00612219" w:rsidRPr="003C26C1">
        <w:t xml:space="preserve">that </w:t>
      </w:r>
      <w:r w:rsidR="00905B05" w:rsidRPr="003C26C1">
        <w:t xml:space="preserve">UNDP can monitor and report on our </w:t>
      </w:r>
      <w:r w:rsidR="00612219" w:rsidRPr="003C26C1">
        <w:t xml:space="preserve">full </w:t>
      </w:r>
      <w:r w:rsidR="00905B05" w:rsidRPr="003C26C1">
        <w:t xml:space="preserve">contribution. </w:t>
      </w:r>
      <w:r w:rsidR="00B45DF2">
        <w:t xml:space="preserve">CPD outputs should be drawn, to the extent possible, from Cooperation Framework/joint work plan outputs. </w:t>
      </w:r>
      <w:r w:rsidR="00202476">
        <w:t>If this is not possible, it should be clear to which Cooperation Framework/joint work plan outputs that UNDP outputs contribute.</w:t>
      </w:r>
    </w:p>
    <w:p w14:paraId="2440D422" w14:textId="77777777" w:rsidR="00BA2DEF" w:rsidRPr="003C26C1" w:rsidRDefault="00BA2DEF" w:rsidP="00612219">
      <w:pPr>
        <w:jc w:val="both"/>
      </w:pPr>
    </w:p>
    <w:p w14:paraId="2440D423" w14:textId="1E8D10F0" w:rsidR="00F53138" w:rsidRPr="003C26C1" w:rsidRDefault="00090F4F" w:rsidP="00090F4F">
      <w:pPr>
        <w:jc w:val="both"/>
      </w:pPr>
      <w:r w:rsidRPr="003C26C1">
        <w:t xml:space="preserve">For the purposes of this </w:t>
      </w:r>
      <w:r w:rsidR="00D64A4A" w:rsidRPr="003C26C1">
        <w:t xml:space="preserve">Results </w:t>
      </w:r>
      <w:r w:rsidRPr="003C26C1">
        <w:t xml:space="preserve">and </w:t>
      </w:r>
      <w:r w:rsidR="00D64A4A" w:rsidRPr="003C26C1">
        <w:t>R</w:t>
      </w:r>
      <w:r w:rsidRPr="003C26C1">
        <w:t xml:space="preserve">esources </w:t>
      </w:r>
      <w:r w:rsidR="00D64A4A" w:rsidRPr="003C26C1">
        <w:t>F</w:t>
      </w:r>
      <w:r w:rsidRPr="003C26C1">
        <w:t xml:space="preserve">ramework, UNDP’s contributions to areas of support and results under additional </w:t>
      </w:r>
      <w:r w:rsidR="007E5629">
        <w:t>Cooperation Framework</w:t>
      </w:r>
      <w:r w:rsidR="007E5629" w:rsidRPr="003C26C1">
        <w:t xml:space="preserve"> </w:t>
      </w:r>
      <w:r w:rsidRPr="003C26C1">
        <w:t>outcomes not covered under the primary CPD outcomes can be included as indicative outputs under the most relevant primary CPD outcomes. Th</w:t>
      </w:r>
      <w:r w:rsidR="005E6B93">
        <w:t>e</w:t>
      </w:r>
      <w:r w:rsidRPr="003C26C1">
        <w:t xml:space="preserve"> logic should be explained in summary in the narrative </w:t>
      </w:r>
      <w:r w:rsidR="009E16E6" w:rsidRPr="003C26C1">
        <w:t xml:space="preserve">section </w:t>
      </w:r>
      <w:r w:rsidR="003273CB" w:rsidRPr="003C26C1">
        <w:t xml:space="preserve">under </w:t>
      </w:r>
      <w:r w:rsidRPr="003C26C1">
        <w:t>programme priorities (section II) driven by evidence and analysis described in the programme rationale (section I).</w:t>
      </w:r>
    </w:p>
    <w:p w14:paraId="2440D426" w14:textId="77777777" w:rsidR="006B6E78" w:rsidRPr="004D6254" w:rsidRDefault="006B6E78" w:rsidP="004D6254">
      <w:pPr>
        <w:jc w:val="both"/>
      </w:pPr>
    </w:p>
    <w:p w14:paraId="62FDD388" w14:textId="467EF6C0" w:rsidR="00812095" w:rsidRDefault="00812095" w:rsidP="00DC4C59">
      <w:pPr>
        <w:jc w:val="both"/>
        <w:rPr>
          <w:b/>
        </w:rPr>
      </w:pPr>
      <w:r w:rsidRPr="004D6254">
        <w:rPr>
          <w:bCs/>
          <w:color w:val="000000"/>
        </w:rPr>
        <w:t xml:space="preserve">If the gender dimension is not visible at the level of outcomes, it </w:t>
      </w:r>
      <w:r w:rsidRPr="004D6254">
        <w:rPr>
          <w:bCs/>
          <w:color w:val="000000"/>
          <w:u w:val="single"/>
        </w:rPr>
        <w:t>should be</w:t>
      </w:r>
      <w:r w:rsidRPr="004D6254">
        <w:rPr>
          <w:bCs/>
          <w:color w:val="000000"/>
        </w:rPr>
        <w:t xml:space="preserve"> explicit at the output level: </w:t>
      </w:r>
      <w:r w:rsidR="00846930" w:rsidRPr="004D6254">
        <w:rPr>
          <w:iCs/>
        </w:rPr>
        <w:t>i</w:t>
      </w:r>
      <w:r w:rsidRPr="004D6254">
        <w:rPr>
          <w:iCs/>
        </w:rPr>
        <w:t xml:space="preserve">ncludes specific gender equality outputs, </w:t>
      </w:r>
      <w:r w:rsidR="00953B5B">
        <w:rPr>
          <w:iCs/>
        </w:rPr>
        <w:t xml:space="preserve">indicators and </w:t>
      </w:r>
      <w:r w:rsidRPr="004D6254">
        <w:rPr>
          <w:iCs/>
        </w:rPr>
        <w:t xml:space="preserve">targets. </w:t>
      </w:r>
      <w:r w:rsidRPr="004D6254">
        <w:rPr>
          <w:bCs/>
          <w:color w:val="000000"/>
        </w:rPr>
        <w:t xml:space="preserve">Ensure that indicators and targets are gender sensitive and/or have data disaggregated by sex. </w:t>
      </w:r>
      <w:r w:rsidRPr="004D6254">
        <w:t>Include provision to ensure adequate human and financial resources to monitor and report on gender-related progress towards results</w:t>
      </w:r>
      <w:r w:rsidR="00D83E45">
        <w:t>.</w:t>
      </w:r>
      <w:r w:rsidRPr="004D6254">
        <w:t xml:space="preserve"> </w:t>
      </w:r>
      <w:r w:rsidR="00335C99">
        <w:t xml:space="preserve">Resource planning for </w:t>
      </w:r>
      <w:r w:rsidRPr="004D6254">
        <w:t>CPD</w:t>
      </w:r>
      <w:r w:rsidR="00335C99">
        <w:t>s</w:t>
      </w:r>
      <w:r w:rsidRPr="004D6254">
        <w:t xml:space="preserve"> should </w:t>
      </w:r>
      <w:r w:rsidR="00335C99">
        <w:t xml:space="preserve">consider what will be required to </w:t>
      </w:r>
      <w:r w:rsidRPr="004D6254">
        <w:t>effectively implement actions and achieve results related to gender equality and women’s empowerment</w:t>
      </w:r>
      <w:r w:rsidR="00D83E45">
        <w:t xml:space="preserve"> and </w:t>
      </w:r>
      <w:r w:rsidR="00D83E45" w:rsidRPr="004D6254">
        <w:t>ensure adequate human and financial resources to monitor and report on gender-related progress towards results</w:t>
      </w:r>
      <w:r w:rsidRPr="004D6254">
        <w:t xml:space="preserve"> </w:t>
      </w:r>
      <w:r w:rsidRPr="004D6254">
        <w:rPr>
          <w:b/>
        </w:rPr>
        <w:t>(</w:t>
      </w:r>
      <w:r w:rsidR="00C71087" w:rsidRPr="004D6254">
        <w:rPr>
          <w:b/>
        </w:rPr>
        <w:t xml:space="preserve">remember that the UNDP Gender Equality Strategy requires that </w:t>
      </w:r>
      <w:r w:rsidRPr="004D6254">
        <w:rPr>
          <w:b/>
        </w:rPr>
        <w:t xml:space="preserve">at least 15% </w:t>
      </w:r>
      <w:r w:rsidR="00C71087" w:rsidRPr="004D6254">
        <w:rPr>
          <w:b/>
        </w:rPr>
        <w:t xml:space="preserve">of UNDP’s budget </w:t>
      </w:r>
      <w:r w:rsidRPr="004D6254">
        <w:rPr>
          <w:b/>
        </w:rPr>
        <w:t>should be invested on gender specific interventions</w:t>
      </w:r>
      <w:r w:rsidR="00D83E45">
        <w:rPr>
          <w:b/>
        </w:rPr>
        <w:t>.</w:t>
      </w:r>
      <w:r w:rsidRPr="004D6254">
        <w:rPr>
          <w:b/>
        </w:rPr>
        <w:t>)</w:t>
      </w:r>
    </w:p>
    <w:p w14:paraId="2C6E7593" w14:textId="77777777" w:rsidR="00F0505F" w:rsidRDefault="00F0505F" w:rsidP="00F0505F">
      <w:pPr>
        <w:jc w:val="both"/>
      </w:pPr>
    </w:p>
    <w:p w14:paraId="1147ECEE" w14:textId="218D78E9" w:rsidR="00F0505F" w:rsidRPr="00306778" w:rsidRDefault="00F0505F" w:rsidP="00F0505F">
      <w:pPr>
        <w:jc w:val="both"/>
        <w:rPr>
          <w:b/>
        </w:rPr>
      </w:pPr>
      <w:r w:rsidRPr="00342E94">
        <w:t xml:space="preserve">Delineation of M&amp;E budgets is required under the </w:t>
      </w:r>
      <w:r w:rsidR="00F003B9" w:rsidRPr="00342E94">
        <w:t xml:space="preserve">revised </w:t>
      </w:r>
      <w:r w:rsidRPr="00342E94">
        <w:t>Evaluation Policy</w:t>
      </w:r>
      <w:r w:rsidR="00F003B9" w:rsidRPr="00342E94">
        <w:t xml:space="preserve"> (2019)</w:t>
      </w:r>
      <w:r w:rsidRPr="00342E94">
        <w:t>.</w:t>
      </w:r>
    </w:p>
    <w:p w14:paraId="0F5912AC" w14:textId="77777777" w:rsidR="00F0505F" w:rsidRDefault="00F0505F" w:rsidP="00F0505F">
      <w:pPr>
        <w:jc w:val="both"/>
        <w:rPr>
          <w:b/>
        </w:rPr>
      </w:pPr>
    </w:p>
    <w:p w14:paraId="672E0A67" w14:textId="77777777" w:rsidR="00F0505F" w:rsidRPr="00342E94" w:rsidRDefault="00F0505F" w:rsidP="00F0505F">
      <w:pPr>
        <w:jc w:val="both"/>
        <w:rPr>
          <w:b/>
        </w:rPr>
      </w:pPr>
      <w:bookmarkStart w:id="0" w:name="_Hlk20492368"/>
      <w:r w:rsidRPr="00342E94">
        <w:rPr>
          <w:b/>
        </w:rPr>
        <w:t>Evaluation</w:t>
      </w:r>
    </w:p>
    <w:p w14:paraId="6C51FAEA" w14:textId="290B1D35" w:rsidR="00F0505F" w:rsidRPr="001913A7" w:rsidRDefault="00F0505F" w:rsidP="00F0505F">
      <w:pPr>
        <w:jc w:val="both"/>
      </w:pPr>
      <w:r w:rsidRPr="001913A7">
        <w:t>The timed and fully costed evaluation plan should be strategic, practical, cost-effective and include evaluations of different types (</w:t>
      </w:r>
      <w:r w:rsidR="002D4F19">
        <w:t xml:space="preserve">final and mid-term </w:t>
      </w:r>
      <w:r w:rsidRPr="00342E94">
        <w:t>project, outcome, etc.). While it is important that it includes all mandatory evaluations and cover projects meeting the benchmarks</w:t>
      </w:r>
      <w:r w:rsidRPr="001913A7">
        <w:t xml:space="preserve"> of the UNDP evaluation guidelines, units should ensure that the plan is an effective learning and accountability tool and not only contain mandatory evaluations. Partners and stakeholders should be included in the development of the evaluation plan.</w:t>
      </w:r>
    </w:p>
    <w:p w14:paraId="2013D99F" w14:textId="77777777" w:rsidR="00F0505F" w:rsidRPr="001913A7" w:rsidRDefault="00F0505F" w:rsidP="00F0505F">
      <w:pPr>
        <w:jc w:val="both"/>
      </w:pPr>
    </w:p>
    <w:p w14:paraId="2440D43E" w14:textId="66CDA91D" w:rsidR="006B6E78" w:rsidRPr="003C26C1" w:rsidRDefault="005D5784" w:rsidP="00090F4F">
      <w:pPr>
        <w:jc w:val="both"/>
        <w:sectPr w:rsidR="006B6E78" w:rsidRPr="003C26C1" w:rsidSect="00645F5E">
          <w:footerReference w:type="even" r:id="rId21"/>
          <w:footerReference w:type="default" r:id="rId22"/>
          <w:pgSz w:w="12240" w:h="15840"/>
          <w:pgMar w:top="1152" w:right="1440" w:bottom="1152" w:left="1440" w:header="720" w:footer="720" w:gutter="0"/>
          <w:cols w:space="720"/>
          <w:docGrid w:linePitch="272"/>
        </w:sectPr>
      </w:pPr>
      <w:r>
        <w:t xml:space="preserve">Evaluation plans should be realistic in terms of the number of evaluations planned, including the timing. Evaluation plans are not a static document, but that they can be changed along the way if necessary. </w:t>
      </w:r>
      <w:r w:rsidR="00F0505F" w:rsidRPr="00342E94">
        <w:t>The specific requirements, as well as more information and support regarding evaluation plan development, can be found in Section 3 of the UNDP evaluation guidelines.</w:t>
      </w:r>
      <w:r w:rsidR="00F0505F" w:rsidRPr="00342E94">
        <w:rPr>
          <w:rStyle w:val="FootnoteReference"/>
        </w:rPr>
        <w:footnoteReference w:id="2"/>
      </w:r>
      <w:bookmarkEnd w:id="0"/>
    </w:p>
    <w:p w14:paraId="2440D43F" w14:textId="77777777" w:rsidR="006B6E78" w:rsidRPr="003C26C1" w:rsidRDefault="006B6E78" w:rsidP="006B6E78">
      <w:pPr>
        <w:pStyle w:val="Heading4"/>
        <w:spacing w:after="120"/>
        <w:rPr>
          <w:rFonts w:ascii="Times New Roman" w:hAnsi="Times New Roman"/>
          <w:color w:val="0000FF"/>
          <w:sz w:val="20"/>
        </w:rPr>
      </w:pPr>
      <w:r w:rsidRPr="003C26C1">
        <w:rPr>
          <w:rFonts w:ascii="Times New Roman" w:hAnsi="Times New Roman"/>
          <w:bCs/>
          <w:color w:val="000000"/>
          <w:sz w:val="20"/>
        </w:rPr>
        <w:lastRenderedPageBreak/>
        <w:t>ANNEX A:</w:t>
      </w:r>
      <w:r w:rsidR="00424A78" w:rsidRPr="003C26C1">
        <w:rPr>
          <w:rFonts w:ascii="Times New Roman" w:hAnsi="Times New Roman"/>
          <w:bCs/>
          <w:color w:val="000000"/>
          <w:sz w:val="20"/>
        </w:rPr>
        <w:t xml:space="preserve"> </w:t>
      </w:r>
      <w:r w:rsidRPr="003C26C1">
        <w:rPr>
          <w:rFonts w:ascii="Times New Roman" w:hAnsi="Times New Roman"/>
          <w:bCs/>
          <w:color w:val="000000"/>
          <w:sz w:val="20"/>
        </w:rPr>
        <w:t xml:space="preserve"> RESULTS AND RESOURCES FRAMEWORK</w:t>
      </w:r>
      <w:r w:rsidRPr="003C26C1">
        <w:rPr>
          <w:rFonts w:ascii="Times New Roman" w:hAnsi="Times New Roman"/>
          <w:bCs/>
          <w:i/>
          <w:color w:val="000000"/>
          <w:sz w:val="20"/>
        </w:rPr>
        <w:t xml:space="preserve"> (</w:t>
      </w:r>
      <w:r w:rsidR="002971D6" w:rsidRPr="003C26C1">
        <w:rPr>
          <w:rFonts w:ascii="Times New Roman" w:hAnsi="Times New Roman"/>
          <w:i/>
          <w:color w:val="0000FF"/>
          <w:sz w:val="20"/>
        </w:rPr>
        <w:t xml:space="preserve">to be an integral </w:t>
      </w:r>
      <w:r w:rsidR="00885F85" w:rsidRPr="003C26C1">
        <w:rPr>
          <w:rFonts w:ascii="Times New Roman" w:hAnsi="Times New Roman"/>
          <w:i/>
          <w:color w:val="0000FF"/>
          <w:sz w:val="20"/>
        </w:rPr>
        <w:t xml:space="preserve">and translated </w:t>
      </w:r>
      <w:r w:rsidR="002971D6" w:rsidRPr="003C26C1">
        <w:rPr>
          <w:rFonts w:ascii="Times New Roman" w:hAnsi="Times New Roman"/>
          <w:i/>
          <w:color w:val="0000FF"/>
          <w:sz w:val="20"/>
        </w:rPr>
        <w:t xml:space="preserve">part of the CPD that is translated and </w:t>
      </w:r>
      <w:r w:rsidRPr="003C26C1">
        <w:rPr>
          <w:rFonts w:ascii="Times New Roman" w:hAnsi="Times New Roman"/>
          <w:i/>
          <w:color w:val="0000FF"/>
          <w:sz w:val="20"/>
        </w:rPr>
        <w:t>submi</w:t>
      </w:r>
      <w:r w:rsidR="002971D6" w:rsidRPr="003C26C1">
        <w:rPr>
          <w:rFonts w:ascii="Times New Roman" w:hAnsi="Times New Roman"/>
          <w:i/>
          <w:color w:val="0000FF"/>
          <w:sz w:val="20"/>
        </w:rPr>
        <w:t>tted</w:t>
      </w:r>
      <w:r w:rsidRPr="003C26C1">
        <w:rPr>
          <w:rFonts w:ascii="Times New Roman" w:hAnsi="Times New Roman"/>
          <w:i/>
          <w:color w:val="0000FF"/>
          <w:sz w:val="20"/>
        </w:rPr>
        <w:t xml:space="preserve"> to the Executive Board)</w:t>
      </w:r>
    </w:p>
    <w:tbl>
      <w:tblPr>
        <w:tblW w:w="4837" w:type="pct"/>
        <w:tblBorders>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3"/>
        <w:gridCol w:w="3085"/>
        <w:gridCol w:w="2860"/>
        <w:gridCol w:w="1768"/>
        <w:gridCol w:w="2509"/>
      </w:tblGrid>
      <w:tr w:rsidR="007A05B6" w:rsidRPr="003C26C1" w14:paraId="2440D441" w14:textId="77777777" w:rsidTr="00672BAB">
        <w:trPr>
          <w:trHeight w:val="25"/>
        </w:trPr>
        <w:tc>
          <w:tcPr>
            <w:tcW w:w="5000" w:type="pct"/>
            <w:gridSpan w:val="5"/>
            <w:shd w:val="clear" w:color="auto" w:fill="DBE5F1" w:themeFill="accent1" w:themeFillTint="33"/>
            <w:tcMar>
              <w:top w:w="72" w:type="dxa"/>
              <w:left w:w="144" w:type="dxa"/>
              <w:bottom w:w="72" w:type="dxa"/>
              <w:right w:w="144" w:type="dxa"/>
            </w:tcMar>
          </w:tcPr>
          <w:p w14:paraId="2440D440" w14:textId="3A2281E3" w:rsidR="007A05B6" w:rsidRPr="003C26C1" w:rsidRDefault="007A05B6" w:rsidP="0033325E">
            <w:pPr>
              <w:rPr>
                <w:color w:val="000000"/>
                <w:sz w:val="16"/>
                <w:szCs w:val="16"/>
              </w:rPr>
            </w:pPr>
            <w:r w:rsidRPr="003C26C1">
              <w:rPr>
                <w:b/>
                <w:bCs/>
                <w:color w:val="000000"/>
                <w:sz w:val="16"/>
                <w:szCs w:val="16"/>
                <w:lang w:val="en-GB"/>
              </w:rPr>
              <w:t xml:space="preserve">NATIONAL PRIORITY OR GOAL: </w:t>
            </w:r>
            <w:r w:rsidRPr="003C26C1">
              <w:rPr>
                <w:bCs/>
                <w:i/>
                <w:iCs/>
                <w:color w:val="0000FF"/>
                <w:sz w:val="16"/>
                <w:szCs w:val="16"/>
                <w:lang w:val="en-GB"/>
              </w:rPr>
              <w:t>(Related to SDGs</w:t>
            </w:r>
            <w:r w:rsidR="001C1147">
              <w:rPr>
                <w:bCs/>
                <w:i/>
                <w:iCs/>
                <w:color w:val="0000FF"/>
                <w:sz w:val="16"/>
                <w:szCs w:val="16"/>
                <w:lang w:val="en-GB"/>
              </w:rPr>
              <w:t xml:space="preserve"> that are</w:t>
            </w:r>
            <w:r w:rsidR="0033325E">
              <w:rPr>
                <w:bCs/>
                <w:i/>
                <w:iCs/>
                <w:color w:val="0000FF"/>
                <w:sz w:val="16"/>
                <w:szCs w:val="16"/>
                <w:lang w:val="en-GB"/>
              </w:rPr>
              <w:t xml:space="preserve"> most relevant to the outcome</w:t>
            </w:r>
            <w:r w:rsidRPr="003C26C1">
              <w:rPr>
                <w:bCs/>
                <w:i/>
                <w:iCs/>
                <w:color w:val="0000FF"/>
                <w:sz w:val="16"/>
                <w:szCs w:val="16"/>
                <w:lang w:val="en-GB"/>
              </w:rPr>
              <w:t>)</w:t>
            </w:r>
            <w:r w:rsidRPr="003C26C1">
              <w:rPr>
                <w:bCs/>
                <w:color w:val="0000FF"/>
                <w:sz w:val="16"/>
                <w:szCs w:val="16"/>
              </w:rPr>
              <w:t xml:space="preserve"> </w:t>
            </w:r>
          </w:p>
        </w:tc>
      </w:tr>
      <w:tr w:rsidR="007A05B6" w:rsidRPr="003C26C1" w14:paraId="2440D443" w14:textId="77777777" w:rsidTr="00672BAB">
        <w:trPr>
          <w:trHeight w:val="124"/>
        </w:trPr>
        <w:tc>
          <w:tcPr>
            <w:tcW w:w="5000" w:type="pct"/>
            <w:gridSpan w:val="5"/>
            <w:shd w:val="clear" w:color="auto" w:fill="DBE5F1" w:themeFill="accent1" w:themeFillTint="33"/>
            <w:tcMar>
              <w:top w:w="72" w:type="dxa"/>
              <w:left w:w="144" w:type="dxa"/>
              <w:bottom w:w="72" w:type="dxa"/>
              <w:right w:w="144" w:type="dxa"/>
            </w:tcMar>
          </w:tcPr>
          <w:p w14:paraId="2440D442" w14:textId="25DC2352" w:rsidR="007A05B6" w:rsidRPr="003C26C1" w:rsidRDefault="007E5629" w:rsidP="0033325E">
            <w:pPr>
              <w:rPr>
                <w:color w:val="000000"/>
                <w:sz w:val="16"/>
                <w:szCs w:val="16"/>
              </w:rPr>
            </w:pPr>
            <w:r>
              <w:rPr>
                <w:b/>
                <w:bCs/>
                <w:color w:val="000000"/>
                <w:sz w:val="16"/>
                <w:szCs w:val="16"/>
                <w:lang w:val="en-GB"/>
              </w:rPr>
              <w:t>COOPERATION FRAMEWORK</w:t>
            </w:r>
            <w:r w:rsidRPr="003C26C1">
              <w:rPr>
                <w:b/>
                <w:bCs/>
                <w:color w:val="000000"/>
                <w:sz w:val="16"/>
                <w:szCs w:val="16"/>
                <w:lang w:val="en-GB"/>
              </w:rPr>
              <w:t xml:space="preserve"> </w:t>
            </w:r>
            <w:r w:rsidR="007A05B6" w:rsidRPr="003C26C1">
              <w:rPr>
                <w:b/>
                <w:bCs/>
                <w:color w:val="000000"/>
                <w:sz w:val="16"/>
                <w:szCs w:val="16"/>
                <w:lang w:val="en-GB"/>
              </w:rPr>
              <w:t>(OR EQUIVALENT) OUTCOME INVOLVING UNDP #1:</w:t>
            </w:r>
            <w:r w:rsidR="007A05B6" w:rsidRPr="003C26C1">
              <w:rPr>
                <w:color w:val="000000"/>
                <w:sz w:val="16"/>
                <w:szCs w:val="16"/>
                <w:lang w:val="en-GB"/>
              </w:rPr>
              <w:t xml:space="preserve"> </w:t>
            </w:r>
            <w:r w:rsidR="007A05B6" w:rsidRPr="003C26C1">
              <w:rPr>
                <w:i/>
                <w:iCs/>
                <w:color w:val="0000FF"/>
                <w:sz w:val="16"/>
                <w:szCs w:val="16"/>
                <w:lang w:val="en-GB"/>
              </w:rPr>
              <w:t>(</w:t>
            </w:r>
            <w:r w:rsidR="001C1147">
              <w:rPr>
                <w:i/>
                <w:iCs/>
                <w:color w:val="0000FF"/>
                <w:sz w:val="16"/>
                <w:szCs w:val="16"/>
                <w:lang w:val="en-GB"/>
              </w:rPr>
              <w:t>C</w:t>
            </w:r>
            <w:r w:rsidR="007A05B6" w:rsidRPr="003C26C1">
              <w:rPr>
                <w:i/>
                <w:iCs/>
                <w:color w:val="0000FF"/>
                <w:sz w:val="16"/>
                <w:szCs w:val="16"/>
                <w:lang w:val="en-GB"/>
              </w:rPr>
              <w:t xml:space="preserve">opied verbatim from </w:t>
            </w:r>
            <w:r>
              <w:rPr>
                <w:i/>
                <w:iCs/>
                <w:color w:val="0000FF"/>
                <w:sz w:val="16"/>
                <w:szCs w:val="16"/>
                <w:lang w:val="en-GB"/>
              </w:rPr>
              <w:t>Cooperation Framework</w:t>
            </w:r>
            <w:r w:rsidR="007A05B6" w:rsidRPr="003C26C1">
              <w:rPr>
                <w:i/>
                <w:iCs/>
                <w:color w:val="0000FF"/>
                <w:sz w:val="16"/>
                <w:szCs w:val="16"/>
                <w:lang w:val="en-GB"/>
              </w:rPr>
              <w:t>/equivalent, this becomes the CPD outcome</w:t>
            </w:r>
            <w:r w:rsidR="0033325E">
              <w:rPr>
                <w:i/>
                <w:iCs/>
                <w:color w:val="0000FF"/>
                <w:sz w:val="16"/>
                <w:szCs w:val="16"/>
                <w:lang w:val="en-GB"/>
              </w:rPr>
              <w:t xml:space="preserve">. </w:t>
            </w:r>
            <w:r w:rsidR="0033325E" w:rsidRPr="0033325E">
              <w:rPr>
                <w:i/>
                <w:iCs/>
                <w:color w:val="0000FF"/>
                <w:sz w:val="16"/>
                <w:szCs w:val="16"/>
                <w:lang w:val="en-GB"/>
              </w:rPr>
              <w:t>Between 2-4</w:t>
            </w:r>
            <w:r w:rsidR="007A05B6" w:rsidRPr="00F44511">
              <w:rPr>
                <w:i/>
                <w:iCs/>
                <w:color w:val="0000FF"/>
                <w:sz w:val="16"/>
                <w:szCs w:val="16"/>
                <w:lang w:val="en-GB"/>
              </w:rPr>
              <w:t xml:space="preserve"> can be included in the RRF</w:t>
            </w:r>
            <w:r w:rsidR="0033325E" w:rsidRPr="003D3682">
              <w:rPr>
                <w:i/>
                <w:color w:val="0000FF"/>
                <w:sz w:val="16"/>
                <w:szCs w:val="16"/>
              </w:rPr>
              <w:t>, depending on the country typology</w:t>
            </w:r>
          </w:p>
        </w:tc>
      </w:tr>
      <w:tr w:rsidR="00772802" w:rsidRPr="003C26C1" w14:paraId="2440D445" w14:textId="77777777" w:rsidTr="00672BAB">
        <w:trPr>
          <w:trHeight w:val="124"/>
        </w:trPr>
        <w:tc>
          <w:tcPr>
            <w:tcW w:w="5000" w:type="pct"/>
            <w:gridSpan w:val="5"/>
            <w:shd w:val="clear" w:color="auto" w:fill="DBE5F1" w:themeFill="accent1" w:themeFillTint="33"/>
            <w:tcMar>
              <w:top w:w="72" w:type="dxa"/>
              <w:left w:w="144" w:type="dxa"/>
              <w:bottom w:w="72" w:type="dxa"/>
              <w:right w:w="144" w:type="dxa"/>
            </w:tcMar>
          </w:tcPr>
          <w:p w14:paraId="2440D444" w14:textId="56B6BC68" w:rsidR="00772802" w:rsidRPr="003C26C1" w:rsidRDefault="00923F17" w:rsidP="00F44511">
            <w:pPr>
              <w:rPr>
                <w:b/>
                <w:bCs/>
                <w:color w:val="000000"/>
                <w:sz w:val="16"/>
                <w:szCs w:val="16"/>
                <w:lang w:val="en-GB"/>
              </w:rPr>
            </w:pPr>
            <w:r w:rsidRPr="003C26C1">
              <w:rPr>
                <w:b/>
                <w:bCs/>
                <w:color w:val="000000"/>
                <w:sz w:val="16"/>
                <w:szCs w:val="16"/>
                <w:lang w:val="en-GB"/>
              </w:rPr>
              <w:t xml:space="preserve">RELATED STRATEGIC PLAN OUTCOME: </w:t>
            </w:r>
            <w:r w:rsidR="006543A2" w:rsidRPr="003C26C1">
              <w:rPr>
                <w:i/>
                <w:iCs/>
                <w:color w:val="0000FF"/>
                <w:sz w:val="16"/>
                <w:szCs w:val="16"/>
                <w:lang w:val="en-GB"/>
              </w:rPr>
              <w:t>(</w:t>
            </w:r>
            <w:r w:rsidR="006543A2">
              <w:rPr>
                <w:i/>
                <w:iCs/>
                <w:color w:val="0000FF"/>
                <w:sz w:val="16"/>
                <w:szCs w:val="16"/>
                <w:lang w:val="en-GB"/>
              </w:rPr>
              <w:t>C</w:t>
            </w:r>
            <w:r w:rsidR="006543A2" w:rsidRPr="003C26C1">
              <w:rPr>
                <w:i/>
                <w:iCs/>
                <w:color w:val="0000FF"/>
                <w:sz w:val="16"/>
                <w:szCs w:val="16"/>
                <w:lang w:val="en-GB"/>
              </w:rPr>
              <w:t xml:space="preserve">opied verbatim from </w:t>
            </w:r>
            <w:r w:rsidR="006543A2">
              <w:rPr>
                <w:i/>
                <w:iCs/>
                <w:color w:val="0000FF"/>
                <w:sz w:val="16"/>
                <w:szCs w:val="16"/>
                <w:lang w:val="en-GB"/>
              </w:rPr>
              <w:t xml:space="preserve">the Strategic Plan </w:t>
            </w:r>
            <w:r w:rsidR="00895175">
              <w:rPr>
                <w:i/>
                <w:iCs/>
                <w:color w:val="0000FF"/>
                <w:sz w:val="16"/>
                <w:szCs w:val="16"/>
                <w:lang w:val="en-GB"/>
              </w:rPr>
              <w:t>2022-2025</w:t>
            </w:r>
            <w:r w:rsidR="006543A2">
              <w:rPr>
                <w:i/>
                <w:iCs/>
                <w:color w:val="0000FF"/>
                <w:sz w:val="16"/>
                <w:szCs w:val="16"/>
                <w:lang w:val="en-GB"/>
              </w:rPr>
              <w:t xml:space="preserve"> outcomes.  </w:t>
            </w:r>
            <w:r w:rsidR="00895175" w:rsidRPr="00895175">
              <w:rPr>
                <w:i/>
                <w:iCs/>
                <w:color w:val="0000FF"/>
                <w:sz w:val="16"/>
                <w:szCs w:val="16"/>
                <w:lang w:val="en-GB"/>
              </w:rPr>
              <w:t>Outcome 1: Structural transformation accelerated, particularly green, inclusive and digital transitions; Outcome 2: No one left behind, centring on equitable access to opportunities and a rights-based approach to human agency and human development; Outcome 3: Resilience built to respond to systemic uncertainty and risk.</w:t>
            </w:r>
            <w:r w:rsidR="006543A2">
              <w:rPr>
                <w:i/>
                <w:iCs/>
                <w:color w:val="0000FF"/>
                <w:sz w:val="16"/>
                <w:szCs w:val="16"/>
                <w:lang w:val="en-GB"/>
              </w:rPr>
              <w:t>)</w:t>
            </w:r>
            <w:r w:rsidR="006543A2" w:rsidRPr="003C26C1" w:rsidDel="007E5629">
              <w:rPr>
                <w:b/>
                <w:bCs/>
                <w:color w:val="000000"/>
                <w:sz w:val="16"/>
                <w:szCs w:val="16"/>
                <w:lang w:val="en-GB"/>
              </w:rPr>
              <w:t xml:space="preserve"> </w:t>
            </w:r>
          </w:p>
        </w:tc>
      </w:tr>
      <w:tr w:rsidR="007A05B6" w:rsidRPr="003C26C1" w14:paraId="2440D44D" w14:textId="77777777" w:rsidTr="00125266">
        <w:trPr>
          <w:trHeight w:val="322"/>
        </w:trPr>
        <w:tc>
          <w:tcPr>
            <w:tcW w:w="1097" w:type="pct"/>
            <w:shd w:val="clear" w:color="auto" w:fill="DBE5F1" w:themeFill="accent1" w:themeFillTint="33"/>
            <w:tcMar>
              <w:top w:w="72" w:type="dxa"/>
              <w:left w:w="144" w:type="dxa"/>
              <w:bottom w:w="72" w:type="dxa"/>
              <w:right w:w="144" w:type="dxa"/>
            </w:tcMar>
            <w:vAlign w:val="center"/>
          </w:tcPr>
          <w:p w14:paraId="2440D446" w14:textId="5388FAE2" w:rsidR="007A05B6" w:rsidRPr="003C26C1" w:rsidRDefault="007E5629" w:rsidP="00125266">
            <w:pPr>
              <w:jc w:val="center"/>
              <w:rPr>
                <w:color w:val="000000"/>
                <w:sz w:val="16"/>
                <w:szCs w:val="16"/>
              </w:rPr>
            </w:pPr>
            <w:r>
              <w:rPr>
                <w:b/>
                <w:bCs/>
                <w:color w:val="000000"/>
                <w:sz w:val="16"/>
                <w:szCs w:val="16"/>
                <w:lang w:val="en-GB"/>
              </w:rPr>
              <w:t>COOPERATION FRAMEWORK</w:t>
            </w:r>
            <w:r w:rsidRPr="003C26C1">
              <w:rPr>
                <w:b/>
                <w:bCs/>
                <w:color w:val="000000"/>
                <w:sz w:val="16"/>
                <w:szCs w:val="16"/>
                <w:lang w:val="en-GB"/>
              </w:rPr>
              <w:t xml:space="preserve"> </w:t>
            </w:r>
            <w:r w:rsidR="007A05B6" w:rsidRPr="003C26C1">
              <w:rPr>
                <w:b/>
                <w:bCs/>
                <w:color w:val="000000"/>
                <w:sz w:val="16"/>
                <w:szCs w:val="16"/>
                <w:lang w:val="en-GB"/>
              </w:rPr>
              <w:t>OUTCOME INDICATOR(S), BASELINES, TARGET(S)</w:t>
            </w:r>
          </w:p>
        </w:tc>
        <w:tc>
          <w:tcPr>
            <w:tcW w:w="1178" w:type="pct"/>
            <w:shd w:val="clear" w:color="auto" w:fill="DBE5F1" w:themeFill="accent1" w:themeFillTint="33"/>
            <w:vAlign w:val="center"/>
          </w:tcPr>
          <w:p w14:paraId="2440D447" w14:textId="77777777" w:rsidR="007A05B6" w:rsidRPr="003C26C1" w:rsidRDefault="007A05B6" w:rsidP="00125266">
            <w:pPr>
              <w:jc w:val="center"/>
              <w:rPr>
                <w:b/>
                <w:color w:val="000000"/>
                <w:sz w:val="16"/>
                <w:szCs w:val="16"/>
              </w:rPr>
            </w:pPr>
            <w:r w:rsidRPr="003C26C1">
              <w:rPr>
                <w:b/>
                <w:color w:val="000000"/>
                <w:sz w:val="16"/>
                <w:szCs w:val="16"/>
              </w:rPr>
              <w:t>DATA SOURCE AND FREQUENCY OF DATA COLLECTION, AND RESPONSIBILITIES</w:t>
            </w:r>
          </w:p>
        </w:tc>
        <w:tc>
          <w:tcPr>
            <w:tcW w:w="1092" w:type="pct"/>
            <w:shd w:val="clear" w:color="auto" w:fill="DBE5F1" w:themeFill="accent1" w:themeFillTint="33"/>
            <w:tcMar>
              <w:top w:w="72" w:type="dxa"/>
              <w:left w:w="144" w:type="dxa"/>
              <w:bottom w:w="72" w:type="dxa"/>
              <w:right w:w="144" w:type="dxa"/>
            </w:tcMar>
            <w:vAlign w:val="center"/>
          </w:tcPr>
          <w:p w14:paraId="2440D448" w14:textId="77777777" w:rsidR="007A05B6" w:rsidRPr="003C26C1" w:rsidRDefault="007A05B6" w:rsidP="00125266">
            <w:pPr>
              <w:jc w:val="center"/>
              <w:rPr>
                <w:color w:val="000000"/>
                <w:sz w:val="16"/>
                <w:szCs w:val="16"/>
              </w:rPr>
            </w:pPr>
            <w:r w:rsidRPr="003C26C1">
              <w:rPr>
                <w:b/>
                <w:bCs/>
                <w:color w:val="000000"/>
                <w:sz w:val="16"/>
                <w:szCs w:val="16"/>
                <w:lang w:val="en-GB"/>
              </w:rPr>
              <w:t xml:space="preserve">INDICATIVE COUNTRY PROGRAMME OUTPUTS </w:t>
            </w:r>
            <w:r w:rsidRPr="003C26C1">
              <w:rPr>
                <w:b/>
                <w:bCs/>
                <w:i/>
                <w:color w:val="000000"/>
                <w:sz w:val="16"/>
                <w:szCs w:val="16"/>
                <w:lang w:val="en-GB"/>
              </w:rPr>
              <w:t>(including indicators, baselines targets)</w:t>
            </w:r>
          </w:p>
        </w:tc>
        <w:tc>
          <w:tcPr>
            <w:tcW w:w="675" w:type="pct"/>
            <w:shd w:val="clear" w:color="auto" w:fill="DBE5F1" w:themeFill="accent1" w:themeFillTint="33"/>
            <w:vAlign w:val="center"/>
          </w:tcPr>
          <w:p w14:paraId="2440D449" w14:textId="77777777" w:rsidR="007A05B6" w:rsidRPr="003C26C1" w:rsidRDefault="007A05B6" w:rsidP="00125266">
            <w:pPr>
              <w:jc w:val="center"/>
              <w:rPr>
                <w:b/>
                <w:bCs/>
                <w:color w:val="000000"/>
                <w:sz w:val="16"/>
                <w:szCs w:val="16"/>
                <w:lang w:val="en-GB"/>
              </w:rPr>
            </w:pPr>
            <w:r w:rsidRPr="003C26C1">
              <w:rPr>
                <w:b/>
                <w:bCs/>
                <w:color w:val="000000"/>
                <w:sz w:val="16"/>
                <w:szCs w:val="16"/>
                <w:lang w:val="en-GB"/>
              </w:rPr>
              <w:t>MAJOR PARTNERS</w:t>
            </w:r>
            <w:r w:rsidR="009B4DA7" w:rsidRPr="003C26C1">
              <w:rPr>
                <w:b/>
                <w:bCs/>
                <w:color w:val="000000"/>
                <w:sz w:val="16"/>
                <w:szCs w:val="16"/>
                <w:lang w:val="en-GB"/>
              </w:rPr>
              <w:t xml:space="preserve"> </w:t>
            </w:r>
            <w:r w:rsidRPr="003C26C1">
              <w:rPr>
                <w:b/>
                <w:bCs/>
                <w:color w:val="000000"/>
                <w:sz w:val="16"/>
                <w:szCs w:val="16"/>
                <w:lang w:val="en-GB"/>
              </w:rPr>
              <w:t>/</w:t>
            </w:r>
            <w:r w:rsidR="009B4DA7" w:rsidRPr="003C26C1">
              <w:rPr>
                <w:b/>
                <w:bCs/>
                <w:color w:val="000000"/>
                <w:sz w:val="16"/>
                <w:szCs w:val="16"/>
                <w:lang w:val="en-GB"/>
              </w:rPr>
              <w:t xml:space="preserve"> </w:t>
            </w:r>
            <w:r w:rsidRPr="003C26C1">
              <w:rPr>
                <w:b/>
                <w:bCs/>
                <w:color w:val="000000"/>
                <w:sz w:val="16"/>
                <w:szCs w:val="16"/>
                <w:lang w:val="en-GB"/>
              </w:rPr>
              <w:t>PARTNERSHIPS</w:t>
            </w:r>
          </w:p>
          <w:p w14:paraId="2440D44A" w14:textId="77777777" w:rsidR="007A05B6" w:rsidRPr="003C26C1" w:rsidRDefault="007A05B6" w:rsidP="00125266">
            <w:pPr>
              <w:jc w:val="center"/>
              <w:rPr>
                <w:b/>
                <w:bCs/>
                <w:color w:val="000000"/>
                <w:sz w:val="16"/>
                <w:szCs w:val="16"/>
                <w:lang w:val="en-GB"/>
              </w:rPr>
            </w:pPr>
            <w:r w:rsidRPr="003C26C1">
              <w:rPr>
                <w:b/>
                <w:bCs/>
                <w:color w:val="000000"/>
                <w:sz w:val="16"/>
                <w:szCs w:val="16"/>
                <w:lang w:val="en-GB"/>
              </w:rPr>
              <w:t>FRAMEWORKS</w:t>
            </w:r>
          </w:p>
        </w:tc>
        <w:tc>
          <w:tcPr>
            <w:tcW w:w="958" w:type="pct"/>
            <w:shd w:val="clear" w:color="auto" w:fill="DBE5F1" w:themeFill="accent1" w:themeFillTint="33"/>
            <w:tcMar>
              <w:top w:w="15" w:type="dxa"/>
              <w:left w:w="108" w:type="dxa"/>
              <w:bottom w:w="0" w:type="dxa"/>
              <w:right w:w="108" w:type="dxa"/>
            </w:tcMar>
            <w:vAlign w:val="center"/>
          </w:tcPr>
          <w:p w14:paraId="2440D44C" w14:textId="490D8572" w:rsidR="007A05B6" w:rsidRPr="003C26C1" w:rsidRDefault="00B81568" w:rsidP="004D70FD">
            <w:pPr>
              <w:jc w:val="center"/>
              <w:rPr>
                <w:i/>
                <w:color w:val="0000FF"/>
                <w:sz w:val="16"/>
                <w:szCs w:val="16"/>
              </w:rPr>
            </w:pPr>
            <w:r>
              <w:rPr>
                <w:b/>
                <w:bCs/>
                <w:color w:val="000000"/>
                <w:sz w:val="16"/>
                <w:szCs w:val="16"/>
                <w:lang w:val="en-GB"/>
              </w:rPr>
              <w:t>ESTIMATED COST</w:t>
            </w:r>
            <w:r w:rsidR="007A05B6" w:rsidRPr="003C26C1">
              <w:rPr>
                <w:b/>
                <w:bCs/>
                <w:color w:val="000000"/>
                <w:sz w:val="16"/>
                <w:szCs w:val="16"/>
                <w:lang w:val="en-GB"/>
              </w:rPr>
              <w:t xml:space="preserve"> BY OUTCOME (US$)</w:t>
            </w:r>
          </w:p>
        </w:tc>
      </w:tr>
      <w:tr w:rsidR="004F50AF" w:rsidRPr="003C26C1" w14:paraId="2440D45D" w14:textId="77777777" w:rsidTr="00672BAB">
        <w:trPr>
          <w:trHeight w:val="133"/>
        </w:trPr>
        <w:tc>
          <w:tcPr>
            <w:tcW w:w="1097" w:type="pct"/>
            <w:vMerge w:val="restart"/>
            <w:tcMar>
              <w:top w:w="72" w:type="dxa"/>
              <w:left w:w="144" w:type="dxa"/>
              <w:bottom w:w="72" w:type="dxa"/>
              <w:right w:w="144" w:type="dxa"/>
            </w:tcMar>
          </w:tcPr>
          <w:p w14:paraId="2440D450" w14:textId="3BC38400" w:rsidR="004F50AF" w:rsidRPr="003C26C1" w:rsidRDefault="004F50AF" w:rsidP="0071022A">
            <w:pPr>
              <w:rPr>
                <w:i/>
                <w:iCs/>
                <w:sz w:val="16"/>
                <w:szCs w:val="16"/>
                <w:lang w:val="en-GB"/>
              </w:rPr>
            </w:pPr>
            <w:r w:rsidRPr="003C26C1">
              <w:rPr>
                <w:i/>
                <w:iCs/>
                <w:sz w:val="16"/>
                <w:szCs w:val="16"/>
                <w:lang w:val="en-GB"/>
              </w:rPr>
              <w:t xml:space="preserve">Indicator: Country programmes will adopt </w:t>
            </w:r>
            <w:r w:rsidR="0024573D">
              <w:rPr>
                <w:i/>
                <w:iCs/>
                <w:sz w:val="16"/>
                <w:szCs w:val="16"/>
                <w:lang w:val="en-GB"/>
              </w:rPr>
              <w:t xml:space="preserve">relevant </w:t>
            </w:r>
            <w:r w:rsidRPr="003C26C1">
              <w:rPr>
                <w:i/>
                <w:iCs/>
                <w:sz w:val="16"/>
                <w:szCs w:val="16"/>
                <w:lang w:val="en-GB"/>
              </w:rPr>
              <w:t xml:space="preserve">outcome indicators from the </w:t>
            </w:r>
            <w:r w:rsidR="0024573D">
              <w:rPr>
                <w:i/>
                <w:iCs/>
                <w:sz w:val="16"/>
                <w:szCs w:val="16"/>
                <w:lang w:val="en-GB"/>
              </w:rPr>
              <w:t xml:space="preserve">Cooperation Framework, which should be derived from </w:t>
            </w:r>
            <w:r w:rsidR="00855004" w:rsidRPr="003C26C1">
              <w:rPr>
                <w:i/>
                <w:iCs/>
                <w:sz w:val="16"/>
                <w:szCs w:val="16"/>
                <w:lang w:val="en-GB"/>
              </w:rPr>
              <w:t xml:space="preserve">relevant country-specific </w:t>
            </w:r>
            <w:r w:rsidR="004801D4">
              <w:rPr>
                <w:i/>
                <w:iCs/>
                <w:sz w:val="16"/>
                <w:szCs w:val="16"/>
                <w:lang w:val="en-GB"/>
              </w:rPr>
              <w:t xml:space="preserve">SDG </w:t>
            </w:r>
            <w:r w:rsidR="00855004" w:rsidRPr="003C26C1">
              <w:rPr>
                <w:i/>
                <w:iCs/>
                <w:sz w:val="16"/>
                <w:szCs w:val="16"/>
                <w:lang w:val="en-GB"/>
              </w:rPr>
              <w:t>indicators</w:t>
            </w:r>
            <w:r w:rsidRPr="003C26C1">
              <w:rPr>
                <w:i/>
                <w:iCs/>
                <w:sz w:val="16"/>
                <w:szCs w:val="16"/>
                <w:lang w:val="en-GB"/>
              </w:rPr>
              <w:t xml:space="preserve"> unless justified otherwise. In cases of weak data source</w:t>
            </w:r>
            <w:r w:rsidR="00DC24B5">
              <w:rPr>
                <w:i/>
                <w:iCs/>
                <w:sz w:val="16"/>
                <w:szCs w:val="16"/>
                <w:lang w:val="en-GB"/>
              </w:rPr>
              <w:t>s</w:t>
            </w:r>
            <w:r w:rsidRPr="003C26C1">
              <w:rPr>
                <w:i/>
                <w:iCs/>
                <w:sz w:val="16"/>
                <w:szCs w:val="16"/>
                <w:lang w:val="en-GB"/>
              </w:rPr>
              <w:t xml:space="preserve"> for outcome indicators, country offices may adopt proxy and/or country-specific outcome indicators until data sources are sufficiently strengthened.</w:t>
            </w:r>
            <w:r w:rsidR="00AC0650">
              <w:rPr>
                <w:b/>
                <w:bCs/>
                <w:i/>
                <w:color w:val="000000"/>
                <w:sz w:val="16"/>
                <w:szCs w:val="16"/>
                <w:lang w:val="en-GB"/>
              </w:rPr>
              <w:br/>
            </w:r>
            <w:r w:rsidRPr="003C26C1">
              <w:rPr>
                <w:i/>
                <w:iCs/>
                <w:sz w:val="16"/>
                <w:szCs w:val="16"/>
                <w:lang w:val="en-GB"/>
              </w:rPr>
              <w:t>Baseline</w:t>
            </w:r>
            <w:r w:rsidR="00632DB2">
              <w:rPr>
                <w:i/>
                <w:iCs/>
                <w:sz w:val="16"/>
                <w:szCs w:val="16"/>
                <w:lang w:val="en-GB"/>
              </w:rPr>
              <w:t xml:space="preserve"> (</w:t>
            </w:r>
            <w:r w:rsidR="00D04372">
              <w:rPr>
                <w:i/>
                <w:iCs/>
                <w:sz w:val="16"/>
                <w:szCs w:val="16"/>
                <w:lang w:val="en-GB"/>
              </w:rPr>
              <w:t>y</w:t>
            </w:r>
            <w:r w:rsidR="00632DB2">
              <w:rPr>
                <w:i/>
                <w:iCs/>
                <w:sz w:val="16"/>
                <w:szCs w:val="16"/>
                <w:lang w:val="en-GB"/>
              </w:rPr>
              <w:t>ear)</w:t>
            </w:r>
            <w:r w:rsidRPr="003C26C1">
              <w:rPr>
                <w:i/>
                <w:iCs/>
                <w:sz w:val="16"/>
                <w:szCs w:val="16"/>
                <w:lang w:val="en-GB"/>
              </w:rPr>
              <w:t>:</w:t>
            </w:r>
            <w:r w:rsidR="00AC0650">
              <w:rPr>
                <w:bCs/>
                <w:i/>
                <w:color w:val="000000"/>
                <w:sz w:val="16"/>
                <w:szCs w:val="16"/>
                <w:lang w:val="en-GB"/>
              </w:rPr>
              <w:br/>
            </w:r>
            <w:r w:rsidRPr="003C26C1">
              <w:rPr>
                <w:bCs/>
                <w:i/>
                <w:color w:val="000000"/>
                <w:sz w:val="16"/>
                <w:szCs w:val="16"/>
                <w:lang w:val="en-GB"/>
              </w:rPr>
              <w:t>Target</w:t>
            </w:r>
            <w:r w:rsidR="00632DB2">
              <w:rPr>
                <w:bCs/>
                <w:i/>
                <w:color w:val="000000"/>
                <w:sz w:val="16"/>
                <w:szCs w:val="16"/>
                <w:lang w:val="en-GB"/>
              </w:rPr>
              <w:t xml:space="preserve"> (</w:t>
            </w:r>
            <w:r w:rsidR="00D04372">
              <w:rPr>
                <w:bCs/>
                <w:i/>
                <w:color w:val="000000"/>
                <w:sz w:val="16"/>
                <w:szCs w:val="16"/>
                <w:lang w:val="en-GB"/>
              </w:rPr>
              <w:t>y</w:t>
            </w:r>
            <w:r w:rsidR="00632DB2">
              <w:rPr>
                <w:bCs/>
                <w:i/>
                <w:color w:val="000000"/>
                <w:sz w:val="16"/>
                <w:szCs w:val="16"/>
                <w:lang w:val="en-GB"/>
              </w:rPr>
              <w:t>ear)</w:t>
            </w:r>
            <w:r w:rsidRPr="003C26C1">
              <w:rPr>
                <w:bCs/>
                <w:i/>
                <w:color w:val="000000"/>
                <w:sz w:val="16"/>
                <w:szCs w:val="16"/>
                <w:lang w:val="en-GB"/>
              </w:rPr>
              <w:t>:</w:t>
            </w:r>
            <w:r w:rsidRPr="003C26C1">
              <w:rPr>
                <w:i/>
                <w:iCs/>
                <w:sz w:val="16"/>
                <w:szCs w:val="16"/>
                <w:u w:val="single"/>
                <w:lang w:val="en-GB"/>
              </w:rPr>
              <w:t xml:space="preserve"> </w:t>
            </w:r>
          </w:p>
          <w:p w14:paraId="2440D451" w14:textId="70E2C52B" w:rsidR="004F50AF" w:rsidRPr="003C26C1" w:rsidRDefault="00303CB0" w:rsidP="00DC24B5">
            <w:pPr>
              <w:numPr>
                <w:ilvl w:val="0"/>
                <w:numId w:val="5"/>
              </w:numPr>
              <w:rPr>
                <w:bCs/>
                <w:i/>
                <w:color w:val="000000"/>
                <w:sz w:val="16"/>
                <w:szCs w:val="16"/>
                <w:lang w:val="en-GB"/>
              </w:rPr>
            </w:pPr>
            <w:r>
              <w:rPr>
                <w:i/>
                <w:iCs/>
                <w:sz w:val="16"/>
                <w:szCs w:val="16"/>
                <w:u w:val="single"/>
                <w:lang w:val="en-GB"/>
              </w:rPr>
              <w:t>Where relevant</w:t>
            </w:r>
            <w:r w:rsidR="004F50AF" w:rsidRPr="003C26C1">
              <w:rPr>
                <w:i/>
                <w:iCs/>
                <w:sz w:val="16"/>
                <w:szCs w:val="16"/>
                <w:u w:val="single"/>
                <w:lang w:val="en-GB"/>
              </w:rPr>
              <w:t>, baselines and targets should be disaggregated by sex</w:t>
            </w:r>
            <w:r w:rsidR="00DC24B5">
              <w:rPr>
                <w:i/>
                <w:iCs/>
                <w:sz w:val="16"/>
                <w:szCs w:val="16"/>
                <w:u w:val="single"/>
                <w:lang w:val="en-GB"/>
              </w:rPr>
              <w:t xml:space="preserve"> and other targeted groups</w:t>
            </w:r>
            <w:r w:rsidR="00DC24B5">
              <w:rPr>
                <w:i/>
                <w:iCs/>
                <w:sz w:val="16"/>
                <w:szCs w:val="16"/>
                <w:lang w:val="en-GB"/>
              </w:rPr>
              <w:t>.</w:t>
            </w:r>
          </w:p>
        </w:tc>
        <w:tc>
          <w:tcPr>
            <w:tcW w:w="1178" w:type="pct"/>
            <w:vMerge w:val="restart"/>
          </w:tcPr>
          <w:p w14:paraId="2440D452" w14:textId="77777777" w:rsidR="004F50AF" w:rsidRPr="003C26C1" w:rsidRDefault="004F50AF" w:rsidP="00885F85">
            <w:pPr>
              <w:pStyle w:val="ListParagraph"/>
              <w:numPr>
                <w:ilvl w:val="0"/>
                <w:numId w:val="5"/>
              </w:numPr>
              <w:rPr>
                <w:i/>
                <w:iCs/>
                <w:sz w:val="16"/>
                <w:szCs w:val="16"/>
                <w:lang w:val="en-GB"/>
              </w:rPr>
            </w:pPr>
            <w:r w:rsidRPr="003C26C1">
              <w:rPr>
                <w:i/>
                <w:iCs/>
                <w:sz w:val="16"/>
                <w:szCs w:val="16"/>
                <w:lang w:val="en-GB"/>
              </w:rPr>
              <w:t>Cite sources of data for each indicator that will generate evidence base for measuring outcome-level change.</w:t>
            </w:r>
          </w:p>
          <w:p w14:paraId="2440D453" w14:textId="412497AD" w:rsidR="004F50AF" w:rsidRPr="003C26C1" w:rsidRDefault="004F50AF" w:rsidP="00885F85">
            <w:pPr>
              <w:pStyle w:val="ListParagraph"/>
              <w:numPr>
                <w:ilvl w:val="0"/>
                <w:numId w:val="5"/>
              </w:numPr>
              <w:rPr>
                <w:i/>
                <w:iCs/>
                <w:sz w:val="16"/>
                <w:szCs w:val="16"/>
                <w:lang w:val="en-GB"/>
              </w:rPr>
            </w:pPr>
            <w:r w:rsidRPr="003C26C1">
              <w:rPr>
                <w:i/>
                <w:iCs/>
                <w:sz w:val="16"/>
                <w:szCs w:val="16"/>
                <w:lang w:val="en-GB"/>
              </w:rPr>
              <w:t>If data and/or disaggregated data is unavailable at the time of programme formulation, this should be noted here and a brief explanation of when, how and which partner will devise the baseline</w:t>
            </w:r>
            <w:r w:rsidR="004028E7">
              <w:rPr>
                <w:i/>
                <w:iCs/>
                <w:sz w:val="16"/>
                <w:szCs w:val="16"/>
                <w:lang w:val="en-GB"/>
              </w:rPr>
              <w:t xml:space="preserve"> and set the target</w:t>
            </w:r>
            <w:r w:rsidRPr="003C26C1">
              <w:rPr>
                <w:i/>
                <w:iCs/>
                <w:sz w:val="16"/>
                <w:szCs w:val="16"/>
                <w:lang w:val="en-GB"/>
              </w:rPr>
              <w:t>.</w:t>
            </w:r>
          </w:p>
          <w:p w14:paraId="2440D454" w14:textId="77777777" w:rsidR="004F50AF" w:rsidRPr="003C26C1" w:rsidRDefault="004F50AF" w:rsidP="00885F85">
            <w:pPr>
              <w:rPr>
                <w:b/>
                <w:bCs/>
                <w:i/>
                <w:color w:val="000000"/>
                <w:sz w:val="16"/>
                <w:szCs w:val="16"/>
                <w:lang w:val="en-GB"/>
              </w:rPr>
            </w:pPr>
          </w:p>
        </w:tc>
        <w:tc>
          <w:tcPr>
            <w:tcW w:w="1092" w:type="pct"/>
            <w:vMerge w:val="restart"/>
            <w:tcMar>
              <w:top w:w="72" w:type="dxa"/>
              <w:left w:w="144" w:type="dxa"/>
              <w:bottom w:w="72" w:type="dxa"/>
              <w:right w:w="144" w:type="dxa"/>
            </w:tcMar>
          </w:tcPr>
          <w:p w14:paraId="2440D455" w14:textId="1F944A71" w:rsidR="004F50AF" w:rsidRPr="003C26C1" w:rsidRDefault="00AC3EE4" w:rsidP="00885F85">
            <w:pPr>
              <w:rPr>
                <w:i/>
                <w:iCs/>
                <w:color w:val="000000"/>
                <w:sz w:val="16"/>
                <w:szCs w:val="16"/>
                <w:lang w:val="en-GB"/>
              </w:rPr>
            </w:pPr>
            <w:r>
              <w:rPr>
                <w:i/>
                <w:iCs/>
                <w:color w:val="000000"/>
                <w:sz w:val="16"/>
                <w:szCs w:val="16"/>
                <w:lang w:val="en-GB"/>
              </w:rPr>
              <w:t xml:space="preserve">Output 1.1: </w:t>
            </w:r>
            <w:r w:rsidR="004F50AF" w:rsidRPr="003C26C1">
              <w:rPr>
                <w:i/>
                <w:iCs/>
                <w:color w:val="000000"/>
                <w:sz w:val="16"/>
                <w:szCs w:val="16"/>
                <w:lang w:val="en-GB"/>
              </w:rPr>
              <w:t xml:space="preserve">Outline indicative UNDP outputs that support </w:t>
            </w:r>
            <w:r w:rsidR="00DC24B5">
              <w:rPr>
                <w:i/>
                <w:iCs/>
                <w:color w:val="000000"/>
                <w:sz w:val="16"/>
                <w:szCs w:val="16"/>
                <w:lang w:val="en-GB"/>
              </w:rPr>
              <w:t>achievement of the</w:t>
            </w:r>
            <w:r w:rsidR="00DC24B5" w:rsidRPr="003C26C1">
              <w:rPr>
                <w:i/>
                <w:iCs/>
                <w:color w:val="000000"/>
                <w:sz w:val="16"/>
                <w:szCs w:val="16"/>
                <w:lang w:val="en-GB"/>
              </w:rPr>
              <w:t xml:space="preserve"> </w:t>
            </w:r>
            <w:r w:rsidR="004F50AF" w:rsidRPr="003C26C1">
              <w:rPr>
                <w:i/>
                <w:iCs/>
                <w:color w:val="000000"/>
                <w:sz w:val="16"/>
                <w:szCs w:val="16"/>
                <w:lang w:val="en-GB"/>
              </w:rPr>
              <w:t>outcome</w:t>
            </w:r>
            <w:r w:rsidR="007925B6">
              <w:rPr>
                <w:i/>
                <w:iCs/>
                <w:color w:val="000000"/>
                <w:sz w:val="16"/>
                <w:szCs w:val="16"/>
                <w:lang w:val="en-GB"/>
              </w:rPr>
              <w:t xml:space="preserve">, along with indicative output indicators to measure progress in delivering them. </w:t>
            </w:r>
            <w:r w:rsidR="004F50AF" w:rsidRPr="003C26C1">
              <w:rPr>
                <w:i/>
                <w:iCs/>
                <w:color w:val="000000"/>
                <w:sz w:val="16"/>
                <w:szCs w:val="16"/>
                <w:lang w:val="en-GB"/>
              </w:rPr>
              <w:t xml:space="preserve"> </w:t>
            </w:r>
            <w:r w:rsidR="007925B6">
              <w:rPr>
                <w:i/>
                <w:iCs/>
                <w:color w:val="000000"/>
                <w:sz w:val="16"/>
                <w:szCs w:val="16"/>
                <w:lang w:val="en-GB"/>
              </w:rPr>
              <w:t>T</w:t>
            </w:r>
            <w:r w:rsidR="004F50AF" w:rsidRPr="003C26C1">
              <w:rPr>
                <w:i/>
                <w:iCs/>
                <w:color w:val="000000"/>
                <w:sz w:val="16"/>
                <w:szCs w:val="16"/>
                <w:lang w:val="en-GB"/>
              </w:rPr>
              <w:t>o be finalized with national counterparts, other partners and UNCT during preparation of operational documents.</w:t>
            </w:r>
          </w:p>
          <w:p w14:paraId="2440D456" w14:textId="77777777" w:rsidR="004F50AF" w:rsidRPr="003C26C1" w:rsidRDefault="004F50AF" w:rsidP="00885F85">
            <w:pPr>
              <w:rPr>
                <w:i/>
                <w:iCs/>
                <w:color w:val="000000"/>
                <w:sz w:val="16"/>
                <w:szCs w:val="16"/>
                <w:lang w:val="en-GB"/>
              </w:rPr>
            </w:pPr>
          </w:p>
          <w:p w14:paraId="2440D457" w14:textId="2B2F93A3" w:rsidR="004F50AF" w:rsidRPr="003C26C1" w:rsidRDefault="004F50AF" w:rsidP="0071022A">
            <w:pPr>
              <w:pStyle w:val="ListParagraph"/>
              <w:numPr>
                <w:ilvl w:val="0"/>
                <w:numId w:val="30"/>
              </w:numPr>
              <w:ind w:left="360"/>
              <w:rPr>
                <w:i/>
                <w:iCs/>
                <w:color w:val="000000"/>
                <w:sz w:val="16"/>
                <w:szCs w:val="16"/>
                <w:lang w:val="en-GB"/>
              </w:rPr>
            </w:pPr>
            <w:r w:rsidRPr="003C26C1">
              <w:rPr>
                <w:i/>
                <w:iCs/>
                <w:color w:val="000000"/>
                <w:sz w:val="16"/>
                <w:szCs w:val="16"/>
                <w:lang w:val="en-GB"/>
              </w:rPr>
              <w:t>Indicative Indicator</w:t>
            </w:r>
            <w:r w:rsidR="00AC3EE4">
              <w:rPr>
                <w:i/>
                <w:iCs/>
                <w:color w:val="000000"/>
                <w:sz w:val="16"/>
                <w:szCs w:val="16"/>
                <w:lang w:val="en-GB"/>
              </w:rPr>
              <w:t xml:space="preserve"> 1.1</w:t>
            </w:r>
            <w:r w:rsidRPr="003C26C1">
              <w:rPr>
                <w:i/>
                <w:iCs/>
                <w:color w:val="000000"/>
                <w:sz w:val="16"/>
                <w:szCs w:val="16"/>
                <w:lang w:val="en-GB"/>
              </w:rPr>
              <w:t>:</w:t>
            </w:r>
          </w:p>
          <w:p w14:paraId="2440D458" w14:textId="7D6278CB" w:rsidR="004F50AF" w:rsidRPr="003C26C1" w:rsidRDefault="004F50AF" w:rsidP="0071022A">
            <w:pPr>
              <w:pStyle w:val="ListParagraph"/>
              <w:ind w:left="360"/>
              <w:rPr>
                <w:i/>
                <w:iCs/>
                <w:color w:val="000000"/>
                <w:sz w:val="16"/>
                <w:szCs w:val="16"/>
                <w:lang w:val="en-GB"/>
              </w:rPr>
            </w:pPr>
            <w:r w:rsidRPr="003C26C1">
              <w:rPr>
                <w:i/>
                <w:iCs/>
                <w:color w:val="000000"/>
                <w:sz w:val="16"/>
                <w:szCs w:val="16"/>
                <w:lang w:val="en-GB"/>
              </w:rPr>
              <w:t>Baseline</w:t>
            </w:r>
            <w:r w:rsidR="003D2D68">
              <w:rPr>
                <w:i/>
                <w:iCs/>
                <w:color w:val="000000"/>
                <w:sz w:val="16"/>
                <w:szCs w:val="16"/>
                <w:lang w:val="en-GB"/>
              </w:rPr>
              <w:t xml:space="preserve"> (</w:t>
            </w:r>
            <w:r w:rsidR="00D04372">
              <w:rPr>
                <w:i/>
                <w:iCs/>
                <w:color w:val="000000"/>
                <w:sz w:val="16"/>
                <w:szCs w:val="16"/>
                <w:lang w:val="en-GB"/>
              </w:rPr>
              <w:t>y</w:t>
            </w:r>
            <w:r w:rsidR="003D2D68">
              <w:rPr>
                <w:i/>
                <w:iCs/>
                <w:color w:val="000000"/>
                <w:sz w:val="16"/>
                <w:szCs w:val="16"/>
                <w:lang w:val="en-GB"/>
              </w:rPr>
              <w:t>ear)</w:t>
            </w:r>
            <w:r w:rsidRPr="003C26C1">
              <w:rPr>
                <w:i/>
                <w:iCs/>
                <w:color w:val="000000"/>
                <w:sz w:val="16"/>
                <w:szCs w:val="16"/>
                <w:lang w:val="en-GB"/>
              </w:rPr>
              <w:t>:</w:t>
            </w:r>
          </w:p>
          <w:p w14:paraId="2440D459" w14:textId="19680B87" w:rsidR="004F50AF" w:rsidRPr="003C26C1" w:rsidRDefault="004F50AF" w:rsidP="0071022A">
            <w:pPr>
              <w:pStyle w:val="ListParagraph"/>
              <w:ind w:left="360"/>
              <w:rPr>
                <w:i/>
                <w:iCs/>
                <w:color w:val="000000"/>
                <w:sz w:val="16"/>
                <w:szCs w:val="16"/>
                <w:lang w:val="en-GB"/>
              </w:rPr>
            </w:pPr>
            <w:r w:rsidRPr="003C26C1">
              <w:rPr>
                <w:i/>
                <w:iCs/>
                <w:color w:val="000000"/>
                <w:sz w:val="16"/>
                <w:szCs w:val="16"/>
                <w:lang w:val="en-GB"/>
              </w:rPr>
              <w:t>Target</w:t>
            </w:r>
            <w:r w:rsidR="003D2D68">
              <w:rPr>
                <w:i/>
                <w:iCs/>
                <w:color w:val="000000"/>
                <w:sz w:val="16"/>
                <w:szCs w:val="16"/>
                <w:lang w:val="en-GB"/>
              </w:rPr>
              <w:t xml:space="preserve"> (</w:t>
            </w:r>
            <w:r w:rsidR="00D04372">
              <w:rPr>
                <w:i/>
                <w:iCs/>
                <w:color w:val="000000"/>
                <w:sz w:val="16"/>
                <w:szCs w:val="16"/>
                <w:lang w:val="en-GB"/>
              </w:rPr>
              <w:t>y</w:t>
            </w:r>
            <w:r w:rsidR="003D2D68">
              <w:rPr>
                <w:i/>
                <w:iCs/>
                <w:color w:val="000000"/>
                <w:sz w:val="16"/>
                <w:szCs w:val="16"/>
                <w:lang w:val="en-GB"/>
              </w:rPr>
              <w:t>ear)</w:t>
            </w:r>
            <w:r w:rsidRPr="003C26C1">
              <w:rPr>
                <w:i/>
                <w:iCs/>
                <w:color w:val="000000"/>
                <w:sz w:val="16"/>
                <w:szCs w:val="16"/>
                <w:lang w:val="en-GB"/>
              </w:rPr>
              <w:t>:</w:t>
            </w:r>
          </w:p>
          <w:p w14:paraId="4E48AF46" w14:textId="77777777" w:rsidR="004F50AF" w:rsidRPr="00FA6502" w:rsidRDefault="004F50AF" w:rsidP="0071022A">
            <w:pPr>
              <w:pStyle w:val="ListParagraph"/>
              <w:ind w:left="360"/>
              <w:rPr>
                <w:b/>
                <w:bCs/>
                <w:color w:val="000000"/>
                <w:sz w:val="16"/>
                <w:szCs w:val="16"/>
                <w:lang w:val="en-GB"/>
              </w:rPr>
            </w:pPr>
            <w:r w:rsidRPr="003C26C1">
              <w:rPr>
                <w:i/>
                <w:iCs/>
                <w:color w:val="000000"/>
                <w:sz w:val="16"/>
                <w:szCs w:val="16"/>
                <w:lang w:val="en-GB"/>
              </w:rPr>
              <w:t>Data source, frequency</w:t>
            </w:r>
          </w:p>
          <w:p w14:paraId="35B533B2" w14:textId="77777777" w:rsidR="00846930" w:rsidRDefault="00846930" w:rsidP="00FA6502">
            <w:pPr>
              <w:ind w:left="720"/>
              <w:rPr>
                <w:b/>
                <w:bCs/>
                <w:color w:val="000000"/>
                <w:sz w:val="16"/>
                <w:szCs w:val="16"/>
                <w:lang w:val="en-GB"/>
              </w:rPr>
            </w:pPr>
          </w:p>
          <w:p w14:paraId="2440D45A" w14:textId="703D3738" w:rsidR="00846930" w:rsidRPr="00FA6502" w:rsidRDefault="00846930" w:rsidP="00FA6502">
            <w:pPr>
              <w:rPr>
                <w:b/>
                <w:bCs/>
                <w:color w:val="000000"/>
                <w:sz w:val="16"/>
                <w:szCs w:val="16"/>
                <w:lang w:val="en-GB"/>
              </w:rPr>
            </w:pPr>
            <w:r w:rsidRPr="00016861">
              <w:rPr>
                <w:i/>
                <w:sz w:val="16"/>
                <w:szCs w:val="16"/>
              </w:rPr>
              <w:t xml:space="preserve">Special emphasis should be paid </w:t>
            </w:r>
            <w:r w:rsidR="007925B6">
              <w:rPr>
                <w:i/>
                <w:sz w:val="16"/>
                <w:szCs w:val="16"/>
              </w:rPr>
              <w:t>to</w:t>
            </w:r>
            <w:r w:rsidRPr="00016861">
              <w:rPr>
                <w:i/>
                <w:sz w:val="16"/>
                <w:szCs w:val="16"/>
              </w:rPr>
              <w:t xml:space="preserve"> including </w:t>
            </w:r>
            <w:r w:rsidR="00103698">
              <w:rPr>
                <w:i/>
                <w:sz w:val="16"/>
                <w:szCs w:val="16"/>
              </w:rPr>
              <w:t>target group</w:t>
            </w:r>
            <w:r w:rsidRPr="00016861">
              <w:rPr>
                <w:i/>
                <w:sz w:val="16"/>
                <w:szCs w:val="16"/>
              </w:rPr>
              <w:t xml:space="preserve">-explicit indicators, as well as </w:t>
            </w:r>
            <w:r w:rsidR="0091156F">
              <w:rPr>
                <w:i/>
                <w:sz w:val="16"/>
                <w:szCs w:val="16"/>
              </w:rPr>
              <w:t>target group</w:t>
            </w:r>
            <w:r w:rsidRPr="00016861">
              <w:rPr>
                <w:i/>
                <w:sz w:val="16"/>
                <w:szCs w:val="16"/>
              </w:rPr>
              <w:t xml:space="preserve">-disaggregated indicators, </w:t>
            </w:r>
            <w:r w:rsidR="007203D8">
              <w:rPr>
                <w:i/>
                <w:sz w:val="16"/>
                <w:szCs w:val="16"/>
              </w:rPr>
              <w:t xml:space="preserve">e.g., sex, age, </w:t>
            </w:r>
            <w:r w:rsidR="00DF22E5">
              <w:rPr>
                <w:i/>
                <w:sz w:val="16"/>
                <w:szCs w:val="16"/>
              </w:rPr>
              <w:t>rural/urban,</w:t>
            </w:r>
            <w:r w:rsidR="00AE47E9">
              <w:rPr>
                <w:i/>
                <w:sz w:val="16"/>
                <w:szCs w:val="16"/>
              </w:rPr>
              <w:t xml:space="preserve"> persons with disabilities, etc.</w:t>
            </w:r>
          </w:p>
        </w:tc>
        <w:tc>
          <w:tcPr>
            <w:tcW w:w="675" w:type="pct"/>
            <w:vMerge w:val="restart"/>
          </w:tcPr>
          <w:p w14:paraId="2440D45B" w14:textId="762FCB55" w:rsidR="004F50AF" w:rsidRPr="003C26C1" w:rsidRDefault="004F50AF" w:rsidP="004F50AF">
            <w:pPr>
              <w:rPr>
                <w:i/>
                <w:iCs/>
                <w:color w:val="000000"/>
                <w:sz w:val="16"/>
                <w:szCs w:val="16"/>
                <w:lang w:val="en-GB"/>
              </w:rPr>
            </w:pPr>
            <w:r w:rsidRPr="003C26C1">
              <w:rPr>
                <w:i/>
                <w:iCs/>
                <w:color w:val="000000"/>
                <w:sz w:val="16"/>
                <w:szCs w:val="16"/>
                <w:lang w:val="en-GB"/>
              </w:rPr>
              <w:t>Identification of key government</w:t>
            </w:r>
            <w:r w:rsidR="004D70FD">
              <w:rPr>
                <w:i/>
                <w:iCs/>
                <w:color w:val="000000"/>
                <w:sz w:val="16"/>
                <w:szCs w:val="16"/>
                <w:lang w:val="en-GB"/>
              </w:rPr>
              <w:t>, UN, civil society, private sector, donor</w:t>
            </w:r>
            <w:r w:rsidRPr="003C26C1">
              <w:rPr>
                <w:i/>
                <w:iCs/>
                <w:color w:val="000000"/>
                <w:sz w:val="16"/>
                <w:szCs w:val="16"/>
                <w:lang w:val="en-GB"/>
              </w:rPr>
              <w:t xml:space="preserve"> and other development partners and /partnership frameworks involved in programming in this sector or area and with whom UNDP will collaborate to achieve the results.</w:t>
            </w:r>
          </w:p>
        </w:tc>
        <w:tc>
          <w:tcPr>
            <w:tcW w:w="958" w:type="pct"/>
            <w:tcMar>
              <w:top w:w="15" w:type="dxa"/>
              <w:left w:w="108" w:type="dxa"/>
              <w:bottom w:w="0" w:type="dxa"/>
              <w:right w:w="108" w:type="dxa"/>
            </w:tcMar>
          </w:tcPr>
          <w:p w14:paraId="2440D45C" w14:textId="77777777" w:rsidR="004F50AF" w:rsidRPr="003C26C1" w:rsidRDefault="004F50AF" w:rsidP="00885F85">
            <w:pPr>
              <w:rPr>
                <w:b/>
                <w:color w:val="000000"/>
                <w:sz w:val="16"/>
                <w:szCs w:val="16"/>
              </w:rPr>
            </w:pPr>
            <w:r w:rsidRPr="003C26C1">
              <w:rPr>
                <w:b/>
                <w:color w:val="000000"/>
                <w:sz w:val="16"/>
                <w:szCs w:val="16"/>
              </w:rPr>
              <w:t>Regular</w:t>
            </w:r>
          </w:p>
        </w:tc>
      </w:tr>
      <w:tr w:rsidR="004F50AF" w:rsidRPr="003C26C1" w14:paraId="2440D463" w14:textId="77777777" w:rsidTr="00672BAB">
        <w:trPr>
          <w:trHeight w:val="461"/>
        </w:trPr>
        <w:tc>
          <w:tcPr>
            <w:tcW w:w="1097" w:type="pct"/>
            <w:vMerge/>
            <w:tcMar>
              <w:top w:w="72" w:type="dxa"/>
              <w:left w:w="144" w:type="dxa"/>
              <w:bottom w:w="72" w:type="dxa"/>
              <w:right w:w="144" w:type="dxa"/>
            </w:tcMar>
          </w:tcPr>
          <w:p w14:paraId="2440D45E" w14:textId="77777777" w:rsidR="004F50AF" w:rsidRPr="003C26C1" w:rsidRDefault="004F50AF" w:rsidP="00885F85">
            <w:pPr>
              <w:rPr>
                <w:i/>
                <w:iCs/>
                <w:color w:val="000000"/>
                <w:sz w:val="16"/>
                <w:szCs w:val="16"/>
                <w:lang w:val="en-GB"/>
              </w:rPr>
            </w:pPr>
          </w:p>
        </w:tc>
        <w:tc>
          <w:tcPr>
            <w:tcW w:w="1178" w:type="pct"/>
            <w:vMerge/>
          </w:tcPr>
          <w:p w14:paraId="2440D45F" w14:textId="77777777" w:rsidR="004F50AF" w:rsidRPr="003C26C1" w:rsidRDefault="004F50AF" w:rsidP="00885F85">
            <w:pPr>
              <w:rPr>
                <w:i/>
                <w:iCs/>
                <w:color w:val="000000"/>
                <w:sz w:val="16"/>
                <w:szCs w:val="16"/>
                <w:lang w:val="en-GB"/>
              </w:rPr>
            </w:pPr>
          </w:p>
        </w:tc>
        <w:tc>
          <w:tcPr>
            <w:tcW w:w="1092" w:type="pct"/>
            <w:vMerge/>
            <w:tcMar>
              <w:top w:w="72" w:type="dxa"/>
              <w:left w:w="144" w:type="dxa"/>
              <w:bottom w:w="72" w:type="dxa"/>
              <w:right w:w="144" w:type="dxa"/>
            </w:tcMar>
          </w:tcPr>
          <w:p w14:paraId="2440D460" w14:textId="77777777" w:rsidR="004F50AF" w:rsidRPr="003C26C1" w:rsidRDefault="004F50AF" w:rsidP="00885F85">
            <w:pPr>
              <w:rPr>
                <w:i/>
                <w:iCs/>
                <w:color w:val="000000"/>
                <w:sz w:val="16"/>
                <w:szCs w:val="16"/>
                <w:lang w:val="en-GB"/>
              </w:rPr>
            </w:pPr>
          </w:p>
        </w:tc>
        <w:tc>
          <w:tcPr>
            <w:tcW w:w="675" w:type="pct"/>
            <w:vMerge/>
          </w:tcPr>
          <w:p w14:paraId="2440D461" w14:textId="77777777" w:rsidR="004F50AF" w:rsidRPr="003C26C1" w:rsidRDefault="004F50AF" w:rsidP="00885F85">
            <w:pPr>
              <w:rPr>
                <w:i/>
                <w:iCs/>
                <w:color w:val="000000"/>
                <w:sz w:val="16"/>
                <w:szCs w:val="16"/>
                <w:lang w:val="en-GB"/>
              </w:rPr>
            </w:pPr>
          </w:p>
        </w:tc>
        <w:tc>
          <w:tcPr>
            <w:tcW w:w="958" w:type="pct"/>
            <w:tcMar>
              <w:top w:w="15" w:type="dxa"/>
              <w:left w:w="108" w:type="dxa"/>
              <w:bottom w:w="0" w:type="dxa"/>
              <w:right w:w="108" w:type="dxa"/>
            </w:tcMar>
          </w:tcPr>
          <w:p w14:paraId="3F77F8CA" w14:textId="77777777" w:rsidR="004F50AF" w:rsidRDefault="004F50AF" w:rsidP="00885F85">
            <w:pPr>
              <w:rPr>
                <w:b/>
                <w:color w:val="000000"/>
                <w:sz w:val="16"/>
                <w:szCs w:val="16"/>
              </w:rPr>
            </w:pPr>
            <w:r w:rsidRPr="003C26C1">
              <w:rPr>
                <w:b/>
                <w:color w:val="000000"/>
                <w:sz w:val="16"/>
                <w:szCs w:val="16"/>
              </w:rPr>
              <w:t>Other</w:t>
            </w:r>
          </w:p>
          <w:p w14:paraId="502D512C" w14:textId="77777777" w:rsidR="00F814DF" w:rsidRDefault="00F814DF" w:rsidP="00885F85">
            <w:pPr>
              <w:rPr>
                <w:b/>
                <w:color w:val="000000"/>
                <w:sz w:val="16"/>
                <w:szCs w:val="16"/>
              </w:rPr>
            </w:pPr>
          </w:p>
          <w:p w14:paraId="391646BF" w14:textId="77777777" w:rsidR="00F814DF" w:rsidRDefault="00F814DF" w:rsidP="00885F85">
            <w:pPr>
              <w:rPr>
                <w:i/>
                <w:iCs/>
                <w:color w:val="000000"/>
                <w:sz w:val="16"/>
                <w:szCs w:val="16"/>
                <w:lang w:val="en-GB"/>
              </w:rPr>
            </w:pPr>
          </w:p>
          <w:p w14:paraId="1DFFBC7D" w14:textId="77777777" w:rsidR="00F814DF" w:rsidRDefault="00F814DF" w:rsidP="00885F85">
            <w:pPr>
              <w:rPr>
                <w:i/>
                <w:iCs/>
                <w:color w:val="000000"/>
                <w:sz w:val="16"/>
                <w:szCs w:val="16"/>
                <w:lang w:val="en-GB"/>
              </w:rPr>
            </w:pPr>
          </w:p>
          <w:p w14:paraId="2440D462" w14:textId="26A4DEB0" w:rsidR="00F814DF" w:rsidRPr="003C26C1" w:rsidRDefault="00F814DF" w:rsidP="00885F85">
            <w:pPr>
              <w:rPr>
                <w:b/>
                <w:color w:val="000000"/>
                <w:sz w:val="16"/>
                <w:szCs w:val="16"/>
              </w:rPr>
            </w:pPr>
            <w:r w:rsidRPr="00247AEF">
              <w:rPr>
                <w:i/>
                <w:iCs/>
                <w:color w:val="000000"/>
                <w:sz w:val="16"/>
                <w:szCs w:val="16"/>
                <w:lang w:val="en-GB"/>
              </w:rPr>
              <w:t xml:space="preserve">Specify </w:t>
            </w:r>
            <w:r>
              <w:rPr>
                <w:i/>
                <w:iCs/>
                <w:color w:val="000000"/>
                <w:sz w:val="16"/>
                <w:szCs w:val="16"/>
                <w:lang w:val="en-GB"/>
              </w:rPr>
              <w:t xml:space="preserve">the estimated </w:t>
            </w:r>
            <w:r w:rsidRPr="00247AEF">
              <w:rPr>
                <w:i/>
                <w:iCs/>
                <w:color w:val="000000"/>
                <w:sz w:val="16"/>
                <w:szCs w:val="16"/>
                <w:lang w:val="en-GB"/>
              </w:rPr>
              <w:t>amount of resources required to achieve the outcome</w:t>
            </w:r>
            <w:r>
              <w:rPr>
                <w:i/>
                <w:iCs/>
                <w:color w:val="000000"/>
                <w:sz w:val="16"/>
                <w:szCs w:val="16"/>
                <w:lang w:val="en-GB"/>
              </w:rPr>
              <w:t xml:space="preserve"> by careful costing.  Disaggregate the amount by regular and other resources.  </w:t>
            </w:r>
          </w:p>
        </w:tc>
      </w:tr>
      <w:tr w:rsidR="007A05B6" w:rsidRPr="003C26C1" w14:paraId="2440D469" w14:textId="77777777" w:rsidTr="00672BAB">
        <w:trPr>
          <w:trHeight w:val="233"/>
        </w:trPr>
        <w:tc>
          <w:tcPr>
            <w:tcW w:w="1097" w:type="pct"/>
            <w:vMerge w:val="restart"/>
            <w:tcMar>
              <w:top w:w="72" w:type="dxa"/>
              <w:left w:w="144" w:type="dxa"/>
              <w:bottom w:w="72" w:type="dxa"/>
              <w:right w:w="144" w:type="dxa"/>
            </w:tcMar>
          </w:tcPr>
          <w:p w14:paraId="2440D464" w14:textId="77777777" w:rsidR="007A05B6" w:rsidRPr="003C26C1" w:rsidRDefault="007A05B6" w:rsidP="00121F3E">
            <w:pPr>
              <w:rPr>
                <w:i/>
                <w:iCs/>
                <w:color w:val="000000"/>
                <w:sz w:val="16"/>
                <w:szCs w:val="16"/>
                <w:lang w:val="en-GB"/>
              </w:rPr>
            </w:pPr>
            <w:r w:rsidRPr="003C26C1">
              <w:rPr>
                <w:i/>
                <w:iCs/>
                <w:color w:val="000000"/>
                <w:sz w:val="16"/>
                <w:szCs w:val="16"/>
                <w:lang w:val="en-GB"/>
              </w:rPr>
              <w:t xml:space="preserve">[…] Repeat as necessary – ensuring no more than </w:t>
            </w:r>
            <w:r w:rsidR="00121F3E" w:rsidRPr="003C26C1">
              <w:rPr>
                <w:i/>
                <w:iCs/>
                <w:color w:val="000000"/>
                <w:sz w:val="16"/>
                <w:szCs w:val="16"/>
                <w:lang w:val="en-GB"/>
              </w:rPr>
              <w:t>FOUR</w:t>
            </w:r>
            <w:r w:rsidRPr="003C26C1">
              <w:rPr>
                <w:i/>
                <w:iCs/>
                <w:color w:val="000000"/>
                <w:sz w:val="16"/>
                <w:szCs w:val="16"/>
                <w:lang w:val="en-GB"/>
              </w:rPr>
              <w:t xml:space="preserve"> outcomes are included.</w:t>
            </w:r>
          </w:p>
        </w:tc>
        <w:tc>
          <w:tcPr>
            <w:tcW w:w="1178" w:type="pct"/>
            <w:vMerge w:val="restart"/>
          </w:tcPr>
          <w:p w14:paraId="2440D465" w14:textId="77777777" w:rsidR="007A05B6" w:rsidRPr="003C26C1" w:rsidRDefault="007A05B6" w:rsidP="00885F85">
            <w:pPr>
              <w:rPr>
                <w:i/>
                <w:iCs/>
                <w:color w:val="000000"/>
                <w:sz w:val="16"/>
                <w:szCs w:val="16"/>
                <w:lang w:val="en-GB"/>
              </w:rPr>
            </w:pPr>
          </w:p>
        </w:tc>
        <w:tc>
          <w:tcPr>
            <w:tcW w:w="1092" w:type="pct"/>
            <w:vMerge w:val="restart"/>
            <w:tcMar>
              <w:top w:w="72" w:type="dxa"/>
              <w:left w:w="144" w:type="dxa"/>
              <w:bottom w:w="72" w:type="dxa"/>
              <w:right w:w="144" w:type="dxa"/>
            </w:tcMar>
          </w:tcPr>
          <w:p w14:paraId="2440D466" w14:textId="77777777" w:rsidR="007A05B6" w:rsidRPr="003C26C1" w:rsidRDefault="007A05B6" w:rsidP="00885F85">
            <w:pPr>
              <w:rPr>
                <w:i/>
                <w:iCs/>
                <w:color w:val="000000"/>
                <w:sz w:val="16"/>
                <w:szCs w:val="16"/>
                <w:lang w:val="en-GB"/>
              </w:rPr>
            </w:pPr>
          </w:p>
        </w:tc>
        <w:tc>
          <w:tcPr>
            <w:tcW w:w="675" w:type="pct"/>
            <w:vMerge w:val="restart"/>
          </w:tcPr>
          <w:p w14:paraId="2440D467" w14:textId="77777777" w:rsidR="007A05B6" w:rsidRPr="003C26C1" w:rsidRDefault="007A05B6" w:rsidP="00885F85">
            <w:pPr>
              <w:rPr>
                <w:i/>
                <w:iCs/>
                <w:color w:val="000000"/>
                <w:sz w:val="16"/>
                <w:szCs w:val="16"/>
                <w:lang w:val="en-GB"/>
              </w:rPr>
            </w:pPr>
          </w:p>
        </w:tc>
        <w:tc>
          <w:tcPr>
            <w:tcW w:w="958" w:type="pct"/>
            <w:tcMar>
              <w:top w:w="15" w:type="dxa"/>
              <w:left w:w="108" w:type="dxa"/>
              <w:bottom w:w="0" w:type="dxa"/>
              <w:right w:w="108" w:type="dxa"/>
            </w:tcMar>
          </w:tcPr>
          <w:p w14:paraId="2440D468" w14:textId="77777777" w:rsidR="007A05B6" w:rsidRPr="003C26C1" w:rsidRDefault="007A05B6" w:rsidP="00885F85">
            <w:pPr>
              <w:rPr>
                <w:b/>
                <w:color w:val="000000"/>
                <w:sz w:val="16"/>
                <w:szCs w:val="16"/>
              </w:rPr>
            </w:pPr>
            <w:r w:rsidRPr="003C26C1">
              <w:rPr>
                <w:b/>
                <w:color w:val="000000"/>
                <w:sz w:val="16"/>
                <w:szCs w:val="16"/>
              </w:rPr>
              <w:t>Regular</w:t>
            </w:r>
          </w:p>
        </w:tc>
      </w:tr>
      <w:tr w:rsidR="007A05B6" w:rsidRPr="003C26C1" w14:paraId="2440D46F" w14:textId="77777777" w:rsidTr="00672BAB">
        <w:trPr>
          <w:trHeight w:val="232"/>
        </w:trPr>
        <w:tc>
          <w:tcPr>
            <w:tcW w:w="1097" w:type="pct"/>
            <w:vMerge/>
            <w:tcMar>
              <w:top w:w="72" w:type="dxa"/>
              <w:left w:w="144" w:type="dxa"/>
              <w:bottom w:w="72" w:type="dxa"/>
              <w:right w:w="144" w:type="dxa"/>
            </w:tcMar>
          </w:tcPr>
          <w:p w14:paraId="2440D46A" w14:textId="77777777" w:rsidR="007A05B6" w:rsidRPr="003C26C1" w:rsidRDefault="007A05B6" w:rsidP="00885F85">
            <w:pPr>
              <w:rPr>
                <w:i/>
                <w:iCs/>
                <w:color w:val="000000"/>
                <w:sz w:val="16"/>
                <w:szCs w:val="16"/>
                <w:lang w:val="en-GB"/>
              </w:rPr>
            </w:pPr>
          </w:p>
        </w:tc>
        <w:tc>
          <w:tcPr>
            <w:tcW w:w="1178" w:type="pct"/>
            <w:vMerge/>
          </w:tcPr>
          <w:p w14:paraId="2440D46B" w14:textId="77777777" w:rsidR="007A05B6" w:rsidRPr="003C26C1" w:rsidRDefault="007A05B6" w:rsidP="00885F85">
            <w:pPr>
              <w:rPr>
                <w:i/>
                <w:iCs/>
                <w:color w:val="000000"/>
                <w:sz w:val="16"/>
                <w:szCs w:val="16"/>
                <w:lang w:val="en-GB"/>
              </w:rPr>
            </w:pPr>
          </w:p>
        </w:tc>
        <w:tc>
          <w:tcPr>
            <w:tcW w:w="1092" w:type="pct"/>
            <w:vMerge/>
            <w:tcMar>
              <w:top w:w="72" w:type="dxa"/>
              <w:left w:w="144" w:type="dxa"/>
              <w:bottom w:w="72" w:type="dxa"/>
              <w:right w:w="144" w:type="dxa"/>
            </w:tcMar>
          </w:tcPr>
          <w:p w14:paraId="2440D46C" w14:textId="77777777" w:rsidR="007A05B6" w:rsidRPr="003C26C1" w:rsidRDefault="007A05B6" w:rsidP="00885F85">
            <w:pPr>
              <w:rPr>
                <w:i/>
                <w:iCs/>
                <w:color w:val="000000"/>
                <w:sz w:val="16"/>
                <w:szCs w:val="16"/>
                <w:lang w:val="en-GB"/>
              </w:rPr>
            </w:pPr>
          </w:p>
        </w:tc>
        <w:tc>
          <w:tcPr>
            <w:tcW w:w="675" w:type="pct"/>
            <w:vMerge/>
          </w:tcPr>
          <w:p w14:paraId="2440D46D" w14:textId="77777777" w:rsidR="007A05B6" w:rsidRPr="003C26C1" w:rsidRDefault="007A05B6" w:rsidP="00885F85">
            <w:pPr>
              <w:rPr>
                <w:i/>
                <w:iCs/>
                <w:color w:val="000000"/>
                <w:sz w:val="16"/>
                <w:szCs w:val="16"/>
                <w:lang w:val="en-GB"/>
              </w:rPr>
            </w:pPr>
          </w:p>
        </w:tc>
        <w:tc>
          <w:tcPr>
            <w:tcW w:w="958" w:type="pct"/>
            <w:tcMar>
              <w:top w:w="15" w:type="dxa"/>
              <w:left w:w="108" w:type="dxa"/>
              <w:bottom w:w="0" w:type="dxa"/>
              <w:right w:w="108" w:type="dxa"/>
            </w:tcMar>
          </w:tcPr>
          <w:p w14:paraId="2440D46E" w14:textId="77777777" w:rsidR="007A05B6" w:rsidRPr="003C26C1" w:rsidRDefault="007A05B6" w:rsidP="00885F85">
            <w:pPr>
              <w:rPr>
                <w:b/>
                <w:color w:val="000000"/>
                <w:sz w:val="16"/>
                <w:szCs w:val="16"/>
              </w:rPr>
            </w:pPr>
            <w:r w:rsidRPr="003C26C1">
              <w:rPr>
                <w:b/>
                <w:color w:val="000000"/>
                <w:sz w:val="16"/>
                <w:szCs w:val="16"/>
              </w:rPr>
              <w:t>Other</w:t>
            </w:r>
          </w:p>
        </w:tc>
      </w:tr>
    </w:tbl>
    <w:p w14:paraId="2440D470" w14:textId="77777777" w:rsidR="00785474" w:rsidRPr="003C26C1" w:rsidRDefault="00785474" w:rsidP="00A56348">
      <w:pPr>
        <w:rPr>
          <w:b/>
          <w:i/>
          <w:color w:val="000000"/>
        </w:rPr>
      </w:pPr>
      <w:r w:rsidRPr="003C26C1">
        <w:rPr>
          <w:bCs/>
          <w:color w:val="000000"/>
        </w:rPr>
        <w:br w:type="page"/>
      </w:r>
      <w:r w:rsidR="00F0264E" w:rsidRPr="003C26C1">
        <w:rPr>
          <w:b/>
          <w:bCs/>
          <w:color w:val="000000"/>
        </w:rPr>
        <w:lastRenderedPageBreak/>
        <w:t xml:space="preserve">ANNEX </w:t>
      </w:r>
      <w:r w:rsidR="00415E7F" w:rsidRPr="003C26C1">
        <w:rPr>
          <w:b/>
          <w:bCs/>
          <w:color w:val="000000"/>
        </w:rPr>
        <w:t>B</w:t>
      </w:r>
      <w:r w:rsidR="00F0264E" w:rsidRPr="003C26C1">
        <w:rPr>
          <w:bCs/>
          <w:color w:val="000000"/>
        </w:rPr>
        <w:t xml:space="preserve">. </w:t>
      </w:r>
      <w:r w:rsidR="00CB2FE7" w:rsidRPr="003C26C1">
        <w:rPr>
          <w:b/>
          <w:bCs/>
          <w:color w:val="000000"/>
        </w:rPr>
        <w:t>FULLY-</w:t>
      </w:r>
      <w:r w:rsidRPr="003C26C1">
        <w:rPr>
          <w:b/>
          <w:color w:val="000000"/>
        </w:rPr>
        <w:t xml:space="preserve">COSTED EVALUATION PLAN </w:t>
      </w:r>
      <w:r w:rsidRPr="003C26C1">
        <w:rPr>
          <w:b/>
          <w:i/>
          <w:color w:val="0000FF"/>
        </w:rPr>
        <w:t>(</w:t>
      </w:r>
      <w:r w:rsidR="00A76D2C" w:rsidRPr="003C26C1">
        <w:rPr>
          <w:b/>
          <w:i/>
          <w:color w:val="0000FF"/>
        </w:rPr>
        <w:t xml:space="preserve">for submission to the Executive Board as an </w:t>
      </w:r>
      <w:r w:rsidR="00606CE3" w:rsidRPr="003C26C1">
        <w:rPr>
          <w:b/>
          <w:i/>
          <w:color w:val="0000FF"/>
        </w:rPr>
        <w:t>annex to the CPD</w:t>
      </w:r>
      <w:r w:rsidR="00885F85" w:rsidRPr="003C26C1">
        <w:rPr>
          <w:b/>
          <w:i/>
          <w:color w:val="0000FF"/>
        </w:rPr>
        <w:t xml:space="preserve"> but not translated</w:t>
      </w:r>
      <w:r w:rsidRPr="003C26C1">
        <w:rPr>
          <w:b/>
          <w:i/>
          <w:color w:val="0000FF"/>
        </w:rPr>
        <w:t>)</w:t>
      </w:r>
    </w:p>
    <w:p w14:paraId="2440D471" w14:textId="77777777" w:rsidR="00785474" w:rsidRPr="003C26C1" w:rsidRDefault="00785474" w:rsidP="00A56348">
      <w:pPr>
        <w:rPr>
          <w:color w:val="000000"/>
        </w:rPr>
      </w:pPr>
    </w:p>
    <w:tbl>
      <w:tblPr>
        <w:tblpPr w:leftFromText="180" w:rightFromText="180" w:vertAnchor="text" w:horzAnchor="margin" w:tblpXSpec="center" w:tblpY="143"/>
        <w:tblW w:w="5000" w:type="pct"/>
        <w:tblBorders>
          <w:insideH w:val="single" w:sz="4" w:space="0" w:color="auto"/>
          <w:insideV w:val="single" w:sz="4" w:space="0" w:color="auto"/>
        </w:tblBorders>
        <w:tblLook w:val="01E0" w:firstRow="1" w:lastRow="1" w:firstColumn="1" w:lastColumn="1" w:noHBand="0" w:noVBand="0"/>
      </w:tblPr>
      <w:tblGrid>
        <w:gridCol w:w="1373"/>
        <w:gridCol w:w="1379"/>
        <w:gridCol w:w="1379"/>
        <w:gridCol w:w="1666"/>
        <w:gridCol w:w="1669"/>
        <w:gridCol w:w="1705"/>
        <w:gridCol w:w="1521"/>
        <w:gridCol w:w="1464"/>
        <w:gridCol w:w="1380"/>
      </w:tblGrid>
      <w:tr w:rsidR="00202476" w:rsidRPr="003C26C1" w14:paraId="2440D47C" w14:textId="77777777" w:rsidTr="00494323">
        <w:trPr>
          <w:trHeight w:val="845"/>
        </w:trPr>
        <w:tc>
          <w:tcPr>
            <w:tcW w:w="521" w:type="pct"/>
            <w:shd w:val="clear" w:color="auto" w:fill="DBE5F1" w:themeFill="accent1" w:themeFillTint="33"/>
            <w:vAlign w:val="center"/>
          </w:tcPr>
          <w:p w14:paraId="2440D472" w14:textId="77777777" w:rsidR="00B961B7" w:rsidRPr="003C26C1" w:rsidRDefault="00B961B7" w:rsidP="009D7760">
            <w:pPr>
              <w:jc w:val="center"/>
              <w:rPr>
                <w:b/>
                <w:bCs/>
                <w:sz w:val="16"/>
                <w:szCs w:val="16"/>
              </w:rPr>
            </w:pPr>
            <w:r w:rsidRPr="003C26C1">
              <w:rPr>
                <w:b/>
                <w:bCs/>
                <w:sz w:val="16"/>
                <w:szCs w:val="16"/>
              </w:rPr>
              <w:t>UNDAF</w:t>
            </w:r>
            <w:r w:rsidR="003761F2" w:rsidRPr="003C26C1">
              <w:rPr>
                <w:b/>
                <w:bCs/>
                <w:sz w:val="16"/>
                <w:szCs w:val="16"/>
              </w:rPr>
              <w:t xml:space="preserve"> (or </w:t>
            </w:r>
            <w:r w:rsidR="00092879" w:rsidRPr="003C26C1">
              <w:rPr>
                <w:b/>
                <w:bCs/>
                <w:sz w:val="16"/>
                <w:szCs w:val="16"/>
              </w:rPr>
              <w:t>equivalent</w:t>
            </w:r>
            <w:r w:rsidR="003761F2" w:rsidRPr="003C26C1">
              <w:rPr>
                <w:b/>
                <w:bCs/>
                <w:sz w:val="16"/>
                <w:szCs w:val="16"/>
              </w:rPr>
              <w:t>)</w:t>
            </w:r>
          </w:p>
          <w:p w14:paraId="2440D473" w14:textId="77777777" w:rsidR="00B961B7" w:rsidRPr="003C26C1" w:rsidRDefault="00B961B7" w:rsidP="009D7760">
            <w:pPr>
              <w:jc w:val="center"/>
              <w:rPr>
                <w:b/>
                <w:bCs/>
                <w:sz w:val="16"/>
                <w:szCs w:val="16"/>
              </w:rPr>
            </w:pPr>
            <w:r w:rsidRPr="003C26C1">
              <w:rPr>
                <w:b/>
                <w:bCs/>
                <w:sz w:val="16"/>
                <w:szCs w:val="16"/>
              </w:rPr>
              <w:t>Outcome</w:t>
            </w:r>
            <w:r w:rsidR="00A10A30" w:rsidRPr="003C26C1">
              <w:rPr>
                <w:b/>
                <w:bCs/>
                <w:sz w:val="16"/>
                <w:szCs w:val="16"/>
              </w:rPr>
              <w:t xml:space="preserve"> </w:t>
            </w:r>
          </w:p>
        </w:tc>
        <w:tc>
          <w:tcPr>
            <w:tcW w:w="523" w:type="pct"/>
            <w:shd w:val="clear" w:color="auto" w:fill="DBE5F1" w:themeFill="accent1" w:themeFillTint="33"/>
            <w:vAlign w:val="center"/>
          </w:tcPr>
          <w:p w14:paraId="2440D474" w14:textId="77777777" w:rsidR="00B961B7" w:rsidRPr="003C26C1" w:rsidRDefault="00092879" w:rsidP="00A76D2C">
            <w:pPr>
              <w:jc w:val="center"/>
              <w:rPr>
                <w:b/>
                <w:bCs/>
                <w:sz w:val="16"/>
                <w:szCs w:val="16"/>
              </w:rPr>
            </w:pPr>
            <w:r w:rsidRPr="003C26C1">
              <w:rPr>
                <w:b/>
                <w:bCs/>
                <w:sz w:val="16"/>
                <w:szCs w:val="16"/>
              </w:rPr>
              <w:t xml:space="preserve">UNDP </w:t>
            </w:r>
            <w:r w:rsidR="00B961B7" w:rsidRPr="003C26C1">
              <w:rPr>
                <w:b/>
                <w:bCs/>
                <w:sz w:val="16"/>
                <w:szCs w:val="16"/>
              </w:rPr>
              <w:t xml:space="preserve">Strategic Plan </w:t>
            </w:r>
            <w:r w:rsidR="00A76D2C" w:rsidRPr="003C26C1">
              <w:rPr>
                <w:b/>
                <w:bCs/>
                <w:sz w:val="16"/>
                <w:szCs w:val="16"/>
              </w:rPr>
              <w:t>Outcome</w:t>
            </w:r>
          </w:p>
        </w:tc>
        <w:tc>
          <w:tcPr>
            <w:tcW w:w="523" w:type="pct"/>
            <w:shd w:val="clear" w:color="auto" w:fill="DBE5F1" w:themeFill="accent1" w:themeFillTint="33"/>
            <w:vAlign w:val="center"/>
          </w:tcPr>
          <w:p w14:paraId="2440D475" w14:textId="77777777" w:rsidR="00B961B7" w:rsidRPr="003C26C1" w:rsidRDefault="00B961B7" w:rsidP="009D7760">
            <w:pPr>
              <w:jc w:val="center"/>
              <w:rPr>
                <w:b/>
                <w:bCs/>
                <w:sz w:val="16"/>
                <w:szCs w:val="16"/>
              </w:rPr>
            </w:pPr>
            <w:r w:rsidRPr="003C26C1">
              <w:rPr>
                <w:b/>
                <w:bCs/>
                <w:sz w:val="16"/>
                <w:szCs w:val="16"/>
              </w:rPr>
              <w:t>Evaluation Title</w:t>
            </w:r>
          </w:p>
        </w:tc>
        <w:tc>
          <w:tcPr>
            <w:tcW w:w="629" w:type="pct"/>
            <w:shd w:val="clear" w:color="auto" w:fill="DBE5F1" w:themeFill="accent1" w:themeFillTint="33"/>
            <w:vAlign w:val="center"/>
          </w:tcPr>
          <w:p w14:paraId="2440D476" w14:textId="77777777" w:rsidR="00B961B7" w:rsidRPr="003C26C1" w:rsidDel="00BA628C" w:rsidRDefault="00B961B7" w:rsidP="009D7760">
            <w:pPr>
              <w:jc w:val="center"/>
              <w:rPr>
                <w:b/>
                <w:bCs/>
                <w:sz w:val="16"/>
                <w:szCs w:val="16"/>
              </w:rPr>
            </w:pPr>
            <w:r w:rsidRPr="003C26C1">
              <w:rPr>
                <w:b/>
                <w:bCs/>
                <w:sz w:val="16"/>
                <w:szCs w:val="16"/>
              </w:rPr>
              <w:t>Partners (joint evaluation)</w:t>
            </w:r>
          </w:p>
        </w:tc>
        <w:tc>
          <w:tcPr>
            <w:tcW w:w="630" w:type="pct"/>
            <w:shd w:val="clear" w:color="auto" w:fill="DBE5F1" w:themeFill="accent1" w:themeFillTint="33"/>
            <w:vAlign w:val="center"/>
          </w:tcPr>
          <w:p w14:paraId="2440D477" w14:textId="77777777" w:rsidR="00B961B7" w:rsidRPr="003C26C1" w:rsidRDefault="00B961B7" w:rsidP="009D7760">
            <w:pPr>
              <w:jc w:val="center"/>
              <w:rPr>
                <w:b/>
                <w:bCs/>
                <w:sz w:val="16"/>
                <w:szCs w:val="16"/>
              </w:rPr>
            </w:pPr>
            <w:r w:rsidRPr="003C26C1">
              <w:rPr>
                <w:b/>
                <w:bCs/>
                <w:sz w:val="16"/>
                <w:szCs w:val="16"/>
              </w:rPr>
              <w:t>Evaluation commissioned by (if not UNDP)</w:t>
            </w:r>
          </w:p>
        </w:tc>
        <w:tc>
          <w:tcPr>
            <w:tcW w:w="522" w:type="pct"/>
            <w:shd w:val="clear" w:color="auto" w:fill="DBE5F1" w:themeFill="accent1" w:themeFillTint="33"/>
            <w:vAlign w:val="center"/>
          </w:tcPr>
          <w:p w14:paraId="2440D478" w14:textId="77777777" w:rsidR="00B961B7" w:rsidRPr="003C26C1" w:rsidRDefault="00B961B7" w:rsidP="009D7760">
            <w:pPr>
              <w:jc w:val="center"/>
              <w:rPr>
                <w:b/>
                <w:bCs/>
                <w:sz w:val="16"/>
                <w:szCs w:val="16"/>
              </w:rPr>
            </w:pPr>
            <w:r w:rsidRPr="003C26C1">
              <w:rPr>
                <w:b/>
                <w:bCs/>
                <w:sz w:val="16"/>
                <w:szCs w:val="16"/>
              </w:rPr>
              <w:t>Type of evaluation</w:t>
            </w:r>
          </w:p>
        </w:tc>
        <w:tc>
          <w:tcPr>
            <w:tcW w:w="575" w:type="pct"/>
            <w:shd w:val="clear" w:color="auto" w:fill="DBE5F1" w:themeFill="accent1" w:themeFillTint="33"/>
            <w:vAlign w:val="center"/>
          </w:tcPr>
          <w:p w14:paraId="2440D479" w14:textId="77777777" w:rsidR="00B961B7" w:rsidRPr="003C26C1" w:rsidRDefault="00E5696D" w:rsidP="009D7760">
            <w:pPr>
              <w:jc w:val="center"/>
              <w:rPr>
                <w:b/>
                <w:bCs/>
                <w:sz w:val="16"/>
                <w:szCs w:val="16"/>
              </w:rPr>
            </w:pPr>
            <w:r w:rsidRPr="003C26C1">
              <w:rPr>
                <w:b/>
                <w:bCs/>
                <w:sz w:val="16"/>
                <w:szCs w:val="16"/>
              </w:rPr>
              <w:t>Planned Evaluation</w:t>
            </w:r>
            <w:r w:rsidR="00B961B7" w:rsidRPr="003C26C1">
              <w:rPr>
                <w:b/>
                <w:bCs/>
                <w:sz w:val="16"/>
                <w:szCs w:val="16"/>
              </w:rPr>
              <w:t xml:space="preserve"> Completion Date</w:t>
            </w:r>
          </w:p>
        </w:tc>
        <w:tc>
          <w:tcPr>
            <w:tcW w:w="554" w:type="pct"/>
            <w:shd w:val="clear" w:color="auto" w:fill="DBE5F1" w:themeFill="accent1" w:themeFillTint="33"/>
            <w:vAlign w:val="center"/>
          </w:tcPr>
          <w:p w14:paraId="2440D47A" w14:textId="77777777" w:rsidR="00B961B7" w:rsidRPr="003C26C1" w:rsidRDefault="00B961B7" w:rsidP="009D7760">
            <w:pPr>
              <w:jc w:val="center"/>
              <w:rPr>
                <w:b/>
                <w:bCs/>
                <w:sz w:val="16"/>
                <w:szCs w:val="16"/>
              </w:rPr>
            </w:pPr>
            <w:r w:rsidRPr="003C26C1">
              <w:rPr>
                <w:b/>
                <w:bCs/>
                <w:sz w:val="16"/>
                <w:szCs w:val="16"/>
              </w:rPr>
              <w:t>Estimated Cost</w:t>
            </w:r>
          </w:p>
        </w:tc>
        <w:tc>
          <w:tcPr>
            <w:tcW w:w="523" w:type="pct"/>
            <w:shd w:val="clear" w:color="auto" w:fill="DBE5F1" w:themeFill="accent1" w:themeFillTint="33"/>
            <w:vAlign w:val="center"/>
          </w:tcPr>
          <w:p w14:paraId="2440D47B" w14:textId="77777777" w:rsidR="00B961B7" w:rsidRPr="003C26C1" w:rsidRDefault="00B961B7" w:rsidP="009D7760">
            <w:pPr>
              <w:jc w:val="center"/>
              <w:rPr>
                <w:b/>
                <w:bCs/>
                <w:sz w:val="16"/>
                <w:szCs w:val="16"/>
              </w:rPr>
            </w:pPr>
            <w:r w:rsidRPr="003C26C1">
              <w:rPr>
                <w:b/>
                <w:bCs/>
                <w:sz w:val="16"/>
                <w:szCs w:val="16"/>
              </w:rPr>
              <w:t>Provisional Source of Funding</w:t>
            </w:r>
          </w:p>
        </w:tc>
      </w:tr>
      <w:tr w:rsidR="00202476" w:rsidRPr="003C26C1" w14:paraId="2440D48A" w14:textId="77777777" w:rsidTr="00E66ECB">
        <w:trPr>
          <w:trHeight w:val="3460"/>
        </w:trPr>
        <w:tc>
          <w:tcPr>
            <w:tcW w:w="521" w:type="pct"/>
          </w:tcPr>
          <w:p w14:paraId="2440D47D" w14:textId="76B86EA4" w:rsidR="00B961B7" w:rsidRPr="003C26C1" w:rsidRDefault="00B961B7" w:rsidP="009D7760">
            <w:pPr>
              <w:rPr>
                <w:sz w:val="16"/>
                <w:szCs w:val="16"/>
              </w:rPr>
            </w:pPr>
            <w:r w:rsidRPr="003C26C1">
              <w:rPr>
                <w:sz w:val="16"/>
                <w:szCs w:val="16"/>
              </w:rPr>
              <w:t xml:space="preserve">Copied verbatim from the </w:t>
            </w:r>
            <w:r w:rsidR="00202476">
              <w:rPr>
                <w:sz w:val="16"/>
                <w:szCs w:val="16"/>
              </w:rPr>
              <w:t>Cooperation Framework</w:t>
            </w:r>
            <w:r w:rsidR="00202476" w:rsidRPr="003C26C1">
              <w:rPr>
                <w:sz w:val="16"/>
                <w:szCs w:val="16"/>
              </w:rPr>
              <w:t xml:space="preserve"> </w:t>
            </w:r>
            <w:r w:rsidRPr="003C26C1">
              <w:rPr>
                <w:sz w:val="16"/>
                <w:szCs w:val="16"/>
              </w:rPr>
              <w:t>/</w:t>
            </w:r>
            <w:r w:rsidR="00672BAB" w:rsidRPr="003C26C1">
              <w:rPr>
                <w:sz w:val="16"/>
                <w:szCs w:val="16"/>
              </w:rPr>
              <w:t xml:space="preserve"> </w:t>
            </w:r>
            <w:r w:rsidR="005662FB" w:rsidRPr="003C26C1">
              <w:rPr>
                <w:sz w:val="16"/>
                <w:szCs w:val="16"/>
              </w:rPr>
              <w:t>equivalent</w:t>
            </w:r>
            <w:r w:rsidR="00672BAB" w:rsidRPr="003C26C1">
              <w:rPr>
                <w:sz w:val="16"/>
                <w:szCs w:val="16"/>
              </w:rPr>
              <w:t xml:space="preserve"> </w:t>
            </w:r>
            <w:r w:rsidR="005662FB" w:rsidRPr="003C26C1">
              <w:rPr>
                <w:sz w:val="16"/>
                <w:szCs w:val="16"/>
              </w:rPr>
              <w:t>/</w:t>
            </w:r>
            <w:r w:rsidR="00672BAB" w:rsidRPr="003C26C1">
              <w:rPr>
                <w:sz w:val="16"/>
                <w:szCs w:val="16"/>
              </w:rPr>
              <w:t xml:space="preserve"> </w:t>
            </w:r>
            <w:r w:rsidRPr="003C26C1">
              <w:rPr>
                <w:sz w:val="16"/>
                <w:szCs w:val="16"/>
              </w:rPr>
              <w:t>CPD</w:t>
            </w:r>
          </w:p>
        </w:tc>
        <w:tc>
          <w:tcPr>
            <w:tcW w:w="523" w:type="pct"/>
          </w:tcPr>
          <w:p w14:paraId="2440D47E" w14:textId="77777777" w:rsidR="00B961B7" w:rsidRPr="003C26C1" w:rsidRDefault="00AE3D83" w:rsidP="009D7760">
            <w:pPr>
              <w:rPr>
                <w:sz w:val="16"/>
                <w:szCs w:val="16"/>
              </w:rPr>
            </w:pPr>
            <w:r w:rsidRPr="003C26C1">
              <w:rPr>
                <w:sz w:val="16"/>
                <w:szCs w:val="16"/>
              </w:rPr>
              <w:t>Cite relevant Strategic Plan outcome</w:t>
            </w:r>
          </w:p>
        </w:tc>
        <w:tc>
          <w:tcPr>
            <w:tcW w:w="523" w:type="pct"/>
          </w:tcPr>
          <w:p w14:paraId="2440D47F" w14:textId="77777777" w:rsidR="00B961B7" w:rsidRPr="003C26C1" w:rsidRDefault="00AE3D83" w:rsidP="00E66ECB">
            <w:pPr>
              <w:rPr>
                <w:sz w:val="16"/>
                <w:szCs w:val="16"/>
              </w:rPr>
            </w:pPr>
            <w:r w:rsidRPr="003C26C1">
              <w:rPr>
                <w:sz w:val="16"/>
                <w:szCs w:val="16"/>
              </w:rPr>
              <w:t>E</w:t>
            </w:r>
            <w:r w:rsidR="00B961B7" w:rsidRPr="003C26C1">
              <w:rPr>
                <w:sz w:val="16"/>
                <w:szCs w:val="16"/>
              </w:rPr>
              <w:t>.g. Mid</w:t>
            </w:r>
            <w:r w:rsidR="00A76D2C" w:rsidRPr="003C26C1">
              <w:rPr>
                <w:sz w:val="16"/>
                <w:szCs w:val="16"/>
              </w:rPr>
              <w:t>-</w:t>
            </w:r>
            <w:r w:rsidR="00B961B7" w:rsidRPr="003C26C1">
              <w:rPr>
                <w:sz w:val="16"/>
                <w:szCs w:val="16"/>
              </w:rPr>
              <w:t>term outcome evaluation: Energy and Environment Portfolio</w:t>
            </w:r>
          </w:p>
        </w:tc>
        <w:tc>
          <w:tcPr>
            <w:tcW w:w="629" w:type="pct"/>
          </w:tcPr>
          <w:p w14:paraId="2440D480" w14:textId="77777777" w:rsidR="00B961B7" w:rsidRPr="003C26C1" w:rsidRDefault="00B961B7" w:rsidP="009D7760">
            <w:pPr>
              <w:rPr>
                <w:sz w:val="16"/>
                <w:szCs w:val="16"/>
              </w:rPr>
            </w:pPr>
            <w:r w:rsidRPr="003C26C1">
              <w:rPr>
                <w:sz w:val="16"/>
                <w:szCs w:val="16"/>
              </w:rPr>
              <w:t>List all partners. E.g. UN organizations; government partners, such as national ministry; donor; etc.</w:t>
            </w:r>
          </w:p>
        </w:tc>
        <w:tc>
          <w:tcPr>
            <w:tcW w:w="630" w:type="pct"/>
          </w:tcPr>
          <w:p w14:paraId="2440D481" w14:textId="77777777" w:rsidR="00B961B7" w:rsidRPr="003C26C1" w:rsidRDefault="00AE3D83" w:rsidP="009D7760">
            <w:pPr>
              <w:rPr>
                <w:sz w:val="16"/>
                <w:szCs w:val="16"/>
              </w:rPr>
            </w:pPr>
            <w:r w:rsidRPr="003C26C1">
              <w:rPr>
                <w:sz w:val="16"/>
                <w:szCs w:val="16"/>
              </w:rPr>
              <w:t>E</w:t>
            </w:r>
            <w:r w:rsidR="00B961B7" w:rsidRPr="003C26C1">
              <w:rPr>
                <w:sz w:val="16"/>
                <w:szCs w:val="16"/>
              </w:rPr>
              <w:t>.g. Ministry of Environment; GEF</w:t>
            </w:r>
          </w:p>
        </w:tc>
        <w:tc>
          <w:tcPr>
            <w:tcW w:w="522" w:type="pct"/>
          </w:tcPr>
          <w:p w14:paraId="2440D482" w14:textId="1C7987FC" w:rsidR="00B961B7" w:rsidRPr="003C26C1" w:rsidRDefault="00AE3D83" w:rsidP="009D7760">
            <w:pPr>
              <w:rPr>
                <w:sz w:val="16"/>
                <w:szCs w:val="16"/>
              </w:rPr>
            </w:pPr>
            <w:r w:rsidRPr="003C26C1">
              <w:rPr>
                <w:sz w:val="16"/>
                <w:szCs w:val="16"/>
              </w:rPr>
              <w:t>E</w:t>
            </w:r>
            <w:r w:rsidR="00B961B7" w:rsidRPr="003C26C1">
              <w:rPr>
                <w:sz w:val="16"/>
                <w:szCs w:val="16"/>
              </w:rPr>
              <w:t xml:space="preserve">.g. </w:t>
            </w:r>
            <w:r w:rsidR="00202476">
              <w:rPr>
                <w:sz w:val="16"/>
                <w:szCs w:val="16"/>
              </w:rPr>
              <w:t>Cooperation Framework</w:t>
            </w:r>
            <w:r w:rsidR="005662FB" w:rsidRPr="003C26C1">
              <w:rPr>
                <w:sz w:val="16"/>
                <w:szCs w:val="16"/>
              </w:rPr>
              <w:t>/equivalent</w:t>
            </w:r>
            <w:r w:rsidR="00B961B7" w:rsidRPr="003C26C1">
              <w:rPr>
                <w:sz w:val="16"/>
                <w:szCs w:val="16"/>
              </w:rPr>
              <w:t xml:space="preserve">, CPD, outcome, thematic, </w:t>
            </w:r>
            <w:r w:rsidR="00436B83" w:rsidRPr="003C26C1">
              <w:rPr>
                <w:sz w:val="16"/>
                <w:szCs w:val="16"/>
              </w:rPr>
              <w:t>programme</w:t>
            </w:r>
            <w:r w:rsidR="00672BAB" w:rsidRPr="003C26C1">
              <w:rPr>
                <w:sz w:val="16"/>
                <w:szCs w:val="16"/>
              </w:rPr>
              <w:t xml:space="preserve"> </w:t>
            </w:r>
            <w:r w:rsidR="00436B83" w:rsidRPr="003C26C1">
              <w:rPr>
                <w:sz w:val="16"/>
                <w:szCs w:val="16"/>
              </w:rPr>
              <w:t>/</w:t>
            </w:r>
            <w:r w:rsidR="00672BAB" w:rsidRPr="003C26C1">
              <w:rPr>
                <w:sz w:val="16"/>
                <w:szCs w:val="16"/>
              </w:rPr>
              <w:t xml:space="preserve"> </w:t>
            </w:r>
            <w:r w:rsidR="00B961B7" w:rsidRPr="003C26C1">
              <w:rPr>
                <w:sz w:val="16"/>
                <w:szCs w:val="16"/>
              </w:rPr>
              <w:t xml:space="preserve">project, GEF, etc. </w:t>
            </w:r>
          </w:p>
          <w:p w14:paraId="2440D483" w14:textId="77777777" w:rsidR="00B961B7" w:rsidRPr="003C26C1" w:rsidRDefault="00B961B7" w:rsidP="009D7760">
            <w:pPr>
              <w:rPr>
                <w:sz w:val="16"/>
                <w:szCs w:val="16"/>
              </w:rPr>
            </w:pPr>
          </w:p>
          <w:p w14:paraId="2440D484" w14:textId="4E350803" w:rsidR="00B961B7" w:rsidRPr="003C26C1" w:rsidRDefault="00B961B7" w:rsidP="00B27BFD">
            <w:pPr>
              <w:rPr>
                <w:sz w:val="16"/>
                <w:szCs w:val="16"/>
              </w:rPr>
            </w:pPr>
            <w:r w:rsidRPr="003C26C1">
              <w:rPr>
                <w:b/>
                <w:sz w:val="16"/>
                <w:szCs w:val="16"/>
              </w:rPr>
              <w:t>Note</w:t>
            </w:r>
            <w:r w:rsidRPr="003C26C1">
              <w:rPr>
                <w:sz w:val="16"/>
                <w:szCs w:val="16"/>
              </w:rPr>
              <w:t xml:space="preserve">: </w:t>
            </w:r>
            <w:r w:rsidR="00436B83" w:rsidRPr="003C26C1">
              <w:rPr>
                <w:sz w:val="16"/>
                <w:szCs w:val="16"/>
              </w:rPr>
              <w:t>Evaluative exercises may vary in size and scope but they should all help produce intelligence outcome-level performance</w:t>
            </w:r>
            <w:r w:rsidR="00B27BFD">
              <w:rPr>
                <w:sz w:val="16"/>
                <w:szCs w:val="16"/>
              </w:rPr>
              <w:t>. All evaluations should meet UNEG gender standards.</w:t>
            </w:r>
          </w:p>
        </w:tc>
        <w:tc>
          <w:tcPr>
            <w:tcW w:w="575" w:type="pct"/>
          </w:tcPr>
          <w:p w14:paraId="2440D485" w14:textId="7D629281" w:rsidR="00B961B7" w:rsidRPr="003C26C1" w:rsidRDefault="00AE3D83" w:rsidP="009D7760">
            <w:pPr>
              <w:spacing w:before="40" w:after="40"/>
              <w:rPr>
                <w:sz w:val="16"/>
                <w:szCs w:val="16"/>
              </w:rPr>
            </w:pPr>
            <w:r w:rsidRPr="003C26C1">
              <w:rPr>
                <w:sz w:val="16"/>
                <w:szCs w:val="16"/>
              </w:rPr>
              <w:t>E</w:t>
            </w:r>
            <w:r w:rsidR="00B961B7" w:rsidRPr="003C26C1">
              <w:rPr>
                <w:sz w:val="16"/>
                <w:szCs w:val="16"/>
              </w:rPr>
              <w:t>.g. June 20</w:t>
            </w:r>
            <w:r w:rsidR="009233CC">
              <w:rPr>
                <w:sz w:val="16"/>
                <w:szCs w:val="16"/>
              </w:rPr>
              <w:t>23</w:t>
            </w:r>
          </w:p>
          <w:p w14:paraId="2440D486" w14:textId="77777777" w:rsidR="00AE3D83" w:rsidRPr="003C26C1" w:rsidRDefault="00AE3D83" w:rsidP="009D7760">
            <w:pPr>
              <w:spacing w:before="40" w:after="40"/>
              <w:rPr>
                <w:sz w:val="16"/>
                <w:szCs w:val="16"/>
              </w:rPr>
            </w:pPr>
          </w:p>
          <w:p w14:paraId="2440D487" w14:textId="77777777" w:rsidR="00AE3D83" w:rsidRPr="003C26C1" w:rsidRDefault="00AE3D83" w:rsidP="00E66ECB">
            <w:pPr>
              <w:spacing w:before="40" w:after="40"/>
              <w:rPr>
                <w:sz w:val="16"/>
                <w:szCs w:val="16"/>
              </w:rPr>
            </w:pPr>
            <w:r w:rsidRPr="003C26C1">
              <w:rPr>
                <w:b/>
                <w:sz w:val="16"/>
                <w:szCs w:val="16"/>
              </w:rPr>
              <w:t>Note:</w:t>
            </w:r>
            <w:r w:rsidRPr="003C26C1">
              <w:rPr>
                <w:sz w:val="16"/>
                <w:szCs w:val="16"/>
              </w:rPr>
              <w:t xml:space="preserve"> Timing and nature of evaluation to be determined by performance and learning needs based on testing of theory of change that underpins strategy towards each outcome</w:t>
            </w:r>
          </w:p>
        </w:tc>
        <w:tc>
          <w:tcPr>
            <w:tcW w:w="554" w:type="pct"/>
          </w:tcPr>
          <w:p w14:paraId="110AFF0D" w14:textId="77777777" w:rsidR="00B961B7" w:rsidRDefault="00B961B7" w:rsidP="00E66ECB">
            <w:pPr>
              <w:rPr>
                <w:sz w:val="16"/>
                <w:szCs w:val="16"/>
              </w:rPr>
            </w:pPr>
            <w:r w:rsidRPr="003C26C1">
              <w:rPr>
                <w:sz w:val="16"/>
                <w:szCs w:val="16"/>
              </w:rPr>
              <w:t>Consider the following expenses: Evaluators and external advisers, and expenses related to their duties; expert advisory panel members (if any); travel; stakeholders consultations; data collection, and analysis tools and methods; supplies (office, computer, software, etc</w:t>
            </w:r>
            <w:r w:rsidR="00AB7DE7" w:rsidRPr="003C26C1">
              <w:rPr>
                <w:sz w:val="16"/>
                <w:szCs w:val="16"/>
              </w:rPr>
              <w:t>.</w:t>
            </w:r>
            <w:r w:rsidRPr="003C26C1">
              <w:rPr>
                <w:sz w:val="16"/>
                <w:szCs w:val="16"/>
              </w:rPr>
              <w:t>); communication</w:t>
            </w:r>
            <w:r w:rsidR="005662FB" w:rsidRPr="003C26C1">
              <w:rPr>
                <w:sz w:val="16"/>
                <w:szCs w:val="16"/>
              </w:rPr>
              <w:t xml:space="preserve"> </w:t>
            </w:r>
            <w:r w:rsidRPr="003C26C1">
              <w:rPr>
                <w:sz w:val="16"/>
                <w:szCs w:val="16"/>
              </w:rPr>
              <w:t>costs; publication and dissemination</w:t>
            </w:r>
          </w:p>
          <w:p w14:paraId="5F6B3E9E" w14:textId="77777777" w:rsidR="00345BA7" w:rsidRDefault="00345BA7" w:rsidP="00E66ECB">
            <w:pPr>
              <w:rPr>
                <w:sz w:val="16"/>
                <w:szCs w:val="16"/>
              </w:rPr>
            </w:pPr>
          </w:p>
          <w:p w14:paraId="304E16D4" w14:textId="77777777" w:rsidR="00345BA7" w:rsidRDefault="00345BA7" w:rsidP="00345BA7">
            <w:pPr>
              <w:rPr>
                <w:sz w:val="16"/>
                <w:szCs w:val="16"/>
              </w:rPr>
            </w:pPr>
            <w:r>
              <w:rPr>
                <w:sz w:val="16"/>
                <w:szCs w:val="16"/>
              </w:rPr>
              <w:t>E</w:t>
            </w:r>
            <w:r w:rsidRPr="00CB614E">
              <w:rPr>
                <w:sz w:val="16"/>
                <w:szCs w:val="16"/>
              </w:rPr>
              <w:t xml:space="preserve">xamples of average annual </w:t>
            </w:r>
            <w:r>
              <w:rPr>
                <w:sz w:val="16"/>
                <w:szCs w:val="16"/>
              </w:rPr>
              <w:t xml:space="preserve">evaluation </w:t>
            </w:r>
            <w:r w:rsidRPr="00CB614E">
              <w:rPr>
                <w:sz w:val="16"/>
                <w:szCs w:val="16"/>
              </w:rPr>
              <w:t xml:space="preserve">costs </w:t>
            </w:r>
            <w:r>
              <w:rPr>
                <w:sz w:val="16"/>
                <w:szCs w:val="16"/>
              </w:rPr>
              <w:t xml:space="preserve">can be found </w:t>
            </w:r>
            <w:r w:rsidRPr="00CB614E">
              <w:rPr>
                <w:sz w:val="16"/>
                <w:szCs w:val="16"/>
              </w:rPr>
              <w:t>in the annual report on evaluation.</w:t>
            </w:r>
          </w:p>
          <w:p w14:paraId="2440D488" w14:textId="6DE759C1" w:rsidR="00345BA7" w:rsidRPr="003C26C1" w:rsidRDefault="00345BA7" w:rsidP="00E66ECB">
            <w:pPr>
              <w:rPr>
                <w:sz w:val="16"/>
                <w:szCs w:val="16"/>
              </w:rPr>
            </w:pPr>
          </w:p>
        </w:tc>
        <w:tc>
          <w:tcPr>
            <w:tcW w:w="523" w:type="pct"/>
          </w:tcPr>
          <w:p w14:paraId="2440D489" w14:textId="77777777" w:rsidR="00B961B7" w:rsidRPr="003C26C1" w:rsidRDefault="00AE3D83" w:rsidP="009D7760">
            <w:pPr>
              <w:rPr>
                <w:rStyle w:val="CommentReference"/>
                <w:sz w:val="16"/>
                <w:szCs w:val="16"/>
                <w:lang w:eastAsia="uk-UA"/>
              </w:rPr>
            </w:pPr>
            <w:r w:rsidRPr="003C26C1">
              <w:rPr>
                <w:rStyle w:val="CommentReference"/>
                <w:sz w:val="16"/>
                <w:szCs w:val="16"/>
                <w:lang w:eastAsia="uk-UA"/>
              </w:rPr>
              <w:t>E</w:t>
            </w:r>
            <w:r w:rsidR="00B961B7" w:rsidRPr="003C26C1">
              <w:rPr>
                <w:rStyle w:val="CommentReference"/>
                <w:sz w:val="16"/>
                <w:szCs w:val="16"/>
                <w:lang w:eastAsia="uk-UA"/>
              </w:rPr>
              <w:t>.g. project budget; donor; M&amp;E budget; etc.</w:t>
            </w:r>
          </w:p>
        </w:tc>
      </w:tr>
      <w:tr w:rsidR="00202476" w:rsidRPr="003C26C1" w14:paraId="2440D494" w14:textId="77777777" w:rsidTr="00E66ECB">
        <w:trPr>
          <w:trHeight w:val="490"/>
        </w:trPr>
        <w:tc>
          <w:tcPr>
            <w:tcW w:w="521" w:type="pct"/>
          </w:tcPr>
          <w:p w14:paraId="2440D48B" w14:textId="77777777" w:rsidR="00E66ECB" w:rsidRPr="003C26C1" w:rsidRDefault="00E66ECB" w:rsidP="009D7760">
            <w:pPr>
              <w:rPr>
                <w:sz w:val="16"/>
                <w:szCs w:val="16"/>
              </w:rPr>
            </w:pPr>
          </w:p>
        </w:tc>
        <w:tc>
          <w:tcPr>
            <w:tcW w:w="523" w:type="pct"/>
          </w:tcPr>
          <w:p w14:paraId="2440D48C" w14:textId="77777777" w:rsidR="00E66ECB" w:rsidRPr="003C26C1" w:rsidRDefault="00E66ECB" w:rsidP="009D7760">
            <w:pPr>
              <w:rPr>
                <w:sz w:val="16"/>
                <w:szCs w:val="16"/>
              </w:rPr>
            </w:pPr>
          </w:p>
        </w:tc>
        <w:tc>
          <w:tcPr>
            <w:tcW w:w="523" w:type="pct"/>
          </w:tcPr>
          <w:p w14:paraId="2440D48D" w14:textId="77777777" w:rsidR="00E66ECB" w:rsidRPr="003C26C1" w:rsidRDefault="00E66ECB" w:rsidP="009D7760">
            <w:pPr>
              <w:rPr>
                <w:sz w:val="16"/>
                <w:szCs w:val="16"/>
              </w:rPr>
            </w:pPr>
          </w:p>
        </w:tc>
        <w:tc>
          <w:tcPr>
            <w:tcW w:w="629" w:type="pct"/>
          </w:tcPr>
          <w:p w14:paraId="2440D48E" w14:textId="77777777" w:rsidR="00E66ECB" w:rsidRPr="003C26C1" w:rsidRDefault="00E66ECB" w:rsidP="009D7760">
            <w:pPr>
              <w:rPr>
                <w:sz w:val="16"/>
                <w:szCs w:val="16"/>
              </w:rPr>
            </w:pPr>
          </w:p>
        </w:tc>
        <w:tc>
          <w:tcPr>
            <w:tcW w:w="630" w:type="pct"/>
          </w:tcPr>
          <w:p w14:paraId="2440D48F" w14:textId="77777777" w:rsidR="00E66ECB" w:rsidRPr="003C26C1" w:rsidRDefault="00E66ECB" w:rsidP="009D7760">
            <w:pPr>
              <w:rPr>
                <w:sz w:val="16"/>
                <w:szCs w:val="16"/>
              </w:rPr>
            </w:pPr>
          </w:p>
        </w:tc>
        <w:tc>
          <w:tcPr>
            <w:tcW w:w="522" w:type="pct"/>
          </w:tcPr>
          <w:p w14:paraId="2440D490" w14:textId="77777777" w:rsidR="00E66ECB" w:rsidRPr="003C26C1" w:rsidRDefault="00E66ECB" w:rsidP="009D7760">
            <w:pPr>
              <w:rPr>
                <w:sz w:val="16"/>
                <w:szCs w:val="16"/>
              </w:rPr>
            </w:pPr>
          </w:p>
        </w:tc>
        <w:tc>
          <w:tcPr>
            <w:tcW w:w="575" w:type="pct"/>
          </w:tcPr>
          <w:p w14:paraId="2440D491" w14:textId="77777777" w:rsidR="00E66ECB" w:rsidRPr="003C26C1" w:rsidRDefault="00E66ECB" w:rsidP="009D7760">
            <w:pPr>
              <w:spacing w:before="40" w:after="40"/>
              <w:rPr>
                <w:sz w:val="16"/>
                <w:szCs w:val="16"/>
              </w:rPr>
            </w:pPr>
          </w:p>
        </w:tc>
        <w:tc>
          <w:tcPr>
            <w:tcW w:w="554" w:type="pct"/>
          </w:tcPr>
          <w:p w14:paraId="2440D492" w14:textId="77777777" w:rsidR="00E66ECB" w:rsidRPr="003C26C1" w:rsidRDefault="00E66ECB" w:rsidP="009D7760">
            <w:pPr>
              <w:rPr>
                <w:sz w:val="16"/>
                <w:szCs w:val="16"/>
              </w:rPr>
            </w:pPr>
          </w:p>
        </w:tc>
        <w:tc>
          <w:tcPr>
            <w:tcW w:w="523" w:type="pct"/>
          </w:tcPr>
          <w:p w14:paraId="2440D493" w14:textId="77777777" w:rsidR="00E66ECB" w:rsidRPr="003C26C1" w:rsidRDefault="00E66ECB" w:rsidP="009D7760">
            <w:pPr>
              <w:rPr>
                <w:rStyle w:val="CommentReference"/>
                <w:sz w:val="16"/>
                <w:szCs w:val="16"/>
                <w:lang w:eastAsia="uk-UA"/>
              </w:rPr>
            </w:pPr>
          </w:p>
        </w:tc>
      </w:tr>
      <w:tr w:rsidR="00202476" w:rsidRPr="003C26C1" w14:paraId="2440D49E" w14:textId="77777777" w:rsidTr="00E66ECB">
        <w:trPr>
          <w:trHeight w:val="60"/>
        </w:trPr>
        <w:tc>
          <w:tcPr>
            <w:tcW w:w="521" w:type="pct"/>
          </w:tcPr>
          <w:p w14:paraId="2440D495" w14:textId="77777777" w:rsidR="00E66ECB" w:rsidRPr="003C26C1" w:rsidRDefault="00E66ECB" w:rsidP="009D7760">
            <w:pPr>
              <w:rPr>
                <w:sz w:val="16"/>
                <w:szCs w:val="16"/>
              </w:rPr>
            </w:pPr>
          </w:p>
        </w:tc>
        <w:tc>
          <w:tcPr>
            <w:tcW w:w="523" w:type="pct"/>
          </w:tcPr>
          <w:p w14:paraId="2440D496" w14:textId="77777777" w:rsidR="00E66ECB" w:rsidRPr="003C26C1" w:rsidRDefault="00E66ECB" w:rsidP="009D7760">
            <w:pPr>
              <w:rPr>
                <w:sz w:val="16"/>
                <w:szCs w:val="16"/>
              </w:rPr>
            </w:pPr>
          </w:p>
        </w:tc>
        <w:tc>
          <w:tcPr>
            <w:tcW w:w="523" w:type="pct"/>
          </w:tcPr>
          <w:p w14:paraId="2440D497" w14:textId="77777777" w:rsidR="00E66ECB" w:rsidRPr="003C26C1" w:rsidRDefault="00E66ECB" w:rsidP="009D7760">
            <w:pPr>
              <w:rPr>
                <w:sz w:val="16"/>
                <w:szCs w:val="16"/>
              </w:rPr>
            </w:pPr>
          </w:p>
        </w:tc>
        <w:tc>
          <w:tcPr>
            <w:tcW w:w="629" w:type="pct"/>
          </w:tcPr>
          <w:p w14:paraId="2440D498" w14:textId="77777777" w:rsidR="00E66ECB" w:rsidRPr="003C26C1" w:rsidRDefault="00E66ECB" w:rsidP="009D7760">
            <w:pPr>
              <w:rPr>
                <w:sz w:val="16"/>
                <w:szCs w:val="16"/>
              </w:rPr>
            </w:pPr>
          </w:p>
        </w:tc>
        <w:tc>
          <w:tcPr>
            <w:tcW w:w="630" w:type="pct"/>
          </w:tcPr>
          <w:p w14:paraId="2440D499" w14:textId="77777777" w:rsidR="00E66ECB" w:rsidRPr="003C26C1" w:rsidRDefault="00E66ECB" w:rsidP="009D7760">
            <w:pPr>
              <w:rPr>
                <w:sz w:val="16"/>
                <w:szCs w:val="16"/>
              </w:rPr>
            </w:pPr>
          </w:p>
        </w:tc>
        <w:tc>
          <w:tcPr>
            <w:tcW w:w="522" w:type="pct"/>
          </w:tcPr>
          <w:p w14:paraId="2440D49A" w14:textId="77777777" w:rsidR="00E66ECB" w:rsidRPr="003C26C1" w:rsidRDefault="00E66ECB" w:rsidP="009D7760">
            <w:pPr>
              <w:rPr>
                <w:sz w:val="16"/>
                <w:szCs w:val="16"/>
              </w:rPr>
            </w:pPr>
          </w:p>
        </w:tc>
        <w:tc>
          <w:tcPr>
            <w:tcW w:w="575" w:type="pct"/>
          </w:tcPr>
          <w:p w14:paraId="2440D49B" w14:textId="77777777" w:rsidR="00E66ECB" w:rsidRPr="003C26C1" w:rsidRDefault="00E66ECB" w:rsidP="009D7760">
            <w:pPr>
              <w:spacing w:before="40" w:after="40"/>
              <w:rPr>
                <w:sz w:val="16"/>
                <w:szCs w:val="16"/>
              </w:rPr>
            </w:pPr>
          </w:p>
        </w:tc>
        <w:tc>
          <w:tcPr>
            <w:tcW w:w="554" w:type="pct"/>
          </w:tcPr>
          <w:p w14:paraId="2440D49C" w14:textId="77777777" w:rsidR="00E66ECB" w:rsidRPr="003C26C1" w:rsidRDefault="00E66ECB" w:rsidP="009D7760">
            <w:pPr>
              <w:rPr>
                <w:sz w:val="16"/>
                <w:szCs w:val="16"/>
              </w:rPr>
            </w:pPr>
          </w:p>
        </w:tc>
        <w:tc>
          <w:tcPr>
            <w:tcW w:w="523" w:type="pct"/>
          </w:tcPr>
          <w:p w14:paraId="2440D49D" w14:textId="77777777" w:rsidR="00E66ECB" w:rsidRPr="003C26C1" w:rsidRDefault="00E66ECB" w:rsidP="009D7760">
            <w:pPr>
              <w:rPr>
                <w:rStyle w:val="CommentReference"/>
                <w:sz w:val="16"/>
                <w:szCs w:val="16"/>
                <w:lang w:eastAsia="uk-UA"/>
              </w:rPr>
            </w:pPr>
          </w:p>
        </w:tc>
      </w:tr>
    </w:tbl>
    <w:p w14:paraId="2440D49F" w14:textId="77777777" w:rsidR="00B961B7" w:rsidRPr="003C26C1" w:rsidRDefault="00B961B7" w:rsidP="00A56348">
      <w:pPr>
        <w:rPr>
          <w:color w:val="000000"/>
        </w:rPr>
      </w:pPr>
    </w:p>
    <w:p w14:paraId="2440D4A0" w14:textId="77777777" w:rsidR="00125010" w:rsidRPr="003C26C1" w:rsidRDefault="00125010" w:rsidP="00125010">
      <w:pPr>
        <w:rPr>
          <w:color w:val="000000"/>
        </w:rPr>
      </w:pPr>
    </w:p>
    <w:p w14:paraId="2440D4A1" w14:textId="77777777" w:rsidR="002F7339" w:rsidRPr="003C26C1" w:rsidRDefault="002F7339" w:rsidP="00125010">
      <w:pPr>
        <w:rPr>
          <w:color w:val="000000"/>
        </w:rPr>
      </w:pPr>
    </w:p>
    <w:p w14:paraId="2440D4A2" w14:textId="77777777" w:rsidR="00404040" w:rsidRPr="003C26C1" w:rsidRDefault="00622CE4" w:rsidP="00125010">
      <w:pPr>
        <w:rPr>
          <w:color w:val="000000"/>
        </w:rPr>
      </w:pPr>
      <w:r w:rsidRPr="003C26C1">
        <w:rPr>
          <w:color w:val="000000"/>
        </w:rPr>
        <w:br w:type="page"/>
      </w:r>
    </w:p>
    <w:p w14:paraId="2440D4A3" w14:textId="77777777" w:rsidR="00514EF5" w:rsidRPr="003C26C1" w:rsidRDefault="00514EF5" w:rsidP="00125010">
      <w:pPr>
        <w:rPr>
          <w:color w:val="000000"/>
        </w:rPr>
        <w:sectPr w:rsidR="00514EF5" w:rsidRPr="003C26C1" w:rsidSect="00F96B32">
          <w:pgSz w:w="15840" w:h="12240" w:orient="landscape"/>
          <w:pgMar w:top="1440" w:right="1152" w:bottom="1440" w:left="1152" w:header="720" w:footer="720" w:gutter="0"/>
          <w:cols w:space="720"/>
          <w:docGrid w:linePitch="272"/>
        </w:sectPr>
      </w:pPr>
    </w:p>
    <w:p w14:paraId="2440D4A4" w14:textId="77777777" w:rsidR="00D6679C" w:rsidRPr="003C26C1" w:rsidRDefault="00865ADF" w:rsidP="00865ADF">
      <w:pPr>
        <w:pStyle w:val="Subtitle"/>
        <w:jc w:val="left"/>
        <w:rPr>
          <w:rFonts w:ascii="Times New Roman" w:hAnsi="Times New Roman" w:cs="Times New Roman"/>
          <w:b/>
          <w:sz w:val="20"/>
          <w:szCs w:val="20"/>
        </w:rPr>
      </w:pPr>
      <w:r w:rsidRPr="003C26C1">
        <w:rPr>
          <w:rFonts w:ascii="Times New Roman" w:hAnsi="Times New Roman" w:cs="Times New Roman"/>
          <w:b/>
          <w:sz w:val="20"/>
          <w:szCs w:val="20"/>
        </w:rPr>
        <w:lastRenderedPageBreak/>
        <w:t>Attachment I:</w:t>
      </w:r>
      <w:r w:rsidR="00424A78" w:rsidRPr="003C26C1">
        <w:rPr>
          <w:rFonts w:ascii="Times New Roman" w:hAnsi="Times New Roman" w:cs="Times New Roman"/>
          <w:b/>
          <w:sz w:val="20"/>
          <w:szCs w:val="20"/>
        </w:rPr>
        <w:t xml:space="preserve"> </w:t>
      </w:r>
      <w:r w:rsidR="00D6679C" w:rsidRPr="003C26C1">
        <w:rPr>
          <w:rFonts w:ascii="Times New Roman" w:hAnsi="Times New Roman" w:cs="Times New Roman"/>
          <w:b/>
          <w:sz w:val="20"/>
          <w:szCs w:val="20"/>
        </w:rPr>
        <w:t>Resource Mobilization Target (RMT) Table</w:t>
      </w:r>
      <w:r w:rsidRPr="003C26C1">
        <w:rPr>
          <w:rFonts w:ascii="Times New Roman" w:hAnsi="Times New Roman" w:cs="Times New Roman"/>
          <w:b/>
          <w:sz w:val="20"/>
          <w:szCs w:val="20"/>
        </w:rPr>
        <w:t xml:space="preserve"> and Guidance Note</w:t>
      </w:r>
    </w:p>
    <w:p w14:paraId="2440D4A5" w14:textId="77777777" w:rsidR="00D6679C" w:rsidRPr="003C26C1" w:rsidRDefault="00D6679C" w:rsidP="00D6679C">
      <w:pPr>
        <w:pStyle w:val="Subtitle"/>
        <w:rPr>
          <w:rFonts w:ascii="Times New Roman" w:hAnsi="Times New Roman" w:cs="Times New Roman"/>
          <w:sz w:val="20"/>
          <w:szCs w:val="20"/>
        </w:rPr>
      </w:pPr>
    </w:p>
    <w:p w14:paraId="2440D4A6" w14:textId="77777777"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This guidance note is provided to assist UNDP Country Offices in preparing the Resource Mobilization Target (RMT) table which forms an integral part of the Country Programme Document (CPD).</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The RMT represents the summary of UNDP programme resources, by funding source, targeted for mobilization.</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Accordingly, it represents the total UNDP programme resources estimated as available during the CPD time period.</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It is integrally linked to and summarizes the financial parameters within the Results and Resources Framework of the CPD (‘Indicative resources by outcome’ column).</w:t>
      </w:r>
    </w:p>
    <w:p w14:paraId="2440D4A7" w14:textId="77777777" w:rsidR="00D6679C" w:rsidRPr="003C26C1" w:rsidRDefault="00D6679C" w:rsidP="00865ADF">
      <w:pPr>
        <w:pStyle w:val="Subtitle"/>
        <w:jc w:val="both"/>
        <w:rPr>
          <w:rFonts w:ascii="Times New Roman" w:hAnsi="Times New Roman" w:cs="Times New Roman"/>
          <w:sz w:val="20"/>
          <w:szCs w:val="20"/>
        </w:rPr>
      </w:pPr>
    </w:p>
    <w:p w14:paraId="2440D4A8" w14:textId="77777777" w:rsidR="00D6679C" w:rsidRPr="003C26C1" w:rsidRDefault="00D6679C" w:rsidP="00865ADF">
      <w:pPr>
        <w:pStyle w:val="Subtitle"/>
        <w:jc w:val="both"/>
        <w:rPr>
          <w:rFonts w:ascii="Times New Roman" w:hAnsi="Times New Roman" w:cs="Times New Roman"/>
          <w:caps/>
          <w:sz w:val="20"/>
          <w:szCs w:val="20"/>
          <w:u w:val="single"/>
        </w:rPr>
      </w:pPr>
      <w:r w:rsidRPr="003C26C1">
        <w:rPr>
          <w:rFonts w:ascii="Times New Roman" w:hAnsi="Times New Roman" w:cs="Times New Roman"/>
          <w:caps/>
          <w:sz w:val="20"/>
          <w:szCs w:val="20"/>
          <w:u w:val="single"/>
        </w:rPr>
        <w:t>I. Format and time period</w:t>
      </w:r>
    </w:p>
    <w:p w14:paraId="2440D4A9" w14:textId="77777777" w:rsidR="00D6679C" w:rsidRPr="003C26C1" w:rsidRDefault="00D6679C" w:rsidP="00865ADF">
      <w:pPr>
        <w:pStyle w:val="Subtitle"/>
        <w:jc w:val="both"/>
        <w:rPr>
          <w:rFonts w:ascii="Times New Roman" w:hAnsi="Times New Roman" w:cs="Times New Roman"/>
          <w:sz w:val="20"/>
          <w:szCs w:val="20"/>
        </w:rPr>
      </w:pPr>
    </w:p>
    <w:p w14:paraId="2440D4AA" w14:textId="77777777"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 xml:space="preserve">The standard format of the RMT table, provided at the end of this document, should be followed. The RMT table consists of two sections: UNDP Regular Resources (core) and UNDP Other Resources (non-core) and three columns: Source of Funding, Amount and Comments. </w:t>
      </w:r>
    </w:p>
    <w:p w14:paraId="2440D4AB" w14:textId="77777777" w:rsidR="00D6679C" w:rsidRPr="003C26C1" w:rsidRDefault="00D6679C" w:rsidP="00865ADF">
      <w:pPr>
        <w:pStyle w:val="Subtitle"/>
        <w:jc w:val="both"/>
        <w:rPr>
          <w:rFonts w:ascii="Times New Roman" w:hAnsi="Times New Roman" w:cs="Times New Roman"/>
          <w:b/>
          <w:color w:val="548DD4"/>
          <w:sz w:val="20"/>
          <w:szCs w:val="20"/>
        </w:rPr>
      </w:pPr>
      <w:r w:rsidRPr="003C26C1">
        <w:rPr>
          <w:rFonts w:ascii="Times New Roman" w:hAnsi="Times New Roman" w:cs="Times New Roman"/>
          <w:b/>
          <w:color w:val="548DD4"/>
          <w:sz w:val="20"/>
          <w:szCs w:val="20"/>
        </w:rPr>
        <w:t xml:space="preserve"> </w:t>
      </w:r>
    </w:p>
    <w:p w14:paraId="2440D4AC" w14:textId="77777777"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The period of time covered by the RMT table is the same as the CPD time period. CPD periods normally range from three to five years. One- or two-year extensions of CPDs are permitted under certain circumstances. The RMT table also needs to be prepared when a CPD is extended.</w:t>
      </w:r>
    </w:p>
    <w:p w14:paraId="2440D4AD" w14:textId="77777777" w:rsidR="00D6679C" w:rsidRPr="003C26C1" w:rsidRDefault="00D6679C" w:rsidP="00865ADF">
      <w:pPr>
        <w:pStyle w:val="Subtitle"/>
        <w:jc w:val="both"/>
        <w:rPr>
          <w:rFonts w:ascii="Times New Roman" w:hAnsi="Times New Roman" w:cs="Times New Roman"/>
          <w:sz w:val="20"/>
          <w:szCs w:val="20"/>
        </w:rPr>
      </w:pPr>
    </w:p>
    <w:p w14:paraId="2440D4AE" w14:textId="77777777" w:rsidR="00D6679C" w:rsidRPr="003C26C1" w:rsidRDefault="00D6679C" w:rsidP="00865ADF">
      <w:pPr>
        <w:pStyle w:val="BodyText"/>
        <w:jc w:val="both"/>
        <w:rPr>
          <w:b w:val="0"/>
          <w:sz w:val="20"/>
        </w:rPr>
      </w:pPr>
      <w:r w:rsidRPr="003C26C1">
        <w:rPr>
          <w:b w:val="0"/>
          <w:sz w:val="20"/>
        </w:rPr>
        <w:t>In case of CPD extensions please indicate the original CPD period, the years for which the CPD has been extended and the new revised/extended CPD period. The RMT should reflect figures for the entire revised/extended CPD period.</w:t>
      </w:r>
      <w:r w:rsidR="00424A78" w:rsidRPr="003C26C1">
        <w:rPr>
          <w:b w:val="0"/>
          <w:sz w:val="20"/>
        </w:rPr>
        <w:t xml:space="preserve"> </w:t>
      </w:r>
      <w:r w:rsidRPr="003C26C1">
        <w:rPr>
          <w:b w:val="0"/>
          <w:sz w:val="20"/>
        </w:rPr>
        <w:t>For example, enter the TRAC-1 assignments from the original CPD period plus the new TRAC-1 assignments for the years of extension.</w:t>
      </w:r>
    </w:p>
    <w:p w14:paraId="2440D4AF" w14:textId="77777777" w:rsidR="00D6679C" w:rsidRPr="003C26C1" w:rsidRDefault="00D6679C" w:rsidP="00865ADF">
      <w:pPr>
        <w:pStyle w:val="Subtitle"/>
        <w:jc w:val="both"/>
        <w:rPr>
          <w:rFonts w:ascii="Times New Roman" w:hAnsi="Times New Roman" w:cs="Times New Roman"/>
          <w:sz w:val="20"/>
          <w:szCs w:val="20"/>
        </w:rPr>
      </w:pPr>
    </w:p>
    <w:p w14:paraId="2440D4B0" w14:textId="77777777" w:rsidR="00D6679C" w:rsidRPr="003C26C1" w:rsidRDefault="00D6679C" w:rsidP="00865ADF">
      <w:pPr>
        <w:pStyle w:val="Subtitle"/>
        <w:jc w:val="both"/>
        <w:rPr>
          <w:rFonts w:ascii="Times New Roman" w:hAnsi="Times New Roman" w:cs="Times New Roman"/>
          <w:sz w:val="20"/>
          <w:szCs w:val="20"/>
          <w:u w:val="single"/>
        </w:rPr>
      </w:pPr>
      <w:r w:rsidRPr="003C26C1">
        <w:rPr>
          <w:rFonts w:ascii="Times New Roman" w:hAnsi="Times New Roman" w:cs="Times New Roman"/>
          <w:sz w:val="20"/>
          <w:szCs w:val="20"/>
          <w:u w:val="single"/>
        </w:rPr>
        <w:t>II. METHODOLOGY AND SOURCES OF DATA</w:t>
      </w:r>
    </w:p>
    <w:p w14:paraId="2440D4B1" w14:textId="77777777" w:rsidR="00D6679C" w:rsidRPr="003C26C1" w:rsidRDefault="00D6679C" w:rsidP="00865ADF">
      <w:pPr>
        <w:pStyle w:val="Subtitle"/>
        <w:jc w:val="both"/>
        <w:rPr>
          <w:rFonts w:ascii="Times New Roman" w:hAnsi="Times New Roman" w:cs="Times New Roman"/>
          <w:b/>
          <w:sz w:val="20"/>
          <w:szCs w:val="20"/>
        </w:rPr>
      </w:pPr>
    </w:p>
    <w:p w14:paraId="2440D4B2" w14:textId="77777777" w:rsidR="00D6679C" w:rsidRPr="003C26C1" w:rsidRDefault="00D6679C" w:rsidP="00865ADF">
      <w:pPr>
        <w:pStyle w:val="Subtitle"/>
        <w:jc w:val="both"/>
        <w:rPr>
          <w:rFonts w:ascii="Times New Roman" w:hAnsi="Times New Roman" w:cs="Times New Roman"/>
          <w:b/>
          <w:sz w:val="20"/>
          <w:szCs w:val="20"/>
        </w:rPr>
      </w:pPr>
      <w:r w:rsidRPr="003C26C1">
        <w:rPr>
          <w:rFonts w:ascii="Times New Roman" w:hAnsi="Times New Roman" w:cs="Times New Roman"/>
          <w:b/>
          <w:sz w:val="20"/>
          <w:szCs w:val="20"/>
        </w:rPr>
        <w:t>1.</w:t>
      </w:r>
      <w:r w:rsidR="00424A78" w:rsidRPr="003C26C1">
        <w:rPr>
          <w:rFonts w:ascii="Times New Roman" w:hAnsi="Times New Roman" w:cs="Times New Roman"/>
          <w:b/>
          <w:sz w:val="20"/>
          <w:szCs w:val="20"/>
        </w:rPr>
        <w:t xml:space="preserve"> </w:t>
      </w:r>
      <w:r w:rsidRPr="003C26C1">
        <w:rPr>
          <w:rFonts w:ascii="Times New Roman" w:hAnsi="Times New Roman" w:cs="Times New Roman"/>
          <w:b/>
          <w:sz w:val="20"/>
          <w:szCs w:val="20"/>
        </w:rPr>
        <w:t>Estimated carryover (TRAC-1 + TRAC-2 resources only)</w:t>
      </w:r>
    </w:p>
    <w:p w14:paraId="2440D4B3" w14:textId="77777777" w:rsidR="00D6679C" w:rsidRPr="003C26C1" w:rsidRDefault="00D6679C" w:rsidP="00865ADF">
      <w:pPr>
        <w:pStyle w:val="Subtitle"/>
        <w:jc w:val="both"/>
        <w:rPr>
          <w:rFonts w:ascii="Times New Roman" w:hAnsi="Times New Roman" w:cs="Times New Roman"/>
          <w:b/>
          <w:sz w:val="20"/>
          <w:szCs w:val="20"/>
        </w:rPr>
      </w:pPr>
      <w:r w:rsidRPr="003C26C1">
        <w:rPr>
          <w:rFonts w:ascii="Times New Roman" w:hAnsi="Times New Roman" w:cs="Times New Roman"/>
          <w:sz w:val="20"/>
          <w:szCs w:val="20"/>
        </w:rPr>
        <w:t>In this column enter the amount of the estimated carryover of TRAC-1 and TRAC-2 resources into the first year of the CPD period. This figure can be derived from the “</w:t>
      </w:r>
      <w:hyperlink r:id="rId23" w:history="1">
        <w:r w:rsidRPr="003C26C1">
          <w:rPr>
            <w:rStyle w:val="Hyperlink"/>
            <w:rFonts w:ascii="Times New Roman" w:hAnsi="Times New Roman"/>
            <w:sz w:val="20"/>
            <w:szCs w:val="20"/>
          </w:rPr>
          <w:t>RMT Assistant</w:t>
        </w:r>
      </w:hyperlink>
      <w:r w:rsidRPr="003C26C1">
        <w:rPr>
          <w:rFonts w:ascii="Times New Roman" w:hAnsi="Times New Roman" w:cs="Times New Roman"/>
          <w:sz w:val="20"/>
          <w:szCs w:val="20"/>
        </w:rPr>
        <w:t>”.</w:t>
      </w:r>
    </w:p>
    <w:p w14:paraId="2440D4B4" w14:textId="77777777" w:rsidR="00D6679C" w:rsidRPr="003C26C1" w:rsidRDefault="00D6679C" w:rsidP="00865ADF">
      <w:pPr>
        <w:jc w:val="both"/>
      </w:pPr>
    </w:p>
    <w:p w14:paraId="2440D4B5" w14:textId="77777777" w:rsidR="00D6679C" w:rsidRPr="003C26C1" w:rsidRDefault="00D6679C" w:rsidP="00865ADF">
      <w:pPr>
        <w:pStyle w:val="Heading2"/>
        <w:jc w:val="both"/>
        <w:rPr>
          <w:rFonts w:ascii="Times New Roman" w:hAnsi="Times New Roman"/>
          <w:sz w:val="20"/>
        </w:rPr>
      </w:pPr>
      <w:r w:rsidRPr="003C26C1">
        <w:rPr>
          <w:rFonts w:ascii="Times New Roman" w:hAnsi="Times New Roman"/>
          <w:sz w:val="20"/>
        </w:rPr>
        <w:t>The carryover is the resources carried over from the previous CPD period into the first year of the new CPD period.</w:t>
      </w:r>
      <w:r w:rsidR="00424A78" w:rsidRPr="003C26C1">
        <w:rPr>
          <w:rFonts w:ascii="Times New Roman" w:hAnsi="Times New Roman"/>
          <w:sz w:val="20"/>
        </w:rPr>
        <w:t xml:space="preserve"> </w:t>
      </w:r>
      <w:r w:rsidRPr="003C26C1">
        <w:rPr>
          <w:rFonts w:ascii="Times New Roman" w:hAnsi="Times New Roman"/>
          <w:sz w:val="20"/>
        </w:rPr>
        <w:t>It includes all resources up to the last year of the previous CPD.</w:t>
      </w:r>
      <w:r w:rsidR="00424A78" w:rsidRPr="003C26C1">
        <w:rPr>
          <w:rFonts w:ascii="Times New Roman" w:hAnsi="Times New Roman"/>
          <w:sz w:val="20"/>
        </w:rPr>
        <w:t xml:space="preserve"> </w:t>
      </w:r>
      <w:r w:rsidRPr="003C26C1">
        <w:rPr>
          <w:rFonts w:ascii="Times New Roman" w:hAnsi="Times New Roman"/>
          <w:sz w:val="20"/>
        </w:rPr>
        <w:t>In case of a CPD extension, there is no need to recalculate this amount. Use the carryover figure indicated in the RMT of the original CPD period.</w:t>
      </w:r>
    </w:p>
    <w:p w14:paraId="2440D4B6" w14:textId="77777777" w:rsidR="00D6679C" w:rsidRPr="003C26C1" w:rsidRDefault="00D6679C" w:rsidP="00865ADF">
      <w:pPr>
        <w:pStyle w:val="FootnoteText"/>
        <w:jc w:val="both"/>
        <w:rPr>
          <w:rFonts w:ascii="Times New Roman" w:hAnsi="Times New Roman"/>
        </w:rPr>
      </w:pPr>
    </w:p>
    <w:p w14:paraId="2440D4B7" w14:textId="77777777" w:rsidR="00D6679C" w:rsidRPr="003C26C1" w:rsidRDefault="00D6679C" w:rsidP="00865ADF">
      <w:pPr>
        <w:pStyle w:val="Heading1"/>
        <w:jc w:val="both"/>
        <w:rPr>
          <w:rFonts w:ascii="Times New Roman" w:hAnsi="Times New Roman"/>
          <w:b w:val="0"/>
          <w:sz w:val="20"/>
        </w:rPr>
      </w:pPr>
      <w:r w:rsidRPr="003C26C1">
        <w:rPr>
          <w:rFonts w:ascii="Times New Roman" w:hAnsi="Times New Roman"/>
          <w:sz w:val="20"/>
        </w:rPr>
        <w:t>2. TRAC-1</w:t>
      </w:r>
    </w:p>
    <w:p w14:paraId="2440D4B8" w14:textId="77777777" w:rsidR="00D6679C" w:rsidRPr="003C26C1" w:rsidRDefault="00D6679C" w:rsidP="00865ADF">
      <w:pPr>
        <w:jc w:val="both"/>
      </w:pPr>
      <w:r w:rsidRPr="003C26C1">
        <w:t>Enter the total annual TRAC-1 assignments for the years corresponding to the time period of the CPD.</w:t>
      </w:r>
      <w:r w:rsidR="00424A78" w:rsidRPr="003C26C1">
        <w:t xml:space="preserve"> </w:t>
      </w:r>
      <w:r w:rsidRPr="003C26C1">
        <w:t>It should be noted that the TRAC-1 resources indicated in the RMT are estimates. The actual amount released may differ from the figures in the RMT depending on the actual level of voluntary contributions to UNDP regular resources.</w:t>
      </w:r>
      <w:r w:rsidR="00424A78" w:rsidRPr="003C26C1">
        <w:t xml:space="preserve"> </w:t>
      </w:r>
      <w:r w:rsidRPr="003C26C1">
        <w:t>Decision 2013/4 endorsed a protection measure to shield resource allocations with respect to TRAC-1 from the impact of programming base levels potentially falling below $700 million.</w:t>
      </w:r>
      <w:r w:rsidR="00424A78" w:rsidRPr="003C26C1">
        <w:t xml:space="preserve"> </w:t>
      </w:r>
      <w:r w:rsidRPr="003C26C1">
        <w:t>This figure can be derived from the “</w:t>
      </w:r>
      <w:hyperlink r:id="rId24" w:history="1">
        <w:r w:rsidRPr="003C26C1">
          <w:rPr>
            <w:rStyle w:val="Hyperlink"/>
          </w:rPr>
          <w:t>RMT Assistant</w:t>
        </w:r>
      </w:hyperlink>
      <w:r w:rsidRPr="003C26C1">
        <w:t>”.</w:t>
      </w:r>
    </w:p>
    <w:p w14:paraId="2440D4B9" w14:textId="77777777" w:rsidR="00D6679C" w:rsidRPr="003C26C1" w:rsidRDefault="00D6679C" w:rsidP="00865ADF">
      <w:pPr>
        <w:pStyle w:val="Heading2"/>
        <w:jc w:val="both"/>
        <w:rPr>
          <w:rFonts w:ascii="Times New Roman" w:hAnsi="Times New Roman"/>
          <w:b w:val="0"/>
          <w:sz w:val="20"/>
        </w:rPr>
      </w:pPr>
    </w:p>
    <w:p w14:paraId="2440D4BA" w14:textId="77777777" w:rsidR="00D6679C" w:rsidRPr="003C26C1" w:rsidRDefault="00D6679C" w:rsidP="00865ADF">
      <w:pPr>
        <w:pStyle w:val="Heading1"/>
        <w:jc w:val="both"/>
        <w:rPr>
          <w:rFonts w:ascii="Times New Roman" w:hAnsi="Times New Roman"/>
          <w:b w:val="0"/>
          <w:sz w:val="20"/>
        </w:rPr>
      </w:pPr>
      <w:r w:rsidRPr="003C26C1">
        <w:rPr>
          <w:rFonts w:ascii="Times New Roman" w:hAnsi="Times New Roman"/>
          <w:sz w:val="20"/>
        </w:rPr>
        <w:t>3. TRAC-2</w:t>
      </w:r>
    </w:p>
    <w:p w14:paraId="2440D4BB" w14:textId="77777777" w:rsidR="00D6679C" w:rsidRPr="003C26C1" w:rsidRDefault="00D6679C" w:rsidP="00865ADF">
      <w:pPr>
        <w:jc w:val="both"/>
      </w:pPr>
      <w:r w:rsidRPr="003C26C1">
        <w:t>Enter the total annual TRAC-2 assignments for the years corresponding to the time period of the CPD.</w:t>
      </w:r>
      <w:r w:rsidR="00424A78" w:rsidRPr="003C26C1">
        <w:t xml:space="preserve"> </w:t>
      </w:r>
      <w:r w:rsidRPr="003C26C1">
        <w:t>TRAC-2 resources are assigned by Regional Bureaux.</w:t>
      </w:r>
    </w:p>
    <w:p w14:paraId="2440D4BC" w14:textId="77777777" w:rsidR="00D6679C" w:rsidRPr="003C26C1" w:rsidRDefault="00D6679C" w:rsidP="00865ADF">
      <w:pPr>
        <w:jc w:val="both"/>
      </w:pPr>
    </w:p>
    <w:p w14:paraId="2440D4BD" w14:textId="77777777" w:rsidR="00D6679C" w:rsidRPr="003C26C1" w:rsidRDefault="00750F1E" w:rsidP="00865ADF">
      <w:pPr>
        <w:pStyle w:val="Heading1"/>
        <w:jc w:val="both"/>
        <w:rPr>
          <w:rFonts w:ascii="Times New Roman" w:hAnsi="Times New Roman"/>
          <w:b w:val="0"/>
          <w:sz w:val="20"/>
        </w:rPr>
      </w:pPr>
      <w:r w:rsidRPr="003C26C1">
        <w:rPr>
          <w:rFonts w:ascii="Times New Roman" w:hAnsi="Times New Roman"/>
          <w:sz w:val="20"/>
          <w:lang w:val="en-US"/>
        </w:rPr>
        <w:t>4</w:t>
      </w:r>
      <w:r w:rsidR="00D6679C" w:rsidRPr="003C26C1">
        <w:rPr>
          <w:rFonts w:ascii="Times New Roman" w:hAnsi="Times New Roman"/>
          <w:sz w:val="20"/>
        </w:rPr>
        <w:t>. TRAC-3</w:t>
      </w:r>
    </w:p>
    <w:p w14:paraId="2440D4BE" w14:textId="77777777" w:rsidR="00D6679C" w:rsidRPr="003C26C1" w:rsidRDefault="00D6679C" w:rsidP="00865ADF">
      <w:pPr>
        <w:pStyle w:val="BodyText3"/>
        <w:tabs>
          <w:tab w:val="clear" w:pos="-720"/>
          <w:tab w:val="clear" w:pos="0"/>
          <w:tab w:val="clear" w:pos="607"/>
          <w:tab w:val="clear" w:pos="1180"/>
          <w:tab w:val="clear" w:pos="1411"/>
          <w:tab w:val="clear" w:pos="2116"/>
          <w:tab w:val="clear" w:pos="2822"/>
          <w:tab w:val="clear" w:pos="3528"/>
          <w:tab w:val="clear" w:pos="4233"/>
          <w:tab w:val="clear" w:pos="4939"/>
          <w:tab w:val="clear" w:pos="5762"/>
          <w:tab w:val="clear" w:pos="6468"/>
          <w:tab w:val="clear" w:pos="7173"/>
          <w:tab w:val="clear" w:pos="7879"/>
          <w:tab w:val="clear" w:pos="8584"/>
          <w:tab w:val="clear" w:pos="9290"/>
          <w:tab w:val="clear" w:pos="9996"/>
          <w:tab w:val="clear" w:pos="10701"/>
          <w:tab w:val="clear" w:pos="11407"/>
        </w:tabs>
        <w:suppressAutoHyphens w:val="0"/>
        <w:rPr>
          <w:sz w:val="20"/>
        </w:rPr>
      </w:pPr>
      <w:r w:rsidRPr="003C26C1">
        <w:rPr>
          <w:sz w:val="20"/>
        </w:rPr>
        <w:t>Enter the amount attributable to the CPD period as confirmed by the fund manager of TRAC-3 resources.</w:t>
      </w:r>
    </w:p>
    <w:p w14:paraId="2440D4BF" w14:textId="77777777" w:rsidR="00D6679C" w:rsidRPr="003C26C1" w:rsidRDefault="00D6679C" w:rsidP="00865ADF">
      <w:pPr>
        <w:pStyle w:val="BodyText3"/>
        <w:tabs>
          <w:tab w:val="clear" w:pos="-720"/>
          <w:tab w:val="clear" w:pos="0"/>
          <w:tab w:val="clear" w:pos="607"/>
          <w:tab w:val="clear" w:pos="1180"/>
          <w:tab w:val="clear" w:pos="1411"/>
          <w:tab w:val="clear" w:pos="2116"/>
          <w:tab w:val="clear" w:pos="2822"/>
          <w:tab w:val="clear" w:pos="3528"/>
          <w:tab w:val="clear" w:pos="4233"/>
          <w:tab w:val="clear" w:pos="4939"/>
          <w:tab w:val="clear" w:pos="5762"/>
          <w:tab w:val="clear" w:pos="6468"/>
          <w:tab w:val="clear" w:pos="7173"/>
          <w:tab w:val="clear" w:pos="7879"/>
          <w:tab w:val="clear" w:pos="8584"/>
          <w:tab w:val="clear" w:pos="9290"/>
          <w:tab w:val="clear" w:pos="9996"/>
          <w:tab w:val="clear" w:pos="10701"/>
          <w:tab w:val="clear" w:pos="11407"/>
        </w:tabs>
        <w:suppressAutoHyphens w:val="0"/>
        <w:rPr>
          <w:sz w:val="20"/>
        </w:rPr>
      </w:pPr>
    </w:p>
    <w:p w14:paraId="2440D4C0" w14:textId="77777777" w:rsidR="00D6679C" w:rsidRPr="003C26C1" w:rsidRDefault="00D6679C" w:rsidP="00865ADF">
      <w:pPr>
        <w:jc w:val="both"/>
      </w:pPr>
      <w:r w:rsidRPr="003C26C1">
        <w:rPr>
          <w:b/>
        </w:rPr>
        <w:t>5. South-South contributions</w:t>
      </w:r>
    </w:p>
    <w:p w14:paraId="2440D4C1" w14:textId="2DD7746A"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Enter the total contributions</w:t>
      </w:r>
      <w:r w:rsidR="007925B6">
        <w:rPr>
          <w:rFonts w:ascii="Times New Roman" w:hAnsi="Times New Roman" w:cs="Times New Roman"/>
          <w:sz w:val="20"/>
          <w:szCs w:val="20"/>
        </w:rPr>
        <w:t xml:space="preserve"> from other programme countries</w:t>
      </w:r>
      <w:r w:rsidRPr="003C26C1">
        <w:rPr>
          <w:rFonts w:ascii="Times New Roman" w:hAnsi="Times New Roman" w:cs="Times New Roman"/>
          <w:sz w:val="20"/>
          <w:szCs w:val="20"/>
        </w:rPr>
        <w:t xml:space="preserve"> expected to be mobilized during the CPD period.</w:t>
      </w:r>
    </w:p>
    <w:p w14:paraId="2440D4C2" w14:textId="77777777" w:rsidR="00D6679C" w:rsidRPr="003C26C1" w:rsidRDefault="00D6679C" w:rsidP="00865ADF">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rPr>
          <w:b/>
        </w:rPr>
      </w:pPr>
    </w:p>
    <w:p w14:paraId="2440D4C3" w14:textId="77777777" w:rsidR="00D6679C" w:rsidRPr="003C26C1" w:rsidRDefault="00D6679C" w:rsidP="00865ADF">
      <w:pPr>
        <w:pStyle w:val="Subtitle"/>
        <w:jc w:val="both"/>
        <w:rPr>
          <w:rFonts w:ascii="Times New Roman" w:hAnsi="Times New Roman" w:cs="Times New Roman"/>
          <w:b/>
          <w:sz w:val="20"/>
          <w:szCs w:val="20"/>
        </w:rPr>
      </w:pPr>
      <w:r w:rsidRPr="003C26C1">
        <w:rPr>
          <w:rFonts w:ascii="Times New Roman" w:hAnsi="Times New Roman" w:cs="Times New Roman"/>
          <w:b/>
          <w:sz w:val="20"/>
          <w:szCs w:val="20"/>
        </w:rPr>
        <w:t>6. Government Cost Sharing and Third Party Cost Sharing</w:t>
      </w:r>
    </w:p>
    <w:p w14:paraId="2440D4C4" w14:textId="77777777"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lastRenderedPageBreak/>
        <w:t xml:space="preserve">Enter separately the total of government and third party cost sharing expected to be mobilized during the CPD period as reflected in the </w:t>
      </w:r>
      <w:r w:rsidRPr="003C26C1">
        <w:rPr>
          <w:rFonts w:ascii="Times New Roman" w:hAnsi="Times New Roman" w:cs="Times New Roman"/>
          <w:i/>
          <w:sz w:val="20"/>
          <w:szCs w:val="20"/>
        </w:rPr>
        <w:t>Results and Resources Framework</w:t>
      </w:r>
      <w:r w:rsidRPr="003C26C1">
        <w:rPr>
          <w:rFonts w:ascii="Times New Roman" w:hAnsi="Times New Roman" w:cs="Times New Roman"/>
          <w:sz w:val="20"/>
          <w:szCs w:val="20"/>
        </w:rPr>
        <w:t xml:space="preserve"> of the </w:t>
      </w:r>
      <w:r w:rsidRPr="003C26C1">
        <w:rPr>
          <w:rFonts w:ascii="Times New Roman" w:hAnsi="Times New Roman" w:cs="Times New Roman"/>
          <w:i/>
          <w:sz w:val="20"/>
          <w:szCs w:val="20"/>
        </w:rPr>
        <w:t xml:space="preserve">Indicative resources by outcome </w:t>
      </w:r>
      <w:r w:rsidRPr="003C26C1">
        <w:rPr>
          <w:rFonts w:ascii="Times New Roman" w:hAnsi="Times New Roman" w:cs="Times New Roman"/>
          <w:sz w:val="20"/>
          <w:szCs w:val="20"/>
        </w:rPr>
        <w:t>column).</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Please note that all amounts should be denominated in US dollars.</w:t>
      </w:r>
    </w:p>
    <w:p w14:paraId="2440D4C5" w14:textId="77777777" w:rsidR="00D6679C" w:rsidRPr="003C26C1" w:rsidRDefault="00D6679C" w:rsidP="00865ADF">
      <w:pPr>
        <w:pStyle w:val="Subtitle"/>
        <w:jc w:val="both"/>
        <w:rPr>
          <w:rFonts w:ascii="Times New Roman" w:hAnsi="Times New Roman" w:cs="Times New Roman"/>
          <w:sz w:val="20"/>
          <w:szCs w:val="20"/>
        </w:rPr>
      </w:pPr>
    </w:p>
    <w:p w14:paraId="2440D4C6" w14:textId="77777777" w:rsidR="00D6679C" w:rsidRPr="003C26C1" w:rsidRDefault="00D6679C" w:rsidP="00865ADF">
      <w:pPr>
        <w:pStyle w:val="Subtitle"/>
        <w:jc w:val="both"/>
        <w:rPr>
          <w:rFonts w:ascii="Times New Roman" w:hAnsi="Times New Roman" w:cs="Times New Roman"/>
          <w:b/>
          <w:sz w:val="20"/>
          <w:szCs w:val="20"/>
        </w:rPr>
      </w:pPr>
      <w:r w:rsidRPr="003C26C1">
        <w:rPr>
          <w:rFonts w:ascii="Times New Roman" w:hAnsi="Times New Roman" w:cs="Times New Roman"/>
          <w:b/>
          <w:sz w:val="20"/>
          <w:szCs w:val="20"/>
        </w:rPr>
        <w:t>7. Thematic funds</w:t>
      </w:r>
    </w:p>
    <w:p w14:paraId="2440D4C7" w14:textId="3D99CEAA"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 xml:space="preserve">This includes funds from UNDP-administered </w:t>
      </w:r>
      <w:r w:rsidR="00EE64CC">
        <w:rPr>
          <w:rFonts w:ascii="Times New Roman" w:hAnsi="Times New Roman" w:cs="Times New Roman"/>
          <w:sz w:val="20"/>
          <w:szCs w:val="20"/>
        </w:rPr>
        <w:t>funding windows</w:t>
      </w:r>
      <w:r w:rsidRPr="003C26C1">
        <w:rPr>
          <w:rFonts w:ascii="Times New Roman" w:hAnsi="Times New Roman" w:cs="Times New Roman"/>
          <w:sz w:val="20"/>
          <w:szCs w:val="20"/>
        </w:rPr>
        <w:t>, and other resources mobilized that are tied to specific themes. Indicate each source of funding and corresponding amount.</w:t>
      </w:r>
    </w:p>
    <w:p w14:paraId="2440D4C8" w14:textId="77777777" w:rsidR="00D6679C" w:rsidRPr="003C26C1" w:rsidRDefault="00D6679C" w:rsidP="00865ADF">
      <w:pPr>
        <w:pStyle w:val="Subtitle"/>
        <w:jc w:val="both"/>
        <w:rPr>
          <w:rFonts w:ascii="Times New Roman" w:hAnsi="Times New Roman" w:cs="Times New Roman"/>
          <w:sz w:val="20"/>
          <w:szCs w:val="20"/>
        </w:rPr>
      </w:pPr>
    </w:p>
    <w:p w14:paraId="2440D4C9" w14:textId="77777777" w:rsidR="00D6679C" w:rsidRPr="003C26C1" w:rsidRDefault="00D6679C" w:rsidP="00865ADF">
      <w:pPr>
        <w:pStyle w:val="Subtitle"/>
        <w:jc w:val="both"/>
        <w:rPr>
          <w:rFonts w:ascii="Times New Roman" w:hAnsi="Times New Roman" w:cs="Times New Roman"/>
          <w:b/>
          <w:sz w:val="20"/>
          <w:szCs w:val="20"/>
        </w:rPr>
      </w:pPr>
      <w:r w:rsidRPr="003C26C1">
        <w:rPr>
          <w:rFonts w:ascii="Times New Roman" w:hAnsi="Times New Roman" w:cs="Times New Roman"/>
          <w:b/>
          <w:sz w:val="20"/>
          <w:szCs w:val="20"/>
        </w:rPr>
        <w:t>8. Funds, trust funds and other resources</w:t>
      </w:r>
    </w:p>
    <w:p w14:paraId="2440D4CA" w14:textId="499B5566"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These include funds from UNDP-administered funds such as</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 xml:space="preserve">UNCDF and UNV, sustainable development funds such as GEF, Montreal Protocol and other trust funds. In “Source of funding” column list each source of funding individually. In “Amount” column, first enter the total amount to be mobilized from all funds, and then, under “of which” specify the amount per source of funding as reflected in the </w:t>
      </w:r>
      <w:r w:rsidRPr="003C26C1">
        <w:rPr>
          <w:rFonts w:ascii="Times New Roman" w:hAnsi="Times New Roman" w:cs="Times New Roman"/>
          <w:i/>
          <w:sz w:val="20"/>
          <w:szCs w:val="20"/>
        </w:rPr>
        <w:t>Results and Resources Framework</w:t>
      </w:r>
      <w:r w:rsidRPr="003C26C1">
        <w:rPr>
          <w:rFonts w:ascii="Times New Roman" w:hAnsi="Times New Roman" w:cs="Times New Roman"/>
          <w:sz w:val="20"/>
          <w:szCs w:val="20"/>
        </w:rPr>
        <w:t xml:space="preserve"> of the CPD (see </w:t>
      </w:r>
      <w:r w:rsidRPr="003C26C1">
        <w:rPr>
          <w:rFonts w:ascii="Times New Roman" w:hAnsi="Times New Roman" w:cs="Times New Roman"/>
          <w:i/>
          <w:sz w:val="20"/>
          <w:szCs w:val="20"/>
        </w:rPr>
        <w:t xml:space="preserve">Indicative resources by outcome </w:t>
      </w:r>
      <w:r w:rsidRPr="003C26C1">
        <w:rPr>
          <w:rFonts w:ascii="Times New Roman" w:hAnsi="Times New Roman" w:cs="Times New Roman"/>
          <w:sz w:val="20"/>
          <w:szCs w:val="20"/>
        </w:rPr>
        <w:t>column).</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 xml:space="preserve"> </w:t>
      </w:r>
      <w:r w:rsidRPr="003C26C1">
        <w:rPr>
          <w:rFonts w:ascii="Times New Roman" w:hAnsi="Times New Roman" w:cs="Times New Roman"/>
          <w:b/>
          <w:sz w:val="20"/>
          <w:szCs w:val="20"/>
        </w:rPr>
        <w:t>(Do not include funds from regional and global programmes, or MSAs.)</w:t>
      </w:r>
      <w:r w:rsidR="00424A78" w:rsidRPr="003C26C1">
        <w:rPr>
          <w:rFonts w:ascii="Times New Roman" w:hAnsi="Times New Roman" w:cs="Times New Roman"/>
          <w:b/>
          <w:sz w:val="20"/>
          <w:szCs w:val="20"/>
        </w:rPr>
        <w:t xml:space="preserve"> </w:t>
      </w:r>
    </w:p>
    <w:p w14:paraId="2440D4CB" w14:textId="77777777" w:rsidR="00D6679C" w:rsidRPr="003C26C1" w:rsidRDefault="00D6679C" w:rsidP="00865ADF">
      <w:pPr>
        <w:pStyle w:val="Subtitle"/>
        <w:jc w:val="both"/>
        <w:rPr>
          <w:rFonts w:ascii="Times New Roman" w:hAnsi="Times New Roman" w:cs="Times New Roman"/>
          <w:b/>
          <w:sz w:val="20"/>
          <w:szCs w:val="20"/>
        </w:rPr>
      </w:pPr>
    </w:p>
    <w:p w14:paraId="2440D4CC" w14:textId="77777777" w:rsidR="00D6679C" w:rsidRPr="003C26C1" w:rsidRDefault="00D6679C" w:rsidP="00865ADF">
      <w:pPr>
        <w:pStyle w:val="Subtitle"/>
        <w:jc w:val="both"/>
        <w:rPr>
          <w:rFonts w:ascii="Times New Roman" w:hAnsi="Times New Roman" w:cs="Times New Roman"/>
          <w:sz w:val="20"/>
          <w:szCs w:val="20"/>
          <w:u w:val="single"/>
        </w:rPr>
      </w:pPr>
      <w:r w:rsidRPr="003C26C1">
        <w:rPr>
          <w:rFonts w:ascii="Times New Roman" w:hAnsi="Times New Roman" w:cs="Times New Roman"/>
          <w:sz w:val="20"/>
          <w:szCs w:val="20"/>
          <w:u w:val="single"/>
        </w:rPr>
        <w:t>III. CLEARANCE</w:t>
      </w:r>
    </w:p>
    <w:p w14:paraId="2440D4CD" w14:textId="77777777" w:rsidR="00D6679C" w:rsidRPr="003C26C1" w:rsidRDefault="00D6679C" w:rsidP="00865ADF">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p>
    <w:p w14:paraId="2440D4CE" w14:textId="77777777"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The Regional Bureau confirms the reasonableness of the estimated resources for each funding source.</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 xml:space="preserve">It also confirms the alignment of the financial resources included in the RMT with the CPD (see </w:t>
      </w:r>
      <w:r w:rsidRPr="003C26C1">
        <w:rPr>
          <w:rFonts w:ascii="Times New Roman" w:hAnsi="Times New Roman" w:cs="Times New Roman"/>
          <w:i/>
          <w:sz w:val="20"/>
          <w:szCs w:val="20"/>
        </w:rPr>
        <w:t xml:space="preserve">Indicative resources by outcome </w:t>
      </w:r>
      <w:r w:rsidRPr="003C26C1">
        <w:rPr>
          <w:rFonts w:ascii="Times New Roman" w:hAnsi="Times New Roman" w:cs="Times New Roman"/>
          <w:sz w:val="20"/>
          <w:szCs w:val="20"/>
        </w:rPr>
        <w:t xml:space="preserve">column). </w:t>
      </w:r>
    </w:p>
    <w:p w14:paraId="2440D4CF" w14:textId="77777777" w:rsidR="00D6679C" w:rsidRPr="003C26C1" w:rsidRDefault="00D6679C" w:rsidP="00865ADF">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p>
    <w:p w14:paraId="2440D4D0" w14:textId="728E4E05" w:rsidR="00D6679C" w:rsidRPr="003C26C1" w:rsidRDefault="00D6679C" w:rsidP="00865ADF">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 w:rsidRPr="003C26C1">
        <w:t>The Office of Financial Management (OFM) confirms the estimated TRAC-1 and TRAC-2 carryover, and TRAC-1 and TRAC-2 assignments covering the CPD period.</w:t>
      </w:r>
    </w:p>
    <w:p w14:paraId="2440D4D1" w14:textId="77777777" w:rsidR="00D6679C" w:rsidRPr="003C26C1" w:rsidRDefault="00D6679C" w:rsidP="00865ADF">
      <w:pPr>
        <w:pStyle w:val="Subtitle"/>
        <w:jc w:val="both"/>
        <w:rPr>
          <w:rFonts w:ascii="Times New Roman" w:hAnsi="Times New Roman" w:cs="Times New Roman"/>
          <w:sz w:val="20"/>
          <w:szCs w:val="20"/>
        </w:rPr>
        <w:sectPr w:rsidR="00D6679C" w:rsidRPr="003C26C1" w:rsidSect="00645F5E">
          <w:pgSz w:w="12240" w:h="15840"/>
          <w:pgMar w:top="1152" w:right="1440" w:bottom="1152" w:left="1440" w:header="720" w:footer="720" w:gutter="0"/>
          <w:cols w:space="720"/>
          <w:docGrid w:linePitch="272"/>
        </w:sectPr>
      </w:pPr>
    </w:p>
    <w:p w14:paraId="2440D4D2" w14:textId="77777777" w:rsidR="00D6679C" w:rsidRPr="003C26C1" w:rsidRDefault="00D6679C" w:rsidP="00D6679C">
      <w:pPr>
        <w:pStyle w:val="Subtitle"/>
        <w:rPr>
          <w:rFonts w:ascii="Times New Roman" w:hAnsi="Times New Roman" w:cs="Times New Roman"/>
          <w:sz w:val="20"/>
          <w:szCs w:val="20"/>
        </w:rPr>
      </w:pPr>
      <w:r w:rsidRPr="003C26C1">
        <w:rPr>
          <w:rFonts w:ascii="Times New Roman" w:hAnsi="Times New Roman" w:cs="Times New Roman"/>
          <w:sz w:val="20"/>
          <w:szCs w:val="20"/>
        </w:rPr>
        <w:lastRenderedPageBreak/>
        <w:t>Country Programme Document (CPD)</w:t>
      </w:r>
    </w:p>
    <w:p w14:paraId="2440D4D3" w14:textId="77777777" w:rsidR="00D6679C" w:rsidRPr="003C26C1" w:rsidRDefault="00D6679C" w:rsidP="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center"/>
        <w:rPr>
          <w:b/>
        </w:rPr>
      </w:pPr>
      <w:r w:rsidRPr="003C26C1">
        <w:rPr>
          <w:b/>
        </w:rPr>
        <w:t>RESOURCE MOBILIZATION TARGET TABLE</w:t>
      </w:r>
    </w:p>
    <w:p w14:paraId="2440D4D4" w14:textId="77777777" w:rsidR="00D6679C" w:rsidRPr="003C26C1" w:rsidRDefault="00D6679C" w:rsidP="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center"/>
      </w:pPr>
      <w:r w:rsidRPr="003C26C1">
        <w:t>(In thousands of United States dollars)</w:t>
      </w:r>
    </w:p>
    <w:p w14:paraId="2440D4D5" w14:textId="77777777" w:rsidR="00D6679C" w:rsidRPr="003C26C1" w:rsidRDefault="00D6679C" w:rsidP="00D6679C">
      <w:pPr>
        <w:pStyle w:val="Heading2"/>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rPr>
          <w:rFonts w:ascii="Times New Roman" w:hAnsi="Times New Roman"/>
          <w:b w:val="0"/>
          <w:sz w:val="20"/>
        </w:rPr>
      </w:pPr>
    </w:p>
    <w:p w14:paraId="2440D4D6" w14:textId="77777777" w:rsidR="00D6679C" w:rsidRPr="003C26C1" w:rsidRDefault="00D6679C" w:rsidP="00D6679C">
      <w:pPr>
        <w:pStyle w:val="Heading2"/>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rPr>
          <w:rFonts w:ascii="Times New Roman" w:hAnsi="Times New Roman"/>
          <w:i/>
          <w:sz w:val="20"/>
        </w:rPr>
      </w:pPr>
      <w:r w:rsidRPr="003C26C1">
        <w:rPr>
          <w:rFonts w:ascii="Times New Roman" w:hAnsi="Times New Roman"/>
          <w:sz w:val="20"/>
        </w:rPr>
        <w:t>Country:</w:t>
      </w:r>
      <w:r w:rsidRPr="003C26C1">
        <w:rPr>
          <w:rFonts w:ascii="Times New Roman" w:hAnsi="Times New Roman"/>
          <w:sz w:val="20"/>
        </w:rPr>
        <w:tab/>
      </w:r>
      <w:r w:rsidRPr="003C26C1">
        <w:rPr>
          <w:rFonts w:ascii="Times New Roman" w:hAnsi="Times New Roman"/>
          <w:i/>
          <w:sz w:val="20"/>
        </w:rPr>
        <w:t>(name of country)</w:t>
      </w:r>
    </w:p>
    <w:p w14:paraId="2440D4D7" w14:textId="77777777" w:rsidR="00D6679C" w:rsidRPr="003C26C1" w:rsidRDefault="00D6679C" w:rsidP="001913A7">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center"/>
        <w:rPr>
          <w:b/>
          <w:vanish/>
        </w:rPr>
      </w:pPr>
    </w:p>
    <w:p w14:paraId="2440D4D8" w14:textId="77777777" w:rsidR="00D6679C" w:rsidRPr="003C26C1" w:rsidRDefault="00D6679C" w:rsidP="001913A7">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rPr>
          <w:b/>
          <w:vanish/>
        </w:rPr>
      </w:pPr>
      <w:r w:rsidRPr="003C26C1">
        <w:rPr>
          <w:b/>
          <w:vanish/>
        </w:rPr>
        <w:t>Country:</w:t>
      </w:r>
    </w:p>
    <w:p w14:paraId="2440D4D9" w14:textId="77777777" w:rsidR="00D6679C" w:rsidRPr="003C26C1" w:rsidRDefault="00D6679C" w:rsidP="001913A7">
      <w:pPr>
        <w:pStyle w:val="BodyText2"/>
        <w:tabs>
          <w:tab w:val="left" w:pos="1170"/>
          <w:tab w:val="left" w:pos="1260"/>
        </w:tabs>
        <w:suppressAutoHyphens/>
        <w:rPr>
          <w:sz w:val="20"/>
        </w:rPr>
      </w:pPr>
      <w:r w:rsidRPr="003C26C1">
        <w:rPr>
          <w:b/>
          <w:sz w:val="20"/>
        </w:rPr>
        <w:t>Period:</w:t>
      </w:r>
      <w:r w:rsidRPr="003C26C1">
        <w:rPr>
          <w:sz w:val="20"/>
        </w:rPr>
        <w:tab/>
      </w:r>
      <w:r w:rsidRPr="003C26C1">
        <w:rPr>
          <w:i/>
          <w:sz w:val="20"/>
        </w:rPr>
        <w:t>(from start year – to end year)</w:t>
      </w:r>
    </w:p>
    <w:p w14:paraId="2440D4DA" w14:textId="77777777" w:rsidR="00D6679C" w:rsidRPr="003C26C1" w:rsidRDefault="00D6679C" w:rsidP="001913A7">
      <w:pPr>
        <w:tabs>
          <w:tab w:val="center" w:pos="4824"/>
        </w:tabs>
        <w:suppressAutoHyphens/>
        <w:rPr>
          <w:b/>
        </w:rPr>
      </w:pPr>
    </w:p>
    <w:p w14:paraId="2440D4DB" w14:textId="77777777" w:rsidR="00D6679C" w:rsidRPr="003C26C1" w:rsidRDefault="00D6679C" w:rsidP="001913A7">
      <w:pPr>
        <w:pStyle w:val="FootnoteText"/>
        <w:tabs>
          <w:tab w:val="center" w:pos="4824"/>
        </w:tabs>
        <w:suppressAutoHyphens/>
        <w:rPr>
          <w:rFonts w:ascii="Times New Roman" w:hAnsi="Times New Roman"/>
          <w:b/>
          <w:color w:val="000000"/>
        </w:rPr>
      </w:pPr>
      <w:r w:rsidRPr="003C26C1">
        <w:rPr>
          <w:rFonts w:ascii="Times New Roman" w:hAnsi="Times New Roman"/>
          <w:b/>
          <w:color w:val="000000"/>
        </w:rPr>
        <w:t>For CPD extensions only:</w:t>
      </w:r>
    </w:p>
    <w:p w14:paraId="2440D4DC" w14:textId="77777777" w:rsidR="00D6679C" w:rsidRPr="003C26C1" w:rsidRDefault="00D6679C" w:rsidP="001913A7">
      <w:pPr>
        <w:tabs>
          <w:tab w:val="center" w:pos="4824"/>
        </w:tabs>
        <w:suppressAutoHyphens/>
        <w:ind w:left="720"/>
        <w:rPr>
          <w:b/>
        </w:rPr>
      </w:pPr>
      <w:r w:rsidRPr="003C26C1">
        <w:rPr>
          <w:b/>
        </w:rPr>
        <w:t xml:space="preserve">Original CPD period: </w:t>
      </w:r>
      <w:r w:rsidRPr="003C26C1">
        <w:rPr>
          <w:i/>
        </w:rPr>
        <w:t>(from start year – to end year)</w:t>
      </w:r>
    </w:p>
    <w:p w14:paraId="2440D4DD" w14:textId="77777777" w:rsidR="00D6679C" w:rsidRPr="003C26C1" w:rsidRDefault="00D6679C" w:rsidP="001913A7">
      <w:pPr>
        <w:tabs>
          <w:tab w:val="center" w:pos="4824"/>
        </w:tabs>
        <w:suppressAutoHyphens/>
        <w:ind w:left="720"/>
        <w:rPr>
          <w:b/>
        </w:rPr>
      </w:pPr>
      <w:r w:rsidRPr="003C26C1">
        <w:rPr>
          <w:b/>
        </w:rPr>
        <w:t xml:space="preserve">Extended for </w:t>
      </w:r>
      <w:r w:rsidRPr="003C26C1">
        <w:rPr>
          <w:i/>
        </w:rPr>
        <w:t>(number of years)</w:t>
      </w:r>
      <w:r w:rsidRPr="003C26C1">
        <w:rPr>
          <w:b/>
        </w:rPr>
        <w:t xml:space="preserve"> from </w:t>
      </w:r>
      <w:r w:rsidRPr="003C26C1">
        <w:rPr>
          <w:i/>
        </w:rPr>
        <w:t>(year)</w:t>
      </w:r>
      <w:r w:rsidRPr="003C26C1">
        <w:rPr>
          <w:b/>
        </w:rPr>
        <w:t xml:space="preserve"> to end of </w:t>
      </w:r>
      <w:r w:rsidRPr="003C26C1">
        <w:rPr>
          <w:i/>
        </w:rPr>
        <w:t>(year)</w:t>
      </w:r>
      <w:r w:rsidRPr="003C26C1">
        <w:rPr>
          <w:b/>
        </w:rPr>
        <w:t xml:space="preserve"> </w:t>
      </w:r>
    </w:p>
    <w:p w14:paraId="2440D4DE" w14:textId="77777777" w:rsidR="00D6679C" w:rsidRPr="003C26C1" w:rsidRDefault="00D6679C" w:rsidP="001913A7">
      <w:pPr>
        <w:tabs>
          <w:tab w:val="center" w:pos="4824"/>
        </w:tabs>
        <w:suppressAutoHyphens/>
        <w:ind w:left="720"/>
        <w:rPr>
          <w:b/>
        </w:rPr>
      </w:pPr>
      <w:r w:rsidRPr="003C26C1">
        <w:rPr>
          <w:b/>
        </w:rPr>
        <w:t xml:space="preserve">Revised period: </w:t>
      </w:r>
      <w:r w:rsidRPr="003C26C1">
        <w:rPr>
          <w:i/>
        </w:rPr>
        <w:t>(from start year – to end year)</w:t>
      </w:r>
    </w:p>
    <w:p w14:paraId="2440D4DF" w14:textId="77777777" w:rsidR="00D6679C" w:rsidRPr="003C26C1" w:rsidRDefault="00D6679C" w:rsidP="00D6679C">
      <w:pPr>
        <w:tabs>
          <w:tab w:val="center" w:pos="4824"/>
        </w:tabs>
        <w:suppressAutoHyphens/>
        <w:spacing w:line="281" w:lineRule="auto"/>
        <w:jc w:val="center"/>
      </w:pPr>
    </w:p>
    <w:tbl>
      <w:tblPr>
        <w:tblW w:w="9360" w:type="dxa"/>
        <w:tblInd w:w="72" w:type="dxa"/>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285"/>
        <w:gridCol w:w="1350"/>
        <w:gridCol w:w="4725"/>
      </w:tblGrid>
      <w:tr w:rsidR="00D6679C" w:rsidRPr="003C26C1" w14:paraId="2440D4E3" w14:textId="77777777" w:rsidTr="00EE5ED7">
        <w:tc>
          <w:tcPr>
            <w:tcW w:w="3285" w:type="dxa"/>
            <w:shd w:val="clear" w:color="auto" w:fill="DBE5F1" w:themeFill="accent1" w:themeFillTint="33"/>
          </w:tcPr>
          <w:p w14:paraId="2440D4E0"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center"/>
              <w:rPr>
                <w:b/>
              </w:rPr>
            </w:pPr>
            <w:r w:rsidRPr="003C26C1">
              <w:rPr>
                <w:b/>
              </w:rPr>
              <w:fldChar w:fldCharType="begin"/>
            </w:r>
            <w:r w:rsidRPr="003C26C1">
              <w:rPr>
                <w:b/>
              </w:rPr>
              <w:instrText xml:space="preserve">PRIVATE </w:instrText>
            </w:r>
            <w:r w:rsidRPr="003C26C1">
              <w:rPr>
                <w:b/>
              </w:rPr>
              <w:fldChar w:fldCharType="end"/>
            </w:r>
            <w:r w:rsidRPr="003C26C1">
              <w:rPr>
                <w:b/>
              </w:rPr>
              <w:t>Source of Funding</w:t>
            </w:r>
          </w:p>
        </w:tc>
        <w:tc>
          <w:tcPr>
            <w:tcW w:w="1350" w:type="dxa"/>
            <w:shd w:val="clear" w:color="auto" w:fill="DBE5F1" w:themeFill="accent1" w:themeFillTint="33"/>
          </w:tcPr>
          <w:p w14:paraId="2440D4E1"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center"/>
              <w:rPr>
                <w:b/>
              </w:rPr>
            </w:pPr>
            <w:r w:rsidRPr="003C26C1">
              <w:rPr>
                <w:b/>
              </w:rPr>
              <w:t>Amount</w:t>
            </w:r>
          </w:p>
        </w:tc>
        <w:tc>
          <w:tcPr>
            <w:tcW w:w="4725" w:type="dxa"/>
            <w:shd w:val="clear" w:color="auto" w:fill="DBE5F1" w:themeFill="accent1" w:themeFillTint="33"/>
          </w:tcPr>
          <w:p w14:paraId="2440D4E2"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center"/>
              <w:rPr>
                <w:b/>
              </w:rPr>
            </w:pPr>
            <w:r w:rsidRPr="003C26C1">
              <w:rPr>
                <w:b/>
              </w:rPr>
              <w:t>Comments</w:t>
            </w:r>
          </w:p>
        </w:tc>
      </w:tr>
      <w:tr w:rsidR="00D6679C" w:rsidRPr="003C26C1" w14:paraId="2440D4E7" w14:textId="77777777" w:rsidTr="00EE5ED7">
        <w:tc>
          <w:tcPr>
            <w:tcW w:w="3285" w:type="dxa"/>
            <w:shd w:val="clear" w:color="auto" w:fill="DBE5F1" w:themeFill="accent1" w:themeFillTint="33"/>
          </w:tcPr>
          <w:p w14:paraId="2440D4E4"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b/>
              </w:rPr>
            </w:pPr>
            <w:r w:rsidRPr="003C26C1">
              <w:rPr>
                <w:b/>
              </w:rPr>
              <w:t>UNDP REGULAR RESOURCES</w:t>
            </w:r>
          </w:p>
        </w:tc>
        <w:tc>
          <w:tcPr>
            <w:tcW w:w="1350" w:type="dxa"/>
            <w:shd w:val="clear" w:color="auto" w:fill="DBE5F1" w:themeFill="accent1" w:themeFillTint="33"/>
          </w:tcPr>
          <w:p w14:paraId="2440D4E5"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shd w:val="clear" w:color="auto" w:fill="DBE5F1" w:themeFill="accent1" w:themeFillTint="33"/>
          </w:tcPr>
          <w:p w14:paraId="2440D4E6"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p>
        </w:tc>
      </w:tr>
      <w:tr w:rsidR="00D6679C" w:rsidRPr="003C26C1" w14:paraId="2440D4EB" w14:textId="77777777" w:rsidTr="00EE5ED7">
        <w:tc>
          <w:tcPr>
            <w:tcW w:w="3285" w:type="dxa"/>
          </w:tcPr>
          <w:p w14:paraId="2440D4E8"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ind w:firstLine="18"/>
            </w:pPr>
            <w:r w:rsidRPr="003C26C1">
              <w:t>TRAC-1 and TRAC-2 estimated carryover</w:t>
            </w:r>
          </w:p>
        </w:tc>
        <w:tc>
          <w:tcPr>
            <w:tcW w:w="1350" w:type="dxa"/>
          </w:tcPr>
          <w:p w14:paraId="2440D4E9"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4EA"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rPr>
            </w:pPr>
            <w:r w:rsidRPr="003C26C1">
              <w:rPr>
                <w:i/>
                <w:color w:val="0070C0"/>
              </w:rPr>
              <w:t>[This can also be negative]</w:t>
            </w:r>
          </w:p>
        </w:tc>
      </w:tr>
      <w:tr w:rsidR="00D6679C" w:rsidRPr="003C26C1" w14:paraId="2440D4EF" w14:textId="77777777" w:rsidTr="00EE5ED7">
        <w:tc>
          <w:tcPr>
            <w:tcW w:w="3285" w:type="dxa"/>
          </w:tcPr>
          <w:p w14:paraId="2440D4EC"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TRAC-1 *</w:t>
            </w:r>
            <w:r w:rsidRPr="003C26C1">
              <w:tab/>
            </w:r>
          </w:p>
        </w:tc>
        <w:tc>
          <w:tcPr>
            <w:tcW w:w="1350" w:type="dxa"/>
          </w:tcPr>
          <w:p w14:paraId="2440D4ED" w14:textId="77777777" w:rsidR="00D6679C" w:rsidRPr="003C26C1" w:rsidRDefault="00424A78"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 xml:space="preserve"> </w:t>
            </w:r>
            <w:r w:rsidR="00D6679C" w:rsidRPr="003C26C1">
              <w:t xml:space="preserve"> </w:t>
            </w:r>
          </w:p>
        </w:tc>
        <w:tc>
          <w:tcPr>
            <w:tcW w:w="4725" w:type="dxa"/>
          </w:tcPr>
          <w:p w14:paraId="2440D4EE"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Assigned immediately to country for the CPD period</w:t>
            </w:r>
          </w:p>
        </w:tc>
      </w:tr>
      <w:tr w:rsidR="00D6679C" w:rsidRPr="003C26C1" w14:paraId="2440D4F3" w14:textId="77777777" w:rsidTr="00EE5ED7">
        <w:tc>
          <w:tcPr>
            <w:tcW w:w="3285" w:type="dxa"/>
          </w:tcPr>
          <w:p w14:paraId="2440D4F0"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TRAC-2</w:t>
            </w:r>
          </w:p>
        </w:tc>
        <w:tc>
          <w:tcPr>
            <w:tcW w:w="1350" w:type="dxa"/>
          </w:tcPr>
          <w:p w14:paraId="2440D4F1" w14:textId="77777777" w:rsidR="00D6679C" w:rsidRPr="003C26C1" w:rsidRDefault="00424A78"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 xml:space="preserve"> </w:t>
            </w:r>
            <w:r w:rsidR="00D6679C" w:rsidRPr="003C26C1">
              <w:t xml:space="preserve"> </w:t>
            </w:r>
          </w:p>
        </w:tc>
        <w:tc>
          <w:tcPr>
            <w:tcW w:w="4725" w:type="dxa"/>
          </w:tcPr>
          <w:p w14:paraId="2440D4F2"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Assigned by the Regional Bureau</w:t>
            </w:r>
          </w:p>
        </w:tc>
      </w:tr>
      <w:tr w:rsidR="00D6679C" w:rsidRPr="003C26C1" w14:paraId="2440D4F7" w14:textId="77777777" w:rsidTr="00EE5ED7">
        <w:tc>
          <w:tcPr>
            <w:tcW w:w="3285" w:type="dxa"/>
          </w:tcPr>
          <w:p w14:paraId="2440D4F4"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TRAC-3</w:t>
            </w:r>
          </w:p>
        </w:tc>
        <w:tc>
          <w:tcPr>
            <w:tcW w:w="1350" w:type="dxa"/>
          </w:tcPr>
          <w:p w14:paraId="2440D4F5"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7AF4504C" w14:textId="77777777" w:rsidR="00CA6A39"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color w:val="0070C0"/>
              </w:rPr>
            </w:pPr>
            <w:r w:rsidRPr="003C26C1">
              <w:rPr>
                <w:color w:val="000000"/>
              </w:rPr>
              <w:t>Assigned by the fund manager of TRAC-3 resources</w:t>
            </w:r>
            <w:r w:rsidRPr="003C26C1">
              <w:rPr>
                <w:i/>
                <w:color w:val="0070C0"/>
              </w:rPr>
              <w:t xml:space="preserve"> </w:t>
            </w:r>
          </w:p>
          <w:p w14:paraId="2440D4F6" w14:textId="073B2212"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after="60"/>
              <w:rPr>
                <w:i/>
                <w:color w:val="548DD4"/>
              </w:rPr>
            </w:pPr>
            <w:r w:rsidRPr="003C26C1">
              <w:rPr>
                <w:i/>
                <w:color w:val="0070C0"/>
              </w:rPr>
              <w:t>For countries in special development situations only</w:t>
            </w:r>
          </w:p>
        </w:tc>
      </w:tr>
      <w:tr w:rsidR="00D6679C" w:rsidRPr="003C26C1" w14:paraId="2440D4FB" w14:textId="77777777" w:rsidTr="00EE5ED7">
        <w:tc>
          <w:tcPr>
            <w:tcW w:w="3285" w:type="dxa"/>
          </w:tcPr>
          <w:p w14:paraId="2440D4F8"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b/>
              </w:rPr>
            </w:pPr>
            <w:r w:rsidRPr="003C26C1">
              <w:rPr>
                <w:b/>
              </w:rPr>
              <w:t>Subtotal</w:t>
            </w:r>
          </w:p>
        </w:tc>
        <w:tc>
          <w:tcPr>
            <w:tcW w:w="1350" w:type="dxa"/>
          </w:tcPr>
          <w:p w14:paraId="2440D4F9"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4FA" w14:textId="6D98DC61"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rPr>
            </w:pPr>
            <w:r w:rsidRPr="003C26C1">
              <w:rPr>
                <w:i/>
                <w:color w:val="0070C0"/>
              </w:rPr>
              <w:t>Subtotal of Regular Resources</w:t>
            </w:r>
          </w:p>
        </w:tc>
      </w:tr>
      <w:tr w:rsidR="00D6679C" w:rsidRPr="003C26C1" w14:paraId="2440D4FF" w14:textId="77777777" w:rsidTr="00EE5ED7">
        <w:tc>
          <w:tcPr>
            <w:tcW w:w="3285" w:type="dxa"/>
            <w:shd w:val="clear" w:color="auto" w:fill="DBE5F1" w:themeFill="accent1" w:themeFillTint="33"/>
          </w:tcPr>
          <w:p w14:paraId="2440D4FC"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b/>
              </w:rPr>
            </w:pPr>
            <w:r w:rsidRPr="003C26C1">
              <w:rPr>
                <w:b/>
              </w:rPr>
              <w:t>UNDP OTHER RESOURCES</w:t>
            </w:r>
          </w:p>
        </w:tc>
        <w:tc>
          <w:tcPr>
            <w:tcW w:w="1350" w:type="dxa"/>
            <w:shd w:val="clear" w:color="auto" w:fill="DBE5F1" w:themeFill="accent1" w:themeFillTint="33"/>
          </w:tcPr>
          <w:p w14:paraId="2440D4FD"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shd w:val="clear" w:color="auto" w:fill="DBE5F1" w:themeFill="accent1" w:themeFillTint="33"/>
          </w:tcPr>
          <w:p w14:paraId="2440D4FE"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p>
        </w:tc>
      </w:tr>
      <w:tr w:rsidR="00D6679C" w:rsidRPr="003C26C1" w14:paraId="2440D503" w14:textId="77777777" w:rsidTr="00EE5ED7">
        <w:tc>
          <w:tcPr>
            <w:tcW w:w="3285" w:type="dxa"/>
          </w:tcPr>
          <w:p w14:paraId="2440D500" w14:textId="1C4B6B8E"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 xml:space="preserve">Government </w:t>
            </w:r>
            <w:r w:rsidR="0049682B">
              <w:t>Financing</w:t>
            </w:r>
            <w:r w:rsidRPr="003C26C1">
              <w:t xml:space="preserve"> </w:t>
            </w:r>
          </w:p>
        </w:tc>
        <w:tc>
          <w:tcPr>
            <w:tcW w:w="1350" w:type="dxa"/>
          </w:tcPr>
          <w:p w14:paraId="2440D501" w14:textId="77777777" w:rsidR="00D6679C" w:rsidRPr="003C26C1" w:rsidRDefault="00424A78"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 xml:space="preserve"> </w:t>
            </w:r>
            <w:r w:rsidR="00D6679C" w:rsidRPr="003C26C1">
              <w:t xml:space="preserve"> </w:t>
            </w:r>
          </w:p>
        </w:tc>
        <w:tc>
          <w:tcPr>
            <w:tcW w:w="4725" w:type="dxa"/>
          </w:tcPr>
          <w:p w14:paraId="2440D502"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p>
        </w:tc>
      </w:tr>
      <w:tr w:rsidR="00D6679C" w:rsidRPr="003C26C1" w14:paraId="2440D507" w14:textId="77777777" w:rsidTr="00EE5ED7">
        <w:tc>
          <w:tcPr>
            <w:tcW w:w="3285" w:type="dxa"/>
          </w:tcPr>
          <w:p w14:paraId="2440D504"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South-South contributions</w:t>
            </w:r>
          </w:p>
        </w:tc>
        <w:tc>
          <w:tcPr>
            <w:tcW w:w="1350" w:type="dxa"/>
          </w:tcPr>
          <w:p w14:paraId="2440D505"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506" w14:textId="7AA17079" w:rsidR="00D6679C" w:rsidRPr="003C26C1" w:rsidRDefault="00CA6A39"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ind w:right="-90"/>
            </w:pPr>
            <w:r>
              <w:rPr>
                <w:i/>
                <w:color w:val="0070C0"/>
              </w:rPr>
              <w:t>I</w:t>
            </w:r>
            <w:r w:rsidR="00D6679C" w:rsidRPr="003C26C1">
              <w:rPr>
                <w:i/>
                <w:color w:val="0070C0"/>
              </w:rPr>
              <w:t>ncludes resources contributed by programme countries</w:t>
            </w:r>
          </w:p>
        </w:tc>
      </w:tr>
      <w:tr w:rsidR="00D6679C" w:rsidRPr="003C26C1" w14:paraId="2440D50B" w14:textId="77777777" w:rsidTr="00EE5ED7">
        <w:tc>
          <w:tcPr>
            <w:tcW w:w="3285" w:type="dxa"/>
          </w:tcPr>
          <w:p w14:paraId="2440D508"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Third-party cost sharing</w:t>
            </w:r>
          </w:p>
        </w:tc>
        <w:tc>
          <w:tcPr>
            <w:tcW w:w="1350" w:type="dxa"/>
          </w:tcPr>
          <w:p w14:paraId="2440D509" w14:textId="77777777" w:rsidR="00D6679C" w:rsidRPr="003C26C1" w:rsidRDefault="00424A78"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 xml:space="preserve"> </w:t>
            </w:r>
            <w:r w:rsidR="00D6679C" w:rsidRPr="003C26C1">
              <w:t xml:space="preserve"> </w:t>
            </w:r>
          </w:p>
        </w:tc>
        <w:tc>
          <w:tcPr>
            <w:tcW w:w="4725" w:type="dxa"/>
          </w:tcPr>
          <w:p w14:paraId="2440D50A" w14:textId="0938C807" w:rsidR="00D6679C" w:rsidRPr="003C26C1" w:rsidRDefault="00CA6A39"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ind w:right="-180"/>
              <w:rPr>
                <w:i/>
                <w:color w:val="365F91" w:themeColor="accent1" w:themeShade="BF"/>
              </w:rPr>
            </w:pPr>
            <w:r>
              <w:rPr>
                <w:i/>
                <w:color w:val="0070C0"/>
              </w:rPr>
              <w:t>I</w:t>
            </w:r>
            <w:r w:rsidR="00D6679C" w:rsidRPr="003C26C1">
              <w:rPr>
                <w:i/>
                <w:color w:val="0070C0"/>
              </w:rPr>
              <w:t>ncludes resources from donors, NGOs, World Bank, etc</w:t>
            </w:r>
            <w:r>
              <w:rPr>
                <w:i/>
                <w:color w:val="0070C0"/>
              </w:rPr>
              <w:t>.</w:t>
            </w:r>
          </w:p>
        </w:tc>
      </w:tr>
      <w:tr w:rsidR="00D6679C" w:rsidRPr="003C26C1" w14:paraId="2440D511" w14:textId="77777777" w:rsidTr="00CA6A39">
        <w:trPr>
          <w:trHeight w:val="737"/>
        </w:trPr>
        <w:tc>
          <w:tcPr>
            <w:tcW w:w="3285" w:type="dxa"/>
          </w:tcPr>
          <w:p w14:paraId="2440D50C"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Funds, trust funds and other</w:t>
            </w:r>
          </w:p>
          <w:p w14:paraId="2440D50E" w14:textId="0B38D96B"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Of which:</w:t>
            </w:r>
          </w:p>
        </w:tc>
        <w:tc>
          <w:tcPr>
            <w:tcW w:w="1350" w:type="dxa"/>
          </w:tcPr>
          <w:p w14:paraId="2440D50F"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510" w14:textId="3DD36F00" w:rsidR="00D6679C" w:rsidRPr="003C26C1" w:rsidRDefault="00CA6A39"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color w:val="365F91" w:themeColor="accent1" w:themeShade="BF"/>
              </w:rPr>
            </w:pPr>
            <w:r>
              <w:rPr>
                <w:i/>
                <w:color w:val="0070C0"/>
              </w:rPr>
              <w:t>I</w:t>
            </w:r>
            <w:r w:rsidR="00D6679C" w:rsidRPr="003C26C1">
              <w:rPr>
                <w:i/>
                <w:color w:val="0070C0"/>
              </w:rPr>
              <w:t>nclude</w:t>
            </w:r>
            <w:r>
              <w:rPr>
                <w:i/>
                <w:color w:val="0070C0"/>
              </w:rPr>
              <w:t>s</w:t>
            </w:r>
            <w:r w:rsidR="00D6679C" w:rsidRPr="003C26C1">
              <w:rPr>
                <w:i/>
                <w:color w:val="0070C0"/>
              </w:rPr>
              <w:t xml:space="preserve"> UNCDF, UNV, GEF, Montreal Protocol and other trust funds. Specify the total, and amount per fund under “of whic</w:t>
            </w:r>
            <w:r w:rsidR="00D6679C" w:rsidRPr="00CA6A39">
              <w:rPr>
                <w:i/>
                <w:color w:val="0070C0"/>
              </w:rPr>
              <w:t>h</w:t>
            </w:r>
            <w:r w:rsidR="00D6679C" w:rsidRPr="003C26C1">
              <w:rPr>
                <w:i/>
                <w:color w:val="0070C0"/>
              </w:rPr>
              <w:t>”]</w:t>
            </w:r>
          </w:p>
        </w:tc>
      </w:tr>
      <w:tr w:rsidR="00D6679C" w:rsidRPr="003C26C1" w14:paraId="2440D517" w14:textId="77777777" w:rsidTr="00EE5ED7">
        <w:trPr>
          <w:trHeight w:val="881"/>
        </w:trPr>
        <w:tc>
          <w:tcPr>
            <w:tcW w:w="3285" w:type="dxa"/>
          </w:tcPr>
          <w:p w14:paraId="2440D512"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Thematic funds</w:t>
            </w:r>
          </w:p>
          <w:p w14:paraId="2440D514" w14:textId="41BD036A"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Of which:</w:t>
            </w:r>
          </w:p>
        </w:tc>
        <w:tc>
          <w:tcPr>
            <w:tcW w:w="1350" w:type="dxa"/>
          </w:tcPr>
          <w:p w14:paraId="2440D515"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516" w14:textId="489EECD5"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color w:val="0070C0"/>
              </w:rPr>
            </w:pPr>
            <w:r w:rsidRPr="003C26C1">
              <w:rPr>
                <w:i/>
                <w:color w:val="0070C0"/>
              </w:rPr>
              <w:t xml:space="preserve">This includes </w:t>
            </w:r>
            <w:r w:rsidR="00EE64CC">
              <w:rPr>
                <w:i/>
                <w:color w:val="0070C0"/>
              </w:rPr>
              <w:t>funding windows</w:t>
            </w:r>
            <w:r w:rsidRPr="003C26C1">
              <w:rPr>
                <w:i/>
                <w:color w:val="0070C0"/>
              </w:rPr>
              <w:t xml:space="preserve"> and/or other contributions tied to themes. Specify the total, and amount per individual funding source under “of which”</w:t>
            </w:r>
          </w:p>
        </w:tc>
      </w:tr>
      <w:tr w:rsidR="00D6679C" w:rsidRPr="003C26C1" w14:paraId="2440D51B" w14:textId="77777777" w:rsidTr="00EE5ED7">
        <w:tc>
          <w:tcPr>
            <w:tcW w:w="3285" w:type="dxa"/>
          </w:tcPr>
          <w:p w14:paraId="2440D518"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b/>
              </w:rPr>
            </w:pPr>
            <w:r w:rsidRPr="003C26C1">
              <w:rPr>
                <w:b/>
              </w:rPr>
              <w:t>Subtotal</w:t>
            </w:r>
          </w:p>
        </w:tc>
        <w:tc>
          <w:tcPr>
            <w:tcW w:w="1350" w:type="dxa"/>
          </w:tcPr>
          <w:p w14:paraId="2440D519" w14:textId="77777777" w:rsidR="00D6679C" w:rsidRPr="003C26C1" w:rsidRDefault="00424A78"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 xml:space="preserve"> </w:t>
            </w:r>
            <w:r w:rsidR="00D6679C" w:rsidRPr="003C26C1">
              <w:t xml:space="preserve"> </w:t>
            </w:r>
          </w:p>
        </w:tc>
        <w:tc>
          <w:tcPr>
            <w:tcW w:w="4725" w:type="dxa"/>
          </w:tcPr>
          <w:p w14:paraId="2440D51A"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color w:val="365F91" w:themeColor="accent1" w:themeShade="BF"/>
              </w:rPr>
            </w:pPr>
            <w:r w:rsidRPr="003C26C1">
              <w:rPr>
                <w:i/>
                <w:color w:val="0070C0"/>
              </w:rPr>
              <w:t>Subtotal of Other Resources</w:t>
            </w:r>
          </w:p>
        </w:tc>
      </w:tr>
      <w:tr w:rsidR="00D6679C" w:rsidRPr="003C26C1" w14:paraId="2440D51F" w14:textId="77777777" w:rsidTr="00EE5ED7">
        <w:tc>
          <w:tcPr>
            <w:tcW w:w="3285" w:type="dxa"/>
          </w:tcPr>
          <w:p w14:paraId="2440D51C"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b/>
              </w:rPr>
            </w:pPr>
            <w:r w:rsidRPr="003C26C1">
              <w:rPr>
                <w:b/>
              </w:rPr>
              <w:t xml:space="preserve">GRAND TOTAL </w:t>
            </w:r>
          </w:p>
        </w:tc>
        <w:tc>
          <w:tcPr>
            <w:tcW w:w="1350" w:type="dxa"/>
          </w:tcPr>
          <w:p w14:paraId="2440D51D"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51E" w14:textId="0F127691"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rPr>
                <w:i/>
                <w:color w:val="0070C0"/>
              </w:rPr>
              <w:t>Grand Total Regular and Other Resource</w:t>
            </w:r>
            <w:r w:rsidR="00CA6A39">
              <w:rPr>
                <w:i/>
                <w:color w:val="0070C0"/>
              </w:rPr>
              <w:t>s</w:t>
            </w:r>
          </w:p>
        </w:tc>
      </w:tr>
    </w:tbl>
    <w:p w14:paraId="2440D520" w14:textId="77777777" w:rsidR="00D6679C" w:rsidRPr="003C26C1" w:rsidRDefault="00D6679C" w:rsidP="00CA6A39">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pPr>
      <w:r w:rsidRPr="003C26C1">
        <w:tab/>
      </w:r>
    </w:p>
    <w:p w14:paraId="2440D521" w14:textId="77777777" w:rsidR="00EB6A9B" w:rsidRPr="003C26C1" w:rsidRDefault="00EB6A9B" w:rsidP="00D6679C">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pPr>
    </w:p>
    <w:p w14:paraId="2440D526" w14:textId="77777777" w:rsidR="00D6679C" w:rsidRPr="003C26C1" w:rsidRDefault="00D6679C" w:rsidP="00D6679C">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center"/>
        <w:rPr>
          <w:b/>
        </w:rPr>
      </w:pPr>
      <w:r w:rsidRPr="003C26C1">
        <w:rPr>
          <w:b/>
        </w:rPr>
        <w:t>Cleared by:</w:t>
      </w:r>
    </w:p>
    <w:p w14:paraId="2440D527" w14:textId="77777777" w:rsidR="00D6679C" w:rsidRPr="003C26C1" w:rsidRDefault="00D6679C" w:rsidP="00D6679C">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both"/>
        <w:rPr>
          <w:b/>
        </w:rPr>
      </w:pPr>
    </w:p>
    <w:p w14:paraId="2440D528" w14:textId="77777777" w:rsidR="00EB6A9B" w:rsidRPr="003C26C1" w:rsidRDefault="00D6679C" w:rsidP="00EB6A9B">
      <w:pPr>
        <w:tabs>
          <w:tab w:val="left" w:pos="-720"/>
          <w:tab w:val="left" w:pos="0"/>
          <w:tab w:val="left" w:pos="720"/>
          <w:tab w:val="left" w:pos="1440"/>
          <w:tab w:val="left" w:pos="2160"/>
          <w:tab w:val="left" w:pos="2880"/>
          <w:tab w:val="left" w:pos="3600"/>
          <w:tab w:val="left" w:pos="4320"/>
        </w:tabs>
        <w:suppressAutoHyphens/>
        <w:spacing w:line="281" w:lineRule="auto"/>
        <w:jc w:val="both"/>
        <w:rPr>
          <w:b/>
        </w:rPr>
      </w:pPr>
      <w:r w:rsidRPr="003C26C1">
        <w:rPr>
          <w:b/>
          <w:noProof/>
          <w:color w:val="548DD4"/>
        </w:rPr>
        <mc:AlternateContent>
          <mc:Choice Requires="wps">
            <w:drawing>
              <wp:anchor distT="0" distB="0" distL="114300" distR="114300" simplePos="0" relativeHeight="251663360" behindDoc="0" locked="0" layoutInCell="1" allowOverlap="1" wp14:anchorId="2440D545" wp14:editId="2440D546">
                <wp:simplePos x="0" y="0"/>
                <wp:positionH relativeFrom="column">
                  <wp:posOffset>200025</wp:posOffset>
                </wp:positionH>
                <wp:positionV relativeFrom="paragraph">
                  <wp:posOffset>59055</wp:posOffset>
                </wp:positionV>
                <wp:extent cx="1962150" cy="0"/>
                <wp:effectExtent l="9525" t="11430" r="9525" b="7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62BA2" id="_x0000_t32" coordsize="21600,21600" o:spt="32" o:oned="t" path="m,l21600,21600e" filled="f">
                <v:path arrowok="t" fillok="f" o:connecttype="none"/>
                <o:lock v:ext="edit" shapetype="t"/>
              </v:shapetype>
              <v:shape id="AutoShape 3" o:spid="_x0000_s1026" type="#_x0000_t32" style="position:absolute;margin-left:15.75pt;margin-top:4.65pt;width:15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6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9liNsm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"/>
            </w:pict>
          </mc:Fallback>
        </mc:AlternateContent>
      </w:r>
      <w:r w:rsidRPr="003C26C1">
        <w:rPr>
          <w:b/>
          <w:noProof/>
          <w:color w:val="548DD4"/>
        </w:rPr>
        <mc:AlternateContent>
          <mc:Choice Requires="wps">
            <w:drawing>
              <wp:anchor distT="0" distB="0" distL="114300" distR="114300" simplePos="0" relativeHeight="251662336" behindDoc="0" locked="0" layoutInCell="1" allowOverlap="1" wp14:anchorId="2440D547" wp14:editId="2440D548">
                <wp:simplePos x="0" y="0"/>
                <wp:positionH relativeFrom="column">
                  <wp:posOffset>3743325</wp:posOffset>
                </wp:positionH>
                <wp:positionV relativeFrom="paragraph">
                  <wp:posOffset>59055</wp:posOffset>
                </wp:positionV>
                <wp:extent cx="1962150" cy="0"/>
                <wp:effectExtent l="9525" t="11430" r="9525" b="762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12FC2" id="AutoShape 2" o:spid="_x0000_s1026" type="#_x0000_t32" style="position:absolute;margin-left:294.75pt;margin-top:4.65pt;width:1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57U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nnGCnS&#10;g0RPB69jZZSH8QzGFRBVqZ0NDdKTejHPmn53SOmqI6rlMfj1bCA3CxnJm5RwcQaK7IfPmkEMAfw4&#10;q1Nj+wAJU0CnKMn5Jgk/eUThY7ac59kM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"/>
            </w:pict>
          </mc:Fallback>
        </mc:AlternateContent>
      </w:r>
    </w:p>
    <w:p w14:paraId="2440D529" w14:textId="47CF0B43" w:rsidR="00D6679C" w:rsidRPr="003C26C1" w:rsidRDefault="00424A78" w:rsidP="00EB6A9B">
      <w:pPr>
        <w:tabs>
          <w:tab w:val="left" w:pos="-720"/>
          <w:tab w:val="left" w:pos="0"/>
          <w:tab w:val="left" w:pos="720"/>
          <w:tab w:val="left" w:pos="1440"/>
          <w:tab w:val="left" w:pos="2160"/>
          <w:tab w:val="left" w:pos="2880"/>
          <w:tab w:val="left" w:pos="3600"/>
          <w:tab w:val="left" w:pos="4320"/>
        </w:tabs>
        <w:suppressAutoHyphens/>
        <w:spacing w:line="281" w:lineRule="auto"/>
        <w:jc w:val="both"/>
        <w:rPr>
          <w:b/>
        </w:rPr>
      </w:pPr>
      <w:r w:rsidRPr="003C26C1">
        <w:rPr>
          <w:b/>
        </w:rPr>
        <w:t xml:space="preserve">      </w:t>
      </w:r>
      <w:r w:rsidR="00D6679C" w:rsidRPr="003C26C1">
        <w:rPr>
          <w:b/>
        </w:rPr>
        <w:t>Regional Bureau</w:t>
      </w:r>
      <w:r w:rsidR="00EB6A9B" w:rsidRPr="003C26C1">
        <w:rPr>
          <w:b/>
        </w:rPr>
        <w:tab/>
      </w:r>
      <w:r w:rsidR="00EB6A9B" w:rsidRPr="003C26C1">
        <w:rPr>
          <w:b/>
        </w:rPr>
        <w:tab/>
      </w:r>
      <w:r w:rsidRPr="003C26C1">
        <w:rPr>
          <w:b/>
        </w:rPr>
        <w:t xml:space="preserve">                                   </w:t>
      </w:r>
      <w:r w:rsidR="00D6679C" w:rsidRPr="003C26C1">
        <w:rPr>
          <w:b/>
        </w:rPr>
        <w:t xml:space="preserve"> Office of</w:t>
      </w:r>
      <w:r w:rsidR="00EB6A9B" w:rsidRPr="003C26C1">
        <w:rPr>
          <w:b/>
        </w:rPr>
        <w:t xml:space="preserve"> Financial Management/B</w:t>
      </w:r>
      <w:r w:rsidR="00EE5ED7">
        <w:rPr>
          <w:b/>
        </w:rPr>
        <w:t>MS</w:t>
      </w:r>
    </w:p>
    <w:p w14:paraId="2440D52A" w14:textId="77777777" w:rsidR="00D6679C" w:rsidRPr="003C26C1" w:rsidRDefault="00D6679C" w:rsidP="00D6679C">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both"/>
        <w:rPr>
          <w:b/>
          <w:color w:val="548DD4"/>
        </w:rPr>
      </w:pPr>
    </w:p>
    <w:p w14:paraId="2440D52B" w14:textId="77777777" w:rsidR="00D6679C" w:rsidRPr="00CA6A39" w:rsidRDefault="00D6679C" w:rsidP="00CA6A39">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rPr>
          <w:sz w:val="16"/>
          <w:szCs w:val="16"/>
        </w:rPr>
      </w:pPr>
      <w:r w:rsidRPr="00CA6A39">
        <w:rPr>
          <w:sz w:val="16"/>
          <w:szCs w:val="16"/>
        </w:rPr>
        <w:t>*</w:t>
      </w:r>
      <w:r w:rsidR="00424A78" w:rsidRPr="00CA6A39">
        <w:rPr>
          <w:sz w:val="16"/>
          <w:szCs w:val="16"/>
        </w:rPr>
        <w:t xml:space="preserve"> </w:t>
      </w:r>
      <w:r w:rsidRPr="00CA6A39">
        <w:rPr>
          <w:sz w:val="16"/>
          <w:szCs w:val="16"/>
        </w:rPr>
        <w:t>It should be noted that the TRAC-2 resources indicated are estimates only. The actual amount released may differ depending on the actual level of voluntary contributions to UNDP regular resources. With respect to TRAC-1 resource levels, decision 2013/4 endorsed a protection measure to shield resource allocations with respect to TRAC-1 from the impact of programming base levels potentially falling below $700 million.</w:t>
      </w:r>
    </w:p>
    <w:p w14:paraId="2440D52C" w14:textId="77777777" w:rsidR="00D6679C" w:rsidRPr="00CA6A39" w:rsidRDefault="00D6679C" w:rsidP="00CA6A39">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rPr>
          <w:sz w:val="16"/>
          <w:szCs w:val="16"/>
        </w:rPr>
      </w:pPr>
    </w:p>
    <w:p w14:paraId="2440D52D" w14:textId="7C25E6FB" w:rsidR="00B8310D" w:rsidRDefault="00D6679C" w:rsidP="00E44854">
      <w:pPr>
        <w:rPr>
          <w:sz w:val="16"/>
          <w:szCs w:val="16"/>
        </w:rPr>
      </w:pPr>
      <w:r w:rsidRPr="00CA6A39">
        <w:rPr>
          <w:sz w:val="16"/>
          <w:szCs w:val="16"/>
        </w:rPr>
        <w:t>Abbreviations:</w:t>
      </w:r>
      <w:r w:rsidR="00424A78" w:rsidRPr="00CA6A39">
        <w:rPr>
          <w:sz w:val="16"/>
          <w:szCs w:val="16"/>
        </w:rPr>
        <w:t xml:space="preserve"> </w:t>
      </w:r>
      <w:r w:rsidRPr="00CA6A39">
        <w:rPr>
          <w:sz w:val="16"/>
          <w:szCs w:val="16"/>
        </w:rPr>
        <w:t>(The following are samples. Use only what you need.) TRAC = target for resource assignment from the core; UNCDF = United Nations Capital Development Fund; UNIFEM = United Nations Development Fund for Women; UNV = United Nations Volunteers; GEF = Global Environment Facility.</w:t>
      </w:r>
      <w:r w:rsidR="00424A78" w:rsidRPr="00CA6A39">
        <w:rPr>
          <w:sz w:val="16"/>
          <w:szCs w:val="16"/>
        </w:rPr>
        <w:t xml:space="preserve"> </w:t>
      </w:r>
    </w:p>
    <w:p w14:paraId="551B3307" w14:textId="77777777" w:rsidR="00B8310D" w:rsidRDefault="00B8310D">
      <w:pPr>
        <w:rPr>
          <w:sz w:val="16"/>
          <w:szCs w:val="16"/>
        </w:rPr>
      </w:pPr>
      <w:r>
        <w:rPr>
          <w:sz w:val="16"/>
          <w:szCs w:val="16"/>
        </w:rPr>
        <w:br w:type="page"/>
      </w:r>
    </w:p>
    <w:p w14:paraId="2440D531" w14:textId="598D1E89" w:rsidR="00A76D2C" w:rsidRPr="003C26C1" w:rsidRDefault="00916E69" w:rsidP="00E44854">
      <w:pPr>
        <w:rPr>
          <w:b/>
          <w:color w:val="000000"/>
        </w:rPr>
      </w:pPr>
      <w:r w:rsidRPr="003C26C1">
        <w:rPr>
          <w:b/>
          <w:color w:val="000000"/>
        </w:rPr>
        <w:lastRenderedPageBreak/>
        <w:t>AT</w:t>
      </w:r>
      <w:r w:rsidR="00DB4203" w:rsidRPr="003C26C1">
        <w:rPr>
          <w:b/>
          <w:color w:val="000000"/>
        </w:rPr>
        <w:t>TACHMENT II</w:t>
      </w:r>
      <w:r w:rsidR="00F0264E" w:rsidRPr="003C26C1">
        <w:rPr>
          <w:b/>
          <w:color w:val="000000"/>
        </w:rPr>
        <w:t>.</w:t>
      </w:r>
      <w:r w:rsidR="00424A78" w:rsidRPr="003C26C1">
        <w:rPr>
          <w:b/>
          <w:color w:val="000000"/>
        </w:rPr>
        <w:t xml:space="preserve"> </w:t>
      </w:r>
      <w:r w:rsidR="00E44854">
        <w:rPr>
          <w:b/>
          <w:color w:val="000000"/>
        </w:rPr>
        <w:t xml:space="preserve">COUNTRY OFFICE PROFILE, INCLUDING </w:t>
      </w:r>
      <w:r w:rsidR="00C925ED" w:rsidRPr="003C26C1">
        <w:rPr>
          <w:b/>
          <w:color w:val="000000"/>
        </w:rPr>
        <w:t>CAPACITIES AND RESOURCING TO ACHIEVE THE PROGRAMME</w:t>
      </w:r>
      <w:r w:rsidR="00C21038" w:rsidRPr="003C26C1">
        <w:rPr>
          <w:b/>
          <w:color w:val="000000"/>
        </w:rPr>
        <w:t xml:space="preserve"> </w:t>
      </w:r>
    </w:p>
    <w:p w14:paraId="2440D532" w14:textId="77777777" w:rsidR="00317183" w:rsidRPr="003C26C1" w:rsidRDefault="00317183" w:rsidP="00596CA7">
      <w:pPr>
        <w:jc w:val="both"/>
        <w:rPr>
          <w:b/>
          <w:color w:val="000000"/>
        </w:rPr>
      </w:pPr>
    </w:p>
    <w:p w14:paraId="2440D533" w14:textId="35DA3544" w:rsidR="00317183" w:rsidRPr="003C26C1" w:rsidRDefault="00317183" w:rsidP="00DD334C">
      <w:pPr>
        <w:jc w:val="both"/>
        <w:rPr>
          <w:color w:val="000000"/>
        </w:rPr>
      </w:pPr>
      <w:r w:rsidRPr="003C26C1">
        <w:rPr>
          <w:color w:val="000000"/>
        </w:rPr>
        <w:t xml:space="preserve">The </w:t>
      </w:r>
      <w:r w:rsidR="00CA6A39">
        <w:rPr>
          <w:color w:val="000000"/>
        </w:rPr>
        <w:t>Cooperation Framework</w:t>
      </w:r>
      <w:r w:rsidRPr="003C26C1">
        <w:rPr>
          <w:color w:val="000000"/>
        </w:rPr>
        <w:t>/equivalent and CPD set out the strategy for country partnership, policy and programmatic content.</w:t>
      </w:r>
      <w:r w:rsidR="00CA0C87">
        <w:rPr>
          <w:color w:val="000000"/>
        </w:rPr>
        <w:t xml:space="preserve"> The</w:t>
      </w:r>
      <w:r w:rsidR="00CA6A39">
        <w:rPr>
          <w:color w:val="000000"/>
        </w:rPr>
        <w:t xml:space="preserve"> Integrated</w:t>
      </w:r>
      <w:r w:rsidR="00CA0C87">
        <w:rPr>
          <w:color w:val="000000"/>
        </w:rPr>
        <w:t xml:space="preserve"> PAC will consider </w:t>
      </w:r>
      <w:r w:rsidR="008F6376" w:rsidRPr="003C26C1">
        <w:rPr>
          <w:color w:val="000000"/>
        </w:rPr>
        <w:t>the</w:t>
      </w:r>
      <w:r w:rsidRPr="003C26C1">
        <w:rPr>
          <w:color w:val="000000"/>
        </w:rPr>
        <w:t xml:space="preserve"> country presence</w:t>
      </w:r>
      <w:r w:rsidR="00C925ED" w:rsidRPr="003C26C1">
        <w:rPr>
          <w:color w:val="000000"/>
        </w:rPr>
        <w:t>, capacities and res</w:t>
      </w:r>
      <w:r w:rsidR="008F6376" w:rsidRPr="003C26C1">
        <w:rPr>
          <w:color w:val="000000"/>
        </w:rPr>
        <w:t>ourcing required to achieve a</w:t>
      </w:r>
      <w:r w:rsidR="00C925ED" w:rsidRPr="003C26C1">
        <w:rPr>
          <w:color w:val="000000"/>
        </w:rPr>
        <w:t xml:space="preserve"> </w:t>
      </w:r>
      <w:r w:rsidR="00CA0C87">
        <w:rPr>
          <w:color w:val="000000"/>
        </w:rPr>
        <w:t xml:space="preserve">proposed </w:t>
      </w:r>
      <w:r w:rsidR="00C925ED" w:rsidRPr="003C26C1">
        <w:rPr>
          <w:color w:val="000000"/>
        </w:rPr>
        <w:t>programme</w:t>
      </w:r>
      <w:r w:rsidR="00CA0C87">
        <w:rPr>
          <w:color w:val="000000"/>
        </w:rPr>
        <w:t xml:space="preserve"> along with the draft CPD</w:t>
      </w:r>
      <w:r w:rsidR="008F6376" w:rsidRPr="003C26C1">
        <w:rPr>
          <w:color w:val="000000"/>
        </w:rPr>
        <w:t>.</w:t>
      </w:r>
      <w:r w:rsidRPr="003C26C1">
        <w:rPr>
          <w:color w:val="000000"/>
        </w:rPr>
        <w:t xml:space="preserve"> </w:t>
      </w:r>
      <w:r w:rsidR="00F92753" w:rsidRPr="003C26C1">
        <w:rPr>
          <w:color w:val="000000"/>
        </w:rPr>
        <w:t xml:space="preserve">This will provide </w:t>
      </w:r>
      <w:r w:rsidRPr="003C26C1">
        <w:rPr>
          <w:color w:val="000000"/>
        </w:rPr>
        <w:t xml:space="preserve">complementary insight into the capacity UNDP needs to attach to </w:t>
      </w:r>
      <w:r w:rsidR="00F92753" w:rsidRPr="003C26C1">
        <w:rPr>
          <w:color w:val="000000"/>
        </w:rPr>
        <w:t>the</w:t>
      </w:r>
      <w:r w:rsidRPr="003C26C1">
        <w:rPr>
          <w:color w:val="000000"/>
        </w:rPr>
        <w:t xml:space="preserve"> strategy.</w:t>
      </w:r>
      <w:r w:rsidR="00EE56DF" w:rsidRPr="003C26C1">
        <w:rPr>
          <w:color w:val="000000"/>
        </w:rPr>
        <w:t xml:space="preserve"> </w:t>
      </w:r>
    </w:p>
    <w:p w14:paraId="2440D534" w14:textId="77777777" w:rsidR="00F92753" w:rsidRPr="003C26C1" w:rsidRDefault="00F92753" w:rsidP="00596CA7">
      <w:pPr>
        <w:jc w:val="both"/>
        <w:rPr>
          <w:color w:val="000000"/>
        </w:rPr>
      </w:pPr>
    </w:p>
    <w:p w14:paraId="2440D535" w14:textId="7FAC298A" w:rsidR="00F92753" w:rsidRPr="003C26C1" w:rsidRDefault="00466CDC" w:rsidP="00596CA7">
      <w:pPr>
        <w:jc w:val="both"/>
        <w:rPr>
          <w:color w:val="000000"/>
        </w:rPr>
      </w:pPr>
      <w:r>
        <w:rPr>
          <w:color w:val="000000"/>
        </w:rPr>
        <w:t>The CO Profile includes:</w:t>
      </w:r>
    </w:p>
    <w:p w14:paraId="2440D536" w14:textId="77777777" w:rsidR="00A76D2C" w:rsidRPr="003C26C1" w:rsidRDefault="00A76D2C" w:rsidP="00596CA7">
      <w:pPr>
        <w:jc w:val="both"/>
        <w:rPr>
          <w:color w:val="000000"/>
        </w:rPr>
      </w:pPr>
    </w:p>
    <w:p w14:paraId="76A61363" w14:textId="349F26BA" w:rsidR="004D18EA" w:rsidRPr="00246D03" w:rsidRDefault="004D18EA" w:rsidP="004D18EA">
      <w:pPr>
        <w:numPr>
          <w:ilvl w:val="0"/>
          <w:numId w:val="18"/>
        </w:numPr>
        <w:spacing w:after="120"/>
        <w:ind w:right="1267"/>
        <w:jc w:val="both"/>
        <w:rPr>
          <w:i/>
          <w:color w:val="000000"/>
        </w:rPr>
      </w:pPr>
      <w:r>
        <w:rPr>
          <w:color w:val="000000"/>
        </w:rPr>
        <w:t>Project resources and timeframe for the CPD period</w:t>
      </w:r>
    </w:p>
    <w:p w14:paraId="6E9F7A40" w14:textId="7B8D1B8A" w:rsidR="004D18EA" w:rsidRPr="005D27D8" w:rsidRDefault="004D18EA" w:rsidP="004D18EA">
      <w:pPr>
        <w:numPr>
          <w:ilvl w:val="0"/>
          <w:numId w:val="18"/>
        </w:numPr>
        <w:spacing w:after="120"/>
        <w:ind w:right="1267"/>
        <w:jc w:val="both"/>
        <w:rPr>
          <w:i/>
          <w:color w:val="000000"/>
        </w:rPr>
      </w:pPr>
      <w:r>
        <w:rPr>
          <w:color w:val="000000"/>
        </w:rPr>
        <w:t>UN Profile in the country</w:t>
      </w:r>
    </w:p>
    <w:p w14:paraId="77B1F159" w14:textId="77777777" w:rsidR="004D18EA" w:rsidRPr="001F4EA9" w:rsidRDefault="004D18EA" w:rsidP="004D18EA">
      <w:pPr>
        <w:numPr>
          <w:ilvl w:val="0"/>
          <w:numId w:val="18"/>
        </w:numPr>
        <w:spacing w:after="120"/>
        <w:ind w:right="1267"/>
        <w:jc w:val="both"/>
        <w:rPr>
          <w:i/>
          <w:color w:val="000000"/>
        </w:rPr>
      </w:pPr>
      <w:r>
        <w:rPr>
          <w:color w:val="000000"/>
        </w:rPr>
        <w:t>Overview of the proposed programme mapped against the Strategic Plan</w:t>
      </w:r>
    </w:p>
    <w:p w14:paraId="49B0EE8D" w14:textId="2ABF1934" w:rsidR="004D18EA" w:rsidRPr="00246D03" w:rsidRDefault="004D18EA" w:rsidP="00596CA7">
      <w:pPr>
        <w:numPr>
          <w:ilvl w:val="0"/>
          <w:numId w:val="18"/>
        </w:numPr>
        <w:spacing w:after="120"/>
        <w:ind w:right="1267"/>
        <w:jc w:val="both"/>
        <w:rPr>
          <w:i/>
          <w:color w:val="000000"/>
        </w:rPr>
      </w:pPr>
      <w:r>
        <w:rPr>
          <w:color w:val="000000"/>
        </w:rPr>
        <w:t>Delivery trends over the past programme period</w:t>
      </w:r>
    </w:p>
    <w:p w14:paraId="6F000EB6" w14:textId="4A48F0C1" w:rsidR="001F4EA9" w:rsidRPr="001F4EA9" w:rsidRDefault="004D18EA" w:rsidP="00596CA7">
      <w:pPr>
        <w:numPr>
          <w:ilvl w:val="0"/>
          <w:numId w:val="18"/>
        </w:numPr>
        <w:spacing w:after="120"/>
        <w:ind w:right="1267"/>
        <w:jc w:val="both"/>
        <w:rPr>
          <w:i/>
          <w:color w:val="000000"/>
        </w:rPr>
      </w:pPr>
      <w:r>
        <w:rPr>
          <w:color w:val="000000"/>
        </w:rPr>
        <w:t>CO s</w:t>
      </w:r>
      <w:r w:rsidR="001F4EA9">
        <w:rPr>
          <w:color w:val="000000"/>
        </w:rPr>
        <w:t>taffing</w:t>
      </w:r>
      <w:r w:rsidR="00366769">
        <w:rPr>
          <w:color w:val="000000"/>
        </w:rPr>
        <w:t xml:space="preserve"> and leadership</w:t>
      </w:r>
    </w:p>
    <w:p w14:paraId="09039D4F" w14:textId="3F85A68D" w:rsidR="001F4EA9" w:rsidRPr="001F4EA9" w:rsidRDefault="004D18EA" w:rsidP="00596CA7">
      <w:pPr>
        <w:numPr>
          <w:ilvl w:val="0"/>
          <w:numId w:val="18"/>
        </w:numPr>
        <w:spacing w:after="120"/>
        <w:ind w:right="1267"/>
        <w:jc w:val="both"/>
        <w:rPr>
          <w:i/>
          <w:color w:val="000000"/>
        </w:rPr>
      </w:pPr>
      <w:r>
        <w:rPr>
          <w:color w:val="000000"/>
        </w:rPr>
        <w:t>Donor p</w:t>
      </w:r>
      <w:r w:rsidR="001F4EA9">
        <w:rPr>
          <w:color w:val="000000"/>
        </w:rPr>
        <w:t>artnership</w:t>
      </w:r>
      <w:r>
        <w:rPr>
          <w:color w:val="000000"/>
        </w:rPr>
        <w:t xml:space="preserve"> profile</w:t>
      </w:r>
    </w:p>
    <w:p w14:paraId="3D7C07FC" w14:textId="3CCA557B" w:rsidR="001F4EA9" w:rsidRPr="001F4EA9" w:rsidRDefault="004D18EA" w:rsidP="00596CA7">
      <w:pPr>
        <w:numPr>
          <w:ilvl w:val="0"/>
          <w:numId w:val="18"/>
        </w:numPr>
        <w:spacing w:after="120"/>
        <w:ind w:right="1267"/>
        <w:jc w:val="both"/>
        <w:rPr>
          <w:i/>
          <w:color w:val="000000"/>
        </w:rPr>
      </w:pPr>
      <w:r>
        <w:rPr>
          <w:color w:val="000000"/>
        </w:rPr>
        <w:t xml:space="preserve">Resource mobilization </w:t>
      </w:r>
      <w:r w:rsidR="00E844D4">
        <w:rPr>
          <w:color w:val="000000"/>
        </w:rPr>
        <w:t xml:space="preserve">and pipeline </w:t>
      </w:r>
      <w:r w:rsidR="00F166CE">
        <w:rPr>
          <w:color w:val="000000"/>
        </w:rPr>
        <w:t>strategy</w:t>
      </w:r>
    </w:p>
    <w:p w14:paraId="1FFC063C" w14:textId="7DB7A4D4" w:rsidR="004D18EA" w:rsidRPr="00DB7B82" w:rsidRDefault="004D18EA" w:rsidP="004D18EA">
      <w:pPr>
        <w:numPr>
          <w:ilvl w:val="0"/>
          <w:numId w:val="18"/>
        </w:numPr>
        <w:spacing w:after="120"/>
        <w:ind w:right="1267"/>
        <w:jc w:val="both"/>
        <w:rPr>
          <w:i/>
          <w:color w:val="000000"/>
        </w:rPr>
      </w:pPr>
      <w:r>
        <w:rPr>
          <w:color w:val="000000"/>
        </w:rPr>
        <w:t>Performance against key institutional indicators</w:t>
      </w:r>
    </w:p>
    <w:p w14:paraId="2440D53D" w14:textId="77777777" w:rsidR="00A76D2C" w:rsidRPr="003C26C1" w:rsidRDefault="00A76D2C" w:rsidP="00596CA7">
      <w:pPr>
        <w:jc w:val="both"/>
        <w:rPr>
          <w:color w:val="000000"/>
        </w:rPr>
      </w:pPr>
    </w:p>
    <w:p w14:paraId="2440D53F" w14:textId="77777777" w:rsidR="00DB4203" w:rsidRDefault="00DB4203" w:rsidP="00596CA7">
      <w:pPr>
        <w:jc w:val="both"/>
        <w:rPr>
          <w:color w:val="000000"/>
        </w:rPr>
      </w:pPr>
    </w:p>
    <w:p w14:paraId="2440D540" w14:textId="77777777" w:rsidR="00DB4203" w:rsidRDefault="00DB4203" w:rsidP="00596CA7">
      <w:pPr>
        <w:jc w:val="both"/>
        <w:rPr>
          <w:color w:val="000000"/>
        </w:rPr>
      </w:pPr>
    </w:p>
    <w:p w14:paraId="2440D541" w14:textId="77777777" w:rsidR="00D6679C" w:rsidRDefault="00D6679C" w:rsidP="00596CA7">
      <w:pPr>
        <w:jc w:val="both"/>
        <w:rPr>
          <w:color w:val="000000"/>
        </w:rPr>
      </w:pPr>
    </w:p>
    <w:p w14:paraId="2440D542" w14:textId="77777777" w:rsidR="00D6679C" w:rsidRDefault="00D6679C" w:rsidP="00596CA7">
      <w:pPr>
        <w:jc w:val="both"/>
        <w:rPr>
          <w:color w:val="000000"/>
        </w:rPr>
      </w:pPr>
    </w:p>
    <w:p w14:paraId="2440D543" w14:textId="77777777" w:rsidR="00D6679C" w:rsidRDefault="00D6679C" w:rsidP="00596CA7">
      <w:pPr>
        <w:jc w:val="both"/>
        <w:rPr>
          <w:color w:val="000000"/>
        </w:rPr>
      </w:pPr>
    </w:p>
    <w:p w14:paraId="2440D544" w14:textId="383CB51D" w:rsidR="00367A28" w:rsidRDefault="00367A28" w:rsidP="00596CA7">
      <w:pPr>
        <w:jc w:val="both"/>
        <w:rPr>
          <w:color w:val="000000"/>
        </w:rPr>
      </w:pPr>
      <w:r>
        <w:rPr>
          <w:color w:val="000000"/>
        </w:rPr>
        <w:br w:type="page"/>
      </w:r>
    </w:p>
    <w:p w14:paraId="2F3A834E" w14:textId="79F30090" w:rsidR="00367A28" w:rsidRPr="003C26C1" w:rsidRDefault="00367A28" w:rsidP="00367A28">
      <w:pPr>
        <w:rPr>
          <w:b/>
          <w:color w:val="000000"/>
        </w:rPr>
      </w:pPr>
      <w:r w:rsidRPr="003C26C1">
        <w:rPr>
          <w:b/>
          <w:color w:val="000000"/>
        </w:rPr>
        <w:lastRenderedPageBreak/>
        <w:t>ATTACHMENT I</w:t>
      </w:r>
      <w:r>
        <w:rPr>
          <w:b/>
          <w:color w:val="000000"/>
        </w:rPr>
        <w:t>I</w:t>
      </w:r>
      <w:r w:rsidRPr="003C26C1">
        <w:rPr>
          <w:b/>
          <w:color w:val="000000"/>
        </w:rPr>
        <w:t xml:space="preserve">I. </w:t>
      </w:r>
      <w:r>
        <w:rPr>
          <w:b/>
          <w:color w:val="000000"/>
        </w:rPr>
        <w:t>ONE PAGE DIAGRAM OF THE THEORY OF CHANGE FOR THE PROGRAMME</w:t>
      </w:r>
      <w:r w:rsidRPr="003C26C1">
        <w:rPr>
          <w:b/>
          <w:color w:val="000000"/>
        </w:rPr>
        <w:t xml:space="preserve"> </w:t>
      </w:r>
    </w:p>
    <w:p w14:paraId="0BFCE2E5" w14:textId="013E6D22" w:rsidR="00D6679C" w:rsidRDefault="00367A28" w:rsidP="00596CA7">
      <w:pPr>
        <w:jc w:val="both"/>
        <w:rPr>
          <w:color w:val="000000"/>
        </w:rPr>
      </w:pPr>
      <w:r>
        <w:rPr>
          <w:color w:val="000000"/>
        </w:rPr>
        <w:t xml:space="preserve">(See ToC guidance for </w:t>
      </w:r>
      <w:r w:rsidR="00983B5C">
        <w:rPr>
          <w:color w:val="000000"/>
        </w:rPr>
        <w:t>more information)</w:t>
      </w:r>
    </w:p>
    <w:sectPr w:rsidR="00D6679C" w:rsidSect="00D6679C">
      <w:headerReference w:type="even" r:id="rId25"/>
      <w:pgSz w:w="12240" w:h="15840"/>
      <w:pgMar w:top="1152"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CD058" w14:textId="77777777" w:rsidR="001D0C44" w:rsidRDefault="001D0C44" w:rsidP="00441061">
      <w:r>
        <w:separator/>
      </w:r>
    </w:p>
  </w:endnote>
  <w:endnote w:type="continuationSeparator" w:id="0">
    <w:p w14:paraId="0BFE2789" w14:textId="77777777" w:rsidR="001D0C44" w:rsidRDefault="001D0C44"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D554" w14:textId="77777777" w:rsidR="003D3682" w:rsidRPr="005841A3" w:rsidRDefault="003D3682">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1079CD">
      <w:rPr>
        <w:b/>
        <w:noProof/>
        <w:sz w:val="17"/>
        <w:szCs w:val="17"/>
      </w:rPr>
      <w:t>2</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D555" w14:textId="77777777" w:rsidR="003D3682" w:rsidRPr="005841A3" w:rsidRDefault="003D3682">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1079CD">
      <w:rPr>
        <w:b/>
        <w:noProof/>
        <w:sz w:val="17"/>
        <w:szCs w:val="17"/>
      </w:rPr>
      <w:t>3</w:t>
    </w:r>
    <w:r w:rsidRPr="005841A3">
      <w:rPr>
        <w:b/>
        <w:sz w:val="17"/>
        <w:szCs w:val="17"/>
      </w:rPr>
      <w:fldChar w:fldCharType="end"/>
    </w:r>
  </w:p>
  <w:p w14:paraId="2440D556" w14:textId="77777777" w:rsidR="003D3682" w:rsidRDefault="003D3682" w:rsidP="005841A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D566" w14:textId="77777777" w:rsidR="003D3682" w:rsidRDefault="003D3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9CD">
      <w:rPr>
        <w:rStyle w:val="PageNumber"/>
        <w:noProof/>
      </w:rPr>
      <w:t>10</w:t>
    </w:r>
    <w:r>
      <w:rPr>
        <w:rStyle w:val="PageNumber"/>
      </w:rPr>
      <w:fldChar w:fldCharType="end"/>
    </w:r>
  </w:p>
  <w:p w14:paraId="2440D567" w14:textId="77777777" w:rsidR="003D3682" w:rsidRDefault="003D36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D568" w14:textId="77777777" w:rsidR="003D3682" w:rsidRDefault="003D3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9CD">
      <w:rPr>
        <w:rStyle w:val="PageNumber"/>
        <w:noProof/>
      </w:rPr>
      <w:t>9</w:t>
    </w:r>
    <w:r>
      <w:rPr>
        <w:rStyle w:val="PageNumber"/>
      </w:rPr>
      <w:fldChar w:fldCharType="end"/>
    </w:r>
  </w:p>
  <w:p w14:paraId="2440D569" w14:textId="77777777" w:rsidR="003D3682" w:rsidRDefault="003D3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0A7B" w14:textId="77777777" w:rsidR="001D0C44" w:rsidRDefault="001D0C44" w:rsidP="00441061">
      <w:r>
        <w:separator/>
      </w:r>
    </w:p>
  </w:footnote>
  <w:footnote w:type="continuationSeparator" w:id="0">
    <w:p w14:paraId="52C77117" w14:textId="77777777" w:rsidR="001D0C44" w:rsidRDefault="001D0C44" w:rsidP="00441061">
      <w:r>
        <w:continuationSeparator/>
      </w:r>
    </w:p>
  </w:footnote>
  <w:footnote w:id="1">
    <w:p w14:paraId="1802DD2D" w14:textId="1A61FDDC" w:rsidR="00834A7F" w:rsidRPr="00AC4D72" w:rsidRDefault="00834A7F" w:rsidP="00834A7F">
      <w:pPr>
        <w:pStyle w:val="FootnoteText"/>
        <w:rPr>
          <w:rFonts w:ascii="Times New Roman" w:hAnsi="Times New Roman"/>
          <w:sz w:val="18"/>
          <w:szCs w:val="18"/>
        </w:rPr>
      </w:pPr>
      <w:r w:rsidRPr="00AC4D72">
        <w:rPr>
          <w:rStyle w:val="FootnoteReference"/>
          <w:rFonts w:ascii="Times New Roman" w:hAnsi="Times New Roman"/>
          <w:sz w:val="18"/>
          <w:szCs w:val="18"/>
        </w:rPr>
        <w:footnoteRef/>
      </w:r>
      <w:r w:rsidRPr="00AC4D72">
        <w:rPr>
          <w:rFonts w:ascii="Times New Roman" w:hAnsi="Times New Roman"/>
          <w:sz w:val="18"/>
          <w:szCs w:val="18"/>
        </w:rPr>
        <w:t xml:space="preserve"> </w:t>
      </w:r>
      <w:r w:rsidR="00D476E4" w:rsidRPr="00AC4D72">
        <w:rPr>
          <w:rFonts w:ascii="Times New Roman" w:hAnsi="Times New Roman"/>
          <w:sz w:val="18"/>
          <w:szCs w:val="18"/>
        </w:rPr>
        <w:t>Digitalization, Development Financing</w:t>
      </w:r>
      <w:r w:rsidR="00836AF0">
        <w:rPr>
          <w:rFonts w:ascii="Times New Roman" w:hAnsi="Times New Roman"/>
          <w:sz w:val="18"/>
          <w:szCs w:val="18"/>
        </w:rPr>
        <w:t>,</w:t>
      </w:r>
      <w:r w:rsidR="00D476E4" w:rsidRPr="00AC4D72">
        <w:rPr>
          <w:rFonts w:ascii="Times New Roman" w:hAnsi="Times New Roman"/>
          <w:sz w:val="18"/>
          <w:szCs w:val="18"/>
        </w:rPr>
        <w:t xml:space="preserve"> and Strategic Innovation. </w:t>
      </w:r>
      <w:hyperlink r:id="rId1" w:anchor=":~:text=UNDP%20Strategic%20Plan%2C%202022%2D2025%2C%20describes%20the%20future%20direction,Strategic%20Plan%20for%202018%2D2021.&amp;text=The%20UNDP%20approach%20will%20be,development%20impact%20and%20support%20delivery." w:history="1">
        <w:r w:rsidRPr="00AC4D72">
          <w:rPr>
            <w:rStyle w:val="Hyperlink"/>
            <w:rFonts w:ascii="Times New Roman" w:hAnsi="Times New Roman"/>
            <w:sz w:val="18"/>
            <w:szCs w:val="18"/>
          </w:rPr>
          <w:t xml:space="preserve">2021- 2025 </w:t>
        </w:r>
        <w:r w:rsidR="00967C86" w:rsidRPr="00AC4D72">
          <w:rPr>
            <w:rStyle w:val="Hyperlink"/>
            <w:rFonts w:ascii="Times New Roman" w:hAnsi="Times New Roman"/>
            <w:sz w:val="18"/>
            <w:szCs w:val="18"/>
          </w:rPr>
          <w:t xml:space="preserve">Strategic Plan </w:t>
        </w:r>
        <w:r w:rsidRPr="00AC4D72">
          <w:rPr>
            <w:rStyle w:val="Hyperlink"/>
            <w:rFonts w:ascii="Times New Roman" w:hAnsi="Times New Roman"/>
            <w:sz w:val="18"/>
            <w:szCs w:val="18"/>
            <w:lang w:val="en-IE"/>
          </w:rPr>
          <w:t xml:space="preserve">IRRF </w:t>
        </w:r>
      </w:hyperlink>
      <w:r w:rsidRPr="00AC4D72">
        <w:rPr>
          <w:rFonts w:ascii="Times New Roman" w:hAnsi="Times New Roman"/>
          <w:sz w:val="18"/>
          <w:szCs w:val="18"/>
          <w:lang w:val="en-IE"/>
        </w:rPr>
        <w:t xml:space="preserve"> </w:t>
      </w:r>
    </w:p>
  </w:footnote>
  <w:footnote w:id="2">
    <w:p w14:paraId="22D45958" w14:textId="77777777" w:rsidR="00F0505F" w:rsidRPr="00E57FCD" w:rsidRDefault="00F0505F" w:rsidP="00F0505F">
      <w:pPr>
        <w:pStyle w:val="FootnoteText"/>
        <w:rPr>
          <w:sz w:val="18"/>
          <w:szCs w:val="18"/>
        </w:rPr>
      </w:pPr>
      <w:r w:rsidRPr="00F0505F">
        <w:rPr>
          <w:rStyle w:val="FootnoteReference"/>
          <w:rFonts w:ascii="Times New Roman" w:hAnsi="Times New Roman"/>
        </w:rPr>
        <w:footnoteRef/>
      </w:r>
      <w:r w:rsidRPr="00F0505F">
        <w:rPr>
          <w:rFonts w:ascii="Times New Roman" w:hAnsi="Times New Roman"/>
          <w:sz w:val="16"/>
          <w:szCs w:val="16"/>
        </w:rPr>
        <w:t>http://web.undp.org/evaluation/guideline/documents/PDF/UNDP_Evaluation_Guidelines.pdf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DADB3D3ADAA483699F057AC6968BD2A"/>
      </w:placeholder>
      <w:temporary/>
      <w:showingPlcHdr/>
      <w15:appearance w15:val="hidden"/>
    </w:sdtPr>
    <w:sdtContent>
      <w:p w14:paraId="1C4EF4B6" w14:textId="77777777" w:rsidR="00895175" w:rsidRDefault="00895175">
        <w:pPr>
          <w:pStyle w:val="Header"/>
        </w:pPr>
        <w:r>
          <w:t>[Type here]</w:t>
        </w:r>
      </w:p>
    </w:sdtContent>
  </w:sdt>
  <w:p w14:paraId="2440D54F" w14:textId="77777777" w:rsidR="003D3682" w:rsidRDefault="003D3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52" w14:textId="77777777" w:rsidTr="00D6679C">
      <w:trPr>
        <w:trHeight w:hRule="exact" w:val="80"/>
      </w:trPr>
      <w:tc>
        <w:tcPr>
          <w:tcW w:w="4838" w:type="dxa"/>
          <w:tcBorders>
            <w:bottom w:val="single" w:sz="4" w:space="0" w:color="auto"/>
          </w:tcBorders>
          <w:vAlign w:val="bottom"/>
        </w:tcPr>
        <w:p w14:paraId="2440D550" w14:textId="77777777" w:rsidR="003D3682" w:rsidRPr="007C6F85" w:rsidRDefault="003D3682" w:rsidP="00EC049F">
          <w:pPr>
            <w:pStyle w:val="Header"/>
            <w:spacing w:after="80"/>
            <w:rPr>
              <w:rFonts w:ascii="Times New Roman" w:hAnsi="Times New Roman"/>
              <w:b/>
              <w:sz w:val="17"/>
              <w:szCs w:val="17"/>
              <w:lang w:val="en-US" w:eastAsia="en-US"/>
            </w:rPr>
          </w:pPr>
        </w:p>
      </w:tc>
      <w:tc>
        <w:tcPr>
          <w:tcW w:w="8276" w:type="dxa"/>
          <w:tcBorders>
            <w:bottom w:val="single" w:sz="4" w:space="0" w:color="auto"/>
          </w:tcBorders>
          <w:vAlign w:val="bottom"/>
        </w:tcPr>
        <w:p w14:paraId="2440D551" w14:textId="77777777" w:rsidR="003D3682" w:rsidRPr="007C6F85" w:rsidRDefault="003D3682" w:rsidP="005841A3">
          <w:pPr>
            <w:pStyle w:val="Header"/>
            <w:jc w:val="right"/>
            <w:rPr>
              <w:rFonts w:ascii="Times New Roman" w:hAnsi="Times New Roman"/>
              <w:sz w:val="17"/>
              <w:szCs w:val="17"/>
              <w:lang w:val="en-US" w:eastAsia="en-US"/>
            </w:rPr>
          </w:pPr>
          <w:r w:rsidRPr="007C6F85">
            <w:rPr>
              <w:rFonts w:ascii="Times New Roman" w:hAnsi="Times New Roman"/>
              <w:b/>
              <w:sz w:val="17"/>
              <w:szCs w:val="17"/>
              <w:lang w:val="en-US" w:eastAsia="en-US"/>
            </w:rPr>
            <w:t>DP/DCP/</w:t>
          </w:r>
        </w:p>
      </w:tc>
    </w:tr>
  </w:tbl>
  <w:p w14:paraId="2440D553" w14:textId="77999C71" w:rsidR="003D3682" w:rsidRPr="00916E69" w:rsidRDefault="003D3682">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3D3682" w14:paraId="2440D55B" w14:textId="77777777">
      <w:trPr>
        <w:trHeight w:hRule="exact" w:val="864"/>
      </w:trPr>
      <w:tc>
        <w:tcPr>
          <w:tcW w:w="1267" w:type="dxa"/>
          <w:tcBorders>
            <w:top w:val="nil"/>
            <w:left w:val="nil"/>
            <w:bottom w:val="nil"/>
            <w:right w:val="nil"/>
          </w:tcBorders>
          <w:vAlign w:val="bottom"/>
        </w:tcPr>
        <w:p w14:paraId="2440D557" w14:textId="77777777" w:rsidR="003D3682" w:rsidRPr="007C6F85" w:rsidRDefault="003D3682">
          <w:pPr>
            <w:pStyle w:val="Header"/>
            <w:spacing w:after="120"/>
            <w:rPr>
              <w:lang w:val="en-US" w:eastAsia="en-US"/>
            </w:rPr>
          </w:pPr>
        </w:p>
      </w:tc>
      <w:tc>
        <w:tcPr>
          <w:tcW w:w="1872" w:type="dxa"/>
          <w:tcBorders>
            <w:top w:val="nil"/>
            <w:left w:val="nil"/>
            <w:bottom w:val="nil"/>
            <w:right w:val="nil"/>
          </w:tcBorders>
          <w:vAlign w:val="bottom"/>
        </w:tcPr>
        <w:p w14:paraId="2440D558" w14:textId="77777777" w:rsidR="003D3682" w:rsidRDefault="003D3682">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2440D559" w14:textId="77777777" w:rsidR="003D3682" w:rsidRPr="007C6F85" w:rsidRDefault="003D3682">
          <w:pPr>
            <w:pStyle w:val="Header"/>
            <w:spacing w:after="120"/>
            <w:rPr>
              <w:lang w:val="en-US" w:eastAsia="en-US"/>
            </w:rPr>
          </w:pPr>
        </w:p>
      </w:tc>
      <w:tc>
        <w:tcPr>
          <w:tcW w:w="6876" w:type="dxa"/>
          <w:gridSpan w:val="3"/>
          <w:tcBorders>
            <w:top w:val="nil"/>
            <w:left w:val="nil"/>
            <w:bottom w:val="nil"/>
            <w:right w:val="nil"/>
          </w:tcBorders>
          <w:vAlign w:val="bottom"/>
        </w:tcPr>
        <w:p w14:paraId="2440D55A" w14:textId="77777777" w:rsidR="003D3682" w:rsidRDefault="003D3682" w:rsidP="00441061">
          <w:pPr>
            <w:spacing w:after="80"/>
            <w:jc w:val="center"/>
            <w:rPr>
              <w:position w:val="-4"/>
            </w:rPr>
          </w:pPr>
          <w:r>
            <w:rPr>
              <w:position w:val="-4"/>
              <w:sz w:val="40"/>
            </w:rPr>
            <w:t xml:space="preserve">                         DP</w:t>
          </w:r>
          <w:r>
            <w:rPr>
              <w:position w:val="-4"/>
            </w:rPr>
            <w:t>/DCP/</w:t>
          </w:r>
        </w:p>
      </w:tc>
    </w:tr>
    <w:tr w:rsidR="003D3682" w14:paraId="2440D564" w14:textId="77777777" w:rsidTr="008B7186">
      <w:trPr>
        <w:trHeight w:hRule="exact" w:val="1936"/>
      </w:trPr>
      <w:tc>
        <w:tcPr>
          <w:tcW w:w="1267" w:type="dxa"/>
          <w:tcBorders>
            <w:top w:val="single" w:sz="4" w:space="0" w:color="auto"/>
            <w:left w:val="nil"/>
            <w:bottom w:val="single" w:sz="12" w:space="0" w:color="auto"/>
            <w:right w:val="nil"/>
          </w:tcBorders>
        </w:tcPr>
        <w:p w14:paraId="2440D55C" w14:textId="77777777" w:rsidR="003D3682" w:rsidRPr="007C6F85" w:rsidRDefault="003D3682">
          <w:pPr>
            <w:pStyle w:val="Header"/>
            <w:spacing w:before="109"/>
            <w:rPr>
              <w:lang w:val="en-US" w:eastAsia="en-US"/>
            </w:rPr>
          </w:pPr>
          <w:r w:rsidRPr="007C6F85">
            <w:rPr>
              <w:lang w:val="en-US" w:eastAsia="en-US"/>
            </w:rPr>
            <w:t xml:space="preserve"> </w:t>
          </w:r>
          <w:r>
            <w:rPr>
              <w:noProof/>
              <w:lang w:val="en-US" w:eastAsia="en-US"/>
            </w:rPr>
            <w:drawing>
              <wp:inline distT="0" distB="0" distL="0" distR="0" wp14:anchorId="2440D56B" wp14:editId="2440D56C">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2440D55D" w14:textId="77777777" w:rsidR="003D3682" w:rsidRPr="007C6F85" w:rsidRDefault="003D3682">
          <w:pPr>
            <w:pStyle w:val="Header"/>
            <w:spacing w:before="109"/>
            <w:rPr>
              <w:lang w:val="en-US" w:eastAsia="en-US"/>
            </w:rPr>
          </w:pPr>
        </w:p>
      </w:tc>
      <w:tc>
        <w:tcPr>
          <w:tcW w:w="5227" w:type="dxa"/>
          <w:gridSpan w:val="3"/>
          <w:tcBorders>
            <w:top w:val="single" w:sz="4" w:space="0" w:color="auto"/>
            <w:left w:val="nil"/>
            <w:bottom w:val="single" w:sz="12" w:space="0" w:color="auto"/>
            <w:right w:val="nil"/>
          </w:tcBorders>
        </w:tcPr>
        <w:p w14:paraId="2440D55E" w14:textId="62399656" w:rsidR="003D3682" w:rsidRDefault="003D3682">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 United Nations Office for Project Services</w:t>
          </w:r>
        </w:p>
      </w:tc>
      <w:tc>
        <w:tcPr>
          <w:tcW w:w="245" w:type="dxa"/>
          <w:tcBorders>
            <w:top w:val="single" w:sz="4" w:space="0" w:color="auto"/>
            <w:left w:val="nil"/>
            <w:bottom w:val="single" w:sz="12" w:space="0" w:color="auto"/>
            <w:right w:val="nil"/>
          </w:tcBorders>
        </w:tcPr>
        <w:p w14:paraId="2440D55F" w14:textId="77777777" w:rsidR="003D3682" w:rsidRPr="007C6F85" w:rsidRDefault="003D3682">
          <w:pPr>
            <w:pStyle w:val="Header"/>
            <w:spacing w:before="109"/>
            <w:rPr>
              <w:lang w:val="en-US" w:eastAsia="en-US"/>
            </w:rPr>
          </w:pPr>
        </w:p>
      </w:tc>
      <w:tc>
        <w:tcPr>
          <w:tcW w:w="3521" w:type="dxa"/>
          <w:tcBorders>
            <w:top w:val="single" w:sz="4" w:space="0" w:color="auto"/>
            <w:left w:val="nil"/>
            <w:bottom w:val="single" w:sz="12" w:space="0" w:color="auto"/>
            <w:right w:val="nil"/>
          </w:tcBorders>
        </w:tcPr>
        <w:p w14:paraId="2440D560" w14:textId="77777777" w:rsidR="003D3682" w:rsidRDefault="003D3682">
          <w:pPr>
            <w:spacing w:before="240"/>
          </w:pPr>
          <w:r>
            <w:t>Distr.: General</w:t>
          </w:r>
        </w:p>
        <w:p w14:paraId="2440D561" w14:textId="77777777" w:rsidR="003D3682" w:rsidRDefault="003D3682" w:rsidP="00441061">
          <w:r>
            <w:t>(Date)</w:t>
          </w:r>
        </w:p>
        <w:p w14:paraId="2440D562" w14:textId="77777777" w:rsidR="003D3682" w:rsidRDefault="003D3682"/>
        <w:p w14:paraId="2440D563" w14:textId="77777777" w:rsidR="003D3682" w:rsidRDefault="003D3682">
          <w:r>
            <w:t>Original: Language</w:t>
          </w:r>
        </w:p>
      </w:tc>
    </w:tr>
  </w:tbl>
  <w:p w14:paraId="2440D565" w14:textId="77777777" w:rsidR="003D3682" w:rsidRDefault="003D3682">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D56A" w14:textId="77777777" w:rsidR="003D3682" w:rsidRDefault="003D3682">
    <w:pPr>
      <w:pStyle w:val="Header"/>
    </w:pPr>
    <w:r>
      <w:rPr>
        <w:noProof/>
        <w:lang w:val="en-US" w:eastAsia="en-US"/>
      </w:rPr>
      <mc:AlternateContent>
        <mc:Choice Requires="wps">
          <w:drawing>
            <wp:anchor distT="0" distB="0" distL="114300" distR="114300" simplePos="0" relativeHeight="251657216" behindDoc="0" locked="0" layoutInCell="0" allowOverlap="1" wp14:anchorId="2440D56D" wp14:editId="2440D56E">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71" w14:textId="77777777">
                            <w:trPr>
                              <w:trHeight w:hRule="exact" w:val="864"/>
                            </w:trPr>
                            <w:tc>
                              <w:tcPr>
                                <w:tcW w:w="4838" w:type="dxa"/>
                                <w:tcBorders>
                                  <w:bottom w:val="single" w:sz="4" w:space="0" w:color="auto"/>
                                </w:tcBorders>
                                <w:vAlign w:val="bottom"/>
                              </w:tcPr>
                              <w:p w14:paraId="2440D56F" w14:textId="77777777" w:rsidR="003D3682" w:rsidRPr="007C6F85" w:rsidRDefault="003D3682"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2440D570" w14:textId="77777777" w:rsidR="003D3682" w:rsidRPr="007C6F85" w:rsidRDefault="003D3682">
                                <w:pPr>
                                  <w:pStyle w:val="Header"/>
                                  <w:rPr>
                                    <w:rFonts w:ascii="Times New Roman" w:hAnsi="Times New Roman"/>
                                    <w:sz w:val="17"/>
                                    <w:szCs w:val="17"/>
                                    <w:lang w:val="en-US" w:eastAsia="en-US"/>
                                  </w:rPr>
                                </w:pPr>
                              </w:p>
                            </w:tc>
                          </w:tr>
                        </w:tbl>
                        <w:p w14:paraId="2440D572" w14:textId="77777777" w:rsidR="003D3682" w:rsidRDefault="003D368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40D56D"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71" w14:textId="77777777">
                      <w:trPr>
                        <w:trHeight w:hRule="exact" w:val="864"/>
                      </w:trPr>
                      <w:tc>
                        <w:tcPr>
                          <w:tcW w:w="4838" w:type="dxa"/>
                          <w:tcBorders>
                            <w:bottom w:val="single" w:sz="4" w:space="0" w:color="auto"/>
                          </w:tcBorders>
                          <w:vAlign w:val="bottom"/>
                        </w:tcPr>
                        <w:p w14:paraId="2440D56F" w14:textId="77777777" w:rsidR="003D3682" w:rsidRPr="007C6F85" w:rsidRDefault="003D3682"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2440D570" w14:textId="77777777" w:rsidR="003D3682" w:rsidRPr="007C6F85" w:rsidRDefault="003D3682">
                          <w:pPr>
                            <w:pStyle w:val="Header"/>
                            <w:rPr>
                              <w:rFonts w:ascii="Times New Roman" w:hAnsi="Times New Roman"/>
                              <w:sz w:val="17"/>
                              <w:szCs w:val="17"/>
                              <w:lang w:val="en-US" w:eastAsia="en-US"/>
                            </w:rPr>
                          </w:pPr>
                        </w:p>
                      </w:tc>
                    </w:tr>
                  </w:tbl>
                  <w:p w14:paraId="2440D572" w14:textId="77777777" w:rsidR="003D3682" w:rsidRDefault="003D368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F012BC"/>
    <w:multiLevelType w:val="hybridMultilevel"/>
    <w:tmpl w:val="AEBAA3C0"/>
    <w:lvl w:ilvl="0" w:tplc="4418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E98"/>
    <w:multiLevelType w:val="hybridMultilevel"/>
    <w:tmpl w:val="4E7A24A8"/>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C72F0"/>
    <w:multiLevelType w:val="hybridMultilevel"/>
    <w:tmpl w:val="4B4ACAF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88C67E7"/>
    <w:multiLevelType w:val="hybridMultilevel"/>
    <w:tmpl w:val="C86A47E0"/>
    <w:lvl w:ilvl="0" w:tplc="0C8EE99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8"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1" w15:restartNumberingAfterBreak="0">
    <w:nsid w:val="303115FF"/>
    <w:multiLevelType w:val="hybridMultilevel"/>
    <w:tmpl w:val="03FE75F0"/>
    <w:lvl w:ilvl="0" w:tplc="AB4E437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3"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4"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CF0082"/>
    <w:multiLevelType w:val="hybridMultilevel"/>
    <w:tmpl w:val="58C0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9"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4321077D"/>
    <w:multiLevelType w:val="hybridMultilevel"/>
    <w:tmpl w:val="FE36E9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61C75DB"/>
    <w:multiLevelType w:val="hybridMultilevel"/>
    <w:tmpl w:val="CCDED580"/>
    <w:lvl w:ilvl="0" w:tplc="C4127B66">
      <w:start w:val="1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5865D2"/>
    <w:multiLevelType w:val="hybridMultilevel"/>
    <w:tmpl w:val="E4C02DEE"/>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25E90"/>
    <w:multiLevelType w:val="hybridMultilevel"/>
    <w:tmpl w:val="010A180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4EA02372"/>
    <w:multiLevelType w:val="hybridMultilevel"/>
    <w:tmpl w:val="B6349452"/>
    <w:lvl w:ilvl="0" w:tplc="9EA0D570">
      <w:start w:val="1"/>
      <w:numFmt w:val="lowerLetter"/>
      <w:lvlText w:val="(%1)"/>
      <w:lvlJc w:val="left"/>
      <w:pPr>
        <w:ind w:left="162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F73E7"/>
    <w:multiLevelType w:val="hybridMultilevel"/>
    <w:tmpl w:val="4B94007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9"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06982"/>
    <w:multiLevelType w:val="multilevel"/>
    <w:tmpl w:val="05ACE57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2"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34" w15:restartNumberingAfterBreak="0">
    <w:nsid w:val="64B66A6F"/>
    <w:multiLevelType w:val="hybridMultilevel"/>
    <w:tmpl w:val="0220F4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6"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8"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9" w15:restartNumberingAfterBreak="0">
    <w:nsid w:val="6AD2356B"/>
    <w:multiLevelType w:val="hybridMultilevel"/>
    <w:tmpl w:val="0DACEC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41"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B06B2"/>
    <w:multiLevelType w:val="hybridMultilevel"/>
    <w:tmpl w:val="115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1537725">
    <w:abstractNumId w:val="19"/>
  </w:num>
  <w:num w:numId="2" w16cid:durableId="1035231628">
    <w:abstractNumId w:val="32"/>
  </w:num>
  <w:num w:numId="3" w16cid:durableId="1745713024">
    <w:abstractNumId w:val="26"/>
  </w:num>
  <w:num w:numId="4" w16cid:durableId="232934354">
    <w:abstractNumId w:val="37"/>
  </w:num>
  <w:num w:numId="5" w16cid:durableId="1408964103">
    <w:abstractNumId w:val="27"/>
  </w:num>
  <w:num w:numId="6" w16cid:durableId="1476798053">
    <w:abstractNumId w:val="0"/>
  </w:num>
  <w:num w:numId="7" w16cid:durableId="373165518">
    <w:abstractNumId w:val="16"/>
  </w:num>
  <w:num w:numId="8" w16cid:durableId="2086873146">
    <w:abstractNumId w:val="33"/>
  </w:num>
  <w:num w:numId="9" w16cid:durableId="955409839">
    <w:abstractNumId w:val="45"/>
  </w:num>
  <w:num w:numId="10" w16cid:durableId="615210080">
    <w:abstractNumId w:val="36"/>
  </w:num>
  <w:num w:numId="11" w16cid:durableId="1454595388">
    <w:abstractNumId w:val="44"/>
  </w:num>
  <w:num w:numId="12" w16cid:durableId="2087609301">
    <w:abstractNumId w:val="23"/>
  </w:num>
  <w:num w:numId="13" w16cid:durableId="1970087026">
    <w:abstractNumId w:val="7"/>
  </w:num>
  <w:num w:numId="14" w16cid:durableId="513887929">
    <w:abstractNumId w:val="15"/>
  </w:num>
  <w:num w:numId="15" w16cid:durableId="626818060">
    <w:abstractNumId w:val="40"/>
  </w:num>
  <w:num w:numId="16" w16cid:durableId="369502344">
    <w:abstractNumId w:val="10"/>
  </w:num>
  <w:num w:numId="17" w16cid:durableId="14036607">
    <w:abstractNumId w:val="13"/>
  </w:num>
  <w:num w:numId="18" w16cid:durableId="1730835369">
    <w:abstractNumId w:val="18"/>
  </w:num>
  <w:num w:numId="19" w16cid:durableId="1747343217">
    <w:abstractNumId w:val="43"/>
  </w:num>
  <w:num w:numId="20" w16cid:durableId="1001084752">
    <w:abstractNumId w:val="9"/>
  </w:num>
  <w:num w:numId="21" w16cid:durableId="1003625765">
    <w:abstractNumId w:val="8"/>
  </w:num>
  <w:num w:numId="22" w16cid:durableId="1343582165">
    <w:abstractNumId w:val="41"/>
  </w:num>
  <w:num w:numId="23" w16cid:durableId="1481538453">
    <w:abstractNumId w:val="14"/>
  </w:num>
  <w:num w:numId="24" w16cid:durableId="417751680">
    <w:abstractNumId w:val="3"/>
  </w:num>
  <w:num w:numId="25" w16cid:durableId="1706786732">
    <w:abstractNumId w:val="38"/>
  </w:num>
  <w:num w:numId="26" w16cid:durableId="1452549848">
    <w:abstractNumId w:val="35"/>
  </w:num>
  <w:num w:numId="27" w16cid:durableId="202720281">
    <w:abstractNumId w:val="30"/>
  </w:num>
  <w:num w:numId="28" w16cid:durableId="1158499306">
    <w:abstractNumId w:val="1"/>
  </w:num>
  <w:num w:numId="29" w16cid:durableId="1938127072">
    <w:abstractNumId w:val="24"/>
  </w:num>
  <w:num w:numId="30" w16cid:durableId="276330226">
    <w:abstractNumId w:val="29"/>
  </w:num>
  <w:num w:numId="31" w16cid:durableId="96681034">
    <w:abstractNumId w:val="12"/>
  </w:num>
  <w:num w:numId="32" w16cid:durableId="1564488635">
    <w:abstractNumId w:val="4"/>
  </w:num>
  <w:num w:numId="33" w16cid:durableId="147483173">
    <w:abstractNumId w:val="22"/>
  </w:num>
  <w:num w:numId="34" w16cid:durableId="18206830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9129424">
    <w:abstractNumId w:val="21"/>
  </w:num>
  <w:num w:numId="36" w16cid:durableId="2051801968">
    <w:abstractNumId w:val="6"/>
  </w:num>
  <w:num w:numId="37" w16cid:durableId="1850367754">
    <w:abstractNumId w:val="28"/>
  </w:num>
  <w:num w:numId="38" w16cid:durableId="1871214754">
    <w:abstractNumId w:val="11"/>
  </w:num>
  <w:num w:numId="39" w16cid:durableId="1860849141">
    <w:abstractNumId w:val="2"/>
  </w:num>
  <w:num w:numId="40" w16cid:durableId="1017775815">
    <w:abstractNumId w:val="20"/>
  </w:num>
  <w:num w:numId="41" w16cid:durableId="490953910">
    <w:abstractNumId w:val="5"/>
  </w:num>
  <w:num w:numId="42" w16cid:durableId="1645305542">
    <w:abstractNumId w:val="17"/>
  </w:num>
  <w:num w:numId="43" w16cid:durableId="805783442">
    <w:abstractNumId w:val="39"/>
  </w:num>
  <w:num w:numId="44" w16cid:durableId="1389232638">
    <w:abstractNumId w:val="34"/>
  </w:num>
  <w:num w:numId="45" w16cid:durableId="79060496">
    <w:abstractNumId w:val="25"/>
  </w:num>
  <w:num w:numId="46" w16cid:durableId="860245013">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27D2"/>
    <w:rsid w:val="0000312F"/>
    <w:rsid w:val="00003E8B"/>
    <w:rsid w:val="00005E26"/>
    <w:rsid w:val="00006E59"/>
    <w:rsid w:val="0001309E"/>
    <w:rsid w:val="000153EB"/>
    <w:rsid w:val="00015FDE"/>
    <w:rsid w:val="00016217"/>
    <w:rsid w:val="00016861"/>
    <w:rsid w:val="00017D05"/>
    <w:rsid w:val="000200CF"/>
    <w:rsid w:val="000205F1"/>
    <w:rsid w:val="00022047"/>
    <w:rsid w:val="00023AEE"/>
    <w:rsid w:val="000274B9"/>
    <w:rsid w:val="0002758B"/>
    <w:rsid w:val="000276A0"/>
    <w:rsid w:val="0003257C"/>
    <w:rsid w:val="000330DB"/>
    <w:rsid w:val="0003429F"/>
    <w:rsid w:val="0003562A"/>
    <w:rsid w:val="00036095"/>
    <w:rsid w:val="000367E0"/>
    <w:rsid w:val="00036AF4"/>
    <w:rsid w:val="00041C10"/>
    <w:rsid w:val="00043804"/>
    <w:rsid w:val="000441A1"/>
    <w:rsid w:val="00050869"/>
    <w:rsid w:val="00051E3C"/>
    <w:rsid w:val="00055596"/>
    <w:rsid w:val="00056014"/>
    <w:rsid w:val="000561C1"/>
    <w:rsid w:val="00056204"/>
    <w:rsid w:val="000570D1"/>
    <w:rsid w:val="000571A9"/>
    <w:rsid w:val="00060290"/>
    <w:rsid w:val="000611AB"/>
    <w:rsid w:val="00063E24"/>
    <w:rsid w:val="00072229"/>
    <w:rsid w:val="000728F8"/>
    <w:rsid w:val="00073CF1"/>
    <w:rsid w:val="00074BD0"/>
    <w:rsid w:val="00074D9A"/>
    <w:rsid w:val="00074DB9"/>
    <w:rsid w:val="000753C4"/>
    <w:rsid w:val="00075DF0"/>
    <w:rsid w:val="000762CA"/>
    <w:rsid w:val="000803A4"/>
    <w:rsid w:val="000806E3"/>
    <w:rsid w:val="0008339E"/>
    <w:rsid w:val="00090AD1"/>
    <w:rsid w:val="00090F4F"/>
    <w:rsid w:val="00091476"/>
    <w:rsid w:val="00091984"/>
    <w:rsid w:val="00092879"/>
    <w:rsid w:val="00094E87"/>
    <w:rsid w:val="00097FB2"/>
    <w:rsid w:val="000A151D"/>
    <w:rsid w:val="000A24C5"/>
    <w:rsid w:val="000A2967"/>
    <w:rsid w:val="000A2ABD"/>
    <w:rsid w:val="000A30A1"/>
    <w:rsid w:val="000A3A38"/>
    <w:rsid w:val="000A3F7F"/>
    <w:rsid w:val="000A47FD"/>
    <w:rsid w:val="000A7192"/>
    <w:rsid w:val="000B0228"/>
    <w:rsid w:val="000B2E16"/>
    <w:rsid w:val="000B3A13"/>
    <w:rsid w:val="000B4BB2"/>
    <w:rsid w:val="000B6379"/>
    <w:rsid w:val="000C4E54"/>
    <w:rsid w:val="000C76B0"/>
    <w:rsid w:val="000C7BBE"/>
    <w:rsid w:val="000D2475"/>
    <w:rsid w:val="000D442C"/>
    <w:rsid w:val="000D4DC4"/>
    <w:rsid w:val="000E55D6"/>
    <w:rsid w:val="000E612D"/>
    <w:rsid w:val="000E6AB1"/>
    <w:rsid w:val="000E745A"/>
    <w:rsid w:val="000E7E9E"/>
    <w:rsid w:val="000F0044"/>
    <w:rsid w:val="000F0EFD"/>
    <w:rsid w:val="000F5541"/>
    <w:rsid w:val="000F703B"/>
    <w:rsid w:val="000F72ED"/>
    <w:rsid w:val="000F7A4C"/>
    <w:rsid w:val="00103698"/>
    <w:rsid w:val="00106EF8"/>
    <w:rsid w:val="001079CD"/>
    <w:rsid w:val="001101A2"/>
    <w:rsid w:val="00111489"/>
    <w:rsid w:val="00111792"/>
    <w:rsid w:val="00111797"/>
    <w:rsid w:val="00111B19"/>
    <w:rsid w:val="00114A64"/>
    <w:rsid w:val="00115F59"/>
    <w:rsid w:val="00116C1A"/>
    <w:rsid w:val="00121554"/>
    <w:rsid w:val="00121F3E"/>
    <w:rsid w:val="0012229E"/>
    <w:rsid w:val="00123849"/>
    <w:rsid w:val="00123A5E"/>
    <w:rsid w:val="00125010"/>
    <w:rsid w:val="001251C8"/>
    <w:rsid w:val="00125266"/>
    <w:rsid w:val="00125B82"/>
    <w:rsid w:val="001305E6"/>
    <w:rsid w:val="001315CD"/>
    <w:rsid w:val="0013239A"/>
    <w:rsid w:val="00132D93"/>
    <w:rsid w:val="001334D3"/>
    <w:rsid w:val="0013761A"/>
    <w:rsid w:val="0014423A"/>
    <w:rsid w:val="00147042"/>
    <w:rsid w:val="001471A7"/>
    <w:rsid w:val="001506F6"/>
    <w:rsid w:val="001508E6"/>
    <w:rsid w:val="00154032"/>
    <w:rsid w:val="001547D3"/>
    <w:rsid w:val="001559BD"/>
    <w:rsid w:val="00157F09"/>
    <w:rsid w:val="00157F79"/>
    <w:rsid w:val="00163E84"/>
    <w:rsid w:val="00165A12"/>
    <w:rsid w:val="001668AA"/>
    <w:rsid w:val="001675B1"/>
    <w:rsid w:val="0016789D"/>
    <w:rsid w:val="00167C87"/>
    <w:rsid w:val="00171F01"/>
    <w:rsid w:val="00172EE3"/>
    <w:rsid w:val="00174F19"/>
    <w:rsid w:val="00177E7E"/>
    <w:rsid w:val="00180BB5"/>
    <w:rsid w:val="0018356F"/>
    <w:rsid w:val="001874A7"/>
    <w:rsid w:val="001876C5"/>
    <w:rsid w:val="00187D68"/>
    <w:rsid w:val="00190155"/>
    <w:rsid w:val="001906B5"/>
    <w:rsid w:val="001913A7"/>
    <w:rsid w:val="00192198"/>
    <w:rsid w:val="00194163"/>
    <w:rsid w:val="00194359"/>
    <w:rsid w:val="00194FEB"/>
    <w:rsid w:val="001970A4"/>
    <w:rsid w:val="00197AD1"/>
    <w:rsid w:val="001A17DA"/>
    <w:rsid w:val="001B0020"/>
    <w:rsid w:val="001B3F87"/>
    <w:rsid w:val="001B4026"/>
    <w:rsid w:val="001B598C"/>
    <w:rsid w:val="001B6419"/>
    <w:rsid w:val="001B76A6"/>
    <w:rsid w:val="001C07F8"/>
    <w:rsid w:val="001C1147"/>
    <w:rsid w:val="001C2D7D"/>
    <w:rsid w:val="001C2F59"/>
    <w:rsid w:val="001C6C08"/>
    <w:rsid w:val="001C742E"/>
    <w:rsid w:val="001D0646"/>
    <w:rsid w:val="001D0C44"/>
    <w:rsid w:val="001D1B55"/>
    <w:rsid w:val="001D2056"/>
    <w:rsid w:val="001D220F"/>
    <w:rsid w:val="001D42D1"/>
    <w:rsid w:val="001D547F"/>
    <w:rsid w:val="001D5D49"/>
    <w:rsid w:val="001D5F99"/>
    <w:rsid w:val="001D64E5"/>
    <w:rsid w:val="001D6EB8"/>
    <w:rsid w:val="001E05EC"/>
    <w:rsid w:val="001E2165"/>
    <w:rsid w:val="001E4809"/>
    <w:rsid w:val="001E4F4F"/>
    <w:rsid w:val="001F27F4"/>
    <w:rsid w:val="001F3DC0"/>
    <w:rsid w:val="001F4C5A"/>
    <w:rsid w:val="001F4EA9"/>
    <w:rsid w:val="001F4F73"/>
    <w:rsid w:val="001F6425"/>
    <w:rsid w:val="001F6772"/>
    <w:rsid w:val="001F7421"/>
    <w:rsid w:val="00200195"/>
    <w:rsid w:val="00200B5F"/>
    <w:rsid w:val="00201EEF"/>
    <w:rsid w:val="00202476"/>
    <w:rsid w:val="00202B58"/>
    <w:rsid w:val="002047C8"/>
    <w:rsid w:val="002052B3"/>
    <w:rsid w:val="00205453"/>
    <w:rsid w:val="002058F9"/>
    <w:rsid w:val="0020650A"/>
    <w:rsid w:val="00207F32"/>
    <w:rsid w:val="00212B1F"/>
    <w:rsid w:val="00213340"/>
    <w:rsid w:val="00213D7C"/>
    <w:rsid w:val="00214513"/>
    <w:rsid w:val="002155B7"/>
    <w:rsid w:val="0021766A"/>
    <w:rsid w:val="00220C88"/>
    <w:rsid w:val="002225D3"/>
    <w:rsid w:val="00222A35"/>
    <w:rsid w:val="0022301D"/>
    <w:rsid w:val="002236F0"/>
    <w:rsid w:val="00224B2C"/>
    <w:rsid w:val="00226F3A"/>
    <w:rsid w:val="002272E2"/>
    <w:rsid w:val="00227E55"/>
    <w:rsid w:val="00232AA0"/>
    <w:rsid w:val="00234CDF"/>
    <w:rsid w:val="00236B91"/>
    <w:rsid w:val="00236BF6"/>
    <w:rsid w:val="002424C0"/>
    <w:rsid w:val="00242617"/>
    <w:rsid w:val="00242CAA"/>
    <w:rsid w:val="0024503B"/>
    <w:rsid w:val="0024573D"/>
    <w:rsid w:val="00245D74"/>
    <w:rsid w:val="00246D03"/>
    <w:rsid w:val="00246DDF"/>
    <w:rsid w:val="002573CC"/>
    <w:rsid w:val="00260FAA"/>
    <w:rsid w:val="00262338"/>
    <w:rsid w:val="00263694"/>
    <w:rsid w:val="00263938"/>
    <w:rsid w:val="002646D7"/>
    <w:rsid w:val="00264990"/>
    <w:rsid w:val="002671D7"/>
    <w:rsid w:val="0027259C"/>
    <w:rsid w:val="00273543"/>
    <w:rsid w:val="00274C82"/>
    <w:rsid w:val="0027654D"/>
    <w:rsid w:val="002810DF"/>
    <w:rsid w:val="002812AB"/>
    <w:rsid w:val="002816D8"/>
    <w:rsid w:val="00281F8F"/>
    <w:rsid w:val="00282A8C"/>
    <w:rsid w:val="002854EE"/>
    <w:rsid w:val="0028565C"/>
    <w:rsid w:val="002875DE"/>
    <w:rsid w:val="00287E07"/>
    <w:rsid w:val="00290EB3"/>
    <w:rsid w:val="00292846"/>
    <w:rsid w:val="00292A90"/>
    <w:rsid w:val="002971D6"/>
    <w:rsid w:val="002A2F08"/>
    <w:rsid w:val="002A3641"/>
    <w:rsid w:val="002A495F"/>
    <w:rsid w:val="002A4CE1"/>
    <w:rsid w:val="002A706F"/>
    <w:rsid w:val="002A70EA"/>
    <w:rsid w:val="002A7363"/>
    <w:rsid w:val="002A7F43"/>
    <w:rsid w:val="002B365E"/>
    <w:rsid w:val="002B3E6C"/>
    <w:rsid w:val="002B489A"/>
    <w:rsid w:val="002B6341"/>
    <w:rsid w:val="002C031A"/>
    <w:rsid w:val="002C0526"/>
    <w:rsid w:val="002C27A8"/>
    <w:rsid w:val="002C333E"/>
    <w:rsid w:val="002C36C8"/>
    <w:rsid w:val="002C51A0"/>
    <w:rsid w:val="002C57E0"/>
    <w:rsid w:val="002C7971"/>
    <w:rsid w:val="002D0584"/>
    <w:rsid w:val="002D2E2A"/>
    <w:rsid w:val="002D4274"/>
    <w:rsid w:val="002D4F19"/>
    <w:rsid w:val="002D5295"/>
    <w:rsid w:val="002D52BF"/>
    <w:rsid w:val="002D6630"/>
    <w:rsid w:val="002D68FA"/>
    <w:rsid w:val="002D7ECA"/>
    <w:rsid w:val="002E0141"/>
    <w:rsid w:val="002E0B5D"/>
    <w:rsid w:val="002E0B76"/>
    <w:rsid w:val="002E1495"/>
    <w:rsid w:val="002E2466"/>
    <w:rsid w:val="002E2900"/>
    <w:rsid w:val="002E3C0D"/>
    <w:rsid w:val="002E43EC"/>
    <w:rsid w:val="002E4883"/>
    <w:rsid w:val="002E5B3C"/>
    <w:rsid w:val="002E7A79"/>
    <w:rsid w:val="002F1D9E"/>
    <w:rsid w:val="002F2C6E"/>
    <w:rsid w:val="002F3C88"/>
    <w:rsid w:val="002F4067"/>
    <w:rsid w:val="002F47EB"/>
    <w:rsid w:val="002F7339"/>
    <w:rsid w:val="002F7461"/>
    <w:rsid w:val="003025E2"/>
    <w:rsid w:val="00303CB0"/>
    <w:rsid w:val="00306D24"/>
    <w:rsid w:val="00307712"/>
    <w:rsid w:val="0031404A"/>
    <w:rsid w:val="00314B7C"/>
    <w:rsid w:val="00314E49"/>
    <w:rsid w:val="00315445"/>
    <w:rsid w:val="00317183"/>
    <w:rsid w:val="003204AE"/>
    <w:rsid w:val="003208EF"/>
    <w:rsid w:val="00323D35"/>
    <w:rsid w:val="00324846"/>
    <w:rsid w:val="00324ABD"/>
    <w:rsid w:val="00324D9B"/>
    <w:rsid w:val="003272A6"/>
    <w:rsid w:val="003273CB"/>
    <w:rsid w:val="0033125E"/>
    <w:rsid w:val="00332ED2"/>
    <w:rsid w:val="0033325E"/>
    <w:rsid w:val="00335C99"/>
    <w:rsid w:val="00336913"/>
    <w:rsid w:val="0033718C"/>
    <w:rsid w:val="00337407"/>
    <w:rsid w:val="00337BB8"/>
    <w:rsid w:val="00340E02"/>
    <w:rsid w:val="00341F33"/>
    <w:rsid w:val="00342E94"/>
    <w:rsid w:val="00343E6E"/>
    <w:rsid w:val="00343E9A"/>
    <w:rsid w:val="003450C8"/>
    <w:rsid w:val="00345BA7"/>
    <w:rsid w:val="0034782B"/>
    <w:rsid w:val="00351E5C"/>
    <w:rsid w:val="00351F5A"/>
    <w:rsid w:val="003538F7"/>
    <w:rsid w:val="0035580F"/>
    <w:rsid w:val="00357CB4"/>
    <w:rsid w:val="003604EE"/>
    <w:rsid w:val="0036286B"/>
    <w:rsid w:val="00363371"/>
    <w:rsid w:val="00364989"/>
    <w:rsid w:val="003664C0"/>
    <w:rsid w:val="00366769"/>
    <w:rsid w:val="00367A28"/>
    <w:rsid w:val="00367E04"/>
    <w:rsid w:val="003761F2"/>
    <w:rsid w:val="00376A05"/>
    <w:rsid w:val="003774FE"/>
    <w:rsid w:val="003815EB"/>
    <w:rsid w:val="00383832"/>
    <w:rsid w:val="00390E30"/>
    <w:rsid w:val="00392823"/>
    <w:rsid w:val="003938AC"/>
    <w:rsid w:val="00393ABE"/>
    <w:rsid w:val="0039458D"/>
    <w:rsid w:val="00394D61"/>
    <w:rsid w:val="00395201"/>
    <w:rsid w:val="003A05FC"/>
    <w:rsid w:val="003A1F5A"/>
    <w:rsid w:val="003A20C4"/>
    <w:rsid w:val="003A2ECE"/>
    <w:rsid w:val="003A4252"/>
    <w:rsid w:val="003A539A"/>
    <w:rsid w:val="003A62A4"/>
    <w:rsid w:val="003A7476"/>
    <w:rsid w:val="003A7D86"/>
    <w:rsid w:val="003B0AA1"/>
    <w:rsid w:val="003B243D"/>
    <w:rsid w:val="003B304F"/>
    <w:rsid w:val="003B5D18"/>
    <w:rsid w:val="003B795D"/>
    <w:rsid w:val="003C26A6"/>
    <w:rsid w:val="003C26C1"/>
    <w:rsid w:val="003C5C11"/>
    <w:rsid w:val="003C6A5A"/>
    <w:rsid w:val="003C6AAD"/>
    <w:rsid w:val="003C76E4"/>
    <w:rsid w:val="003D1D4D"/>
    <w:rsid w:val="003D2D68"/>
    <w:rsid w:val="003D3682"/>
    <w:rsid w:val="003D37DD"/>
    <w:rsid w:val="003D45DF"/>
    <w:rsid w:val="003D47C6"/>
    <w:rsid w:val="003D7E38"/>
    <w:rsid w:val="003D7EAC"/>
    <w:rsid w:val="003E1AFA"/>
    <w:rsid w:val="003E375F"/>
    <w:rsid w:val="003E379A"/>
    <w:rsid w:val="003E52B0"/>
    <w:rsid w:val="003E64DC"/>
    <w:rsid w:val="003E7A43"/>
    <w:rsid w:val="003F0B58"/>
    <w:rsid w:val="003F0D40"/>
    <w:rsid w:val="003F2236"/>
    <w:rsid w:val="003F27B7"/>
    <w:rsid w:val="003F4051"/>
    <w:rsid w:val="003F5812"/>
    <w:rsid w:val="003F625A"/>
    <w:rsid w:val="003F6AA4"/>
    <w:rsid w:val="003F6EA1"/>
    <w:rsid w:val="00400E4A"/>
    <w:rsid w:val="004028E7"/>
    <w:rsid w:val="00402E9A"/>
    <w:rsid w:val="00403FA8"/>
    <w:rsid w:val="00404040"/>
    <w:rsid w:val="00404213"/>
    <w:rsid w:val="004048AC"/>
    <w:rsid w:val="00404B8E"/>
    <w:rsid w:val="004068C2"/>
    <w:rsid w:val="00406E61"/>
    <w:rsid w:val="00407DD6"/>
    <w:rsid w:val="00412559"/>
    <w:rsid w:val="004145F0"/>
    <w:rsid w:val="00415E7F"/>
    <w:rsid w:val="00420288"/>
    <w:rsid w:val="00421C78"/>
    <w:rsid w:val="004224CE"/>
    <w:rsid w:val="00423D5E"/>
    <w:rsid w:val="00424A78"/>
    <w:rsid w:val="004254DB"/>
    <w:rsid w:val="00427EEA"/>
    <w:rsid w:val="00431836"/>
    <w:rsid w:val="004321E6"/>
    <w:rsid w:val="0043278E"/>
    <w:rsid w:val="004332A4"/>
    <w:rsid w:val="004360AC"/>
    <w:rsid w:val="00436B83"/>
    <w:rsid w:val="00441061"/>
    <w:rsid w:val="0044560C"/>
    <w:rsid w:val="004501C9"/>
    <w:rsid w:val="00450C70"/>
    <w:rsid w:val="00453344"/>
    <w:rsid w:val="00454E76"/>
    <w:rsid w:val="00457080"/>
    <w:rsid w:val="00460891"/>
    <w:rsid w:val="00464FB2"/>
    <w:rsid w:val="004662A8"/>
    <w:rsid w:val="00466CDC"/>
    <w:rsid w:val="0046745E"/>
    <w:rsid w:val="004725ED"/>
    <w:rsid w:val="004736BE"/>
    <w:rsid w:val="0047556D"/>
    <w:rsid w:val="00475789"/>
    <w:rsid w:val="00476170"/>
    <w:rsid w:val="004801D4"/>
    <w:rsid w:val="00480284"/>
    <w:rsid w:val="004820B0"/>
    <w:rsid w:val="00482117"/>
    <w:rsid w:val="00482E2F"/>
    <w:rsid w:val="00484BE0"/>
    <w:rsid w:val="004859B4"/>
    <w:rsid w:val="00486ACD"/>
    <w:rsid w:val="00490B8D"/>
    <w:rsid w:val="0049255A"/>
    <w:rsid w:val="00492C65"/>
    <w:rsid w:val="0049403F"/>
    <w:rsid w:val="00494323"/>
    <w:rsid w:val="00494349"/>
    <w:rsid w:val="00494485"/>
    <w:rsid w:val="0049682B"/>
    <w:rsid w:val="0049762B"/>
    <w:rsid w:val="004A0F27"/>
    <w:rsid w:val="004A0F37"/>
    <w:rsid w:val="004A0F68"/>
    <w:rsid w:val="004A3608"/>
    <w:rsid w:val="004A4FBD"/>
    <w:rsid w:val="004A76FF"/>
    <w:rsid w:val="004A7810"/>
    <w:rsid w:val="004A7E93"/>
    <w:rsid w:val="004B021E"/>
    <w:rsid w:val="004B3CFB"/>
    <w:rsid w:val="004B5D6B"/>
    <w:rsid w:val="004B76F8"/>
    <w:rsid w:val="004C1FA6"/>
    <w:rsid w:val="004C2869"/>
    <w:rsid w:val="004C5CFD"/>
    <w:rsid w:val="004D12C0"/>
    <w:rsid w:val="004D18EA"/>
    <w:rsid w:val="004D2B29"/>
    <w:rsid w:val="004D3713"/>
    <w:rsid w:val="004D6254"/>
    <w:rsid w:val="004D70FD"/>
    <w:rsid w:val="004D7E99"/>
    <w:rsid w:val="004E00CE"/>
    <w:rsid w:val="004E2BDB"/>
    <w:rsid w:val="004E307B"/>
    <w:rsid w:val="004F0966"/>
    <w:rsid w:val="004F50AF"/>
    <w:rsid w:val="004F681D"/>
    <w:rsid w:val="004F6E14"/>
    <w:rsid w:val="0050228C"/>
    <w:rsid w:val="00502857"/>
    <w:rsid w:val="005044A9"/>
    <w:rsid w:val="00504F68"/>
    <w:rsid w:val="005054DC"/>
    <w:rsid w:val="00505994"/>
    <w:rsid w:val="00505FD4"/>
    <w:rsid w:val="005062F0"/>
    <w:rsid w:val="00506E25"/>
    <w:rsid w:val="0051132C"/>
    <w:rsid w:val="005119D0"/>
    <w:rsid w:val="00513483"/>
    <w:rsid w:val="00514A55"/>
    <w:rsid w:val="00514EF5"/>
    <w:rsid w:val="0051782D"/>
    <w:rsid w:val="0052087E"/>
    <w:rsid w:val="0052315E"/>
    <w:rsid w:val="00523B73"/>
    <w:rsid w:val="00530ED3"/>
    <w:rsid w:val="00532D58"/>
    <w:rsid w:val="00533D2D"/>
    <w:rsid w:val="0053438E"/>
    <w:rsid w:val="005343E5"/>
    <w:rsid w:val="005346B7"/>
    <w:rsid w:val="005355EE"/>
    <w:rsid w:val="00535B16"/>
    <w:rsid w:val="005366D0"/>
    <w:rsid w:val="00537E27"/>
    <w:rsid w:val="00540B4D"/>
    <w:rsid w:val="00540FFA"/>
    <w:rsid w:val="00542930"/>
    <w:rsid w:val="005435B3"/>
    <w:rsid w:val="00545568"/>
    <w:rsid w:val="00550849"/>
    <w:rsid w:val="00550866"/>
    <w:rsid w:val="00554BF3"/>
    <w:rsid w:val="0055655F"/>
    <w:rsid w:val="0055657D"/>
    <w:rsid w:val="005579B9"/>
    <w:rsid w:val="00560D0D"/>
    <w:rsid w:val="005632F1"/>
    <w:rsid w:val="005644AD"/>
    <w:rsid w:val="00565FB1"/>
    <w:rsid w:val="005662FB"/>
    <w:rsid w:val="00567781"/>
    <w:rsid w:val="00567ECC"/>
    <w:rsid w:val="0057019C"/>
    <w:rsid w:val="005713B1"/>
    <w:rsid w:val="0057363E"/>
    <w:rsid w:val="0057624B"/>
    <w:rsid w:val="0057644D"/>
    <w:rsid w:val="0057649A"/>
    <w:rsid w:val="00583090"/>
    <w:rsid w:val="005835F4"/>
    <w:rsid w:val="00583EFE"/>
    <w:rsid w:val="00584076"/>
    <w:rsid w:val="005841A3"/>
    <w:rsid w:val="00586D9A"/>
    <w:rsid w:val="00590EAE"/>
    <w:rsid w:val="0059112A"/>
    <w:rsid w:val="0059116B"/>
    <w:rsid w:val="00591B65"/>
    <w:rsid w:val="00592A14"/>
    <w:rsid w:val="00593216"/>
    <w:rsid w:val="00594BC3"/>
    <w:rsid w:val="00596CA7"/>
    <w:rsid w:val="00596DC8"/>
    <w:rsid w:val="00596E16"/>
    <w:rsid w:val="00597A78"/>
    <w:rsid w:val="00597DC7"/>
    <w:rsid w:val="005A16A3"/>
    <w:rsid w:val="005A1C48"/>
    <w:rsid w:val="005A253A"/>
    <w:rsid w:val="005A2AD8"/>
    <w:rsid w:val="005A3152"/>
    <w:rsid w:val="005A40AF"/>
    <w:rsid w:val="005A64BF"/>
    <w:rsid w:val="005B0565"/>
    <w:rsid w:val="005B4421"/>
    <w:rsid w:val="005B513F"/>
    <w:rsid w:val="005B7483"/>
    <w:rsid w:val="005B7929"/>
    <w:rsid w:val="005C0643"/>
    <w:rsid w:val="005C23AF"/>
    <w:rsid w:val="005C25D1"/>
    <w:rsid w:val="005C35A9"/>
    <w:rsid w:val="005C464B"/>
    <w:rsid w:val="005C4E5F"/>
    <w:rsid w:val="005C74A0"/>
    <w:rsid w:val="005D052C"/>
    <w:rsid w:val="005D16FE"/>
    <w:rsid w:val="005D4084"/>
    <w:rsid w:val="005D4777"/>
    <w:rsid w:val="005D4C2B"/>
    <w:rsid w:val="005D5784"/>
    <w:rsid w:val="005E22CD"/>
    <w:rsid w:val="005E6B93"/>
    <w:rsid w:val="005E7953"/>
    <w:rsid w:val="005E7E82"/>
    <w:rsid w:val="005F2C42"/>
    <w:rsid w:val="005F6BAB"/>
    <w:rsid w:val="005F6C28"/>
    <w:rsid w:val="005F7AB6"/>
    <w:rsid w:val="005F7E3C"/>
    <w:rsid w:val="00600FA8"/>
    <w:rsid w:val="006063DA"/>
    <w:rsid w:val="00606CD0"/>
    <w:rsid w:val="00606CE3"/>
    <w:rsid w:val="00611DD3"/>
    <w:rsid w:val="00611EF0"/>
    <w:rsid w:val="00612219"/>
    <w:rsid w:val="00612E04"/>
    <w:rsid w:val="006173A4"/>
    <w:rsid w:val="00617C44"/>
    <w:rsid w:val="00620086"/>
    <w:rsid w:val="00622074"/>
    <w:rsid w:val="00622CE4"/>
    <w:rsid w:val="006234A7"/>
    <w:rsid w:val="00623F8E"/>
    <w:rsid w:val="00625917"/>
    <w:rsid w:val="0062789F"/>
    <w:rsid w:val="006301BE"/>
    <w:rsid w:val="0063096E"/>
    <w:rsid w:val="00632DB2"/>
    <w:rsid w:val="00633349"/>
    <w:rsid w:val="006337AF"/>
    <w:rsid w:val="00633D61"/>
    <w:rsid w:val="0063402B"/>
    <w:rsid w:val="00636570"/>
    <w:rsid w:val="00637859"/>
    <w:rsid w:val="00637901"/>
    <w:rsid w:val="00637E1B"/>
    <w:rsid w:val="006402DF"/>
    <w:rsid w:val="0064164B"/>
    <w:rsid w:val="0064416A"/>
    <w:rsid w:val="00644468"/>
    <w:rsid w:val="00645F5E"/>
    <w:rsid w:val="00647B1E"/>
    <w:rsid w:val="00647C55"/>
    <w:rsid w:val="0065008B"/>
    <w:rsid w:val="00653721"/>
    <w:rsid w:val="00653A3B"/>
    <w:rsid w:val="00653FD9"/>
    <w:rsid w:val="006543A2"/>
    <w:rsid w:val="00654D42"/>
    <w:rsid w:val="00656328"/>
    <w:rsid w:val="00660279"/>
    <w:rsid w:val="00660A94"/>
    <w:rsid w:val="006622B9"/>
    <w:rsid w:val="00662E1E"/>
    <w:rsid w:val="0066371E"/>
    <w:rsid w:val="0066455B"/>
    <w:rsid w:val="00670BC4"/>
    <w:rsid w:val="006718ED"/>
    <w:rsid w:val="006724AD"/>
    <w:rsid w:val="00672BAB"/>
    <w:rsid w:val="0067314A"/>
    <w:rsid w:val="00673D1E"/>
    <w:rsid w:val="0067557E"/>
    <w:rsid w:val="00675E9D"/>
    <w:rsid w:val="006779CF"/>
    <w:rsid w:val="00677A8F"/>
    <w:rsid w:val="00677D63"/>
    <w:rsid w:val="00677F8A"/>
    <w:rsid w:val="006821E3"/>
    <w:rsid w:val="00683AD6"/>
    <w:rsid w:val="006842AE"/>
    <w:rsid w:val="006875BA"/>
    <w:rsid w:val="0069097D"/>
    <w:rsid w:val="00693FEA"/>
    <w:rsid w:val="00694C68"/>
    <w:rsid w:val="006A5773"/>
    <w:rsid w:val="006A5804"/>
    <w:rsid w:val="006A58F0"/>
    <w:rsid w:val="006A6262"/>
    <w:rsid w:val="006B0372"/>
    <w:rsid w:val="006B0764"/>
    <w:rsid w:val="006B081C"/>
    <w:rsid w:val="006B4467"/>
    <w:rsid w:val="006B6C46"/>
    <w:rsid w:val="006B6E78"/>
    <w:rsid w:val="006B7970"/>
    <w:rsid w:val="006C0039"/>
    <w:rsid w:val="006C1927"/>
    <w:rsid w:val="006C2585"/>
    <w:rsid w:val="006C4008"/>
    <w:rsid w:val="006C4E2C"/>
    <w:rsid w:val="006C5931"/>
    <w:rsid w:val="006C73EF"/>
    <w:rsid w:val="006D1723"/>
    <w:rsid w:val="006D5D3F"/>
    <w:rsid w:val="006D60ED"/>
    <w:rsid w:val="006E1166"/>
    <w:rsid w:val="006E24D9"/>
    <w:rsid w:val="006E25BA"/>
    <w:rsid w:val="006E596E"/>
    <w:rsid w:val="006E65E0"/>
    <w:rsid w:val="006F033F"/>
    <w:rsid w:val="006F24D8"/>
    <w:rsid w:val="006F33B8"/>
    <w:rsid w:val="006F4C9C"/>
    <w:rsid w:val="006F640F"/>
    <w:rsid w:val="006F762A"/>
    <w:rsid w:val="00701B6B"/>
    <w:rsid w:val="007026CB"/>
    <w:rsid w:val="00702D07"/>
    <w:rsid w:val="0070384F"/>
    <w:rsid w:val="00703A9E"/>
    <w:rsid w:val="00703D6D"/>
    <w:rsid w:val="00704095"/>
    <w:rsid w:val="00704152"/>
    <w:rsid w:val="00704FB5"/>
    <w:rsid w:val="00706B71"/>
    <w:rsid w:val="0071022A"/>
    <w:rsid w:val="0071277A"/>
    <w:rsid w:val="00712EE5"/>
    <w:rsid w:val="00713493"/>
    <w:rsid w:val="00713494"/>
    <w:rsid w:val="00713EA7"/>
    <w:rsid w:val="00714031"/>
    <w:rsid w:val="0071466E"/>
    <w:rsid w:val="00714A6C"/>
    <w:rsid w:val="00714CD3"/>
    <w:rsid w:val="0071582C"/>
    <w:rsid w:val="00716174"/>
    <w:rsid w:val="007203D8"/>
    <w:rsid w:val="007206A8"/>
    <w:rsid w:val="0072070F"/>
    <w:rsid w:val="0072116D"/>
    <w:rsid w:val="0072226F"/>
    <w:rsid w:val="00725B78"/>
    <w:rsid w:val="00727082"/>
    <w:rsid w:val="0073233C"/>
    <w:rsid w:val="00732D0C"/>
    <w:rsid w:val="00733EAD"/>
    <w:rsid w:val="00734F54"/>
    <w:rsid w:val="00736D93"/>
    <w:rsid w:val="00737C04"/>
    <w:rsid w:val="00737F64"/>
    <w:rsid w:val="007422C9"/>
    <w:rsid w:val="00744110"/>
    <w:rsid w:val="00744595"/>
    <w:rsid w:val="0074695A"/>
    <w:rsid w:val="00747A52"/>
    <w:rsid w:val="00750F1E"/>
    <w:rsid w:val="00751C12"/>
    <w:rsid w:val="00752691"/>
    <w:rsid w:val="007528F2"/>
    <w:rsid w:val="007575C4"/>
    <w:rsid w:val="00757D63"/>
    <w:rsid w:val="00762A1B"/>
    <w:rsid w:val="00762D6D"/>
    <w:rsid w:val="00763700"/>
    <w:rsid w:val="0076427C"/>
    <w:rsid w:val="00765217"/>
    <w:rsid w:val="007659AA"/>
    <w:rsid w:val="00766334"/>
    <w:rsid w:val="0077266C"/>
    <w:rsid w:val="00772802"/>
    <w:rsid w:val="00775066"/>
    <w:rsid w:val="00776406"/>
    <w:rsid w:val="0078005A"/>
    <w:rsid w:val="00781B6F"/>
    <w:rsid w:val="00781F9C"/>
    <w:rsid w:val="007820ED"/>
    <w:rsid w:val="00782DFD"/>
    <w:rsid w:val="00784424"/>
    <w:rsid w:val="00785474"/>
    <w:rsid w:val="0078772C"/>
    <w:rsid w:val="00787B99"/>
    <w:rsid w:val="007907C8"/>
    <w:rsid w:val="007925B6"/>
    <w:rsid w:val="007934F5"/>
    <w:rsid w:val="0079421C"/>
    <w:rsid w:val="0079526D"/>
    <w:rsid w:val="00795A2C"/>
    <w:rsid w:val="00797309"/>
    <w:rsid w:val="00797390"/>
    <w:rsid w:val="007A05B6"/>
    <w:rsid w:val="007A1C0A"/>
    <w:rsid w:val="007A1C59"/>
    <w:rsid w:val="007A4397"/>
    <w:rsid w:val="007A5B41"/>
    <w:rsid w:val="007B3A76"/>
    <w:rsid w:val="007B5792"/>
    <w:rsid w:val="007C2934"/>
    <w:rsid w:val="007C31E2"/>
    <w:rsid w:val="007C5CE1"/>
    <w:rsid w:val="007C6F85"/>
    <w:rsid w:val="007D0569"/>
    <w:rsid w:val="007D16B1"/>
    <w:rsid w:val="007D19E4"/>
    <w:rsid w:val="007D2001"/>
    <w:rsid w:val="007D7400"/>
    <w:rsid w:val="007D7761"/>
    <w:rsid w:val="007D79FF"/>
    <w:rsid w:val="007E02A7"/>
    <w:rsid w:val="007E468A"/>
    <w:rsid w:val="007E51A5"/>
    <w:rsid w:val="007E5629"/>
    <w:rsid w:val="007E7F4C"/>
    <w:rsid w:val="007F2EC6"/>
    <w:rsid w:val="007F3018"/>
    <w:rsid w:val="007F6862"/>
    <w:rsid w:val="008013FC"/>
    <w:rsid w:val="008060C3"/>
    <w:rsid w:val="008063A1"/>
    <w:rsid w:val="00807F00"/>
    <w:rsid w:val="00812095"/>
    <w:rsid w:val="008134BD"/>
    <w:rsid w:val="008139A5"/>
    <w:rsid w:val="00814656"/>
    <w:rsid w:val="00820E45"/>
    <w:rsid w:val="00821E2C"/>
    <w:rsid w:val="00822835"/>
    <w:rsid w:val="0082459B"/>
    <w:rsid w:val="00826758"/>
    <w:rsid w:val="008313D1"/>
    <w:rsid w:val="00833261"/>
    <w:rsid w:val="00834A7F"/>
    <w:rsid w:val="008353E0"/>
    <w:rsid w:val="008365F0"/>
    <w:rsid w:val="00836AF0"/>
    <w:rsid w:val="00841534"/>
    <w:rsid w:val="008462F1"/>
    <w:rsid w:val="00846930"/>
    <w:rsid w:val="00850FDE"/>
    <w:rsid w:val="00852876"/>
    <w:rsid w:val="008543F5"/>
    <w:rsid w:val="00855004"/>
    <w:rsid w:val="008572C4"/>
    <w:rsid w:val="0085733E"/>
    <w:rsid w:val="0085765A"/>
    <w:rsid w:val="008604A8"/>
    <w:rsid w:val="00860E64"/>
    <w:rsid w:val="008616F7"/>
    <w:rsid w:val="00861AFA"/>
    <w:rsid w:val="00863C61"/>
    <w:rsid w:val="00865522"/>
    <w:rsid w:val="00865ADF"/>
    <w:rsid w:val="0086644C"/>
    <w:rsid w:val="008666B5"/>
    <w:rsid w:val="008703B3"/>
    <w:rsid w:val="00871F13"/>
    <w:rsid w:val="00876985"/>
    <w:rsid w:val="008771AF"/>
    <w:rsid w:val="008808E6"/>
    <w:rsid w:val="00883780"/>
    <w:rsid w:val="00883B99"/>
    <w:rsid w:val="00885066"/>
    <w:rsid w:val="00885F85"/>
    <w:rsid w:val="0088665E"/>
    <w:rsid w:val="00887F48"/>
    <w:rsid w:val="008923C8"/>
    <w:rsid w:val="008924B5"/>
    <w:rsid w:val="00893260"/>
    <w:rsid w:val="008932A8"/>
    <w:rsid w:val="00893756"/>
    <w:rsid w:val="00894A9E"/>
    <w:rsid w:val="008950F6"/>
    <w:rsid w:val="00895175"/>
    <w:rsid w:val="00896815"/>
    <w:rsid w:val="008A0744"/>
    <w:rsid w:val="008A0A6E"/>
    <w:rsid w:val="008A0D0F"/>
    <w:rsid w:val="008A2FB3"/>
    <w:rsid w:val="008A398B"/>
    <w:rsid w:val="008A5601"/>
    <w:rsid w:val="008A59AD"/>
    <w:rsid w:val="008B0EEB"/>
    <w:rsid w:val="008B431D"/>
    <w:rsid w:val="008B51FD"/>
    <w:rsid w:val="008B6269"/>
    <w:rsid w:val="008B6766"/>
    <w:rsid w:val="008B70F5"/>
    <w:rsid w:val="008B7186"/>
    <w:rsid w:val="008B7192"/>
    <w:rsid w:val="008C1939"/>
    <w:rsid w:val="008C3396"/>
    <w:rsid w:val="008C621C"/>
    <w:rsid w:val="008C697C"/>
    <w:rsid w:val="008C7448"/>
    <w:rsid w:val="008C75ED"/>
    <w:rsid w:val="008C7649"/>
    <w:rsid w:val="008E03B0"/>
    <w:rsid w:val="008E0991"/>
    <w:rsid w:val="008E338E"/>
    <w:rsid w:val="008E4444"/>
    <w:rsid w:val="008E57FE"/>
    <w:rsid w:val="008F1818"/>
    <w:rsid w:val="008F2665"/>
    <w:rsid w:val="008F507E"/>
    <w:rsid w:val="008F5251"/>
    <w:rsid w:val="008F6376"/>
    <w:rsid w:val="00900CC2"/>
    <w:rsid w:val="00901770"/>
    <w:rsid w:val="009019FB"/>
    <w:rsid w:val="00902AA5"/>
    <w:rsid w:val="009052B7"/>
    <w:rsid w:val="00905B05"/>
    <w:rsid w:val="0090753C"/>
    <w:rsid w:val="0090759D"/>
    <w:rsid w:val="0091156F"/>
    <w:rsid w:val="00911B66"/>
    <w:rsid w:val="00912A7E"/>
    <w:rsid w:val="00915330"/>
    <w:rsid w:val="00916E69"/>
    <w:rsid w:val="00917525"/>
    <w:rsid w:val="0091777D"/>
    <w:rsid w:val="00917C39"/>
    <w:rsid w:val="0092057D"/>
    <w:rsid w:val="0092113B"/>
    <w:rsid w:val="009218DE"/>
    <w:rsid w:val="00922D00"/>
    <w:rsid w:val="009233CC"/>
    <w:rsid w:val="00923F17"/>
    <w:rsid w:val="009266DA"/>
    <w:rsid w:val="00927F35"/>
    <w:rsid w:val="00930DE8"/>
    <w:rsid w:val="009318DD"/>
    <w:rsid w:val="009352C3"/>
    <w:rsid w:val="00935413"/>
    <w:rsid w:val="00935F5D"/>
    <w:rsid w:val="0093669F"/>
    <w:rsid w:val="009368E0"/>
    <w:rsid w:val="0094260B"/>
    <w:rsid w:val="00942661"/>
    <w:rsid w:val="00945307"/>
    <w:rsid w:val="0094558D"/>
    <w:rsid w:val="0094697C"/>
    <w:rsid w:val="00946FCE"/>
    <w:rsid w:val="009515BC"/>
    <w:rsid w:val="0095349A"/>
    <w:rsid w:val="00953B5B"/>
    <w:rsid w:val="00953ED0"/>
    <w:rsid w:val="0095492E"/>
    <w:rsid w:val="00955F7D"/>
    <w:rsid w:val="0096242F"/>
    <w:rsid w:val="00962E3B"/>
    <w:rsid w:val="00962FF5"/>
    <w:rsid w:val="00964A4E"/>
    <w:rsid w:val="00965B02"/>
    <w:rsid w:val="00965C07"/>
    <w:rsid w:val="00965D2D"/>
    <w:rsid w:val="00967C86"/>
    <w:rsid w:val="00970A16"/>
    <w:rsid w:val="00971847"/>
    <w:rsid w:val="00972964"/>
    <w:rsid w:val="0097762F"/>
    <w:rsid w:val="00977C0A"/>
    <w:rsid w:val="009816B8"/>
    <w:rsid w:val="00983B45"/>
    <w:rsid w:val="00983B5C"/>
    <w:rsid w:val="0098766F"/>
    <w:rsid w:val="00993912"/>
    <w:rsid w:val="00994050"/>
    <w:rsid w:val="009962CF"/>
    <w:rsid w:val="009969D6"/>
    <w:rsid w:val="009A4543"/>
    <w:rsid w:val="009A5DB1"/>
    <w:rsid w:val="009A7C5A"/>
    <w:rsid w:val="009A7E51"/>
    <w:rsid w:val="009B21B9"/>
    <w:rsid w:val="009B2FAD"/>
    <w:rsid w:val="009B4CD0"/>
    <w:rsid w:val="009B4DA7"/>
    <w:rsid w:val="009C21C6"/>
    <w:rsid w:val="009C383B"/>
    <w:rsid w:val="009C3A80"/>
    <w:rsid w:val="009C41EC"/>
    <w:rsid w:val="009C5238"/>
    <w:rsid w:val="009D12B4"/>
    <w:rsid w:val="009D1E70"/>
    <w:rsid w:val="009D2135"/>
    <w:rsid w:val="009D2FA7"/>
    <w:rsid w:val="009D3673"/>
    <w:rsid w:val="009D4166"/>
    <w:rsid w:val="009D4CAE"/>
    <w:rsid w:val="009D55F9"/>
    <w:rsid w:val="009D5837"/>
    <w:rsid w:val="009D5A11"/>
    <w:rsid w:val="009D765F"/>
    <w:rsid w:val="009D7760"/>
    <w:rsid w:val="009E16E6"/>
    <w:rsid w:val="009E1C0D"/>
    <w:rsid w:val="009E1E62"/>
    <w:rsid w:val="009E2953"/>
    <w:rsid w:val="009E30CE"/>
    <w:rsid w:val="009E4BA2"/>
    <w:rsid w:val="009E4CDF"/>
    <w:rsid w:val="009E738D"/>
    <w:rsid w:val="009F04C3"/>
    <w:rsid w:val="009F0760"/>
    <w:rsid w:val="009F3B29"/>
    <w:rsid w:val="009F4860"/>
    <w:rsid w:val="00A00057"/>
    <w:rsid w:val="00A00485"/>
    <w:rsid w:val="00A01A5F"/>
    <w:rsid w:val="00A025AC"/>
    <w:rsid w:val="00A02C96"/>
    <w:rsid w:val="00A02E65"/>
    <w:rsid w:val="00A0340A"/>
    <w:rsid w:val="00A0440C"/>
    <w:rsid w:val="00A047AE"/>
    <w:rsid w:val="00A04C82"/>
    <w:rsid w:val="00A0585F"/>
    <w:rsid w:val="00A0694A"/>
    <w:rsid w:val="00A077AC"/>
    <w:rsid w:val="00A07A33"/>
    <w:rsid w:val="00A10A30"/>
    <w:rsid w:val="00A1137C"/>
    <w:rsid w:val="00A113D7"/>
    <w:rsid w:val="00A11F0F"/>
    <w:rsid w:val="00A16126"/>
    <w:rsid w:val="00A165DB"/>
    <w:rsid w:val="00A20043"/>
    <w:rsid w:val="00A2083D"/>
    <w:rsid w:val="00A21C6C"/>
    <w:rsid w:val="00A2365A"/>
    <w:rsid w:val="00A24133"/>
    <w:rsid w:val="00A24B81"/>
    <w:rsid w:val="00A262BF"/>
    <w:rsid w:val="00A27809"/>
    <w:rsid w:val="00A30533"/>
    <w:rsid w:val="00A317B0"/>
    <w:rsid w:val="00A31BF6"/>
    <w:rsid w:val="00A34591"/>
    <w:rsid w:val="00A34E44"/>
    <w:rsid w:val="00A35B8F"/>
    <w:rsid w:val="00A3640F"/>
    <w:rsid w:val="00A37ECF"/>
    <w:rsid w:val="00A40CE2"/>
    <w:rsid w:val="00A42FAE"/>
    <w:rsid w:val="00A43553"/>
    <w:rsid w:val="00A47176"/>
    <w:rsid w:val="00A475C5"/>
    <w:rsid w:val="00A4768C"/>
    <w:rsid w:val="00A50A68"/>
    <w:rsid w:val="00A50D3B"/>
    <w:rsid w:val="00A50E38"/>
    <w:rsid w:val="00A510C6"/>
    <w:rsid w:val="00A518AA"/>
    <w:rsid w:val="00A525E7"/>
    <w:rsid w:val="00A52F9E"/>
    <w:rsid w:val="00A539ED"/>
    <w:rsid w:val="00A56348"/>
    <w:rsid w:val="00A5703F"/>
    <w:rsid w:val="00A57D39"/>
    <w:rsid w:val="00A61825"/>
    <w:rsid w:val="00A6316B"/>
    <w:rsid w:val="00A65316"/>
    <w:rsid w:val="00A674FF"/>
    <w:rsid w:val="00A70F69"/>
    <w:rsid w:val="00A72611"/>
    <w:rsid w:val="00A73ABB"/>
    <w:rsid w:val="00A751A1"/>
    <w:rsid w:val="00A76D2C"/>
    <w:rsid w:val="00A77746"/>
    <w:rsid w:val="00A806AA"/>
    <w:rsid w:val="00A83BF6"/>
    <w:rsid w:val="00A84BAC"/>
    <w:rsid w:val="00A87B4F"/>
    <w:rsid w:val="00A87F31"/>
    <w:rsid w:val="00A90D27"/>
    <w:rsid w:val="00A9103B"/>
    <w:rsid w:val="00A91284"/>
    <w:rsid w:val="00A918A7"/>
    <w:rsid w:val="00A92871"/>
    <w:rsid w:val="00A955EB"/>
    <w:rsid w:val="00A9591E"/>
    <w:rsid w:val="00AA1F49"/>
    <w:rsid w:val="00AA3A2E"/>
    <w:rsid w:val="00AA4099"/>
    <w:rsid w:val="00AA4D5A"/>
    <w:rsid w:val="00AA6913"/>
    <w:rsid w:val="00AB2190"/>
    <w:rsid w:val="00AB39EB"/>
    <w:rsid w:val="00AB3F27"/>
    <w:rsid w:val="00AB3FD9"/>
    <w:rsid w:val="00AB7DE7"/>
    <w:rsid w:val="00AC01D4"/>
    <w:rsid w:val="00AC03AB"/>
    <w:rsid w:val="00AC0650"/>
    <w:rsid w:val="00AC1BE7"/>
    <w:rsid w:val="00AC275F"/>
    <w:rsid w:val="00AC3EE4"/>
    <w:rsid w:val="00AC4D72"/>
    <w:rsid w:val="00AC50A4"/>
    <w:rsid w:val="00AC5A95"/>
    <w:rsid w:val="00AC6074"/>
    <w:rsid w:val="00AC6471"/>
    <w:rsid w:val="00AD1751"/>
    <w:rsid w:val="00AD2B6E"/>
    <w:rsid w:val="00AD340D"/>
    <w:rsid w:val="00AD3443"/>
    <w:rsid w:val="00AD3E9B"/>
    <w:rsid w:val="00AD4B3C"/>
    <w:rsid w:val="00AD66C0"/>
    <w:rsid w:val="00AD68A5"/>
    <w:rsid w:val="00AE147F"/>
    <w:rsid w:val="00AE185D"/>
    <w:rsid w:val="00AE1BFE"/>
    <w:rsid w:val="00AE22F5"/>
    <w:rsid w:val="00AE3842"/>
    <w:rsid w:val="00AE3D83"/>
    <w:rsid w:val="00AE4374"/>
    <w:rsid w:val="00AE466A"/>
    <w:rsid w:val="00AE47E9"/>
    <w:rsid w:val="00AE485C"/>
    <w:rsid w:val="00AE7D4F"/>
    <w:rsid w:val="00AE7FE4"/>
    <w:rsid w:val="00AF0117"/>
    <w:rsid w:val="00AF17D3"/>
    <w:rsid w:val="00AF1D77"/>
    <w:rsid w:val="00AF1E50"/>
    <w:rsid w:val="00AF38BA"/>
    <w:rsid w:val="00AF4F67"/>
    <w:rsid w:val="00AF5811"/>
    <w:rsid w:val="00AF6509"/>
    <w:rsid w:val="00B00BBE"/>
    <w:rsid w:val="00B0456E"/>
    <w:rsid w:val="00B06A05"/>
    <w:rsid w:val="00B06BF6"/>
    <w:rsid w:val="00B06F7F"/>
    <w:rsid w:val="00B100F0"/>
    <w:rsid w:val="00B1402E"/>
    <w:rsid w:val="00B142FD"/>
    <w:rsid w:val="00B14865"/>
    <w:rsid w:val="00B21D50"/>
    <w:rsid w:val="00B229BE"/>
    <w:rsid w:val="00B22F9B"/>
    <w:rsid w:val="00B23747"/>
    <w:rsid w:val="00B23E0A"/>
    <w:rsid w:val="00B24090"/>
    <w:rsid w:val="00B257E3"/>
    <w:rsid w:val="00B260C7"/>
    <w:rsid w:val="00B27494"/>
    <w:rsid w:val="00B279B9"/>
    <w:rsid w:val="00B27BFD"/>
    <w:rsid w:val="00B307CA"/>
    <w:rsid w:val="00B30FD0"/>
    <w:rsid w:val="00B34F48"/>
    <w:rsid w:val="00B45DF2"/>
    <w:rsid w:val="00B51BA0"/>
    <w:rsid w:val="00B535BD"/>
    <w:rsid w:val="00B53701"/>
    <w:rsid w:val="00B5509D"/>
    <w:rsid w:val="00B56A26"/>
    <w:rsid w:val="00B573E6"/>
    <w:rsid w:val="00B6110A"/>
    <w:rsid w:val="00B6176A"/>
    <w:rsid w:val="00B6301A"/>
    <w:rsid w:val="00B64799"/>
    <w:rsid w:val="00B64CAD"/>
    <w:rsid w:val="00B651FA"/>
    <w:rsid w:val="00B66751"/>
    <w:rsid w:val="00B66B7C"/>
    <w:rsid w:val="00B66CD7"/>
    <w:rsid w:val="00B67AA6"/>
    <w:rsid w:val="00B7066C"/>
    <w:rsid w:val="00B717D8"/>
    <w:rsid w:val="00B718E0"/>
    <w:rsid w:val="00B72DF3"/>
    <w:rsid w:val="00B74146"/>
    <w:rsid w:val="00B747A3"/>
    <w:rsid w:val="00B75A27"/>
    <w:rsid w:val="00B75E52"/>
    <w:rsid w:val="00B76F6C"/>
    <w:rsid w:val="00B8080B"/>
    <w:rsid w:val="00B811EF"/>
    <w:rsid w:val="00B81568"/>
    <w:rsid w:val="00B8310D"/>
    <w:rsid w:val="00B831B9"/>
    <w:rsid w:val="00B86EF1"/>
    <w:rsid w:val="00B90674"/>
    <w:rsid w:val="00B91F77"/>
    <w:rsid w:val="00B91FFF"/>
    <w:rsid w:val="00B934E3"/>
    <w:rsid w:val="00B94323"/>
    <w:rsid w:val="00B94444"/>
    <w:rsid w:val="00B9566B"/>
    <w:rsid w:val="00B95F92"/>
    <w:rsid w:val="00B961B7"/>
    <w:rsid w:val="00B963D4"/>
    <w:rsid w:val="00B9772B"/>
    <w:rsid w:val="00BA2DEF"/>
    <w:rsid w:val="00BA35F2"/>
    <w:rsid w:val="00BA42FB"/>
    <w:rsid w:val="00BA4768"/>
    <w:rsid w:val="00BA4861"/>
    <w:rsid w:val="00BA4A92"/>
    <w:rsid w:val="00BA516F"/>
    <w:rsid w:val="00BA628C"/>
    <w:rsid w:val="00BA7059"/>
    <w:rsid w:val="00BB0051"/>
    <w:rsid w:val="00BB02C6"/>
    <w:rsid w:val="00BB1082"/>
    <w:rsid w:val="00BB2127"/>
    <w:rsid w:val="00BB3805"/>
    <w:rsid w:val="00BB4589"/>
    <w:rsid w:val="00BB52A5"/>
    <w:rsid w:val="00BB5893"/>
    <w:rsid w:val="00BB6740"/>
    <w:rsid w:val="00BB7EA1"/>
    <w:rsid w:val="00BB7F81"/>
    <w:rsid w:val="00BC269B"/>
    <w:rsid w:val="00BC27D2"/>
    <w:rsid w:val="00BC299D"/>
    <w:rsid w:val="00BC6D0F"/>
    <w:rsid w:val="00BD35E1"/>
    <w:rsid w:val="00BD3A56"/>
    <w:rsid w:val="00BD54FC"/>
    <w:rsid w:val="00BD63C3"/>
    <w:rsid w:val="00BD67CE"/>
    <w:rsid w:val="00BD76A4"/>
    <w:rsid w:val="00BE0186"/>
    <w:rsid w:val="00BE1C8A"/>
    <w:rsid w:val="00BE4857"/>
    <w:rsid w:val="00BE5847"/>
    <w:rsid w:val="00BE5BE0"/>
    <w:rsid w:val="00BE5D1D"/>
    <w:rsid w:val="00BE697B"/>
    <w:rsid w:val="00BE70E8"/>
    <w:rsid w:val="00BF0E76"/>
    <w:rsid w:val="00BF19DC"/>
    <w:rsid w:val="00BF2B3E"/>
    <w:rsid w:val="00BF2DAF"/>
    <w:rsid w:val="00BF4E1B"/>
    <w:rsid w:val="00BF5AB9"/>
    <w:rsid w:val="00C01083"/>
    <w:rsid w:val="00C0480F"/>
    <w:rsid w:val="00C04C9A"/>
    <w:rsid w:val="00C1043C"/>
    <w:rsid w:val="00C10D90"/>
    <w:rsid w:val="00C12A51"/>
    <w:rsid w:val="00C12C65"/>
    <w:rsid w:val="00C12CD1"/>
    <w:rsid w:val="00C1591E"/>
    <w:rsid w:val="00C173EE"/>
    <w:rsid w:val="00C20D36"/>
    <w:rsid w:val="00C21038"/>
    <w:rsid w:val="00C2286B"/>
    <w:rsid w:val="00C2396B"/>
    <w:rsid w:val="00C26865"/>
    <w:rsid w:val="00C2785F"/>
    <w:rsid w:val="00C30BA6"/>
    <w:rsid w:val="00C31467"/>
    <w:rsid w:val="00C33F0C"/>
    <w:rsid w:val="00C34CCB"/>
    <w:rsid w:val="00C34D57"/>
    <w:rsid w:val="00C35515"/>
    <w:rsid w:val="00C35807"/>
    <w:rsid w:val="00C35A4B"/>
    <w:rsid w:val="00C36083"/>
    <w:rsid w:val="00C36696"/>
    <w:rsid w:val="00C36720"/>
    <w:rsid w:val="00C36777"/>
    <w:rsid w:val="00C37518"/>
    <w:rsid w:val="00C37F00"/>
    <w:rsid w:val="00C421C9"/>
    <w:rsid w:val="00C42A3A"/>
    <w:rsid w:val="00C437C6"/>
    <w:rsid w:val="00C4517F"/>
    <w:rsid w:val="00C45232"/>
    <w:rsid w:val="00C46646"/>
    <w:rsid w:val="00C46E94"/>
    <w:rsid w:val="00C4713F"/>
    <w:rsid w:val="00C51509"/>
    <w:rsid w:val="00C52097"/>
    <w:rsid w:val="00C52BA5"/>
    <w:rsid w:val="00C52F47"/>
    <w:rsid w:val="00C53323"/>
    <w:rsid w:val="00C54D8C"/>
    <w:rsid w:val="00C57493"/>
    <w:rsid w:val="00C605E6"/>
    <w:rsid w:val="00C64D07"/>
    <w:rsid w:val="00C66CEF"/>
    <w:rsid w:val="00C670FE"/>
    <w:rsid w:val="00C71087"/>
    <w:rsid w:val="00C71E3C"/>
    <w:rsid w:val="00C73C17"/>
    <w:rsid w:val="00C75492"/>
    <w:rsid w:val="00C77C78"/>
    <w:rsid w:val="00C8146C"/>
    <w:rsid w:val="00C8231E"/>
    <w:rsid w:val="00C846DD"/>
    <w:rsid w:val="00C85CA6"/>
    <w:rsid w:val="00C873DA"/>
    <w:rsid w:val="00C90A7F"/>
    <w:rsid w:val="00C9147E"/>
    <w:rsid w:val="00C925ED"/>
    <w:rsid w:val="00C9339F"/>
    <w:rsid w:val="00C95976"/>
    <w:rsid w:val="00C96618"/>
    <w:rsid w:val="00C96A10"/>
    <w:rsid w:val="00C9753B"/>
    <w:rsid w:val="00CA0C87"/>
    <w:rsid w:val="00CA19CD"/>
    <w:rsid w:val="00CA1F28"/>
    <w:rsid w:val="00CA20F3"/>
    <w:rsid w:val="00CA2747"/>
    <w:rsid w:val="00CA4A62"/>
    <w:rsid w:val="00CA561E"/>
    <w:rsid w:val="00CA5B58"/>
    <w:rsid w:val="00CA659E"/>
    <w:rsid w:val="00CA6A39"/>
    <w:rsid w:val="00CA7DAD"/>
    <w:rsid w:val="00CB23DD"/>
    <w:rsid w:val="00CB2757"/>
    <w:rsid w:val="00CB2FE7"/>
    <w:rsid w:val="00CB3B57"/>
    <w:rsid w:val="00CB42AE"/>
    <w:rsid w:val="00CB5100"/>
    <w:rsid w:val="00CB6768"/>
    <w:rsid w:val="00CB768F"/>
    <w:rsid w:val="00CC0848"/>
    <w:rsid w:val="00CC17DB"/>
    <w:rsid w:val="00CC2CF9"/>
    <w:rsid w:val="00CC2F01"/>
    <w:rsid w:val="00CC586C"/>
    <w:rsid w:val="00CC6453"/>
    <w:rsid w:val="00CD2D8A"/>
    <w:rsid w:val="00CD31EA"/>
    <w:rsid w:val="00CD4B6F"/>
    <w:rsid w:val="00CD692F"/>
    <w:rsid w:val="00CE0392"/>
    <w:rsid w:val="00CE2303"/>
    <w:rsid w:val="00CE5481"/>
    <w:rsid w:val="00CE5866"/>
    <w:rsid w:val="00CF003F"/>
    <w:rsid w:val="00CF0045"/>
    <w:rsid w:val="00CF7194"/>
    <w:rsid w:val="00CF74AE"/>
    <w:rsid w:val="00CF7C90"/>
    <w:rsid w:val="00CF7EA0"/>
    <w:rsid w:val="00D00600"/>
    <w:rsid w:val="00D00A29"/>
    <w:rsid w:val="00D02612"/>
    <w:rsid w:val="00D0329F"/>
    <w:rsid w:val="00D04372"/>
    <w:rsid w:val="00D04F9C"/>
    <w:rsid w:val="00D05DB1"/>
    <w:rsid w:val="00D06299"/>
    <w:rsid w:val="00D1045D"/>
    <w:rsid w:val="00D133AA"/>
    <w:rsid w:val="00D13B0B"/>
    <w:rsid w:val="00D13CCF"/>
    <w:rsid w:val="00D14CF7"/>
    <w:rsid w:val="00D1576E"/>
    <w:rsid w:val="00D15BBC"/>
    <w:rsid w:val="00D15E67"/>
    <w:rsid w:val="00D20ABB"/>
    <w:rsid w:val="00D24AEE"/>
    <w:rsid w:val="00D25315"/>
    <w:rsid w:val="00D26A33"/>
    <w:rsid w:val="00D3073E"/>
    <w:rsid w:val="00D31676"/>
    <w:rsid w:val="00D316C8"/>
    <w:rsid w:val="00D337D5"/>
    <w:rsid w:val="00D33FB9"/>
    <w:rsid w:val="00D34817"/>
    <w:rsid w:val="00D365BB"/>
    <w:rsid w:val="00D3795A"/>
    <w:rsid w:val="00D37AB5"/>
    <w:rsid w:val="00D40C74"/>
    <w:rsid w:val="00D43282"/>
    <w:rsid w:val="00D43EA4"/>
    <w:rsid w:val="00D44508"/>
    <w:rsid w:val="00D476E4"/>
    <w:rsid w:val="00D47810"/>
    <w:rsid w:val="00D5128E"/>
    <w:rsid w:val="00D52FD0"/>
    <w:rsid w:val="00D535E4"/>
    <w:rsid w:val="00D54385"/>
    <w:rsid w:val="00D606D9"/>
    <w:rsid w:val="00D6259C"/>
    <w:rsid w:val="00D63B91"/>
    <w:rsid w:val="00D64A4A"/>
    <w:rsid w:val="00D657C5"/>
    <w:rsid w:val="00D6679C"/>
    <w:rsid w:val="00D72F5D"/>
    <w:rsid w:val="00D7370C"/>
    <w:rsid w:val="00D73EE6"/>
    <w:rsid w:val="00D742D2"/>
    <w:rsid w:val="00D744DC"/>
    <w:rsid w:val="00D74556"/>
    <w:rsid w:val="00D75CF7"/>
    <w:rsid w:val="00D75F59"/>
    <w:rsid w:val="00D776C3"/>
    <w:rsid w:val="00D80153"/>
    <w:rsid w:val="00D814BC"/>
    <w:rsid w:val="00D81AC7"/>
    <w:rsid w:val="00D83E45"/>
    <w:rsid w:val="00D842CD"/>
    <w:rsid w:val="00D8495C"/>
    <w:rsid w:val="00D86737"/>
    <w:rsid w:val="00D8696A"/>
    <w:rsid w:val="00D90419"/>
    <w:rsid w:val="00D90551"/>
    <w:rsid w:val="00D90F5A"/>
    <w:rsid w:val="00D9153B"/>
    <w:rsid w:val="00D9160A"/>
    <w:rsid w:val="00D95903"/>
    <w:rsid w:val="00D95D78"/>
    <w:rsid w:val="00DA0810"/>
    <w:rsid w:val="00DA3FCE"/>
    <w:rsid w:val="00DA4B42"/>
    <w:rsid w:val="00DB2BE7"/>
    <w:rsid w:val="00DB4203"/>
    <w:rsid w:val="00DB6B88"/>
    <w:rsid w:val="00DB7CA1"/>
    <w:rsid w:val="00DC094F"/>
    <w:rsid w:val="00DC24B5"/>
    <w:rsid w:val="00DC25DA"/>
    <w:rsid w:val="00DC4325"/>
    <w:rsid w:val="00DC4915"/>
    <w:rsid w:val="00DC4C59"/>
    <w:rsid w:val="00DC5149"/>
    <w:rsid w:val="00DC5B77"/>
    <w:rsid w:val="00DC68E1"/>
    <w:rsid w:val="00DC7FCE"/>
    <w:rsid w:val="00DD0452"/>
    <w:rsid w:val="00DD1B88"/>
    <w:rsid w:val="00DD334C"/>
    <w:rsid w:val="00DD3C08"/>
    <w:rsid w:val="00DE0476"/>
    <w:rsid w:val="00DE1B2F"/>
    <w:rsid w:val="00DE1C5A"/>
    <w:rsid w:val="00DE2AAC"/>
    <w:rsid w:val="00DE5E04"/>
    <w:rsid w:val="00DE6634"/>
    <w:rsid w:val="00DF1125"/>
    <w:rsid w:val="00DF22E5"/>
    <w:rsid w:val="00DF27AC"/>
    <w:rsid w:val="00DF28E7"/>
    <w:rsid w:val="00DF2FD1"/>
    <w:rsid w:val="00DF399A"/>
    <w:rsid w:val="00DF447B"/>
    <w:rsid w:val="00DF4DCA"/>
    <w:rsid w:val="00DF6280"/>
    <w:rsid w:val="00DF7B14"/>
    <w:rsid w:val="00DF7B16"/>
    <w:rsid w:val="00E00009"/>
    <w:rsid w:val="00E01EF4"/>
    <w:rsid w:val="00E02CF2"/>
    <w:rsid w:val="00E04947"/>
    <w:rsid w:val="00E069F7"/>
    <w:rsid w:val="00E06C35"/>
    <w:rsid w:val="00E0710D"/>
    <w:rsid w:val="00E07F71"/>
    <w:rsid w:val="00E101C6"/>
    <w:rsid w:val="00E114D8"/>
    <w:rsid w:val="00E1256E"/>
    <w:rsid w:val="00E1347F"/>
    <w:rsid w:val="00E1621B"/>
    <w:rsid w:val="00E21114"/>
    <w:rsid w:val="00E22B84"/>
    <w:rsid w:val="00E25E8A"/>
    <w:rsid w:val="00E26045"/>
    <w:rsid w:val="00E26BDB"/>
    <w:rsid w:val="00E26DF9"/>
    <w:rsid w:val="00E27304"/>
    <w:rsid w:val="00E304D5"/>
    <w:rsid w:val="00E33084"/>
    <w:rsid w:val="00E337F5"/>
    <w:rsid w:val="00E339E4"/>
    <w:rsid w:val="00E34EBC"/>
    <w:rsid w:val="00E3529F"/>
    <w:rsid w:val="00E352D0"/>
    <w:rsid w:val="00E37211"/>
    <w:rsid w:val="00E37848"/>
    <w:rsid w:val="00E4034D"/>
    <w:rsid w:val="00E404B3"/>
    <w:rsid w:val="00E41EE7"/>
    <w:rsid w:val="00E42084"/>
    <w:rsid w:val="00E44854"/>
    <w:rsid w:val="00E4540D"/>
    <w:rsid w:val="00E50B82"/>
    <w:rsid w:val="00E51630"/>
    <w:rsid w:val="00E552CC"/>
    <w:rsid w:val="00E55808"/>
    <w:rsid w:val="00E559EA"/>
    <w:rsid w:val="00E5696D"/>
    <w:rsid w:val="00E56E45"/>
    <w:rsid w:val="00E6161C"/>
    <w:rsid w:val="00E62DEC"/>
    <w:rsid w:val="00E63233"/>
    <w:rsid w:val="00E63FE6"/>
    <w:rsid w:val="00E65960"/>
    <w:rsid w:val="00E65F8A"/>
    <w:rsid w:val="00E66ECB"/>
    <w:rsid w:val="00E67486"/>
    <w:rsid w:val="00E71139"/>
    <w:rsid w:val="00E727CE"/>
    <w:rsid w:val="00E73D84"/>
    <w:rsid w:val="00E749E1"/>
    <w:rsid w:val="00E8007A"/>
    <w:rsid w:val="00E80578"/>
    <w:rsid w:val="00E80B43"/>
    <w:rsid w:val="00E833CB"/>
    <w:rsid w:val="00E83995"/>
    <w:rsid w:val="00E83CBA"/>
    <w:rsid w:val="00E83D2E"/>
    <w:rsid w:val="00E83FB2"/>
    <w:rsid w:val="00E844D4"/>
    <w:rsid w:val="00E90615"/>
    <w:rsid w:val="00E91FE0"/>
    <w:rsid w:val="00E95AC2"/>
    <w:rsid w:val="00E97167"/>
    <w:rsid w:val="00E97787"/>
    <w:rsid w:val="00E97DBB"/>
    <w:rsid w:val="00EA0169"/>
    <w:rsid w:val="00EA093A"/>
    <w:rsid w:val="00EA3781"/>
    <w:rsid w:val="00EA5023"/>
    <w:rsid w:val="00EA7061"/>
    <w:rsid w:val="00EA7C5B"/>
    <w:rsid w:val="00EB13FE"/>
    <w:rsid w:val="00EB254B"/>
    <w:rsid w:val="00EB39F1"/>
    <w:rsid w:val="00EB460F"/>
    <w:rsid w:val="00EB472E"/>
    <w:rsid w:val="00EB5434"/>
    <w:rsid w:val="00EB5D6C"/>
    <w:rsid w:val="00EB6A9B"/>
    <w:rsid w:val="00EB76D6"/>
    <w:rsid w:val="00EC0178"/>
    <w:rsid w:val="00EC049F"/>
    <w:rsid w:val="00EC11E3"/>
    <w:rsid w:val="00ED024E"/>
    <w:rsid w:val="00ED194C"/>
    <w:rsid w:val="00ED2C26"/>
    <w:rsid w:val="00ED3898"/>
    <w:rsid w:val="00ED38BF"/>
    <w:rsid w:val="00ED5DB2"/>
    <w:rsid w:val="00ED5EC2"/>
    <w:rsid w:val="00EE0DF2"/>
    <w:rsid w:val="00EE1124"/>
    <w:rsid w:val="00EE21DD"/>
    <w:rsid w:val="00EE56DF"/>
    <w:rsid w:val="00EE587F"/>
    <w:rsid w:val="00EE5ED7"/>
    <w:rsid w:val="00EE64CC"/>
    <w:rsid w:val="00EE6D6B"/>
    <w:rsid w:val="00EF1A24"/>
    <w:rsid w:val="00EF1BF1"/>
    <w:rsid w:val="00EF471E"/>
    <w:rsid w:val="00EF5716"/>
    <w:rsid w:val="00EF71E1"/>
    <w:rsid w:val="00F003B9"/>
    <w:rsid w:val="00F01BD5"/>
    <w:rsid w:val="00F024E3"/>
    <w:rsid w:val="00F0264E"/>
    <w:rsid w:val="00F02815"/>
    <w:rsid w:val="00F041B2"/>
    <w:rsid w:val="00F0505F"/>
    <w:rsid w:val="00F05EAF"/>
    <w:rsid w:val="00F06D7C"/>
    <w:rsid w:val="00F1049D"/>
    <w:rsid w:val="00F119F0"/>
    <w:rsid w:val="00F147FD"/>
    <w:rsid w:val="00F15FC1"/>
    <w:rsid w:val="00F166CE"/>
    <w:rsid w:val="00F17762"/>
    <w:rsid w:val="00F23C5A"/>
    <w:rsid w:val="00F23E91"/>
    <w:rsid w:val="00F261BC"/>
    <w:rsid w:val="00F277D4"/>
    <w:rsid w:val="00F30A70"/>
    <w:rsid w:val="00F31104"/>
    <w:rsid w:val="00F33E65"/>
    <w:rsid w:val="00F34E93"/>
    <w:rsid w:val="00F43F5A"/>
    <w:rsid w:val="00F44511"/>
    <w:rsid w:val="00F4474B"/>
    <w:rsid w:val="00F5097D"/>
    <w:rsid w:val="00F513E5"/>
    <w:rsid w:val="00F5219B"/>
    <w:rsid w:val="00F527A6"/>
    <w:rsid w:val="00F53138"/>
    <w:rsid w:val="00F534C0"/>
    <w:rsid w:val="00F54930"/>
    <w:rsid w:val="00F5523B"/>
    <w:rsid w:val="00F623B6"/>
    <w:rsid w:val="00F6280F"/>
    <w:rsid w:val="00F62819"/>
    <w:rsid w:val="00F6394B"/>
    <w:rsid w:val="00F642FE"/>
    <w:rsid w:val="00F6653B"/>
    <w:rsid w:val="00F708D9"/>
    <w:rsid w:val="00F70F76"/>
    <w:rsid w:val="00F720FB"/>
    <w:rsid w:val="00F721C2"/>
    <w:rsid w:val="00F80602"/>
    <w:rsid w:val="00F81376"/>
    <w:rsid w:val="00F814DF"/>
    <w:rsid w:val="00F81E48"/>
    <w:rsid w:val="00F84C20"/>
    <w:rsid w:val="00F87614"/>
    <w:rsid w:val="00F92112"/>
    <w:rsid w:val="00F9230A"/>
    <w:rsid w:val="00F92366"/>
    <w:rsid w:val="00F92753"/>
    <w:rsid w:val="00F94004"/>
    <w:rsid w:val="00F9598E"/>
    <w:rsid w:val="00F96B32"/>
    <w:rsid w:val="00F9735A"/>
    <w:rsid w:val="00FA42F4"/>
    <w:rsid w:val="00FA4EBA"/>
    <w:rsid w:val="00FA6502"/>
    <w:rsid w:val="00FA7B72"/>
    <w:rsid w:val="00FB0730"/>
    <w:rsid w:val="00FB0BC1"/>
    <w:rsid w:val="00FB14A0"/>
    <w:rsid w:val="00FB34A3"/>
    <w:rsid w:val="00FB4E4A"/>
    <w:rsid w:val="00FB6D3A"/>
    <w:rsid w:val="00FB760E"/>
    <w:rsid w:val="00FB7924"/>
    <w:rsid w:val="00FB7F35"/>
    <w:rsid w:val="00FC11D6"/>
    <w:rsid w:val="00FC48DD"/>
    <w:rsid w:val="00FC569E"/>
    <w:rsid w:val="00FC67E5"/>
    <w:rsid w:val="00FC6BFF"/>
    <w:rsid w:val="00FC7B5F"/>
    <w:rsid w:val="00FD04EB"/>
    <w:rsid w:val="00FD1036"/>
    <w:rsid w:val="00FD1062"/>
    <w:rsid w:val="00FD131D"/>
    <w:rsid w:val="00FD3049"/>
    <w:rsid w:val="00FD5177"/>
    <w:rsid w:val="00FD5398"/>
    <w:rsid w:val="00FE35E1"/>
    <w:rsid w:val="00FE3AFC"/>
    <w:rsid w:val="00FE6D86"/>
    <w:rsid w:val="00FE7FB0"/>
    <w:rsid w:val="00FF0DA7"/>
    <w:rsid w:val="00FF3276"/>
    <w:rsid w:val="00FF4397"/>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40D39D"/>
  <w15:docId w15:val="{556CB5F8-0802-465B-8588-544A685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semiHidden/>
    <w:rsid w:val="00D9153B"/>
    <w:rPr>
      <w:rFonts w:cs="Times New Roman"/>
      <w:vertAlign w:val="superscript"/>
    </w:rPr>
  </w:style>
  <w:style w:type="paragraph" w:styleId="Footer">
    <w:name w:val="footer"/>
    <w:basedOn w:val="Normal"/>
    <w:link w:val="FooterChar"/>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semiHidden/>
    <w:rsid w:val="00D6679C"/>
    <w:rPr>
      <w:rFonts w:ascii="Courier" w:hAnsi="Courier"/>
      <w:lang w:val="en-US" w:eastAsia="en-US"/>
    </w:rPr>
  </w:style>
  <w:style w:type="character" w:customStyle="1" w:styleId="ListParagraphChar">
    <w:name w:val="List Paragraph Char"/>
    <w:aliases w:val="List Paragraph (numbered (a))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styleId="UnresolvedMention">
    <w:name w:val="Unresolved Mention"/>
    <w:basedOn w:val="DefaultParagraphFont"/>
    <w:uiPriority w:val="99"/>
    <w:semiHidden/>
    <w:unhideWhenUsed/>
    <w:rsid w:val="0052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info.undp.org/sites/bpps/SES_Toolkit/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opp.undp.org/node/1096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undp.org/unit/bom/opb/Documents/Forms/AllItems.asp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intranet.undp.org/unit/bom/opb/Documents/Forms/AllItems.aspx"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undp.org/sites/g/files/zskgke326/files/dp2021-28_Annex%202_1.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ADB3D3ADAA483699F057AC6968BD2A"/>
        <w:category>
          <w:name w:val="General"/>
          <w:gallery w:val="placeholder"/>
        </w:category>
        <w:types>
          <w:type w:val="bbPlcHdr"/>
        </w:types>
        <w:behaviors>
          <w:behavior w:val="content"/>
        </w:behaviors>
        <w:guid w:val="{87503025-409F-4491-9C34-207181C355D2}"/>
      </w:docPartPr>
      <w:docPartBody>
        <w:p w:rsidR="008A2728" w:rsidRDefault="00580820" w:rsidP="00580820">
          <w:pPr>
            <w:pStyle w:val="5DADB3D3ADAA483699F057AC6968BD2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20"/>
    <w:rsid w:val="0001135E"/>
    <w:rsid w:val="001C3824"/>
    <w:rsid w:val="004D4249"/>
    <w:rsid w:val="00580820"/>
    <w:rsid w:val="008A2728"/>
    <w:rsid w:val="00BA704C"/>
    <w:rsid w:val="00C10B93"/>
    <w:rsid w:val="00F9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ADB3D3ADAA483699F057AC6968BD2A">
    <w:name w:val="5DADB3D3ADAA483699F057AC6968BD2A"/>
    <w:rsid w:val="00580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UNITOFFICE-1873992594-2</_dlc_DocId>
    <UNDP_POPP_DOCUMENT_TYPE xmlns="8264c5cc-ec60-4b56-8111-ce635d3d139a">Template</UNDP_POPP_DOCUMENT_TYPE>
    <UNDP_POPP_DOCUMENT_TEMPLATE xmlns="8264c5cc-ec60-4b56-8111-ce635d3d139a" xsi:nil="true"/>
    <Location xmlns="e560140e-7b2f-4392-90df-e7567e3021a3" xsi:nil="true"/>
    <_dlc_DocIdUrl xmlns="8264c5cc-ec60-4b56-8111-ce635d3d139a">
      <Url>https://intranet.undp.org/unit/office/exo/sp2014/SP201417/_layouts/15/DocIdRedir.aspx?ID=UNITOFFICE-1873992594-2</Url>
      <Description>UNITOFFICE-1873992594-2</Description>
    </_dlc_DocIdUrl>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2022-03-07T23:00:00+00:00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CPD Template and Guidance</UNDP_POPP_TITLE_EN>
    <DLCPolicyLabelLock xmlns="e560140e-7b2f-4392-90df-e7567e3021a3" xsi:nil="true"/>
    <DLCPolicyLabelClientValue xmlns="e560140e-7b2f-4392-90df-e7567e3021a3">Effective Date: 20/01/2022                                                Version #: {POPPRefItemVersion}</DLCPolicyLabelClientValue>
    <UNDP_POPP_BUSINESSUNITID_HIDDEN xmlns="8264c5cc-ec60-4b56-8111-ce635d3d139a" xsi:nil="true"/>
    <DLCPolicyLabelValue xmlns="e560140e-7b2f-4392-90df-e7567e3021a3">Effective Date: 08/03/2022                                                Version #: {POPPRefItemVersion}</DLCPolicyLabelVal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F8589-3141-42BE-BDCC-8874764DFC8F}">
  <ds:schemaRefs>
    <ds:schemaRef ds:uri="office.server.policy"/>
  </ds:schemaRefs>
</ds:datastoreItem>
</file>

<file path=customXml/itemProps2.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11D33306-29E9-411A-847B-F501ECEE3EBD}">
  <ds:schemaRefs>
    <ds:schemaRef ds:uri="http://schemas.openxmlformats.org/officeDocument/2006/bibliography"/>
  </ds:schemaRefs>
</ds:datastoreItem>
</file>

<file path=customXml/itemProps4.xml><?xml version="1.0" encoding="utf-8"?>
<ds:datastoreItem xmlns:ds="http://schemas.openxmlformats.org/officeDocument/2006/customXml" ds:itemID="{493B1554-3089-48F1-8BBA-F441755DEDB1}">
  <ds:schemaRefs>
    <ds:schemaRef ds:uri="http://schemas.microsoft.com/sharepoint/events"/>
  </ds:schemaRefs>
</ds:datastoreItem>
</file>

<file path=customXml/itemProps5.xml><?xml version="1.0" encoding="utf-8"?>
<ds:datastoreItem xmlns:ds="http://schemas.openxmlformats.org/officeDocument/2006/customXml" ds:itemID="{55E9C0BF-1D7B-4FD6-AC03-7E9A1F993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1B8F7B-BA39-44ED-8DCD-42BF9FAEB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28865</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Alberto Lizzi</cp:lastModifiedBy>
  <cp:revision>5</cp:revision>
  <cp:lastPrinted>2014-09-16T19:01:00Z</cp:lastPrinted>
  <dcterms:created xsi:type="dcterms:W3CDTF">2024-11-26T14:39:00Z</dcterms:created>
  <dcterms:modified xsi:type="dcterms:W3CDTF">2024-11-26T14:41:00Z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98e94454-2958-4f8e-953b-d0345c84921c</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