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712C6" w14:textId="77777777" w:rsidR="00270BB0" w:rsidRPr="005B395C" w:rsidRDefault="00270BB0">
      <w:pPr>
        <w:spacing w:after="196" w:line="259" w:lineRule="auto"/>
        <w:ind w:left="0" w:right="174" w:firstLine="0"/>
        <w:jc w:val="right"/>
        <w:rPr>
          <w:rFonts w:asciiTheme="minorHAnsi" w:hAnsiTheme="minorHAnsi" w:cstheme="minorHAnsi"/>
        </w:rPr>
      </w:pPr>
    </w:p>
    <w:p w14:paraId="2AFF46FC" w14:textId="66716360" w:rsidR="00E67EF9" w:rsidRPr="0026025C" w:rsidRDefault="0026025C" w:rsidP="00270BB0">
      <w:pPr>
        <w:spacing w:after="196" w:line="259" w:lineRule="auto"/>
        <w:ind w:left="0" w:right="174" w:firstLine="0"/>
        <w:jc w:val="left"/>
        <w:rPr>
          <w:rFonts w:asciiTheme="minorHAnsi" w:hAnsiTheme="minorHAnsi" w:cstheme="minorHAnsi"/>
          <w:b/>
          <w:bCs/>
          <w:lang w:val="es-ES"/>
        </w:rPr>
      </w:pPr>
      <w:r>
        <w:rPr>
          <w:rFonts w:asciiTheme="minorHAnsi" w:hAnsiTheme="minorHAnsi" w:cstheme="minorHAnsi"/>
          <w:b/>
          <w:bCs/>
          <w:lang w:val="es-ES"/>
        </w:rPr>
        <w:t>Gestión de Proveedores</w:t>
      </w:r>
      <w:hyperlink r:id="rId12">
        <w:r w:rsidR="009002AB" w:rsidRPr="0026025C">
          <w:rPr>
            <w:rFonts w:asciiTheme="minorHAnsi" w:hAnsiTheme="minorHAnsi" w:cstheme="minorHAnsi"/>
            <w:b/>
            <w:bCs/>
            <w:lang w:val="es-ES"/>
          </w:rPr>
          <w:t xml:space="preserve"> </w:t>
        </w:r>
      </w:hyperlink>
    </w:p>
    <w:p w14:paraId="329DBD7E" w14:textId="18BAC4F2" w:rsidR="0026025C" w:rsidRPr="0026025C" w:rsidRDefault="0026025C" w:rsidP="0026025C">
      <w:pPr>
        <w:spacing w:after="196" w:line="259" w:lineRule="auto"/>
        <w:ind w:left="0" w:right="174" w:firstLine="0"/>
        <w:jc w:val="left"/>
        <w:rPr>
          <w:rFonts w:asciiTheme="minorHAnsi" w:hAnsiTheme="minorHAnsi" w:cstheme="minorHAnsi"/>
          <w:lang w:val="es-ES"/>
        </w:rPr>
      </w:pPr>
      <w:r w:rsidRPr="0026025C">
        <w:rPr>
          <w:rFonts w:asciiTheme="minorHAnsi" w:hAnsiTheme="minorHAnsi" w:cstheme="minorHAnsi"/>
          <w:lang w:val="es-ES"/>
        </w:rPr>
        <w:t xml:space="preserve">Esta política sustituye a la política anterior titulada "Creación y aprobación de proveedores". En Quantum, </w:t>
      </w:r>
      <w:hyperlink r:id="rId13" w:history="1">
        <w:r w:rsidR="00E86039">
          <w:rPr>
            <w:rStyle w:val="Hyperlink"/>
            <w:rFonts w:asciiTheme="minorHAnsi" w:hAnsiTheme="minorHAnsi" w:cstheme="minorHAnsi"/>
            <w:lang w:val="es-ES"/>
          </w:rPr>
          <w:t xml:space="preserve">la Gestión de Proveedores </w:t>
        </w:r>
      </w:hyperlink>
      <w:r w:rsidRPr="0026025C">
        <w:rPr>
          <w:rFonts w:asciiTheme="minorHAnsi" w:hAnsiTheme="minorHAnsi" w:cstheme="minorHAnsi"/>
          <w:lang w:val="es-ES"/>
        </w:rPr>
        <w:t xml:space="preserve">se realiza en el Portal de Proveedores. Todos los beneficiarios se denominan "proveedores". Para cualquier proveedor para el que se vaya a recaudar un pago o al que se le vaya a realizar un pago, debe crearse correctamente un registro de proveedor en Quantum. El registro de proveedores puede realizarse utilizando los siguientes métodos que se indican a continuación. </w:t>
      </w:r>
    </w:p>
    <w:p w14:paraId="687B5BC5" w14:textId="77777777" w:rsidR="0026025C" w:rsidRPr="0026025C" w:rsidRDefault="0026025C" w:rsidP="0026025C">
      <w:pPr>
        <w:spacing w:after="196" w:line="259" w:lineRule="auto"/>
        <w:ind w:left="0" w:right="174" w:firstLine="0"/>
        <w:jc w:val="left"/>
        <w:rPr>
          <w:rFonts w:asciiTheme="minorHAnsi" w:hAnsiTheme="minorHAnsi" w:cstheme="minorHAnsi"/>
          <w:lang w:val="es-ES"/>
        </w:rPr>
      </w:pPr>
      <w:r w:rsidRPr="0026025C">
        <w:rPr>
          <w:rFonts w:asciiTheme="minorHAnsi" w:hAnsiTheme="minorHAnsi" w:cstheme="minorHAnsi"/>
          <w:lang w:val="es-ES"/>
        </w:rPr>
        <w:t>Métodos para el registro de proveedores en Quantum:</w:t>
      </w:r>
    </w:p>
    <w:p w14:paraId="5F7C7BF7" w14:textId="77777777" w:rsidR="0026025C" w:rsidRPr="0026025C" w:rsidRDefault="0026025C" w:rsidP="0026025C">
      <w:pPr>
        <w:spacing w:after="196" w:line="259" w:lineRule="auto"/>
        <w:ind w:left="0" w:right="174" w:firstLine="0"/>
        <w:jc w:val="left"/>
        <w:rPr>
          <w:rFonts w:asciiTheme="minorHAnsi" w:hAnsiTheme="minorHAnsi" w:cstheme="minorHAnsi"/>
          <w:lang w:val="es-ES"/>
        </w:rPr>
      </w:pPr>
      <w:r w:rsidRPr="0026025C">
        <w:rPr>
          <w:rFonts w:asciiTheme="minorHAnsi" w:hAnsiTheme="minorHAnsi" w:cstheme="minorHAnsi"/>
          <w:lang w:val="es-ES"/>
        </w:rPr>
        <w:t xml:space="preserve"> </w:t>
      </w:r>
    </w:p>
    <w:p w14:paraId="45ACA60C" w14:textId="77777777" w:rsidR="0026025C" w:rsidRPr="0026025C" w:rsidRDefault="0026025C" w:rsidP="0026025C">
      <w:pPr>
        <w:spacing w:after="196" w:line="259" w:lineRule="auto"/>
        <w:ind w:left="720" w:right="174" w:firstLine="0"/>
        <w:jc w:val="left"/>
        <w:rPr>
          <w:rFonts w:asciiTheme="minorHAnsi" w:hAnsiTheme="minorHAnsi" w:cstheme="minorHAnsi"/>
          <w:lang w:val="es-ES"/>
        </w:rPr>
      </w:pPr>
      <w:r w:rsidRPr="0026025C">
        <w:rPr>
          <w:rFonts w:asciiTheme="minorHAnsi" w:hAnsiTheme="minorHAnsi" w:cstheme="minorHAnsi"/>
          <w:lang w:val="es-ES"/>
        </w:rPr>
        <w:t xml:space="preserve">- Método 1: Registro directo de proveedores a través del portal de proveedores de Quantum: CO para enviar el enlace de registro al proveedor para que se </w:t>
      </w:r>
      <w:proofErr w:type="spellStart"/>
      <w:r w:rsidRPr="0026025C">
        <w:rPr>
          <w:rFonts w:asciiTheme="minorHAnsi" w:hAnsiTheme="minorHAnsi" w:cstheme="minorHAnsi"/>
          <w:lang w:val="es-ES"/>
        </w:rPr>
        <w:t>auto-registre</w:t>
      </w:r>
      <w:proofErr w:type="spellEnd"/>
      <w:r w:rsidRPr="0026025C">
        <w:rPr>
          <w:rFonts w:asciiTheme="minorHAnsi" w:hAnsiTheme="minorHAnsi" w:cstheme="minorHAnsi"/>
          <w:lang w:val="es-ES"/>
        </w:rPr>
        <w:t>.</w:t>
      </w:r>
    </w:p>
    <w:p w14:paraId="0B6AE2BE" w14:textId="77777777" w:rsidR="0026025C" w:rsidRPr="0026025C" w:rsidRDefault="0026025C" w:rsidP="0026025C">
      <w:pPr>
        <w:spacing w:after="196" w:line="259" w:lineRule="auto"/>
        <w:ind w:left="720" w:right="174" w:firstLine="0"/>
        <w:jc w:val="left"/>
        <w:rPr>
          <w:rFonts w:asciiTheme="minorHAnsi" w:hAnsiTheme="minorHAnsi" w:cstheme="minorHAnsi"/>
          <w:lang w:val="es-ES"/>
        </w:rPr>
      </w:pPr>
      <w:r w:rsidRPr="0026025C">
        <w:rPr>
          <w:rFonts w:asciiTheme="minorHAnsi" w:hAnsiTheme="minorHAnsi" w:cstheme="minorHAnsi"/>
          <w:lang w:val="es-ES"/>
        </w:rPr>
        <w:t xml:space="preserve">- Método 2: Registro a través de UNALL </w:t>
      </w:r>
    </w:p>
    <w:p w14:paraId="1E895856" w14:textId="77777777" w:rsidR="0026025C" w:rsidRPr="0026025C" w:rsidRDefault="0026025C" w:rsidP="0026025C">
      <w:pPr>
        <w:spacing w:after="196" w:line="259" w:lineRule="auto"/>
        <w:ind w:left="720" w:right="174" w:firstLine="0"/>
        <w:jc w:val="left"/>
        <w:rPr>
          <w:rFonts w:asciiTheme="minorHAnsi" w:hAnsiTheme="minorHAnsi" w:cstheme="minorHAnsi"/>
          <w:lang w:val="es-ES"/>
        </w:rPr>
      </w:pPr>
      <w:r w:rsidRPr="0026025C">
        <w:rPr>
          <w:rFonts w:asciiTheme="minorHAnsi" w:hAnsiTheme="minorHAnsi" w:cstheme="minorHAnsi"/>
          <w:lang w:val="es-ES"/>
        </w:rPr>
        <w:t>- Método 3: Promover al proveedor potencial a la cantidad autorizada de gastos</w:t>
      </w:r>
    </w:p>
    <w:p w14:paraId="160E8F65" w14:textId="2A53BD73" w:rsidR="0026025C" w:rsidRPr="0026025C" w:rsidRDefault="0026025C" w:rsidP="0026025C">
      <w:pPr>
        <w:spacing w:after="196" w:line="259" w:lineRule="auto"/>
        <w:ind w:left="720" w:right="174" w:firstLine="0"/>
        <w:jc w:val="left"/>
        <w:rPr>
          <w:rFonts w:asciiTheme="minorHAnsi" w:hAnsiTheme="minorHAnsi" w:cstheme="minorHAnsi"/>
          <w:lang w:val="es-ES"/>
        </w:rPr>
      </w:pPr>
      <w:r w:rsidRPr="0026025C">
        <w:rPr>
          <w:rFonts w:asciiTheme="minorHAnsi" w:hAnsiTheme="minorHAnsi" w:cstheme="minorHAnsi"/>
          <w:lang w:val="es-ES"/>
        </w:rPr>
        <w:t xml:space="preserve">- Método 4: Registro interno: El rol de Mantenimiento de Proveedores o el rol de Comprador de Adquisiciones en cada oficina también puede registrar al proveedor en su nombre ingresando la información directamente en Quantum utilizando el proceso de registro de proveedores como se explica en esta guía: </w:t>
      </w:r>
      <w:hyperlink r:id="rId14" w:history="1">
        <w:r w:rsidRPr="00335E60">
          <w:rPr>
            <w:rStyle w:val="Hyperlink"/>
            <w:rFonts w:asciiTheme="minorHAnsi" w:hAnsiTheme="minorHAnsi" w:cstheme="minorHAnsi"/>
            <w:lang w:val="es-ES"/>
          </w:rPr>
          <w:t>Guía de aprendizaje Registrar proveedor</w:t>
        </w:r>
      </w:hyperlink>
      <w:r w:rsidRPr="0026025C">
        <w:rPr>
          <w:rFonts w:asciiTheme="minorHAnsi" w:hAnsiTheme="minorHAnsi" w:cstheme="minorHAnsi"/>
          <w:lang w:val="es-ES"/>
        </w:rPr>
        <w:t>.</w:t>
      </w:r>
    </w:p>
    <w:p w14:paraId="479FD95A" w14:textId="77777777" w:rsidR="0026025C" w:rsidRPr="0026025C" w:rsidRDefault="0026025C" w:rsidP="0026025C">
      <w:pPr>
        <w:spacing w:after="196" w:line="259" w:lineRule="auto"/>
        <w:ind w:left="720" w:right="174" w:firstLine="0"/>
        <w:jc w:val="left"/>
        <w:rPr>
          <w:rFonts w:asciiTheme="minorHAnsi" w:hAnsiTheme="minorHAnsi" w:cstheme="minorHAnsi"/>
          <w:lang w:val="es-ES"/>
        </w:rPr>
      </w:pPr>
      <w:r w:rsidRPr="0026025C">
        <w:rPr>
          <w:rFonts w:asciiTheme="minorHAnsi" w:hAnsiTheme="minorHAnsi" w:cstheme="minorHAnsi"/>
          <w:lang w:val="es-ES"/>
        </w:rPr>
        <w:t>- Método 5: Registro de proveedores y solicitudes de cambio por parte de la GSSC en función de las solicitudes de la OC si los proveedores no pueden acceder directamente al Portal de Proveedores.</w:t>
      </w:r>
    </w:p>
    <w:p w14:paraId="5A622C5B" w14:textId="77777777" w:rsidR="0026025C" w:rsidRPr="0026025C" w:rsidRDefault="0026025C" w:rsidP="0026025C">
      <w:pPr>
        <w:spacing w:after="196" w:line="259" w:lineRule="auto"/>
        <w:ind w:left="0" w:right="174" w:firstLine="0"/>
        <w:jc w:val="left"/>
        <w:rPr>
          <w:rFonts w:asciiTheme="minorHAnsi" w:hAnsiTheme="minorHAnsi" w:cstheme="minorHAnsi"/>
          <w:lang w:val="es-ES"/>
        </w:rPr>
      </w:pPr>
    </w:p>
    <w:p w14:paraId="034C9706" w14:textId="4C87A7D2" w:rsidR="0026025C" w:rsidRPr="0026025C" w:rsidRDefault="0026025C" w:rsidP="0026025C">
      <w:pPr>
        <w:spacing w:after="196" w:line="259" w:lineRule="auto"/>
        <w:ind w:left="0" w:right="174" w:firstLine="0"/>
        <w:jc w:val="left"/>
        <w:rPr>
          <w:rFonts w:asciiTheme="minorHAnsi" w:hAnsiTheme="minorHAnsi" w:cstheme="minorHAnsi"/>
          <w:lang w:val="es-ES"/>
        </w:rPr>
      </w:pPr>
      <w:r w:rsidRPr="0026025C">
        <w:rPr>
          <w:rFonts w:asciiTheme="minorHAnsi" w:hAnsiTheme="minorHAnsi" w:cstheme="minorHAnsi"/>
          <w:lang w:val="es-ES"/>
        </w:rPr>
        <w:t xml:space="preserve">La aprobación de todas las inscripciones de proveedores corre a cargo del Aprobador de la GSSC, </w:t>
      </w:r>
      <w:r>
        <w:rPr>
          <w:rFonts w:asciiTheme="minorHAnsi" w:hAnsiTheme="minorHAnsi" w:cstheme="minorHAnsi"/>
          <w:lang w:val="es-ES"/>
        </w:rPr>
        <w:t xml:space="preserve">quien </w:t>
      </w:r>
      <w:r w:rsidRPr="0026025C">
        <w:rPr>
          <w:rFonts w:asciiTheme="minorHAnsi" w:hAnsiTheme="minorHAnsi" w:cstheme="minorHAnsi"/>
          <w:lang w:val="es-ES"/>
        </w:rPr>
        <w:t>comprueba que no haya sanciones y revisa las solicitudes de los proveedores y la documentación justificativa.  Para garantizar una adecuada separación de funciones, los miembros del personal que crean proveedores no deben crear también pedidos o comprobantes, ni preparar la conciliación bancaria.</w:t>
      </w:r>
    </w:p>
    <w:p w14:paraId="5D5F8697" w14:textId="21811446" w:rsidR="00821BAD" w:rsidRPr="0026025C" w:rsidRDefault="00821BAD" w:rsidP="0026025C">
      <w:pPr>
        <w:spacing w:after="196" w:line="259" w:lineRule="auto"/>
        <w:ind w:left="0" w:right="174" w:firstLine="0"/>
        <w:jc w:val="left"/>
        <w:rPr>
          <w:rFonts w:asciiTheme="minorHAnsi" w:hAnsiTheme="minorHAnsi" w:cstheme="minorHAnsi"/>
          <w:lang w:val="es-ES"/>
        </w:rPr>
      </w:pPr>
    </w:p>
    <w:sectPr w:rsidR="00821BAD" w:rsidRPr="0026025C">
      <w:headerReference w:type="even" r:id="rId15"/>
      <w:headerReference w:type="default" r:id="rId16"/>
      <w:footerReference w:type="even" r:id="rId17"/>
      <w:footerReference w:type="default" r:id="rId18"/>
      <w:headerReference w:type="first" r:id="rId19"/>
      <w:footerReference w:type="first" r:id="rId20"/>
      <w:pgSz w:w="11906" w:h="16838"/>
      <w:pgMar w:top="1481" w:right="830" w:bottom="2183"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47E3" w14:textId="77777777" w:rsidR="00840A1E" w:rsidRDefault="00840A1E" w:rsidP="003B3616">
      <w:pPr>
        <w:spacing w:line="240" w:lineRule="auto"/>
      </w:pPr>
      <w:r>
        <w:separator/>
      </w:r>
    </w:p>
  </w:endnote>
  <w:endnote w:type="continuationSeparator" w:id="0">
    <w:p w14:paraId="5F0CB644" w14:textId="77777777" w:rsidR="00840A1E" w:rsidRDefault="00840A1E" w:rsidP="003B3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D9E3" w14:textId="77777777" w:rsidR="00CA2CD5" w:rsidRDefault="00CA2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4705" w14:textId="63A3D438" w:rsidR="003B3616" w:rsidRDefault="003B3616">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3B3616">
      <w:t>Effective Date:</w:t>
    </w:r>
    <w:r>
      <w:t xml:space="preserve"> </w:t>
    </w:r>
    <w:sdt>
      <w:sdtPr>
        <w:alias w:val="Effective Date"/>
        <w:tag w:val="UNDP_POPP_EFFECTIVEDATE"/>
        <w:id w:val="1980486515"/>
        <w:placeholder>
          <w:docPart w:val="19EF088EBB924E6BB85511B660F4FD6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4C8E3183-A5D5-4108-AD46-79C626BBC811}"/>
        <w:date w:fullDate="2023-04-18T18:00:00Z">
          <w:dateFormat w:val="dd/MM/yyyy"/>
          <w:lid w:val="en-US"/>
          <w:storeMappedDataAs w:val="dateTime"/>
          <w:calendar w:val="gregorian"/>
        </w:date>
      </w:sdtPr>
      <w:sdtEndPr/>
      <w:sdtContent>
        <w:r w:rsidR="00E86039">
          <w:rPr>
            <w:lang w:val="en-US"/>
          </w:rPr>
          <w:t>18/04/2023</w:t>
        </w:r>
      </w:sdtContent>
    </w:sdt>
    <w:r>
      <w:ptab w:relativeTo="margin" w:alignment="right" w:leader="none"/>
    </w:r>
    <w:r w:rsidRPr="003B3616">
      <w:t>Version #:</w:t>
    </w:r>
    <w:r>
      <w:t xml:space="preserve"> </w:t>
    </w:r>
    <w:sdt>
      <w:sdtPr>
        <w:alias w:val="POPPRefItemVersion"/>
        <w:tag w:val="UNDP_POPP_REFITEM_VERSION"/>
        <w:id w:val="756861857"/>
        <w:placeholder>
          <w:docPart w:val="C8CEC716A1554AC0BD75F57A8939D1E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C8E3183-A5D5-4108-AD46-79C626BBC811}"/>
        <w:text/>
      </w:sdtPr>
      <w:sdtEndPr/>
      <w:sdtContent>
        <w:r w:rsidR="008E46EA">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E0C9" w14:textId="77777777" w:rsidR="00CA2CD5" w:rsidRDefault="00CA2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D14F" w14:textId="77777777" w:rsidR="00840A1E" w:rsidRDefault="00840A1E" w:rsidP="003B3616">
      <w:pPr>
        <w:spacing w:line="240" w:lineRule="auto"/>
      </w:pPr>
      <w:r>
        <w:separator/>
      </w:r>
    </w:p>
  </w:footnote>
  <w:footnote w:type="continuationSeparator" w:id="0">
    <w:p w14:paraId="254D9A82" w14:textId="77777777" w:rsidR="00840A1E" w:rsidRDefault="00840A1E" w:rsidP="003B36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86A1" w14:textId="77777777" w:rsidR="00CA2CD5" w:rsidRDefault="00CA2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4703" w14:textId="77777777" w:rsidR="003B3616" w:rsidRDefault="003B3616" w:rsidP="003B3616">
    <w:pPr>
      <w:pStyle w:val="Header"/>
      <w:jc w:val="right"/>
    </w:pPr>
    <w:r>
      <w:rPr>
        <w:noProof/>
      </w:rPr>
      <w:drawing>
        <wp:inline distT="0" distB="0" distL="0" distR="0" wp14:anchorId="2AFF4706" wp14:editId="35197E09">
          <wp:extent cx="304800" cy="585042"/>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t="-1" r="-18" b="15094"/>
                  <a:stretch/>
                </pic:blipFill>
                <pic:spPr bwMode="auto">
                  <a:xfrm>
                    <a:off x="0" y="0"/>
                    <a:ext cx="309373" cy="593819"/>
                  </a:xfrm>
                  <a:prstGeom prst="rect">
                    <a:avLst/>
                  </a:prstGeom>
                  <a:ln>
                    <a:noFill/>
                  </a:ln>
                  <a:extLst>
                    <a:ext uri="{53640926-AAD7-44D8-BBD7-CCE9431645EC}">
                      <a14:shadowObscured xmlns:a14="http://schemas.microsoft.com/office/drawing/2010/main"/>
                    </a:ext>
                  </a:extLst>
                </pic:spPr>
              </pic:pic>
            </a:graphicData>
          </a:graphic>
        </wp:inline>
      </w:drawing>
    </w:r>
  </w:p>
  <w:p w14:paraId="2AFF4704" w14:textId="77777777" w:rsidR="003B3616" w:rsidRDefault="003B3616" w:rsidP="003B361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A608" w14:textId="77777777" w:rsidR="00CA2CD5" w:rsidRDefault="00CA2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C048C"/>
    <w:multiLevelType w:val="hybridMultilevel"/>
    <w:tmpl w:val="7284A2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5741DA"/>
    <w:multiLevelType w:val="hybridMultilevel"/>
    <w:tmpl w:val="FAFC5ADE"/>
    <w:lvl w:ilvl="0" w:tplc="90BE6BE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84FCD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7082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6A63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A63CE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C8B5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1241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9279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CC0F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FC6E89"/>
    <w:multiLevelType w:val="hybridMultilevel"/>
    <w:tmpl w:val="72ACD14E"/>
    <w:lvl w:ilvl="0" w:tplc="701EAE5C">
      <w:numFmt w:val="bullet"/>
      <w:lvlText w:val="-"/>
      <w:lvlJc w:val="left"/>
      <w:pPr>
        <w:ind w:left="720" w:hanging="360"/>
      </w:pPr>
      <w:rPr>
        <w:rFonts w:ascii="Calibri" w:eastAsia="Arial"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119375959">
    <w:abstractNumId w:val="1"/>
  </w:num>
  <w:num w:numId="2" w16cid:durableId="1904097311">
    <w:abstractNumId w:val="0"/>
  </w:num>
  <w:num w:numId="3" w16cid:durableId="667752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E67EF9"/>
    <w:rsid w:val="000A558D"/>
    <w:rsid w:val="001C0118"/>
    <w:rsid w:val="001F3113"/>
    <w:rsid w:val="002129A3"/>
    <w:rsid w:val="0026025C"/>
    <w:rsid w:val="00260D32"/>
    <w:rsid w:val="00270BB0"/>
    <w:rsid w:val="002E0417"/>
    <w:rsid w:val="00335E60"/>
    <w:rsid w:val="003B2073"/>
    <w:rsid w:val="003B3616"/>
    <w:rsid w:val="003F1638"/>
    <w:rsid w:val="004927CF"/>
    <w:rsid w:val="00516991"/>
    <w:rsid w:val="00525F64"/>
    <w:rsid w:val="00596CB1"/>
    <w:rsid w:val="005B395C"/>
    <w:rsid w:val="00610828"/>
    <w:rsid w:val="00670699"/>
    <w:rsid w:val="006B071D"/>
    <w:rsid w:val="006B5D0F"/>
    <w:rsid w:val="006F7A21"/>
    <w:rsid w:val="0071650C"/>
    <w:rsid w:val="007A7632"/>
    <w:rsid w:val="00821BAD"/>
    <w:rsid w:val="00826081"/>
    <w:rsid w:val="00840A1E"/>
    <w:rsid w:val="008E46EA"/>
    <w:rsid w:val="009002AB"/>
    <w:rsid w:val="009E034F"/>
    <w:rsid w:val="00A3410F"/>
    <w:rsid w:val="00B078F2"/>
    <w:rsid w:val="00BC5AB8"/>
    <w:rsid w:val="00CA2CD5"/>
    <w:rsid w:val="00CC1989"/>
    <w:rsid w:val="00CC6553"/>
    <w:rsid w:val="00E12EF4"/>
    <w:rsid w:val="00E40B96"/>
    <w:rsid w:val="00E470C2"/>
    <w:rsid w:val="00E67EF9"/>
    <w:rsid w:val="00E86039"/>
    <w:rsid w:val="00E95353"/>
    <w:rsid w:val="00EA164D"/>
    <w:rsid w:val="00EE6797"/>
    <w:rsid w:val="00F3314B"/>
    <w:rsid w:val="00F45192"/>
    <w:rsid w:val="00FE3AEA"/>
    <w:rsid w:val="0248885C"/>
    <w:rsid w:val="02B94DDD"/>
    <w:rsid w:val="08B20864"/>
    <w:rsid w:val="13C629F2"/>
    <w:rsid w:val="31D1AB75"/>
    <w:rsid w:val="3B3B9181"/>
    <w:rsid w:val="4B413693"/>
    <w:rsid w:val="4E78D755"/>
    <w:rsid w:val="661FD108"/>
    <w:rsid w:val="6AC64DBA"/>
    <w:rsid w:val="6F40E9AE"/>
    <w:rsid w:val="76B44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F46F4"/>
  <w15:docId w15:val="{183F6894-012D-4531-A28B-10D61C7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730" w:right="4"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6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616"/>
    <w:rPr>
      <w:rFonts w:ascii="Tahoma" w:eastAsia="Calibri" w:hAnsi="Tahoma" w:cs="Tahoma"/>
      <w:color w:val="000000"/>
      <w:sz w:val="16"/>
      <w:szCs w:val="16"/>
    </w:rPr>
  </w:style>
  <w:style w:type="character" w:styleId="Hyperlink">
    <w:name w:val="Hyperlink"/>
    <w:basedOn w:val="DefaultParagraphFont"/>
    <w:uiPriority w:val="99"/>
    <w:unhideWhenUsed/>
    <w:rsid w:val="003B3616"/>
    <w:rPr>
      <w:color w:val="0000FF" w:themeColor="hyperlink"/>
      <w:u w:val="single"/>
    </w:rPr>
  </w:style>
  <w:style w:type="paragraph" w:styleId="Header">
    <w:name w:val="header"/>
    <w:basedOn w:val="Normal"/>
    <w:link w:val="HeaderChar"/>
    <w:uiPriority w:val="99"/>
    <w:unhideWhenUsed/>
    <w:rsid w:val="003B3616"/>
    <w:pPr>
      <w:tabs>
        <w:tab w:val="center" w:pos="4513"/>
        <w:tab w:val="right" w:pos="9026"/>
      </w:tabs>
      <w:spacing w:line="240" w:lineRule="auto"/>
    </w:pPr>
  </w:style>
  <w:style w:type="character" w:customStyle="1" w:styleId="HeaderChar">
    <w:name w:val="Header Char"/>
    <w:basedOn w:val="DefaultParagraphFont"/>
    <w:link w:val="Header"/>
    <w:uiPriority w:val="99"/>
    <w:rsid w:val="003B3616"/>
    <w:rPr>
      <w:rFonts w:ascii="Calibri" w:eastAsia="Calibri" w:hAnsi="Calibri" w:cs="Calibri"/>
      <w:color w:val="000000"/>
    </w:rPr>
  </w:style>
  <w:style w:type="paragraph" w:styleId="Footer">
    <w:name w:val="footer"/>
    <w:basedOn w:val="Normal"/>
    <w:link w:val="FooterChar"/>
    <w:uiPriority w:val="99"/>
    <w:unhideWhenUsed/>
    <w:rsid w:val="003B3616"/>
    <w:pPr>
      <w:tabs>
        <w:tab w:val="center" w:pos="4513"/>
        <w:tab w:val="right" w:pos="9026"/>
      </w:tabs>
      <w:spacing w:line="240" w:lineRule="auto"/>
    </w:pPr>
  </w:style>
  <w:style w:type="character" w:customStyle="1" w:styleId="FooterChar">
    <w:name w:val="Footer Char"/>
    <w:basedOn w:val="DefaultParagraphFont"/>
    <w:link w:val="Footer"/>
    <w:uiPriority w:val="99"/>
    <w:rsid w:val="003B3616"/>
    <w:rPr>
      <w:rFonts w:ascii="Calibri" w:eastAsia="Calibri" w:hAnsi="Calibri" w:cs="Calibri"/>
      <w:color w:val="000000"/>
    </w:rPr>
  </w:style>
  <w:style w:type="character" w:styleId="PlaceholderText">
    <w:name w:val="Placeholder Text"/>
    <w:basedOn w:val="DefaultParagraphFont"/>
    <w:uiPriority w:val="99"/>
    <w:semiHidden/>
    <w:rsid w:val="003B3616"/>
    <w:rPr>
      <w:color w:val="808080"/>
    </w:rPr>
  </w:style>
  <w:style w:type="paragraph" w:styleId="Revision">
    <w:name w:val="Revision"/>
    <w:hidden/>
    <w:uiPriority w:val="99"/>
    <w:semiHidden/>
    <w:rsid w:val="00270BB0"/>
    <w:pPr>
      <w:spacing w:after="0" w:line="240" w:lineRule="auto"/>
    </w:pPr>
    <w:rPr>
      <w:rFonts w:ascii="Calibri" w:eastAsia="Calibri" w:hAnsi="Calibri" w:cs="Calibri"/>
      <w:color w:val="000000"/>
    </w:rPr>
  </w:style>
  <w:style w:type="paragraph" w:styleId="ListParagraph">
    <w:name w:val="List Paragraph"/>
    <w:basedOn w:val="Normal"/>
    <w:uiPriority w:val="34"/>
    <w:qFormat/>
    <w:rsid w:val="00E95353"/>
    <w:pPr>
      <w:ind w:left="720"/>
      <w:contextualSpacing/>
    </w:pPr>
  </w:style>
  <w:style w:type="character" w:styleId="FollowedHyperlink">
    <w:name w:val="FollowedHyperlink"/>
    <w:basedOn w:val="DefaultParagraphFont"/>
    <w:uiPriority w:val="99"/>
    <w:semiHidden/>
    <w:unhideWhenUsed/>
    <w:rsid w:val="005B395C"/>
    <w:rPr>
      <w:color w:val="800080" w:themeColor="followedHyperlink"/>
      <w:u w:val="single"/>
    </w:rPr>
  </w:style>
  <w:style w:type="character" w:styleId="UnresolvedMention">
    <w:name w:val="Unresolved Mention"/>
    <w:basedOn w:val="DefaultParagraphFont"/>
    <w:uiPriority w:val="99"/>
    <w:semiHidden/>
    <w:unhideWhenUsed/>
    <w:rsid w:val="00335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p.service-now.com/unall?id=kb_article&amp;sysparm_article=KB001294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intranet.undp.org/global/popp/frm/PublishingImages/creating-and-approving-vendors_P1.jpg.gi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uidedlearning-emea.oracle.com/player/latest/api/scenario/export/pcGQSfH3RYi8Ob0tCpPRSg/8lqm9yk4/lang/--/?draft=dev&amp;_=1669873568&amp;windowMode=unpin"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EF088EBB924E6BB85511B660F4FD62"/>
        <w:category>
          <w:name w:val="General"/>
          <w:gallery w:val="placeholder"/>
        </w:category>
        <w:types>
          <w:type w:val="bbPlcHdr"/>
        </w:types>
        <w:behaviors>
          <w:behavior w:val="content"/>
        </w:behaviors>
        <w:guid w:val="{F376F9E7-068D-4894-9CEE-5A636877B253}"/>
      </w:docPartPr>
      <w:docPartBody>
        <w:p w:rsidR="001D78F7" w:rsidRDefault="0024554E">
          <w:r w:rsidRPr="008651F4">
            <w:rPr>
              <w:rStyle w:val="PlaceholderText"/>
            </w:rPr>
            <w:t>[Effective Date]</w:t>
          </w:r>
        </w:p>
      </w:docPartBody>
    </w:docPart>
    <w:docPart>
      <w:docPartPr>
        <w:name w:val="C8CEC716A1554AC0BD75F57A8939D1E8"/>
        <w:category>
          <w:name w:val="General"/>
          <w:gallery w:val="placeholder"/>
        </w:category>
        <w:types>
          <w:type w:val="bbPlcHdr"/>
        </w:types>
        <w:behaviors>
          <w:behavior w:val="content"/>
        </w:behaviors>
        <w:guid w:val="{2C35B300-658A-48AB-B52A-28C4865A4F0F}"/>
      </w:docPartPr>
      <w:docPartBody>
        <w:p w:rsidR="001D78F7" w:rsidRDefault="0024554E">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54E"/>
    <w:rsid w:val="001D78F7"/>
    <w:rsid w:val="0024554E"/>
    <w:rsid w:val="00553D49"/>
    <w:rsid w:val="006E7331"/>
    <w:rsid w:val="00B92F26"/>
    <w:rsid w:val="00FF68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5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2025-12-30T23:00:00+00:00</UNDP_POPP_PLANNED_REVIEWDATE>
    <UNDP_POPP_LASTMODIFIED xmlns="8264c5cc-ec60-4b56-8111-ce635d3d139a" xsi:nil="true"/>
    <UNDP_POPP_REJECT_COMMENTS xmlns="8264c5cc-ec60-4b56-8111-ce635d3d139a" xsi:nil="true"/>
    <DLCPolicyLabelValue xmlns="e560140e-7b2f-4392-90df-e7567e3021a3">Effective Date: 4/18/2023                                                Version #: 9.0</DLCPolicyLabelValue>
    <UNDP_POPP_EFFECTIVEDATE xmlns="8264c5cc-ec60-4b56-8111-ce635d3d139a">2023-04-18T22:00:00+00:00</UNDP_POPP_EFFECTIVEDATE>
    <UNDP_POPP_REFITEM_VERSION xmlns="8264c5cc-ec60-4b56-8111-ce635d3d139a">9</UNDP_POPP_REFITEM_VERSION>
    <UNDP_POPP_FILEVERSION xmlns="8264c5cc-ec60-4b56-8111-ce635d3d139a" xsi:nil="true"/>
    <UNDP_POPP_ISACTIVE xmlns="8264c5cc-ec60-4b56-8111-ce635d3d139a">true</UNDP_POPP_ISACTIVE>
    <UNDP_POPP_TITLE_EN xmlns="8264c5cc-ec60-4b56-8111-ce635d3d139a">Gestión de proveedores</UNDP_POPP_TITLE_EN>
    <DLCPolicyLabelLock xmlns="e560140e-7b2f-4392-90df-e7567e3021a3" xsi:nil="true"/>
    <DLCPolicyLabelClientValue xmlns="e560140e-7b2f-4392-90df-e7567e3021a3">Effective Date: 4/18/2023                                                Version #: 9.0</DLCPolicyLabelClientValue>
    <UNDP_POPP_BUSINESSUNITID_HIDDEN xmlns="8264c5cc-ec60-4b56-8111-ce635d3d139a" xsi:nil="true"/>
    <_dlc_DocId xmlns="8264c5cc-ec60-4b56-8111-ce635d3d139a">POPP-11-3998</_dlc_DocId>
    <_dlc_DocIdUrl xmlns="8264c5cc-ec60-4b56-8111-ce635d3d139a">
      <Url>https://popp.undp.org/_layouts/15/DocIdRedir.aspx?ID=POPP-11-3998</Url>
      <Description>POPP-11-3998</Description>
    </_dlc_DocIdUrl>
  </documentManagement>
</p:properties>
</file>

<file path=customXml/itemProps1.xml><?xml version="1.0" encoding="utf-8"?>
<ds:datastoreItem xmlns:ds="http://schemas.openxmlformats.org/officeDocument/2006/customXml" ds:itemID="{F183C3C9-7CEA-40DA-BA40-ADE8D57EAE90}">
  <ds:schemaRefs>
    <ds:schemaRef ds:uri="http://schemas.microsoft.com/sharepoint/v3/contenttype/forms"/>
  </ds:schemaRefs>
</ds:datastoreItem>
</file>

<file path=customXml/itemProps2.xml><?xml version="1.0" encoding="utf-8"?>
<ds:datastoreItem xmlns:ds="http://schemas.openxmlformats.org/officeDocument/2006/customXml" ds:itemID="{1BB2076F-6DFA-4250-A407-E07AF367BB44}">
  <ds:schemaRefs>
    <ds:schemaRef ds:uri="office.server.policy"/>
  </ds:schemaRefs>
</ds:datastoreItem>
</file>

<file path=customXml/itemProps3.xml><?xml version="1.0" encoding="utf-8"?>
<ds:datastoreItem xmlns:ds="http://schemas.openxmlformats.org/officeDocument/2006/customXml" ds:itemID="{44B1DB2C-92EC-4B92-B6A4-5948DD34D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AF1BF-68BF-45E0-A070-02DF13C6DAD9}">
  <ds:schemaRefs>
    <ds:schemaRef ds:uri="http://schemas.microsoft.com/sharepoint/events"/>
  </ds:schemaRefs>
</ds:datastoreItem>
</file>

<file path=customXml/itemProps5.xml><?xml version="1.0" encoding="utf-8"?>
<ds:datastoreItem xmlns:ds="http://schemas.openxmlformats.org/officeDocument/2006/customXml" ds:itemID="{4C8E3183-A5D5-4108-AD46-79C626BBC811}">
  <ds:schemaRefs>
    <ds:schemaRef ds:uri="http://schemas.microsoft.com/office/2006/documentManagement/types"/>
    <ds:schemaRef ds:uri="http://schemas.microsoft.com/sharepoint/v3"/>
    <ds:schemaRef ds:uri="http://purl.org/dc/dcmitype/"/>
    <ds:schemaRef ds:uri="http://schemas.openxmlformats.org/package/2006/metadata/core-properties"/>
    <ds:schemaRef ds:uri="e560140e-7b2f-4392-90df-e7567e3021a3"/>
    <ds:schemaRef ds:uri="http://www.w3.org/XML/1998/namespace"/>
    <ds:schemaRef ds:uri="8264c5cc-ec60-4b56-8111-ce635d3d139a"/>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2</cp:revision>
  <dcterms:created xsi:type="dcterms:W3CDTF">2023-07-21T18:05:00Z</dcterms:created>
  <dcterms:modified xsi:type="dcterms:W3CDTF">2023-07-21T18:05:00Z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14674f73-2d3f-491b-b176-d4e10d6d310a</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1</vt:lpwstr>
  </property>
  <property fmtid="{D5CDD505-2E9C-101B-9397-08002B2CF9AE}" pid="10" name="SharedWithUsers">
    <vt:lpwstr>1417;#Naglaa Fouda;#5822;#Seow Cheng LOW</vt:lpwstr>
  </property>
</Properties>
</file>