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FF9C9" w14:textId="77777777" w:rsidR="000619A0" w:rsidRDefault="000619A0" w:rsidP="000619A0">
      <w:pPr>
        <w:spacing w:after="0" w:line="256" w:lineRule="auto"/>
        <w:ind w:left="0" w:right="0" w:firstLine="0"/>
        <w:jc w:val="left"/>
      </w:pPr>
      <w:r>
        <w:rPr>
          <w:b/>
          <w:sz w:val="28"/>
        </w:rPr>
        <w:t xml:space="preserve">Accounts Payable  </w:t>
      </w:r>
      <w:r>
        <w:t xml:space="preserve"> </w:t>
      </w:r>
    </w:p>
    <w:p w14:paraId="746E91D2" w14:textId="77777777" w:rsidR="000619A0" w:rsidRDefault="000619A0" w:rsidP="000619A0">
      <w:pPr>
        <w:spacing w:after="0" w:line="256" w:lineRule="auto"/>
        <w:ind w:left="0" w:right="0" w:firstLine="0"/>
        <w:jc w:val="left"/>
      </w:pPr>
    </w:p>
    <w:p w14:paraId="50DD2497" w14:textId="77777777" w:rsidR="000619A0" w:rsidRDefault="000619A0" w:rsidP="000619A0">
      <w:pPr>
        <w:pStyle w:val="ListParagraph"/>
        <w:numPr>
          <w:ilvl w:val="0"/>
          <w:numId w:val="10"/>
        </w:numPr>
        <w:spacing w:after="240"/>
        <w:ind w:left="284"/>
        <w:jc w:val="both"/>
      </w:pPr>
      <w:r>
        <w:rPr>
          <w:rFonts w:ascii="Calibri" w:eastAsia="Calibri" w:hAnsi="Calibri" w:cs="Calibri"/>
          <w:color w:val="000000" w:themeColor="text1"/>
          <w:lang w:eastAsia="en-GB"/>
        </w:rPr>
        <w:t xml:space="preserve">An  Accounts Payable invoice records a UNDP liability due to a supplier arising from the provision of goods or services to UNDP. </w:t>
      </w:r>
    </w:p>
    <w:p w14:paraId="4ED1A612" w14:textId="77777777" w:rsidR="000619A0" w:rsidRDefault="000619A0" w:rsidP="000619A0">
      <w:pPr>
        <w:pStyle w:val="ListParagraph"/>
        <w:numPr>
          <w:ilvl w:val="0"/>
          <w:numId w:val="10"/>
        </w:numPr>
        <w:spacing w:after="240"/>
        <w:ind w:left="284"/>
        <w:jc w:val="both"/>
      </w:pPr>
      <w:r>
        <w:rPr>
          <w:rFonts w:ascii="Calibri" w:eastAsia="Calibri" w:hAnsi="Calibri" w:cs="Calibri"/>
          <w:color w:val="000000" w:themeColor="text1"/>
          <w:lang w:eastAsia="en-GB"/>
        </w:rPr>
        <w:t>There are 3 types of invoices:</w:t>
      </w:r>
    </w:p>
    <w:p w14:paraId="5BDCEBFC" w14:textId="77777777" w:rsidR="000619A0" w:rsidRDefault="000619A0" w:rsidP="000619A0">
      <w:pPr>
        <w:pStyle w:val="ListParagraph"/>
        <w:numPr>
          <w:ilvl w:val="0"/>
          <w:numId w:val="11"/>
        </w:numPr>
        <w:spacing w:after="0"/>
        <w:ind w:left="709" w:hanging="425"/>
        <w:rPr>
          <w:rFonts w:asciiTheme="minorHAnsi" w:eastAsia="Calibri" w:hAnsiTheme="minorHAnsi" w:cstheme="minorHAnsi"/>
        </w:rPr>
      </w:pPr>
      <w:r>
        <w:rPr>
          <w:rFonts w:asciiTheme="minorHAnsi" w:eastAsia="Calibri" w:hAnsiTheme="minorHAnsi" w:cstheme="minorHAnsi"/>
        </w:rPr>
        <w:t>Standard invoice (includes PO and Non-PO invoices)</w:t>
      </w:r>
    </w:p>
    <w:p w14:paraId="45560E85" w14:textId="77777777" w:rsidR="000619A0" w:rsidRDefault="000619A0" w:rsidP="000619A0">
      <w:pPr>
        <w:pStyle w:val="ListParagraph"/>
        <w:numPr>
          <w:ilvl w:val="0"/>
          <w:numId w:val="11"/>
        </w:numPr>
        <w:spacing w:after="0"/>
        <w:ind w:left="709" w:hanging="425"/>
        <w:rPr>
          <w:rFonts w:asciiTheme="minorHAnsi" w:eastAsia="Calibri" w:hAnsiTheme="minorHAnsi" w:cstheme="minorHAnsi"/>
        </w:rPr>
      </w:pPr>
      <w:r>
        <w:rPr>
          <w:rFonts w:asciiTheme="minorHAnsi" w:eastAsia="Calibri" w:hAnsiTheme="minorHAnsi" w:cstheme="minorHAnsi"/>
        </w:rPr>
        <w:t>Prepayment Invoice (Refer to prepayment section)</w:t>
      </w:r>
    </w:p>
    <w:p w14:paraId="1177D458" w14:textId="77777777" w:rsidR="000619A0" w:rsidRDefault="000619A0" w:rsidP="000619A0">
      <w:pPr>
        <w:pStyle w:val="ListParagraph"/>
        <w:numPr>
          <w:ilvl w:val="0"/>
          <w:numId w:val="11"/>
        </w:numPr>
        <w:spacing w:after="0"/>
        <w:ind w:left="709" w:hanging="425"/>
        <w:rPr>
          <w:rFonts w:asciiTheme="minorHAnsi" w:eastAsia="Calibri" w:hAnsiTheme="minorHAnsi" w:cstheme="minorHAnsi"/>
        </w:rPr>
      </w:pPr>
      <w:r>
        <w:rPr>
          <w:rFonts w:asciiTheme="minorHAnsi" w:eastAsia="Calibri" w:hAnsiTheme="minorHAnsi" w:cstheme="minorBidi"/>
        </w:rPr>
        <w:t>Credit Memo (used to record deposits)</w:t>
      </w:r>
    </w:p>
    <w:p w14:paraId="3D19E725" w14:textId="77777777" w:rsidR="000619A0" w:rsidRDefault="000619A0" w:rsidP="000619A0">
      <w:pPr>
        <w:pStyle w:val="ListParagraph"/>
        <w:spacing w:after="0"/>
        <w:ind w:left="709"/>
        <w:rPr>
          <w:rFonts w:asciiTheme="minorHAnsi" w:eastAsia="Calibri" w:hAnsiTheme="minorHAnsi" w:cstheme="minorHAnsi"/>
        </w:rPr>
      </w:pPr>
    </w:p>
    <w:p w14:paraId="25C5529B" w14:textId="77777777" w:rsidR="000619A0" w:rsidRDefault="000619A0" w:rsidP="000619A0">
      <w:pPr>
        <w:numPr>
          <w:ilvl w:val="0"/>
          <w:numId w:val="10"/>
        </w:numPr>
        <w:spacing w:after="5" w:line="252" w:lineRule="auto"/>
        <w:ind w:left="284" w:right="0"/>
        <w:rPr>
          <w:rFonts w:asciiTheme="minorHAnsi" w:hAnsiTheme="minorHAnsi" w:cstheme="minorBidi"/>
        </w:rPr>
      </w:pPr>
      <w:r>
        <w:rPr>
          <w:rFonts w:asciiTheme="minorHAnsi" w:hAnsiTheme="minorHAnsi" w:cstheme="minorBidi"/>
        </w:rPr>
        <w:t xml:space="preserve"> An invoice is raised upon the receipt of goods and/or services and the presentation of a supplier's invoices or other payment request documents such as approved FACE Forms. Invoices can be created in the following ways:</w:t>
      </w:r>
    </w:p>
    <w:p w14:paraId="1DFEC7D2" w14:textId="77777777" w:rsidR="000619A0" w:rsidRDefault="000619A0" w:rsidP="000619A0">
      <w:pPr>
        <w:ind w:left="284" w:right="0" w:firstLine="0"/>
        <w:rPr>
          <w:rFonts w:asciiTheme="minorHAnsi" w:hAnsiTheme="minorHAnsi" w:cstheme="minorBidi"/>
          <w:b/>
          <w:bCs/>
        </w:rPr>
      </w:pPr>
    </w:p>
    <w:p w14:paraId="52449004" w14:textId="77777777" w:rsidR="000619A0" w:rsidRDefault="000619A0" w:rsidP="000619A0">
      <w:pPr>
        <w:pStyle w:val="ListParagraph"/>
        <w:numPr>
          <w:ilvl w:val="0"/>
          <w:numId w:val="12"/>
        </w:numPr>
        <w:spacing w:after="0"/>
        <w:ind w:left="567" w:hanging="283"/>
        <w:rPr>
          <w:rFonts w:asciiTheme="minorHAnsi" w:hAnsiTheme="minorHAnsi" w:cstheme="minorHAnsi"/>
        </w:rPr>
      </w:pPr>
      <w:r>
        <w:rPr>
          <w:rFonts w:asciiTheme="minorHAnsi" w:hAnsiTheme="minorHAnsi" w:cstheme="minorHAnsi"/>
          <w:b/>
        </w:rPr>
        <w:t>Supplier Portal</w:t>
      </w:r>
      <w:r>
        <w:rPr>
          <w:rFonts w:asciiTheme="minorHAnsi" w:hAnsiTheme="minorHAnsi" w:cstheme="minorHAnsi"/>
        </w:rPr>
        <w:t xml:space="preserve"> – The supplier submits the PO and Non-PO invoice directly in the portal. This is the recommended approach.</w:t>
      </w:r>
    </w:p>
    <w:p w14:paraId="2B55C34B" w14:textId="77777777" w:rsidR="000619A0" w:rsidRDefault="000619A0" w:rsidP="000619A0">
      <w:pPr>
        <w:pStyle w:val="ListParagraph"/>
        <w:spacing w:after="0"/>
        <w:ind w:left="567"/>
        <w:rPr>
          <w:rFonts w:asciiTheme="minorHAnsi" w:hAnsiTheme="minorHAnsi" w:cstheme="minorHAnsi"/>
        </w:rPr>
      </w:pPr>
    </w:p>
    <w:p w14:paraId="1431E5EC" w14:textId="77777777" w:rsidR="000619A0" w:rsidRDefault="000619A0" w:rsidP="000619A0">
      <w:pPr>
        <w:pStyle w:val="ListParagraph"/>
        <w:numPr>
          <w:ilvl w:val="0"/>
          <w:numId w:val="12"/>
        </w:numPr>
        <w:spacing w:after="0"/>
        <w:ind w:left="567" w:hanging="283"/>
        <w:jc w:val="both"/>
        <w:rPr>
          <w:rFonts w:asciiTheme="minorHAnsi" w:eastAsia="Calibri" w:hAnsiTheme="minorHAnsi" w:cstheme="minorBidi"/>
          <w:b/>
          <w:color w:val="000000"/>
          <w:lang w:eastAsia="en-GB"/>
        </w:rPr>
      </w:pPr>
      <w:r>
        <w:rPr>
          <w:rFonts w:asciiTheme="minorHAnsi" w:hAnsiTheme="minorHAnsi" w:cstheme="minorBidi"/>
          <w:b/>
        </w:rPr>
        <w:t>Directly in Quantum:</w:t>
      </w:r>
    </w:p>
    <w:p w14:paraId="594E41C2" w14:textId="77777777" w:rsidR="000619A0" w:rsidRDefault="000619A0" w:rsidP="000619A0">
      <w:pPr>
        <w:pStyle w:val="ListParagraph"/>
        <w:numPr>
          <w:ilvl w:val="0"/>
          <w:numId w:val="13"/>
        </w:numPr>
        <w:spacing w:after="0"/>
        <w:ind w:left="567" w:firstLine="153"/>
        <w:jc w:val="both"/>
        <w:rPr>
          <w:rFonts w:asciiTheme="minorHAnsi" w:eastAsia="Calibri" w:hAnsiTheme="minorHAnsi" w:cstheme="minorBidi"/>
          <w:color w:val="000000" w:themeColor="text1"/>
          <w:lang w:eastAsia="en-GB"/>
        </w:rPr>
      </w:pPr>
      <w:r>
        <w:rPr>
          <w:rFonts w:asciiTheme="minorHAnsi" w:hAnsiTheme="minorHAnsi" w:cstheme="minorBidi"/>
        </w:rPr>
        <w:t xml:space="preserve">The CO or BU invoice creator can create an invoice directly in Quantum for suppliers </w:t>
      </w:r>
      <w:r>
        <w:rPr>
          <w:rFonts w:asciiTheme="minorHAnsi" w:eastAsia="Calibri" w:hAnsiTheme="minorHAnsi" w:cstheme="minorBidi"/>
          <w:color w:val="000000" w:themeColor="text1"/>
          <w:lang w:eastAsia="en-GB"/>
        </w:rPr>
        <w:t>who are unable to use the Supplier Portal.</w:t>
      </w:r>
    </w:p>
    <w:p w14:paraId="2A3DA411" w14:textId="77777777" w:rsidR="000619A0" w:rsidRDefault="000619A0" w:rsidP="000619A0">
      <w:pPr>
        <w:pStyle w:val="ListParagraph"/>
        <w:numPr>
          <w:ilvl w:val="0"/>
          <w:numId w:val="13"/>
        </w:numPr>
        <w:spacing w:after="0"/>
        <w:ind w:left="567" w:firstLine="153"/>
        <w:jc w:val="both"/>
        <w:rPr>
          <w:rFonts w:asciiTheme="minorHAnsi" w:eastAsia="Calibri" w:hAnsiTheme="minorHAnsi" w:cstheme="minorBidi"/>
          <w:color w:val="000000" w:themeColor="text1"/>
          <w:lang w:eastAsia="en-GB"/>
        </w:rPr>
      </w:pPr>
      <w:r>
        <w:rPr>
          <w:rFonts w:asciiTheme="minorHAnsi" w:eastAsia="Calibri" w:hAnsiTheme="minorHAnsi" w:cstheme="minorBidi"/>
          <w:color w:val="000000" w:themeColor="text1"/>
          <w:lang w:eastAsia="en-GB"/>
        </w:rPr>
        <w:t>Template bulk invoice upload for multiple suppliers – GSSC can create invoices for multiple suppliers using the same supporting documents, such as invitation letter for meeting participants . The clustered CO completes a spreadsheet with supplier details and other information and submits to GSSC through UNALL for bulk invoice upload.</w:t>
      </w:r>
    </w:p>
    <w:p w14:paraId="19CBEBEE" w14:textId="77777777" w:rsidR="000619A0" w:rsidRDefault="000619A0" w:rsidP="000619A0">
      <w:pPr>
        <w:pStyle w:val="ListParagraph"/>
        <w:spacing w:after="0"/>
        <w:jc w:val="both"/>
        <w:rPr>
          <w:rFonts w:asciiTheme="minorHAnsi" w:eastAsia="Calibri" w:hAnsiTheme="minorHAnsi" w:cstheme="minorBidi"/>
          <w:color w:val="000000" w:themeColor="text1"/>
          <w:lang w:eastAsia="en-GB"/>
        </w:rPr>
      </w:pPr>
    </w:p>
    <w:p w14:paraId="3F26D570" w14:textId="77777777" w:rsidR="000619A0" w:rsidRDefault="000619A0" w:rsidP="000619A0">
      <w:pPr>
        <w:pStyle w:val="ListParagraph"/>
        <w:numPr>
          <w:ilvl w:val="0"/>
          <w:numId w:val="10"/>
        </w:numPr>
        <w:spacing w:after="240"/>
        <w:ind w:left="284"/>
        <w:rPr>
          <w:rFonts w:asciiTheme="minorHAnsi" w:eastAsia="Calibri" w:hAnsiTheme="minorHAnsi" w:cstheme="minorBidi"/>
          <w:color w:val="000000" w:themeColor="text1"/>
          <w:lang w:eastAsia="en-GB"/>
        </w:rPr>
      </w:pPr>
      <w:r>
        <w:rPr>
          <w:rFonts w:asciiTheme="minorHAnsi" w:eastAsia="Calibri" w:hAnsiTheme="minorHAnsi" w:cstheme="minorBidi"/>
          <w:color w:val="000000" w:themeColor="text1"/>
          <w:lang w:eastAsia="en-GB"/>
        </w:rPr>
        <w:t>Thresholds for invoice approval:</w:t>
      </w:r>
    </w:p>
    <w:p w14:paraId="4FD70A92" w14:textId="77777777" w:rsidR="000619A0" w:rsidRDefault="000619A0" w:rsidP="000619A0">
      <w:pPr>
        <w:spacing w:after="0"/>
        <w:ind w:left="0"/>
        <w:rPr>
          <w:rFonts w:asciiTheme="minorHAnsi" w:hAnsiTheme="minorHAnsi" w:cstheme="minorBidi"/>
        </w:rPr>
      </w:pPr>
      <w:r>
        <w:rPr>
          <w:rFonts w:asciiTheme="minorHAnsi" w:hAnsiTheme="minorHAnsi" w:cstheme="minorBidi"/>
          <w:color w:val="000000" w:themeColor="text1"/>
        </w:rPr>
        <w:t xml:space="preserve"> </w:t>
      </w:r>
      <w:r>
        <w:rPr>
          <w:rFonts w:asciiTheme="minorHAnsi" w:hAnsiTheme="minorHAnsi" w:cstheme="minorBidi"/>
          <w:color w:val="000000" w:themeColor="text1"/>
        </w:rPr>
        <w:tab/>
        <w:t xml:space="preserve">Invoices are approved according to the following thresholds: </w:t>
      </w:r>
    </w:p>
    <w:p w14:paraId="07BD5790" w14:textId="77777777" w:rsidR="000619A0" w:rsidRDefault="000619A0" w:rsidP="000619A0">
      <w:pPr>
        <w:pStyle w:val="ListParagraph"/>
        <w:numPr>
          <w:ilvl w:val="0"/>
          <w:numId w:val="14"/>
        </w:numPr>
        <w:spacing w:after="0"/>
        <w:ind w:left="1418"/>
        <w:jc w:val="both"/>
        <w:rPr>
          <w:rFonts w:asciiTheme="minorHAnsi" w:eastAsia="Calibri" w:hAnsiTheme="minorHAnsi" w:cstheme="minorHAnsi"/>
          <w:color w:val="000000"/>
          <w:szCs w:val="22"/>
          <w:lang w:eastAsia="en-GB"/>
        </w:rPr>
      </w:pPr>
      <w:r>
        <w:rPr>
          <w:rFonts w:asciiTheme="minorHAnsi" w:eastAsia="Calibri" w:hAnsiTheme="minorHAnsi" w:cstheme="minorHAnsi"/>
          <w:color w:val="000000"/>
          <w:szCs w:val="22"/>
          <w:lang w:eastAsia="en-GB"/>
        </w:rPr>
        <w:t>1st Level Manager approver: Invoice amount up to US $10,000</w:t>
      </w:r>
    </w:p>
    <w:p w14:paraId="05D4DE99" w14:textId="77777777" w:rsidR="000619A0" w:rsidRDefault="000619A0" w:rsidP="000619A0">
      <w:pPr>
        <w:pStyle w:val="ListParagraph"/>
        <w:numPr>
          <w:ilvl w:val="0"/>
          <w:numId w:val="14"/>
        </w:numPr>
        <w:spacing w:after="0"/>
        <w:ind w:left="1418"/>
        <w:jc w:val="both"/>
        <w:rPr>
          <w:rFonts w:asciiTheme="minorHAnsi" w:eastAsia="Calibri" w:hAnsiTheme="minorHAnsi" w:cstheme="minorHAnsi"/>
          <w:color w:val="000000"/>
          <w:szCs w:val="22"/>
          <w:lang w:eastAsia="en-GB"/>
        </w:rPr>
      </w:pPr>
      <w:r>
        <w:rPr>
          <w:rFonts w:asciiTheme="minorHAnsi" w:eastAsia="Calibri" w:hAnsiTheme="minorHAnsi" w:cstheme="minorHAnsi"/>
          <w:color w:val="000000"/>
          <w:szCs w:val="22"/>
          <w:lang w:eastAsia="en-GB"/>
        </w:rPr>
        <w:t>2nd Level Manager approver: Invoice amount up to US $50,000</w:t>
      </w:r>
    </w:p>
    <w:p w14:paraId="526C384C" w14:textId="77777777" w:rsidR="000619A0" w:rsidRDefault="000619A0" w:rsidP="000619A0">
      <w:pPr>
        <w:pStyle w:val="ListParagraph"/>
        <w:numPr>
          <w:ilvl w:val="0"/>
          <w:numId w:val="14"/>
        </w:numPr>
        <w:spacing w:after="0"/>
        <w:ind w:left="1418"/>
        <w:jc w:val="both"/>
        <w:rPr>
          <w:rFonts w:asciiTheme="minorHAnsi" w:eastAsia="Calibri" w:hAnsiTheme="minorHAnsi" w:cstheme="minorHAnsi"/>
          <w:color w:val="000000"/>
          <w:szCs w:val="22"/>
          <w:lang w:eastAsia="en-GB"/>
        </w:rPr>
      </w:pPr>
      <w:r>
        <w:rPr>
          <w:rFonts w:asciiTheme="minorHAnsi" w:eastAsia="Calibri" w:hAnsiTheme="minorHAnsi" w:cstheme="minorBidi"/>
          <w:color w:val="000000" w:themeColor="text1"/>
          <w:lang w:eastAsia="en-GB"/>
        </w:rPr>
        <w:t>3rd Level Manager approver: Invoice amount from $0 with no limit</w:t>
      </w:r>
    </w:p>
    <w:p w14:paraId="1CB8959A" w14:textId="77777777" w:rsidR="000619A0" w:rsidRDefault="000619A0" w:rsidP="000619A0">
      <w:pPr>
        <w:ind w:right="0"/>
        <w:rPr>
          <w:lang w:val="en-MY"/>
        </w:rPr>
      </w:pPr>
    </w:p>
    <w:p w14:paraId="704FEE30" w14:textId="77777777" w:rsidR="000619A0" w:rsidRDefault="000619A0" w:rsidP="000619A0">
      <w:pPr>
        <w:pStyle w:val="ListParagraph"/>
        <w:numPr>
          <w:ilvl w:val="0"/>
          <w:numId w:val="10"/>
        </w:numPr>
        <w:spacing w:after="240"/>
        <w:ind w:left="284"/>
        <w:rPr>
          <w:rFonts w:asciiTheme="minorHAnsi" w:eastAsia="Calibri" w:hAnsiTheme="minorHAnsi" w:cstheme="minorHAnsi"/>
        </w:rPr>
      </w:pPr>
      <w:r>
        <w:rPr>
          <w:rFonts w:asciiTheme="minorHAnsi" w:eastAsia="Calibri" w:hAnsiTheme="minorHAnsi" w:cstheme="minorBidi"/>
        </w:rPr>
        <w:t>The following types of invoices can be created in Quantum:</w:t>
      </w:r>
    </w:p>
    <w:p w14:paraId="45719EF3" w14:textId="77777777" w:rsidR="000619A0" w:rsidRDefault="000619A0" w:rsidP="000619A0">
      <w:pPr>
        <w:pStyle w:val="ListParagraph"/>
        <w:numPr>
          <w:ilvl w:val="0"/>
          <w:numId w:val="15"/>
        </w:numPr>
        <w:spacing w:after="0"/>
        <w:ind w:left="709"/>
        <w:jc w:val="both"/>
        <w:rPr>
          <w:rFonts w:asciiTheme="minorHAnsi" w:eastAsia="Calibri" w:hAnsiTheme="minorHAnsi" w:cstheme="minorHAnsi"/>
          <w:szCs w:val="22"/>
        </w:rPr>
      </w:pPr>
      <w:r>
        <w:rPr>
          <w:rFonts w:asciiTheme="minorHAnsi" w:eastAsia="Calibri" w:hAnsiTheme="minorHAnsi" w:cstheme="minorHAnsi"/>
          <w:szCs w:val="22"/>
        </w:rPr>
        <w:t>PO invoices are mandatory for purchases &gt; US$5,000, assets &gt; US$ 5,000, Individual Contracts – IC regardless of the amount. The use of a PO invoice below the threshold (where it applies) is optional.</w:t>
      </w:r>
    </w:p>
    <w:p w14:paraId="32EB9F54" w14:textId="77777777" w:rsidR="000619A0" w:rsidRDefault="000619A0" w:rsidP="000619A0">
      <w:pPr>
        <w:pStyle w:val="ListParagraph"/>
        <w:numPr>
          <w:ilvl w:val="0"/>
          <w:numId w:val="15"/>
        </w:numPr>
        <w:spacing w:after="0"/>
        <w:ind w:left="709"/>
        <w:jc w:val="both"/>
        <w:rPr>
          <w:rFonts w:asciiTheme="minorHAnsi" w:eastAsia="Calibri" w:hAnsiTheme="minorHAnsi" w:cstheme="minorBidi"/>
        </w:rPr>
      </w:pPr>
      <w:r>
        <w:rPr>
          <w:rFonts w:asciiTheme="minorHAnsi" w:eastAsia="Calibri" w:hAnsiTheme="minorHAnsi" w:cstheme="minorBidi"/>
        </w:rPr>
        <w:t xml:space="preserve">Non-PO invoices for purchases up to (&lt;=) USD $5,000 and other payments that are not raised through POs such as staff advances, utility bills and MIP reimbursements, NIM Advances, NIM Direct Payment and NIM Reimbursement and so forth. </w:t>
      </w:r>
    </w:p>
    <w:p w14:paraId="144C2532" w14:textId="77777777" w:rsidR="000619A0" w:rsidRDefault="000619A0" w:rsidP="000619A0">
      <w:pPr>
        <w:pStyle w:val="ListParagraph"/>
        <w:numPr>
          <w:ilvl w:val="0"/>
          <w:numId w:val="15"/>
        </w:numPr>
        <w:spacing w:after="0"/>
        <w:ind w:left="709"/>
        <w:jc w:val="both"/>
        <w:rPr>
          <w:rFonts w:asciiTheme="minorHAnsi" w:eastAsia="Calibri" w:hAnsiTheme="minorHAnsi" w:cstheme="minorHAnsi"/>
        </w:rPr>
      </w:pPr>
      <w:r>
        <w:rPr>
          <w:rFonts w:asciiTheme="minorHAnsi" w:eastAsia="Calibri" w:hAnsiTheme="minorHAnsi" w:cstheme="minorHAnsi"/>
        </w:rPr>
        <w:t>Prepayment invoices (GL Account# 16005, 16105, 16106, 16107, 16108 and 14057, 16065, 16010,16015)</w:t>
      </w:r>
    </w:p>
    <w:p w14:paraId="483BB42C" w14:textId="77777777" w:rsidR="000619A0" w:rsidRDefault="000619A0" w:rsidP="000619A0">
      <w:pPr>
        <w:pStyle w:val="ListParagraph"/>
        <w:numPr>
          <w:ilvl w:val="0"/>
          <w:numId w:val="15"/>
        </w:numPr>
        <w:spacing w:after="0"/>
        <w:ind w:left="709"/>
        <w:jc w:val="both"/>
        <w:rPr>
          <w:rFonts w:asciiTheme="minorHAnsi" w:eastAsia="Calibri" w:hAnsiTheme="minorHAnsi" w:cstheme="minorHAnsi"/>
          <w:szCs w:val="22"/>
        </w:rPr>
      </w:pPr>
      <w:r>
        <w:rPr>
          <w:rFonts w:asciiTheme="minorHAnsi" w:eastAsia="Calibri" w:hAnsiTheme="minorHAnsi" w:cstheme="minorHAnsi"/>
        </w:rPr>
        <w:t xml:space="preserve">Credit Memo is issued to record deposits. </w:t>
      </w:r>
    </w:p>
    <w:p w14:paraId="357BE0FD" w14:textId="77777777" w:rsidR="000619A0" w:rsidRDefault="000619A0" w:rsidP="000619A0">
      <w:pPr>
        <w:spacing w:after="57" w:line="256" w:lineRule="auto"/>
        <w:ind w:left="0" w:right="0" w:firstLine="0"/>
        <w:jc w:val="left"/>
      </w:pPr>
      <w:r>
        <w:t xml:space="preserve">  </w:t>
      </w:r>
    </w:p>
    <w:p w14:paraId="6C731E0D" w14:textId="77777777" w:rsidR="000619A0" w:rsidRDefault="000619A0" w:rsidP="000619A0">
      <w:pPr>
        <w:spacing w:after="57" w:line="256" w:lineRule="auto"/>
        <w:ind w:left="0" w:right="0" w:firstLine="0"/>
        <w:jc w:val="left"/>
      </w:pPr>
    </w:p>
    <w:p w14:paraId="1754D841" w14:textId="77777777" w:rsidR="000619A0" w:rsidRDefault="000619A0" w:rsidP="000619A0">
      <w:pPr>
        <w:spacing w:after="57" w:line="256" w:lineRule="auto"/>
        <w:ind w:left="0" w:right="0" w:firstLine="0"/>
        <w:jc w:val="left"/>
      </w:pPr>
    </w:p>
    <w:p w14:paraId="2CF8EF16" w14:textId="77777777" w:rsidR="000619A0" w:rsidRDefault="000619A0" w:rsidP="000619A0">
      <w:pPr>
        <w:pStyle w:val="ListParagraph"/>
        <w:spacing w:after="120"/>
        <w:ind w:left="0"/>
        <w:rPr>
          <w:rFonts w:asciiTheme="minorHAnsi" w:hAnsiTheme="minorHAnsi" w:cstheme="minorHAnsi"/>
          <w:b/>
          <w:bCs/>
        </w:rPr>
      </w:pPr>
      <w:r>
        <w:rPr>
          <w:rFonts w:asciiTheme="minorHAnsi" w:hAnsiTheme="minorHAnsi" w:cstheme="minorHAnsi"/>
          <w:b/>
          <w:bCs/>
        </w:rPr>
        <w:t>PO Invoices</w:t>
      </w:r>
    </w:p>
    <w:p w14:paraId="64F8DEAE" w14:textId="77777777" w:rsidR="000619A0" w:rsidRDefault="000619A0" w:rsidP="000619A0">
      <w:pPr>
        <w:pStyle w:val="ListParagraph"/>
        <w:spacing w:after="120"/>
        <w:ind w:left="0"/>
        <w:rPr>
          <w:rFonts w:asciiTheme="minorHAnsi" w:hAnsiTheme="minorHAnsi" w:cstheme="minorHAnsi"/>
          <w:b/>
          <w:bCs/>
        </w:rPr>
      </w:pPr>
    </w:p>
    <w:p w14:paraId="3A83A230" w14:textId="77777777" w:rsidR="000619A0" w:rsidRDefault="000619A0" w:rsidP="000619A0">
      <w:pPr>
        <w:pStyle w:val="ListParagraph"/>
        <w:numPr>
          <w:ilvl w:val="0"/>
          <w:numId w:val="10"/>
        </w:numPr>
        <w:spacing w:after="120"/>
        <w:ind w:left="284"/>
        <w:rPr>
          <w:rFonts w:asciiTheme="minorHAnsi" w:hAnsiTheme="minorHAnsi" w:cstheme="minorHAnsi"/>
        </w:rPr>
      </w:pPr>
      <w:r>
        <w:rPr>
          <w:rFonts w:asciiTheme="minorHAnsi" w:hAnsiTheme="minorHAnsi" w:cstheme="minorBidi"/>
        </w:rPr>
        <w:t>The transaction cycle for a PO</w:t>
      </w:r>
      <w:r>
        <w:rPr>
          <w:rFonts w:asciiTheme="minorHAnsi" w:hAnsiTheme="minorHAnsi" w:cstheme="minorBidi"/>
          <w:b/>
          <w:bCs/>
        </w:rPr>
        <w:t xml:space="preserve"> invoice</w:t>
      </w:r>
      <w:r>
        <w:rPr>
          <w:rFonts w:asciiTheme="minorHAnsi" w:hAnsiTheme="minorHAnsi" w:cstheme="minorBidi"/>
        </w:rPr>
        <w:t xml:space="preserve"> begins at the point of e-requisition. It involves the creation of an e-requisition, a PO and receipt of goods /services in Quantum for an invoice to be created.  </w:t>
      </w:r>
    </w:p>
    <w:p w14:paraId="66F1D145" w14:textId="77777777" w:rsidR="000619A0" w:rsidRDefault="000619A0" w:rsidP="000619A0">
      <w:pPr>
        <w:pStyle w:val="ListParagraph"/>
        <w:numPr>
          <w:ilvl w:val="0"/>
          <w:numId w:val="10"/>
        </w:numPr>
        <w:spacing w:after="120"/>
        <w:ind w:left="284"/>
        <w:rPr>
          <w:rFonts w:asciiTheme="minorHAnsi" w:hAnsiTheme="minorHAnsi" w:cstheme="minorHAnsi"/>
        </w:rPr>
      </w:pPr>
      <w:r>
        <w:rPr>
          <w:rFonts w:asciiTheme="minorHAnsi" w:hAnsiTheme="minorHAnsi" w:cstheme="minorBidi"/>
        </w:rPr>
        <w:t xml:space="preserve">PO Invoices can be submitted through the Supplier Portal directly by the Supplier or by the CO if the supplier does not use the Supplier Portal. </w:t>
      </w:r>
    </w:p>
    <w:p w14:paraId="65F628FE" w14:textId="77777777" w:rsidR="000619A0" w:rsidRDefault="000619A0" w:rsidP="000619A0">
      <w:pPr>
        <w:pStyle w:val="ListParagraph"/>
        <w:numPr>
          <w:ilvl w:val="0"/>
          <w:numId w:val="10"/>
        </w:numPr>
        <w:spacing w:after="120"/>
        <w:ind w:left="284"/>
        <w:rPr>
          <w:rFonts w:asciiTheme="minorHAnsi" w:hAnsiTheme="minorHAnsi" w:cstheme="minorBidi"/>
        </w:rPr>
      </w:pPr>
      <w:r>
        <w:rPr>
          <w:rFonts w:asciiTheme="minorHAnsi" w:hAnsiTheme="minorHAnsi" w:cstheme="minorBidi"/>
        </w:rPr>
        <w:t xml:space="preserve">Before a payment is released in Quantum, a three-way matching or a two- way match (as described below) is automatically done in Quantum.  PO invoices are flexible in the way they can be sourced from the purchase order:  </w:t>
      </w:r>
    </w:p>
    <w:p w14:paraId="2F8F8BD0" w14:textId="77777777" w:rsidR="000619A0" w:rsidRDefault="000619A0" w:rsidP="000619A0">
      <w:pPr>
        <w:pStyle w:val="ListParagraph"/>
        <w:numPr>
          <w:ilvl w:val="1"/>
          <w:numId w:val="16"/>
        </w:numPr>
        <w:spacing w:after="0"/>
        <w:ind w:left="709"/>
        <w:rPr>
          <w:rFonts w:asciiTheme="minorHAnsi" w:hAnsiTheme="minorHAnsi" w:cstheme="minorHAnsi"/>
        </w:rPr>
      </w:pPr>
      <w:r>
        <w:rPr>
          <w:rFonts w:asciiTheme="minorHAnsi" w:hAnsiTheme="minorHAnsi" w:cstheme="minorHAnsi"/>
        </w:rPr>
        <w:t xml:space="preserve">Multiple invoices can be created against a single PO;    </w:t>
      </w:r>
    </w:p>
    <w:p w14:paraId="30F387D9" w14:textId="77777777" w:rsidR="000619A0" w:rsidRDefault="000619A0" w:rsidP="000619A0">
      <w:pPr>
        <w:pStyle w:val="ListParagraph"/>
        <w:numPr>
          <w:ilvl w:val="1"/>
          <w:numId w:val="16"/>
        </w:numPr>
        <w:spacing w:after="0"/>
        <w:ind w:left="709"/>
        <w:rPr>
          <w:rFonts w:asciiTheme="minorHAnsi" w:hAnsiTheme="minorHAnsi" w:cstheme="minorHAnsi"/>
        </w:rPr>
      </w:pPr>
      <w:r>
        <w:rPr>
          <w:rFonts w:asciiTheme="minorHAnsi" w:hAnsiTheme="minorHAnsi" w:cstheme="minorHAnsi"/>
        </w:rPr>
        <w:t xml:space="preserve">Separate invoices can be used for different schedules on a PO;    </w:t>
      </w:r>
    </w:p>
    <w:p w14:paraId="09AF6F25" w14:textId="77777777" w:rsidR="000619A0" w:rsidRDefault="000619A0" w:rsidP="000619A0">
      <w:pPr>
        <w:pStyle w:val="ListParagraph"/>
        <w:numPr>
          <w:ilvl w:val="1"/>
          <w:numId w:val="16"/>
        </w:numPr>
        <w:spacing w:after="0"/>
        <w:ind w:left="709"/>
        <w:rPr>
          <w:rFonts w:asciiTheme="minorHAnsi" w:hAnsiTheme="minorHAnsi" w:cstheme="minorHAnsi"/>
        </w:rPr>
      </w:pPr>
      <w:r>
        <w:rPr>
          <w:rFonts w:asciiTheme="minorHAnsi" w:hAnsiTheme="minorHAnsi" w:cstheme="minorHAnsi"/>
        </w:rPr>
        <w:t xml:space="preserve">Multiple invoices can be used for a single schedule on a PO;   </w:t>
      </w:r>
    </w:p>
    <w:p w14:paraId="2A4793B8" w14:textId="77777777" w:rsidR="000619A0" w:rsidRDefault="000619A0" w:rsidP="000619A0">
      <w:pPr>
        <w:pStyle w:val="ListParagraph"/>
        <w:numPr>
          <w:ilvl w:val="1"/>
          <w:numId w:val="16"/>
        </w:numPr>
        <w:spacing w:after="0"/>
        <w:ind w:left="709"/>
        <w:rPr>
          <w:rFonts w:asciiTheme="minorHAnsi" w:hAnsiTheme="minorHAnsi" w:cstheme="minorHAnsi"/>
        </w:rPr>
      </w:pPr>
      <w:r>
        <w:rPr>
          <w:rFonts w:asciiTheme="minorHAnsi" w:hAnsiTheme="minorHAnsi" w:cstheme="minorHAnsi"/>
        </w:rPr>
        <w:t xml:space="preserve">Matching ensures that the total amount invoices does not exceed the schedule amounts by the permitted tolerance.  </w:t>
      </w:r>
    </w:p>
    <w:p w14:paraId="16FAB2F1" w14:textId="77777777" w:rsidR="000619A0" w:rsidRDefault="000619A0" w:rsidP="000619A0">
      <w:pPr>
        <w:pStyle w:val="ListParagraph"/>
        <w:numPr>
          <w:ilvl w:val="1"/>
          <w:numId w:val="16"/>
        </w:numPr>
        <w:spacing w:after="0"/>
        <w:ind w:left="709"/>
        <w:rPr>
          <w:rFonts w:asciiTheme="minorHAnsi" w:hAnsiTheme="minorHAnsi" w:cstheme="minorHAnsi"/>
        </w:rPr>
      </w:pPr>
      <w:r>
        <w:rPr>
          <w:rFonts w:asciiTheme="minorHAnsi" w:hAnsiTheme="minorHAnsi" w:cstheme="minorBidi"/>
        </w:rPr>
        <w:t>CO resolves validation errors from 3-way match</w:t>
      </w:r>
    </w:p>
    <w:p w14:paraId="2AAF8AC3" w14:textId="77777777" w:rsidR="000619A0" w:rsidRDefault="000619A0" w:rsidP="000619A0">
      <w:pPr>
        <w:pStyle w:val="ListParagraph"/>
        <w:numPr>
          <w:ilvl w:val="1"/>
          <w:numId w:val="16"/>
        </w:numPr>
        <w:spacing w:after="0"/>
        <w:ind w:left="709"/>
        <w:rPr>
          <w:rFonts w:asciiTheme="minorHAnsi" w:hAnsiTheme="minorHAnsi" w:cstheme="minorHAnsi"/>
        </w:rPr>
      </w:pPr>
      <w:r>
        <w:rPr>
          <w:rFonts w:asciiTheme="minorHAnsi" w:hAnsiTheme="minorHAnsi" w:cstheme="minorHAnsi"/>
        </w:rPr>
        <w:t xml:space="preserve">Invoices are auto approved and posted to the GL after the 3-way matching process </w:t>
      </w:r>
    </w:p>
    <w:p w14:paraId="2B6B320F" w14:textId="77777777" w:rsidR="000619A0" w:rsidRDefault="000619A0" w:rsidP="000619A0">
      <w:pPr>
        <w:pStyle w:val="ListParagraph"/>
        <w:numPr>
          <w:ilvl w:val="1"/>
          <w:numId w:val="16"/>
        </w:numPr>
        <w:spacing w:after="0"/>
        <w:ind w:left="709"/>
        <w:rPr>
          <w:rFonts w:asciiTheme="minorHAnsi" w:hAnsiTheme="minorHAnsi" w:cstheme="minorHAnsi"/>
        </w:rPr>
      </w:pPr>
      <w:r>
        <w:rPr>
          <w:rFonts w:asciiTheme="minorHAnsi" w:hAnsiTheme="minorHAnsi" w:cstheme="minorHAnsi"/>
        </w:rPr>
        <w:t>The GSSC reviews a sample of invoices and verifies against supporting documentation and approves the invoice</w:t>
      </w:r>
    </w:p>
    <w:p w14:paraId="4A6C2D69" w14:textId="77777777" w:rsidR="000619A0" w:rsidRDefault="000619A0" w:rsidP="000619A0">
      <w:pPr>
        <w:spacing w:after="0" w:line="240" w:lineRule="auto"/>
        <w:ind w:left="709" w:right="0" w:firstLine="0"/>
      </w:pPr>
    </w:p>
    <w:p w14:paraId="3316E552" w14:textId="77777777" w:rsidR="000619A0" w:rsidRDefault="000619A0" w:rsidP="000619A0">
      <w:pPr>
        <w:numPr>
          <w:ilvl w:val="0"/>
          <w:numId w:val="10"/>
        </w:numPr>
        <w:spacing w:after="5" w:line="252" w:lineRule="auto"/>
        <w:ind w:left="284" w:right="0"/>
      </w:pPr>
      <w:r>
        <w:t>However, note that supplier invoices should be entered separately rather than grouped by supplier into one PO invoice in Quantum. Grouping by supplier makes it difficult to locate and answer questions about individual supplier invoices and impacts the matching process (this is different from an invoice with multiple line items, which should also be entered as one invoice) .</w:t>
      </w:r>
    </w:p>
    <w:p w14:paraId="10683BE8" w14:textId="77777777" w:rsidR="000619A0" w:rsidRDefault="000619A0" w:rsidP="000619A0">
      <w:pPr>
        <w:pStyle w:val="ListParagraph"/>
        <w:spacing w:after="52" w:line="256" w:lineRule="auto"/>
      </w:pPr>
    </w:p>
    <w:p w14:paraId="09CEE0D7" w14:textId="77777777" w:rsidR="000619A0" w:rsidRDefault="000619A0" w:rsidP="000619A0">
      <w:pPr>
        <w:spacing w:after="52" w:line="256" w:lineRule="auto"/>
        <w:ind w:left="0" w:right="0" w:firstLine="0"/>
        <w:jc w:val="left"/>
        <w:rPr>
          <w:b/>
          <w:bCs/>
        </w:rPr>
      </w:pPr>
      <w:r>
        <w:rPr>
          <w:b/>
          <w:bCs/>
        </w:rPr>
        <w:t>Non-PO Invoices</w:t>
      </w:r>
    </w:p>
    <w:p w14:paraId="60945C5D" w14:textId="77777777" w:rsidR="000619A0" w:rsidRDefault="000619A0" w:rsidP="000619A0">
      <w:pPr>
        <w:ind w:left="720" w:right="0" w:firstLine="0"/>
      </w:pPr>
    </w:p>
    <w:p w14:paraId="36A847D5" w14:textId="77777777" w:rsidR="000619A0" w:rsidRDefault="000619A0" w:rsidP="000619A0">
      <w:pPr>
        <w:numPr>
          <w:ilvl w:val="0"/>
          <w:numId w:val="10"/>
        </w:numPr>
        <w:spacing w:after="5" w:line="252" w:lineRule="auto"/>
        <w:ind w:left="284" w:right="0"/>
      </w:pPr>
      <w:r>
        <w:t>The transaction cycle for a non-PO</w:t>
      </w:r>
      <w:r>
        <w:rPr>
          <w:b/>
          <w:bCs/>
        </w:rPr>
        <w:t xml:space="preserve"> </w:t>
      </w:r>
      <w:r>
        <w:t xml:space="preserve">invoice begins at the point of delivery of goods or services and submission of invoice by the supplier. Non-PO invoices do not require entry of an e-requisition, purchase order, or receipt in Quantum.  </w:t>
      </w:r>
    </w:p>
    <w:p w14:paraId="70D88D5E" w14:textId="77777777" w:rsidR="000619A0" w:rsidRDefault="000619A0" w:rsidP="000619A0">
      <w:pPr>
        <w:ind w:right="0"/>
      </w:pPr>
    </w:p>
    <w:p w14:paraId="3EB44AEE" w14:textId="77777777" w:rsidR="000619A0" w:rsidRDefault="000619A0" w:rsidP="000619A0">
      <w:pPr>
        <w:pStyle w:val="ListParagraph"/>
        <w:numPr>
          <w:ilvl w:val="0"/>
          <w:numId w:val="10"/>
        </w:numPr>
        <w:spacing w:after="120"/>
        <w:ind w:left="284"/>
        <w:rPr>
          <w:rFonts w:asciiTheme="minorHAnsi" w:hAnsiTheme="minorHAnsi" w:cstheme="minorHAnsi"/>
        </w:rPr>
      </w:pPr>
      <w:r>
        <w:rPr>
          <w:rFonts w:asciiTheme="minorHAnsi" w:hAnsiTheme="minorHAnsi" w:cstheme="minorBidi"/>
        </w:rPr>
        <w:t xml:space="preserve">Non-PO invoices can be submitted through the Supplier Portal directly by the supplier or directly in Quantum by the CO if the supplier does not use the Supplier Portal. </w:t>
      </w:r>
    </w:p>
    <w:p w14:paraId="25AB6900" w14:textId="77777777" w:rsidR="000619A0" w:rsidRDefault="000619A0" w:rsidP="000619A0">
      <w:pPr>
        <w:ind w:left="284" w:right="0" w:firstLine="0"/>
      </w:pPr>
    </w:p>
    <w:p w14:paraId="3BE7E4FD" w14:textId="77777777" w:rsidR="000619A0" w:rsidRDefault="000619A0" w:rsidP="000619A0">
      <w:pPr>
        <w:numPr>
          <w:ilvl w:val="0"/>
          <w:numId w:val="10"/>
        </w:numPr>
        <w:spacing w:after="5" w:line="252" w:lineRule="auto"/>
        <w:ind w:left="284" w:right="0"/>
      </w:pPr>
      <w:r>
        <w:t xml:space="preserve">Instances where Non-PO invoices are used:  </w:t>
      </w:r>
    </w:p>
    <w:p w14:paraId="4A489C65" w14:textId="77777777" w:rsidR="000619A0" w:rsidRDefault="000619A0" w:rsidP="000619A0">
      <w:pPr>
        <w:pStyle w:val="ListParagraph"/>
        <w:numPr>
          <w:ilvl w:val="1"/>
          <w:numId w:val="17"/>
        </w:numPr>
        <w:spacing w:after="55" w:line="256" w:lineRule="auto"/>
        <w:ind w:left="567" w:hanging="283"/>
        <w:rPr>
          <w:rFonts w:asciiTheme="minorHAnsi" w:hAnsiTheme="minorHAnsi" w:cstheme="minorHAnsi"/>
        </w:rPr>
      </w:pPr>
      <w:r>
        <w:rPr>
          <w:rFonts w:asciiTheme="minorHAnsi" w:hAnsiTheme="minorHAnsi" w:cstheme="minorHAnsi"/>
        </w:rPr>
        <w:t xml:space="preserve">Small value purchases of up to (&lt;=) USD 5,000; e-requisitions/POs are not mandatory but recommended.   </w:t>
      </w:r>
    </w:p>
    <w:p w14:paraId="5EA4AA67" w14:textId="77777777" w:rsidR="000619A0" w:rsidRDefault="000619A0" w:rsidP="000619A0">
      <w:pPr>
        <w:numPr>
          <w:ilvl w:val="1"/>
          <w:numId w:val="17"/>
        </w:numPr>
        <w:spacing w:after="62" w:line="252" w:lineRule="auto"/>
        <w:ind w:left="567" w:right="0" w:hanging="283"/>
      </w:pPr>
      <w:r>
        <w:t xml:space="preserve">Advances and reimbursement to implementing partners Services for UN agencies for the payment of suppliers ; such cases usually involve direct payments. However, when UNDP is doing the procurement, an e-requisition, a PO and a PO invoice will be required.  </w:t>
      </w:r>
    </w:p>
    <w:p w14:paraId="6E2A17D8" w14:textId="77777777" w:rsidR="000619A0" w:rsidRDefault="000619A0" w:rsidP="000619A0">
      <w:pPr>
        <w:numPr>
          <w:ilvl w:val="1"/>
          <w:numId w:val="17"/>
        </w:numPr>
        <w:spacing w:after="62" w:line="252" w:lineRule="auto"/>
        <w:ind w:left="567" w:right="0" w:hanging="283"/>
      </w:pPr>
      <w:r>
        <w:t xml:space="preserve">Grants where a procurement process is not involved.  </w:t>
      </w:r>
    </w:p>
    <w:p w14:paraId="5FE19EEC" w14:textId="77777777" w:rsidR="000619A0" w:rsidRDefault="000619A0" w:rsidP="000619A0">
      <w:pPr>
        <w:numPr>
          <w:ilvl w:val="1"/>
          <w:numId w:val="17"/>
        </w:numPr>
        <w:spacing w:after="5" w:line="252" w:lineRule="auto"/>
        <w:ind w:left="567" w:right="0" w:hanging="283"/>
      </w:pPr>
      <w:r>
        <w:t xml:space="preserve">Staff advances including salary advance (see Payroll Section of the Policies and  Procedures).   </w:t>
      </w:r>
    </w:p>
    <w:p w14:paraId="6D9A9B79" w14:textId="77777777" w:rsidR="000619A0" w:rsidRDefault="000619A0" w:rsidP="000619A0">
      <w:pPr>
        <w:numPr>
          <w:ilvl w:val="1"/>
          <w:numId w:val="17"/>
        </w:numPr>
        <w:spacing w:after="5" w:line="252" w:lineRule="auto"/>
        <w:ind w:left="567" w:right="0" w:hanging="283"/>
      </w:pPr>
      <w:r>
        <w:t>Payments using miscellaneous balance sheet items – such as UNFCU advances, petrol advances etc</w:t>
      </w:r>
      <w:r>
        <w:rPr>
          <w:color w:val="333333"/>
        </w:rPr>
        <w:t>..</w:t>
      </w:r>
    </w:p>
    <w:p w14:paraId="5F4B65B2" w14:textId="77777777" w:rsidR="000619A0" w:rsidRDefault="000619A0" w:rsidP="000619A0">
      <w:pPr>
        <w:spacing w:after="57"/>
        <w:ind w:left="1277" w:right="0" w:hanging="1135"/>
      </w:pPr>
    </w:p>
    <w:p w14:paraId="6A893780" w14:textId="77777777" w:rsidR="000619A0" w:rsidRDefault="000619A0" w:rsidP="000619A0">
      <w:pPr>
        <w:pStyle w:val="ListParagraph"/>
        <w:numPr>
          <w:ilvl w:val="0"/>
          <w:numId w:val="10"/>
        </w:numPr>
        <w:ind w:left="284"/>
        <w:rPr>
          <w:rFonts w:ascii="Calibri" w:eastAsia="Calibri" w:hAnsi="Calibri" w:cs="Calibri"/>
          <w:color w:val="000000"/>
          <w:lang w:eastAsia="en-GB"/>
        </w:rPr>
      </w:pPr>
      <w:r>
        <w:rPr>
          <w:rFonts w:ascii="Calibri" w:eastAsia="Calibri" w:hAnsi="Calibri" w:cs="Calibri"/>
          <w:color w:val="000000" w:themeColor="text1"/>
          <w:lang w:eastAsia="en-GB"/>
        </w:rPr>
        <w:t>The CO creates a non-PO invoice, does a first level approval and the invoice flows  to  GSSC  for final approval.</w:t>
      </w:r>
    </w:p>
    <w:p w14:paraId="2D232189" w14:textId="77777777" w:rsidR="000619A0" w:rsidRDefault="000619A0" w:rsidP="000619A0">
      <w:pPr>
        <w:pStyle w:val="ListParagraph"/>
        <w:numPr>
          <w:ilvl w:val="0"/>
          <w:numId w:val="10"/>
        </w:numPr>
        <w:ind w:left="284"/>
        <w:rPr>
          <w:rFonts w:ascii="Calibri" w:eastAsia="Calibri" w:hAnsi="Calibri" w:cs="Calibri"/>
          <w:color w:val="000000"/>
          <w:lang w:eastAsia="en-GB"/>
        </w:rPr>
      </w:pPr>
      <w:r>
        <w:rPr>
          <w:rFonts w:ascii="Calibri" w:eastAsia="Calibri" w:hAnsi="Calibri" w:cs="Calibri"/>
          <w:color w:val="000000" w:themeColor="text1"/>
          <w:lang w:eastAsia="en-GB"/>
        </w:rPr>
        <w:lastRenderedPageBreak/>
        <w:t>It should be noted that the payment for non-PO invoices should be recorded in the period that the goods/services were incurred by the implementing partners.</w:t>
      </w:r>
    </w:p>
    <w:p w14:paraId="37CA5E29" w14:textId="77777777" w:rsidR="000619A0" w:rsidRDefault="000619A0" w:rsidP="000619A0">
      <w:pPr>
        <w:pStyle w:val="ListParagraph"/>
        <w:ind w:left="284"/>
        <w:rPr>
          <w:rFonts w:ascii="Calibri" w:eastAsia="Calibri" w:hAnsi="Calibri" w:cs="Calibri"/>
          <w:color w:val="000000"/>
          <w:lang w:eastAsia="en-GB"/>
        </w:rPr>
      </w:pPr>
    </w:p>
    <w:p w14:paraId="698B191E" w14:textId="77777777" w:rsidR="000619A0" w:rsidRDefault="000619A0" w:rsidP="000619A0">
      <w:pPr>
        <w:ind w:left="0"/>
      </w:pPr>
    </w:p>
    <w:p w14:paraId="184F8604" w14:textId="77777777" w:rsidR="000619A0" w:rsidRDefault="000619A0" w:rsidP="000619A0">
      <w:pPr>
        <w:pStyle w:val="Heading1"/>
        <w:spacing w:before="0" w:after="240" w:line="256" w:lineRule="auto"/>
        <w:rPr>
          <w:lang w:val="en-MY"/>
        </w:rPr>
      </w:pPr>
      <w:bookmarkStart w:id="0" w:name="_Toc113008689"/>
      <w:bookmarkStart w:id="1" w:name="_Toc1233857521"/>
      <w:bookmarkStart w:id="2" w:name="_Toc18527"/>
      <w:bookmarkStart w:id="3" w:name="_Toc12188"/>
      <w:r>
        <w:rPr>
          <w:lang w:val="en-MY"/>
        </w:rPr>
        <w:t>Flowchart</w:t>
      </w:r>
      <w:bookmarkEnd w:id="0"/>
      <w:bookmarkEnd w:id="1"/>
    </w:p>
    <w:p w14:paraId="3DD5136E" w14:textId="77777777" w:rsidR="000619A0" w:rsidRDefault="000619A0" w:rsidP="000619A0">
      <w:pPr>
        <w:spacing w:after="240"/>
        <w:ind w:left="66"/>
        <w:rPr>
          <w:lang w:val="en-MY"/>
        </w:rPr>
      </w:pPr>
      <w:bookmarkStart w:id="4" w:name="_Toc113008690"/>
      <w:r>
        <w:rPr>
          <w:rFonts w:cs="Arial"/>
          <w:b/>
          <w:bCs/>
          <w:color w:val="365F91" w:themeColor="accent1" w:themeShade="BF"/>
          <w:sz w:val="28"/>
          <w:szCs w:val="28"/>
          <w:lang w:val="en-MY"/>
        </w:rPr>
        <w:t>PO invoice Processing Flowchart</w:t>
      </w:r>
      <w:bookmarkEnd w:id="2"/>
      <w:bookmarkEnd w:id="3"/>
      <w:bookmarkEnd w:id="4"/>
    </w:p>
    <w:p w14:paraId="325743D8" w14:textId="24334390" w:rsidR="000619A0" w:rsidRDefault="000619A0" w:rsidP="000619A0">
      <w:pPr>
        <w:pStyle w:val="BodyText"/>
        <w:spacing w:after="240"/>
        <w:rPr>
          <w:noProof/>
        </w:rPr>
      </w:pPr>
      <w:r>
        <w:rPr>
          <w:noProof/>
        </w:rPr>
        <w:drawing>
          <wp:inline distT="0" distB="0" distL="0" distR="0" wp14:anchorId="36972A69" wp14:editId="2B923CCD">
            <wp:extent cx="5838825" cy="3095625"/>
            <wp:effectExtent l="0" t="0" r="9525" b="0"/>
            <wp:docPr id="1677441506" name="Graphic 2"/>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2">
                      <a:extLst>
                        <a:ext uri="{96DAC541-7B7A-43D3-8B79-37D633B846F1}">
                          <asvg:svgBlip xmlns:asvg="http://schemas.microsoft.com/office/drawing/2016/SVG/main" r:embed="rId13"/>
                        </a:ext>
                      </a:extLst>
                    </a:blip>
                    <a:stretch>
                      <a:fillRect/>
                    </a:stretch>
                  </pic:blipFill>
                  <pic:spPr>
                    <a:xfrm>
                      <a:off x="0" y="0"/>
                      <a:ext cx="5834380" cy="3089910"/>
                    </a:xfrm>
                    <a:prstGeom prst="rect">
                      <a:avLst/>
                    </a:prstGeom>
                  </pic:spPr>
                </pic:pic>
              </a:graphicData>
            </a:graphic>
          </wp:inline>
        </w:drawing>
      </w:r>
    </w:p>
    <w:p w14:paraId="58D289FD" w14:textId="77777777" w:rsidR="000619A0" w:rsidRDefault="000619A0" w:rsidP="000619A0">
      <w:pPr>
        <w:spacing w:after="240"/>
        <w:ind w:left="66"/>
        <w:rPr>
          <w:rFonts w:cs="Arial"/>
          <w:b/>
          <w:bCs/>
          <w:color w:val="365F91" w:themeColor="accent1" w:themeShade="BF"/>
          <w:sz w:val="28"/>
          <w:szCs w:val="28"/>
          <w:lang w:val="en-MY"/>
        </w:rPr>
      </w:pPr>
    </w:p>
    <w:p w14:paraId="2004848E" w14:textId="77777777" w:rsidR="000619A0" w:rsidRDefault="000619A0" w:rsidP="000619A0">
      <w:pPr>
        <w:spacing w:after="240"/>
        <w:ind w:left="66"/>
        <w:rPr>
          <w:rFonts w:cs="Arial"/>
          <w:b/>
          <w:bCs/>
          <w:color w:val="365F91" w:themeColor="accent1" w:themeShade="BF"/>
          <w:sz w:val="28"/>
          <w:szCs w:val="28"/>
          <w:lang w:val="en-MY"/>
        </w:rPr>
      </w:pPr>
    </w:p>
    <w:p w14:paraId="685E06A9" w14:textId="77777777" w:rsidR="000619A0" w:rsidRDefault="000619A0" w:rsidP="000619A0">
      <w:pPr>
        <w:spacing w:after="240"/>
        <w:ind w:left="66"/>
        <w:rPr>
          <w:rFonts w:cs="Arial"/>
          <w:b/>
          <w:bCs/>
          <w:color w:val="365F91" w:themeColor="accent1" w:themeShade="BF"/>
          <w:sz w:val="28"/>
          <w:szCs w:val="28"/>
          <w:lang w:val="en-MY"/>
        </w:rPr>
      </w:pPr>
    </w:p>
    <w:p w14:paraId="7A3281BE" w14:textId="77777777" w:rsidR="000619A0" w:rsidRDefault="000619A0" w:rsidP="000619A0">
      <w:pPr>
        <w:spacing w:after="240"/>
        <w:ind w:left="66"/>
        <w:rPr>
          <w:rFonts w:cs="Arial"/>
          <w:b/>
          <w:bCs/>
          <w:color w:val="365F91" w:themeColor="accent1" w:themeShade="BF"/>
          <w:sz w:val="28"/>
          <w:szCs w:val="28"/>
          <w:lang w:val="en-MY"/>
        </w:rPr>
      </w:pPr>
    </w:p>
    <w:p w14:paraId="7EA85BFE" w14:textId="77777777" w:rsidR="000619A0" w:rsidRDefault="000619A0" w:rsidP="000619A0">
      <w:pPr>
        <w:spacing w:after="240"/>
        <w:ind w:left="66"/>
        <w:rPr>
          <w:rFonts w:cs="Arial"/>
          <w:b/>
          <w:bCs/>
          <w:color w:val="365F91" w:themeColor="accent1" w:themeShade="BF"/>
          <w:sz w:val="28"/>
          <w:szCs w:val="28"/>
          <w:lang w:val="en-MY"/>
        </w:rPr>
      </w:pPr>
    </w:p>
    <w:p w14:paraId="322C7482" w14:textId="77777777" w:rsidR="000619A0" w:rsidRDefault="000619A0" w:rsidP="000619A0">
      <w:pPr>
        <w:spacing w:after="240"/>
        <w:ind w:left="66"/>
        <w:rPr>
          <w:rFonts w:cs="Arial"/>
          <w:b/>
          <w:bCs/>
          <w:color w:val="365F91" w:themeColor="accent1" w:themeShade="BF"/>
          <w:sz w:val="28"/>
          <w:szCs w:val="28"/>
          <w:lang w:val="en-MY"/>
        </w:rPr>
      </w:pPr>
    </w:p>
    <w:p w14:paraId="0619A5CA" w14:textId="77777777" w:rsidR="000619A0" w:rsidRDefault="000619A0" w:rsidP="000619A0">
      <w:pPr>
        <w:spacing w:after="240"/>
        <w:ind w:left="66"/>
        <w:rPr>
          <w:rFonts w:cs="Arial"/>
          <w:b/>
          <w:bCs/>
          <w:color w:val="365F91" w:themeColor="accent1" w:themeShade="BF"/>
          <w:sz w:val="28"/>
          <w:szCs w:val="28"/>
          <w:lang w:val="en-MY"/>
        </w:rPr>
      </w:pPr>
    </w:p>
    <w:p w14:paraId="1BDE16C9" w14:textId="77777777" w:rsidR="000619A0" w:rsidRDefault="000619A0" w:rsidP="000619A0">
      <w:pPr>
        <w:spacing w:after="240"/>
        <w:ind w:left="66"/>
        <w:rPr>
          <w:rFonts w:cs="Arial"/>
          <w:b/>
          <w:bCs/>
          <w:color w:val="365F91" w:themeColor="accent1" w:themeShade="BF"/>
          <w:sz w:val="28"/>
          <w:szCs w:val="28"/>
          <w:lang w:val="en-MY"/>
        </w:rPr>
      </w:pPr>
    </w:p>
    <w:p w14:paraId="321CEC12" w14:textId="77777777" w:rsidR="000619A0" w:rsidRDefault="000619A0" w:rsidP="000619A0">
      <w:pPr>
        <w:spacing w:after="240"/>
        <w:ind w:left="66"/>
        <w:rPr>
          <w:rFonts w:cs="Arial"/>
          <w:b/>
          <w:bCs/>
          <w:color w:val="365F91" w:themeColor="accent1" w:themeShade="BF"/>
          <w:sz w:val="28"/>
          <w:szCs w:val="28"/>
          <w:lang w:val="en-MY"/>
        </w:rPr>
      </w:pPr>
    </w:p>
    <w:p w14:paraId="1A993A38" w14:textId="77777777" w:rsidR="000619A0" w:rsidRDefault="000619A0" w:rsidP="000619A0">
      <w:pPr>
        <w:spacing w:after="240"/>
        <w:ind w:left="66"/>
        <w:rPr>
          <w:rFonts w:cs="Arial"/>
          <w:b/>
          <w:bCs/>
          <w:color w:val="365F91" w:themeColor="accent1" w:themeShade="BF"/>
          <w:sz w:val="28"/>
          <w:szCs w:val="28"/>
          <w:lang w:val="en-MY"/>
        </w:rPr>
      </w:pPr>
      <w:r>
        <w:rPr>
          <w:rFonts w:cs="Arial"/>
          <w:b/>
          <w:bCs/>
          <w:color w:val="365F91" w:themeColor="accent1" w:themeShade="BF"/>
          <w:sz w:val="28"/>
          <w:szCs w:val="28"/>
          <w:lang w:val="en-MY"/>
        </w:rPr>
        <w:lastRenderedPageBreak/>
        <w:t>Non-PO invoice Processing Flowchart</w:t>
      </w:r>
    </w:p>
    <w:p w14:paraId="035B3B5B" w14:textId="414B6DEF" w:rsidR="000619A0" w:rsidRDefault="000619A0" w:rsidP="000619A0">
      <w:pPr>
        <w:pStyle w:val="BodyText"/>
        <w:spacing w:after="240"/>
      </w:pPr>
      <w:r>
        <w:rPr>
          <w:noProof/>
        </w:rPr>
        <w:drawing>
          <wp:inline distT="0" distB="0" distL="0" distR="0" wp14:anchorId="6042D270" wp14:editId="28E055E1">
            <wp:extent cx="5838825" cy="3286125"/>
            <wp:effectExtent l="0" t="0" r="9525" b="0"/>
            <wp:docPr id="1378088969" name="Graphic 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4">
                      <a:extLst>
                        <a:ext uri="{96DAC541-7B7A-43D3-8B79-37D633B846F1}">
                          <asvg:svgBlip xmlns:asvg="http://schemas.microsoft.com/office/drawing/2016/SVG/main" r:embed="rId15"/>
                        </a:ext>
                      </a:extLst>
                    </a:blip>
                    <a:stretch>
                      <a:fillRect/>
                    </a:stretch>
                  </pic:blipFill>
                  <pic:spPr>
                    <a:xfrm>
                      <a:off x="0" y="0"/>
                      <a:ext cx="5834380" cy="3281680"/>
                    </a:xfrm>
                    <a:prstGeom prst="rect">
                      <a:avLst/>
                    </a:prstGeom>
                  </pic:spPr>
                </pic:pic>
              </a:graphicData>
            </a:graphic>
          </wp:inline>
        </w:drawing>
      </w:r>
    </w:p>
    <w:p w14:paraId="06850A32" w14:textId="637D1490" w:rsidR="00805BFF" w:rsidRPr="000619A0" w:rsidRDefault="00805BFF" w:rsidP="000619A0"/>
    <w:sectPr w:rsidR="00805BFF" w:rsidRPr="000619A0">
      <w:headerReference w:type="even" r:id="rId16"/>
      <w:headerReference w:type="default" r:id="rId17"/>
      <w:footerReference w:type="even" r:id="rId18"/>
      <w:footerReference w:type="default" r:id="rId19"/>
      <w:headerReference w:type="first" r:id="rId20"/>
      <w:footerReference w:type="first" r:id="rId21"/>
      <w:pgSz w:w="11906" w:h="16838"/>
      <w:pgMar w:top="1440" w:right="844" w:bottom="1440"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EBBCC" w14:textId="77777777" w:rsidR="00985CD3" w:rsidRDefault="00985CD3" w:rsidP="00250E44">
      <w:pPr>
        <w:spacing w:after="0" w:line="240" w:lineRule="auto"/>
      </w:pPr>
      <w:r>
        <w:separator/>
      </w:r>
    </w:p>
  </w:endnote>
  <w:endnote w:type="continuationSeparator" w:id="0">
    <w:p w14:paraId="326B367C" w14:textId="77777777" w:rsidR="00985CD3" w:rsidRDefault="00985CD3" w:rsidP="00250E44">
      <w:pPr>
        <w:spacing w:after="0" w:line="240" w:lineRule="auto"/>
      </w:pPr>
      <w:r>
        <w:continuationSeparator/>
      </w:r>
    </w:p>
  </w:endnote>
  <w:endnote w:type="continuationNotice" w:id="1">
    <w:p w14:paraId="276C2CF7" w14:textId="77777777" w:rsidR="00985CD3" w:rsidRDefault="00985C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8E70F" w14:textId="77777777" w:rsidR="00734599" w:rsidRDefault="007345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50A39" w14:textId="6BB8D458" w:rsidR="00250E44" w:rsidRDefault="00250E44">
    <w:pPr>
      <w:pStyle w:val="Footer"/>
    </w:pPr>
    <w:r>
      <w:t xml:space="preserve">Page </w:t>
    </w:r>
    <w:r>
      <w:rPr>
        <w:b/>
        <w:color w:val="2B579A"/>
        <w:shd w:val="clear" w:color="auto" w:fill="E6E6E6"/>
      </w:rPr>
      <w:fldChar w:fldCharType="begin"/>
    </w:r>
    <w:r>
      <w:rPr>
        <w:b/>
      </w:rPr>
      <w:instrText xml:space="preserve"> PAGE  \* Arabic  \* MERGEFORMAT </w:instrText>
    </w:r>
    <w:r>
      <w:rPr>
        <w:b/>
        <w:color w:val="2B579A"/>
        <w:shd w:val="clear" w:color="auto" w:fill="E6E6E6"/>
      </w:rPr>
      <w:fldChar w:fldCharType="separate"/>
    </w:r>
    <w:r>
      <w:rPr>
        <w:b/>
        <w:noProof/>
      </w:rPr>
      <w:t>1</w:t>
    </w:r>
    <w:r>
      <w:rPr>
        <w:b/>
        <w:color w:val="2B579A"/>
        <w:shd w:val="clear" w:color="auto" w:fill="E6E6E6"/>
      </w:rPr>
      <w:fldChar w:fldCharType="end"/>
    </w:r>
    <w:r>
      <w:t xml:space="preserve"> of </w:t>
    </w:r>
    <w:r>
      <w:rPr>
        <w:b/>
        <w:color w:val="2B579A"/>
        <w:shd w:val="clear" w:color="auto" w:fill="E6E6E6"/>
      </w:rPr>
      <w:fldChar w:fldCharType="begin"/>
    </w:r>
    <w:r>
      <w:rPr>
        <w:b/>
      </w:rPr>
      <w:instrText xml:space="preserve"> NUMPAGES  \* Arabic  \* MERGEFORMAT </w:instrText>
    </w:r>
    <w:r>
      <w:rPr>
        <w:b/>
        <w:color w:val="2B579A"/>
        <w:shd w:val="clear" w:color="auto" w:fill="E6E6E6"/>
      </w:rPr>
      <w:fldChar w:fldCharType="separate"/>
    </w:r>
    <w:r>
      <w:rPr>
        <w:b/>
        <w:noProof/>
      </w:rPr>
      <w:t>1</w:t>
    </w:r>
    <w:r>
      <w:rPr>
        <w:b/>
        <w:color w:val="2B579A"/>
        <w:shd w:val="clear" w:color="auto" w:fill="E6E6E6"/>
      </w:rPr>
      <w:fldChar w:fldCharType="end"/>
    </w:r>
    <w:r>
      <w:ptab w:relativeTo="margin" w:alignment="center" w:leader="none"/>
    </w:r>
    <w:r w:rsidRPr="00250E44">
      <w:t>Effective Date:</w:t>
    </w:r>
    <w:r>
      <w:t xml:space="preserve"> </w:t>
    </w:r>
    <w:sdt>
      <w:sdtPr>
        <w:rPr>
          <w:color w:val="2B579A"/>
          <w:shd w:val="clear" w:color="auto" w:fill="E6E6E6"/>
        </w:rPr>
        <w:alias w:val="Effective Date"/>
        <w:tag w:val="UNDP_POPP_EFFECTIVEDATE"/>
        <w:id w:val="-742714979"/>
        <w:placeholder>
          <w:docPart w:val="AABF2F3EABB5433694BC6FC143A3EE66"/>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D6148BC8-57EA-4933-BDB5-C1D2BD58AE05}"/>
        <w:date w:fullDate="2018-09-25T00:00:00Z">
          <w:dateFormat w:val="dd/MM/yyyy"/>
          <w:lid w:val="en-US"/>
          <w:storeMappedDataAs w:val="dateTime"/>
          <w:calendar w:val="gregorian"/>
        </w:date>
      </w:sdtPr>
      <w:sdtEndPr>
        <w:rPr>
          <w:color w:val="000000"/>
          <w:shd w:val="clear" w:color="auto" w:fill="auto"/>
        </w:rPr>
      </w:sdtEndPr>
      <w:sdtContent>
        <w:r w:rsidR="00C71653">
          <w:rPr>
            <w:color w:val="2B579A"/>
            <w:shd w:val="clear" w:color="auto" w:fill="E6E6E6"/>
            <w:lang w:val="en-US"/>
          </w:rPr>
          <w:t>25/09/2018</w:t>
        </w:r>
      </w:sdtContent>
    </w:sdt>
    <w:r>
      <w:ptab w:relativeTo="margin" w:alignment="right" w:leader="none"/>
    </w:r>
    <w:r w:rsidRPr="00250E44">
      <w:t>Version #:</w:t>
    </w:r>
    <w:r>
      <w:t xml:space="preserve"> </w:t>
    </w:r>
    <w:sdt>
      <w:sdtPr>
        <w:rPr>
          <w:color w:val="2B579A"/>
          <w:shd w:val="clear" w:color="auto" w:fill="E6E6E6"/>
        </w:rPr>
        <w:alias w:val="POPPRefItemVersion"/>
        <w:tag w:val="UNDP_POPP_REFITEM_VERSION"/>
        <w:id w:val="2003688391"/>
        <w:placeholder>
          <w:docPart w:val="F5D4C068A52B451CBD99375B54731CD0"/>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D6148BC8-57EA-4933-BDB5-C1D2BD58AE05}"/>
        <w:text/>
      </w:sdtPr>
      <w:sdtEndPr>
        <w:rPr>
          <w:color w:val="000000"/>
          <w:shd w:val="clear" w:color="auto" w:fill="auto"/>
        </w:rPr>
      </w:sdtEndPr>
      <w:sdtContent>
        <w:r w:rsidR="00C71653">
          <w:rPr>
            <w:color w:val="2B579A"/>
            <w:shd w:val="clear" w:color="auto" w:fill="E6E6E6"/>
          </w:rPr>
          <w:t>5</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E3E1" w14:textId="77777777" w:rsidR="00734599" w:rsidRDefault="00734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B3AB5" w14:textId="77777777" w:rsidR="00985CD3" w:rsidRDefault="00985CD3" w:rsidP="00250E44">
      <w:pPr>
        <w:spacing w:after="0" w:line="240" w:lineRule="auto"/>
      </w:pPr>
      <w:r>
        <w:separator/>
      </w:r>
    </w:p>
  </w:footnote>
  <w:footnote w:type="continuationSeparator" w:id="0">
    <w:p w14:paraId="10A3F53C" w14:textId="77777777" w:rsidR="00985CD3" w:rsidRDefault="00985CD3" w:rsidP="00250E44">
      <w:pPr>
        <w:spacing w:after="0" w:line="240" w:lineRule="auto"/>
      </w:pPr>
      <w:r>
        <w:continuationSeparator/>
      </w:r>
    </w:p>
  </w:footnote>
  <w:footnote w:type="continuationNotice" w:id="1">
    <w:p w14:paraId="1305EBA8" w14:textId="77777777" w:rsidR="00985CD3" w:rsidRDefault="00985C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D3DD4" w14:textId="77777777" w:rsidR="00734599" w:rsidRDefault="007345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50A37" w14:textId="77777777" w:rsidR="00250E44" w:rsidRDefault="00250E44" w:rsidP="00250E44">
    <w:pPr>
      <w:pStyle w:val="Header"/>
      <w:jc w:val="right"/>
    </w:pPr>
    <w:r>
      <w:rPr>
        <w:noProof/>
        <w:color w:val="2B579A"/>
        <w:shd w:val="clear" w:color="auto" w:fill="E6E6E6"/>
      </w:rPr>
      <w:drawing>
        <wp:inline distT="0" distB="0" distL="0" distR="0" wp14:anchorId="06850A3A" wp14:editId="7E3196B7">
          <wp:extent cx="312023" cy="589376"/>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2389" b="16155"/>
                  <a:stretch/>
                </pic:blipFill>
                <pic:spPr bwMode="auto">
                  <a:xfrm>
                    <a:off x="0" y="0"/>
                    <a:ext cx="316704" cy="598218"/>
                  </a:xfrm>
                  <a:prstGeom prst="rect">
                    <a:avLst/>
                  </a:prstGeom>
                  <a:ln>
                    <a:noFill/>
                  </a:ln>
                  <a:extLst>
                    <a:ext uri="{53640926-AAD7-44D8-BBD7-CCE9431645EC}">
                      <a14:shadowObscured xmlns:a14="http://schemas.microsoft.com/office/drawing/2010/main"/>
                    </a:ext>
                  </a:extLst>
                </pic:spPr>
              </pic:pic>
            </a:graphicData>
          </a:graphic>
        </wp:inline>
      </w:drawing>
    </w:r>
  </w:p>
  <w:p w14:paraId="06850A38" w14:textId="77777777" w:rsidR="00250E44" w:rsidRDefault="00250E44" w:rsidP="00250E4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7AC38" w14:textId="77777777" w:rsidR="00734599" w:rsidRDefault="007345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3517"/>
    <w:multiLevelType w:val="hybridMultilevel"/>
    <w:tmpl w:val="C592E3AE"/>
    <w:lvl w:ilvl="0" w:tplc="FFFFFFFF">
      <w:start w:val="1"/>
      <w:numFmt w:val="decimal"/>
      <w:lvlText w:val="%1."/>
      <w:lvlJc w:val="left"/>
      <w:pPr>
        <w:ind w:left="720"/>
      </w:pPr>
      <w:rPr>
        <w:b w:val="0"/>
        <w:i w:val="0"/>
        <w:strike w:val="0"/>
        <w:dstrike w:val="0"/>
        <w:color w:val="000000"/>
        <w:sz w:val="22"/>
        <w:szCs w:val="22"/>
        <w:u w:val="none" w:color="000000"/>
        <w:bdr w:val="none" w:sz="0" w:space="0" w:color="auto"/>
        <w:shd w:val="clear" w:color="auto" w:fill="auto"/>
        <w:vertAlign w:val="baseline"/>
      </w:rPr>
    </w:lvl>
    <w:lvl w:ilvl="1" w:tplc="ECE6C2CC">
      <w:start w:val="1"/>
      <w:numFmt w:val="bullet"/>
      <w:lvlText w:val="•"/>
      <w:lvlJc w:val="left"/>
      <w:pPr>
        <w:ind w:left="1247"/>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2" w:tplc="9CC48BAC">
      <w:start w:val="1"/>
      <w:numFmt w:val="bullet"/>
      <w:lvlText w:val="▪"/>
      <w:lvlJc w:val="left"/>
      <w:pPr>
        <w:ind w:left="1982"/>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3" w:tplc="E924B514">
      <w:start w:val="1"/>
      <w:numFmt w:val="bullet"/>
      <w:lvlText w:val="•"/>
      <w:lvlJc w:val="left"/>
      <w:pPr>
        <w:ind w:left="2702"/>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4" w:tplc="712C0D84">
      <w:start w:val="1"/>
      <w:numFmt w:val="bullet"/>
      <w:lvlText w:val="o"/>
      <w:lvlJc w:val="left"/>
      <w:pPr>
        <w:ind w:left="3422"/>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5" w:tplc="E1DC35D4">
      <w:start w:val="1"/>
      <w:numFmt w:val="bullet"/>
      <w:lvlText w:val="▪"/>
      <w:lvlJc w:val="left"/>
      <w:pPr>
        <w:ind w:left="4142"/>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6" w:tplc="85209ADC">
      <w:start w:val="1"/>
      <w:numFmt w:val="bullet"/>
      <w:lvlText w:val="•"/>
      <w:lvlJc w:val="left"/>
      <w:pPr>
        <w:ind w:left="4862"/>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7" w:tplc="71A4130E">
      <w:start w:val="1"/>
      <w:numFmt w:val="bullet"/>
      <w:lvlText w:val="o"/>
      <w:lvlJc w:val="left"/>
      <w:pPr>
        <w:ind w:left="5582"/>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8" w:tplc="85522E2A">
      <w:start w:val="1"/>
      <w:numFmt w:val="bullet"/>
      <w:lvlText w:val="▪"/>
      <w:lvlJc w:val="left"/>
      <w:pPr>
        <w:ind w:left="6302"/>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abstractNum>
  <w:abstractNum w:abstractNumId="1" w15:restartNumberingAfterBreak="0">
    <w:nsid w:val="09EE1359"/>
    <w:multiLevelType w:val="hybridMultilevel"/>
    <w:tmpl w:val="997252E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DB5807"/>
    <w:multiLevelType w:val="hybridMultilevel"/>
    <w:tmpl w:val="87320A96"/>
    <w:lvl w:ilvl="0" w:tplc="8F8C90F4">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DE74FA">
      <w:start w:val="1"/>
      <w:numFmt w:val="bullet"/>
      <w:lvlText w:val="•"/>
      <w:lvlJc w:val="left"/>
      <w:pPr>
        <w:ind w:left="1068"/>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2" w:tplc="0640473E">
      <w:start w:val="1"/>
      <w:numFmt w:val="bullet"/>
      <w:lvlText w:val="▪"/>
      <w:lvlJc w:val="left"/>
      <w:pPr>
        <w:ind w:left="1788"/>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3" w:tplc="8FA2E420">
      <w:start w:val="1"/>
      <w:numFmt w:val="bullet"/>
      <w:lvlText w:val="•"/>
      <w:lvlJc w:val="left"/>
      <w:pPr>
        <w:ind w:left="2508"/>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4" w:tplc="563A88A6">
      <w:start w:val="1"/>
      <w:numFmt w:val="bullet"/>
      <w:lvlText w:val="o"/>
      <w:lvlJc w:val="left"/>
      <w:pPr>
        <w:ind w:left="3228"/>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5" w:tplc="EDF8FFCE">
      <w:start w:val="1"/>
      <w:numFmt w:val="bullet"/>
      <w:lvlText w:val="▪"/>
      <w:lvlJc w:val="left"/>
      <w:pPr>
        <w:ind w:left="3948"/>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6" w:tplc="3DEC18E0">
      <w:start w:val="1"/>
      <w:numFmt w:val="bullet"/>
      <w:lvlText w:val="•"/>
      <w:lvlJc w:val="left"/>
      <w:pPr>
        <w:ind w:left="4668"/>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7" w:tplc="B6F0916E">
      <w:start w:val="1"/>
      <w:numFmt w:val="bullet"/>
      <w:lvlText w:val="o"/>
      <w:lvlJc w:val="left"/>
      <w:pPr>
        <w:ind w:left="5388"/>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8" w:tplc="C442C8DA">
      <w:start w:val="1"/>
      <w:numFmt w:val="bullet"/>
      <w:lvlText w:val="▪"/>
      <w:lvlJc w:val="left"/>
      <w:pPr>
        <w:ind w:left="6108"/>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abstractNum>
  <w:abstractNum w:abstractNumId="3" w15:restartNumberingAfterBreak="0">
    <w:nsid w:val="2A4E3D15"/>
    <w:multiLevelType w:val="hybridMultilevel"/>
    <w:tmpl w:val="41629E50"/>
    <w:lvl w:ilvl="0" w:tplc="4409001B">
      <w:start w:val="1"/>
      <w:numFmt w:val="lowerRoman"/>
      <w:lvlText w:val="%1."/>
      <w:lvlJc w:val="righ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4" w15:restartNumberingAfterBreak="0">
    <w:nsid w:val="3E824320"/>
    <w:multiLevelType w:val="hybridMultilevel"/>
    <w:tmpl w:val="AC826F32"/>
    <w:lvl w:ilvl="0" w:tplc="3A8EC6B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4160B82">
      <w:start w:val="1"/>
      <w:numFmt w:val="lowerLetter"/>
      <w:lvlText w:val="%2)"/>
      <w:lvlJc w:val="left"/>
      <w:pPr>
        <w:ind w:left="1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E0615A">
      <w:start w:val="1"/>
      <w:numFmt w:val="lowerRoman"/>
      <w:lvlText w:val="%3"/>
      <w:lvlJc w:val="left"/>
      <w:pPr>
        <w:ind w:left="19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984542">
      <w:start w:val="1"/>
      <w:numFmt w:val="decimal"/>
      <w:lvlText w:val="%4"/>
      <w:lvlJc w:val="left"/>
      <w:pPr>
        <w:ind w:left="2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B32E952">
      <w:start w:val="1"/>
      <w:numFmt w:val="lowerLetter"/>
      <w:lvlText w:val="%5"/>
      <w:lvlJc w:val="left"/>
      <w:pPr>
        <w:ind w:left="3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FC02A52">
      <w:start w:val="1"/>
      <w:numFmt w:val="lowerRoman"/>
      <w:lvlText w:val="%6"/>
      <w:lvlJc w:val="left"/>
      <w:pPr>
        <w:ind w:left="4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0B65800">
      <w:start w:val="1"/>
      <w:numFmt w:val="decimal"/>
      <w:lvlText w:val="%7"/>
      <w:lvlJc w:val="left"/>
      <w:pPr>
        <w:ind w:left="48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D003252">
      <w:start w:val="1"/>
      <w:numFmt w:val="lowerLetter"/>
      <w:lvlText w:val="%8"/>
      <w:lvlJc w:val="left"/>
      <w:pPr>
        <w:ind w:left="55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6A6C22">
      <w:start w:val="1"/>
      <w:numFmt w:val="lowerRoman"/>
      <w:lvlText w:val="%9"/>
      <w:lvlJc w:val="left"/>
      <w:pPr>
        <w:ind w:left="63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4165438"/>
    <w:multiLevelType w:val="hybridMultilevel"/>
    <w:tmpl w:val="E968C9C0"/>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5D0A1DE5"/>
    <w:multiLevelType w:val="multilevel"/>
    <w:tmpl w:val="8326A798"/>
    <w:lvl w:ilvl="0">
      <w:start w:val="1"/>
      <w:numFmt w:val="lowerLetter"/>
      <w:lvlText w:val="%1)"/>
      <w:lvlJc w:val="left"/>
      <w:pPr>
        <w:ind w:left="2061" w:hanging="360"/>
      </w:pPr>
      <w:rPr>
        <w:rFonts w:hint="default"/>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7" w15:restartNumberingAfterBreak="0">
    <w:nsid w:val="61D16A60"/>
    <w:multiLevelType w:val="hybridMultilevel"/>
    <w:tmpl w:val="BF827DA8"/>
    <w:lvl w:ilvl="0" w:tplc="2AE4DB7E">
      <w:start w:val="1"/>
      <w:numFmt w:val="lowerLetter"/>
      <w:lvlText w:val="%1)"/>
      <w:lvlJc w:val="left"/>
      <w:pPr>
        <w:ind w:left="1080" w:hanging="360"/>
      </w:pPr>
      <w:rPr>
        <w:rFonts w:hint="default"/>
        <w:b w:val="0"/>
        <w:bCs/>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9467666"/>
    <w:multiLevelType w:val="hybridMultilevel"/>
    <w:tmpl w:val="32C2B298"/>
    <w:lvl w:ilvl="0" w:tplc="4D2AA1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958413341">
    <w:abstractNumId w:val="2"/>
  </w:num>
  <w:num w:numId="2" w16cid:durableId="1745761959">
    <w:abstractNumId w:val="0"/>
  </w:num>
  <w:num w:numId="3" w16cid:durableId="1886794710">
    <w:abstractNumId w:val="4"/>
  </w:num>
  <w:num w:numId="4" w16cid:durableId="1616985796">
    <w:abstractNumId w:val="7"/>
  </w:num>
  <w:num w:numId="5" w16cid:durableId="790245249">
    <w:abstractNumId w:val="5"/>
  </w:num>
  <w:num w:numId="6" w16cid:durableId="686561635">
    <w:abstractNumId w:val="8"/>
  </w:num>
  <w:num w:numId="7" w16cid:durableId="629629931">
    <w:abstractNumId w:val="6"/>
  </w:num>
  <w:num w:numId="8" w16cid:durableId="185943547">
    <w:abstractNumId w:val="1"/>
  </w:num>
  <w:num w:numId="9" w16cid:durableId="1758942732">
    <w:abstractNumId w:val="3"/>
  </w:num>
  <w:num w:numId="10" w16cid:durableId="475492796">
    <w:abstractNumId w:val="0"/>
    <w:lvlOverride w:ilvl="0">
      <w:startOverride w:val="1"/>
    </w:lvlOverride>
    <w:lvlOverride w:ilvl="1"/>
    <w:lvlOverride w:ilvl="2"/>
    <w:lvlOverride w:ilvl="3"/>
    <w:lvlOverride w:ilvl="4"/>
    <w:lvlOverride w:ilvl="5"/>
    <w:lvlOverride w:ilvl="6"/>
    <w:lvlOverride w:ilvl="7"/>
    <w:lvlOverride w:ilvl="8"/>
  </w:num>
  <w:num w:numId="11" w16cid:durableId="10518844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885357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055919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1028740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3915037">
    <w:abstractNumId w:val="6"/>
    <w:lvlOverride w:ilvl="0">
      <w:startOverride w:val="1"/>
    </w:lvlOverride>
    <w:lvlOverride w:ilvl="1"/>
    <w:lvlOverride w:ilvl="2"/>
    <w:lvlOverride w:ilvl="3"/>
    <w:lvlOverride w:ilvl="4"/>
    <w:lvlOverride w:ilvl="5"/>
    <w:lvlOverride w:ilvl="6"/>
    <w:lvlOverride w:ilvl="7"/>
    <w:lvlOverride w:ilvl="8"/>
  </w:num>
  <w:num w:numId="16" w16cid:durableId="1596133711">
    <w:abstractNumId w:val="1"/>
    <w:lvlOverride w:ilvl="0"/>
    <w:lvlOverride w:ilvl="1"/>
    <w:lvlOverride w:ilvl="2"/>
    <w:lvlOverride w:ilvl="3"/>
    <w:lvlOverride w:ilvl="4"/>
    <w:lvlOverride w:ilvl="5"/>
    <w:lvlOverride w:ilvl="6"/>
    <w:lvlOverride w:ilvl="7"/>
    <w:lvlOverride w:ilvl="8"/>
  </w:num>
  <w:num w:numId="17" w16cid:durableId="16002189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BFF"/>
    <w:rsid w:val="00001872"/>
    <w:rsid w:val="000501C3"/>
    <w:rsid w:val="000619A0"/>
    <w:rsid w:val="00070198"/>
    <w:rsid w:val="0015235C"/>
    <w:rsid w:val="00153802"/>
    <w:rsid w:val="00172036"/>
    <w:rsid w:val="00185B17"/>
    <w:rsid w:val="00187DF8"/>
    <w:rsid w:val="00191717"/>
    <w:rsid w:val="001A20D0"/>
    <w:rsid w:val="001F4D87"/>
    <w:rsid w:val="00232050"/>
    <w:rsid w:val="002445C8"/>
    <w:rsid w:val="00250E44"/>
    <w:rsid w:val="002528DE"/>
    <w:rsid w:val="00262AC1"/>
    <w:rsid w:val="002802C8"/>
    <w:rsid w:val="002C3733"/>
    <w:rsid w:val="002C5AA0"/>
    <w:rsid w:val="00303450"/>
    <w:rsid w:val="00330A6D"/>
    <w:rsid w:val="00385E25"/>
    <w:rsid w:val="00393D13"/>
    <w:rsid w:val="004B7A81"/>
    <w:rsid w:val="0052371B"/>
    <w:rsid w:val="005736CF"/>
    <w:rsid w:val="0058240D"/>
    <w:rsid w:val="005A6065"/>
    <w:rsid w:val="00610FE8"/>
    <w:rsid w:val="00662534"/>
    <w:rsid w:val="006B0EB1"/>
    <w:rsid w:val="006D42DE"/>
    <w:rsid w:val="00734599"/>
    <w:rsid w:val="007648D8"/>
    <w:rsid w:val="00786A10"/>
    <w:rsid w:val="00791120"/>
    <w:rsid w:val="00794B7B"/>
    <w:rsid w:val="00805BFF"/>
    <w:rsid w:val="0081510E"/>
    <w:rsid w:val="008344AD"/>
    <w:rsid w:val="008B103D"/>
    <w:rsid w:val="0090359C"/>
    <w:rsid w:val="0091497B"/>
    <w:rsid w:val="00930844"/>
    <w:rsid w:val="009764B7"/>
    <w:rsid w:val="00985CD3"/>
    <w:rsid w:val="00994E10"/>
    <w:rsid w:val="009E6691"/>
    <w:rsid w:val="00A52F5A"/>
    <w:rsid w:val="00A56926"/>
    <w:rsid w:val="00A60F99"/>
    <w:rsid w:val="00A6599E"/>
    <w:rsid w:val="00A73E59"/>
    <w:rsid w:val="00A82473"/>
    <w:rsid w:val="00A84983"/>
    <w:rsid w:val="00A92496"/>
    <w:rsid w:val="00A954EB"/>
    <w:rsid w:val="00AA0365"/>
    <w:rsid w:val="00AC3221"/>
    <w:rsid w:val="00B36863"/>
    <w:rsid w:val="00BA7EF1"/>
    <w:rsid w:val="00BE154C"/>
    <w:rsid w:val="00BF5AC1"/>
    <w:rsid w:val="00C17857"/>
    <w:rsid w:val="00C43D73"/>
    <w:rsid w:val="00C50A7E"/>
    <w:rsid w:val="00C71653"/>
    <w:rsid w:val="00D06D17"/>
    <w:rsid w:val="00D23D45"/>
    <w:rsid w:val="00D33119"/>
    <w:rsid w:val="00D366FD"/>
    <w:rsid w:val="00D70533"/>
    <w:rsid w:val="00DB0DDD"/>
    <w:rsid w:val="00DD2289"/>
    <w:rsid w:val="00DE5D9F"/>
    <w:rsid w:val="00E54A78"/>
    <w:rsid w:val="00E84000"/>
    <w:rsid w:val="00EF4FE4"/>
    <w:rsid w:val="00F11BF2"/>
    <w:rsid w:val="00F131F6"/>
    <w:rsid w:val="00F32256"/>
    <w:rsid w:val="00F56E4C"/>
    <w:rsid w:val="00F65507"/>
    <w:rsid w:val="00FA1504"/>
    <w:rsid w:val="00FA16DC"/>
    <w:rsid w:val="00FB30BD"/>
    <w:rsid w:val="00FB50C6"/>
    <w:rsid w:val="00FC55BF"/>
    <w:rsid w:val="00FE2E1C"/>
    <w:rsid w:val="1491BEE8"/>
    <w:rsid w:val="14D85C56"/>
    <w:rsid w:val="18D804AB"/>
    <w:rsid w:val="2468B82F"/>
    <w:rsid w:val="5C180D70"/>
    <w:rsid w:val="68B10211"/>
    <w:rsid w:val="76E8F9D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50A1B"/>
  <w15:docId w15:val="{467D0981-3B4B-46B9-AEA3-D42688AED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57" w:lineRule="auto"/>
      <w:ind w:left="370" w:right="5" w:hanging="10"/>
      <w:jc w:val="both"/>
    </w:pPr>
    <w:rPr>
      <w:rFonts w:ascii="Calibri" w:eastAsia="Calibri" w:hAnsi="Calibri" w:cs="Calibri"/>
      <w:color w:val="000000"/>
    </w:rPr>
  </w:style>
  <w:style w:type="paragraph" w:styleId="Heading1">
    <w:name w:val="heading 1"/>
    <w:basedOn w:val="Normal"/>
    <w:next w:val="Normal"/>
    <w:link w:val="Heading1Char"/>
    <w:qFormat/>
    <w:rsid w:val="00C71653"/>
    <w:pPr>
      <w:spacing w:before="240" w:after="60" w:line="240" w:lineRule="auto"/>
      <w:ind w:left="0" w:right="0" w:firstLine="0"/>
      <w:outlineLvl w:val="0"/>
    </w:pPr>
    <w:rPr>
      <w:rFonts w:ascii="Arial" w:eastAsia="Times New Roman" w:hAnsi="Arial" w:cs="Times New Roman"/>
      <w:b/>
      <w:caps/>
      <w:snapToGrid w:val="0"/>
      <w:color w:val="365F91" w:themeColor="accent1" w:themeShade="BF"/>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E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E44"/>
    <w:rPr>
      <w:rFonts w:ascii="Calibri" w:eastAsia="Calibri" w:hAnsi="Calibri" w:cs="Calibri"/>
      <w:color w:val="000000"/>
    </w:rPr>
  </w:style>
  <w:style w:type="paragraph" w:styleId="Footer">
    <w:name w:val="footer"/>
    <w:basedOn w:val="Normal"/>
    <w:link w:val="FooterChar"/>
    <w:uiPriority w:val="99"/>
    <w:unhideWhenUsed/>
    <w:rsid w:val="00250E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E44"/>
    <w:rPr>
      <w:rFonts w:ascii="Calibri" w:eastAsia="Calibri" w:hAnsi="Calibri" w:cs="Calibri"/>
      <w:color w:val="000000"/>
    </w:rPr>
  </w:style>
  <w:style w:type="paragraph" w:styleId="BalloonText">
    <w:name w:val="Balloon Text"/>
    <w:basedOn w:val="Normal"/>
    <w:link w:val="BalloonTextChar"/>
    <w:uiPriority w:val="99"/>
    <w:semiHidden/>
    <w:unhideWhenUsed/>
    <w:rsid w:val="00250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E44"/>
    <w:rPr>
      <w:rFonts w:ascii="Tahoma" w:eastAsia="Calibri" w:hAnsi="Tahoma" w:cs="Tahoma"/>
      <w:color w:val="000000"/>
      <w:sz w:val="16"/>
      <w:szCs w:val="16"/>
    </w:rPr>
  </w:style>
  <w:style w:type="character" w:styleId="PlaceholderText">
    <w:name w:val="Placeholder Text"/>
    <w:basedOn w:val="DefaultParagraphFont"/>
    <w:uiPriority w:val="99"/>
    <w:semiHidden/>
    <w:rsid w:val="00250E44"/>
    <w:rPr>
      <w:color w:val="808080"/>
    </w:rPr>
  </w:style>
  <w:style w:type="paragraph" w:styleId="Revision">
    <w:name w:val="Revision"/>
    <w:hidden/>
    <w:uiPriority w:val="99"/>
    <w:semiHidden/>
    <w:rsid w:val="00A82473"/>
    <w:pPr>
      <w:spacing w:after="0" w:line="240" w:lineRule="auto"/>
    </w:pPr>
    <w:rPr>
      <w:rFonts w:ascii="Calibri" w:eastAsia="Calibri" w:hAnsi="Calibri" w:cs="Calibri"/>
      <w:color w:val="000000"/>
    </w:rPr>
  </w:style>
  <w:style w:type="character" w:styleId="CommentReference">
    <w:name w:val="annotation reference"/>
    <w:basedOn w:val="DefaultParagraphFont"/>
    <w:uiPriority w:val="99"/>
    <w:semiHidden/>
    <w:unhideWhenUsed/>
    <w:rsid w:val="009E6691"/>
    <w:rPr>
      <w:sz w:val="16"/>
      <w:szCs w:val="16"/>
    </w:rPr>
  </w:style>
  <w:style w:type="paragraph" w:styleId="CommentText">
    <w:name w:val="annotation text"/>
    <w:basedOn w:val="Normal"/>
    <w:link w:val="CommentTextChar"/>
    <w:uiPriority w:val="99"/>
    <w:unhideWhenUsed/>
    <w:rsid w:val="009E6691"/>
    <w:pPr>
      <w:spacing w:line="240" w:lineRule="auto"/>
    </w:pPr>
    <w:rPr>
      <w:sz w:val="20"/>
      <w:szCs w:val="20"/>
    </w:rPr>
  </w:style>
  <w:style w:type="character" w:customStyle="1" w:styleId="CommentTextChar">
    <w:name w:val="Comment Text Char"/>
    <w:basedOn w:val="DefaultParagraphFont"/>
    <w:link w:val="CommentText"/>
    <w:uiPriority w:val="99"/>
    <w:rsid w:val="009E6691"/>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9E6691"/>
    <w:rPr>
      <w:b/>
      <w:bCs/>
    </w:rPr>
  </w:style>
  <w:style w:type="character" w:customStyle="1" w:styleId="CommentSubjectChar">
    <w:name w:val="Comment Subject Char"/>
    <w:basedOn w:val="CommentTextChar"/>
    <w:link w:val="CommentSubject"/>
    <w:uiPriority w:val="99"/>
    <w:semiHidden/>
    <w:rsid w:val="009E6691"/>
    <w:rPr>
      <w:rFonts w:ascii="Calibri" w:eastAsia="Calibri" w:hAnsi="Calibri" w:cs="Calibri"/>
      <w:b/>
      <w:bCs/>
      <w:color w:val="000000"/>
      <w:sz w:val="20"/>
      <w:szCs w:val="20"/>
    </w:rPr>
  </w:style>
  <w:style w:type="character" w:styleId="Mention">
    <w:name w:val="Mention"/>
    <w:basedOn w:val="DefaultParagraphFont"/>
    <w:uiPriority w:val="99"/>
    <w:unhideWhenUsed/>
    <w:rPr>
      <w:color w:val="2B579A"/>
      <w:shd w:val="clear" w:color="auto" w:fill="E6E6E6"/>
    </w:rPr>
  </w:style>
  <w:style w:type="character" w:customStyle="1" w:styleId="Heading1Char">
    <w:name w:val="Heading 1 Char"/>
    <w:basedOn w:val="DefaultParagraphFont"/>
    <w:link w:val="Heading1"/>
    <w:qFormat/>
    <w:rsid w:val="00C71653"/>
    <w:rPr>
      <w:rFonts w:ascii="Arial" w:eastAsia="Times New Roman" w:hAnsi="Arial" w:cs="Times New Roman"/>
      <w:b/>
      <w:caps/>
      <w:snapToGrid w:val="0"/>
      <w:color w:val="365F91" w:themeColor="accent1" w:themeShade="BF"/>
      <w:sz w:val="32"/>
      <w:lang w:eastAsia="en-US"/>
    </w:rPr>
  </w:style>
  <w:style w:type="paragraph" w:styleId="ListParagraph">
    <w:name w:val="List Paragraph"/>
    <w:basedOn w:val="Normal"/>
    <w:uiPriority w:val="34"/>
    <w:qFormat/>
    <w:rsid w:val="00C71653"/>
    <w:pPr>
      <w:spacing w:after="220" w:line="240" w:lineRule="auto"/>
      <w:ind w:left="720" w:right="0" w:firstLine="0"/>
      <w:jc w:val="left"/>
    </w:pPr>
    <w:rPr>
      <w:rFonts w:ascii="Arial" w:eastAsia="Times New Roman" w:hAnsi="Arial" w:cs="Times New Roman"/>
      <w:color w:val="auto"/>
      <w:szCs w:val="20"/>
      <w:lang w:eastAsia="en-US"/>
    </w:rPr>
  </w:style>
  <w:style w:type="paragraph" w:styleId="BodyText">
    <w:name w:val="Body Text"/>
    <w:basedOn w:val="Normal"/>
    <w:link w:val="BodyTextChar"/>
    <w:qFormat/>
    <w:rsid w:val="00C71653"/>
    <w:pPr>
      <w:spacing w:after="120" w:line="240" w:lineRule="auto"/>
      <w:ind w:left="0" w:right="0" w:firstLine="0"/>
      <w:jc w:val="left"/>
    </w:pPr>
    <w:rPr>
      <w:rFonts w:ascii="Arial" w:eastAsia="Times New Roman" w:hAnsi="Arial" w:cs="Times New Roman"/>
      <w:color w:val="auto"/>
      <w:szCs w:val="20"/>
      <w:lang w:eastAsia="en-US"/>
    </w:rPr>
  </w:style>
  <w:style w:type="character" w:customStyle="1" w:styleId="BodyTextChar">
    <w:name w:val="Body Text Char"/>
    <w:basedOn w:val="DefaultParagraphFont"/>
    <w:link w:val="BodyText"/>
    <w:qFormat/>
    <w:rsid w:val="00C71653"/>
    <w:rPr>
      <w:rFonts w:ascii="Arial" w:eastAsia="Times New Roman" w:hAnsi="Arial"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05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svg"/><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BF2F3EABB5433694BC6FC143A3EE66"/>
        <w:category>
          <w:name w:val="General"/>
          <w:gallery w:val="placeholder"/>
        </w:category>
        <w:types>
          <w:type w:val="bbPlcHdr"/>
        </w:types>
        <w:behaviors>
          <w:behavior w:val="content"/>
        </w:behaviors>
        <w:guid w:val="{F2F5E17B-8956-40BF-94DB-E418C43F5D66}"/>
      </w:docPartPr>
      <w:docPartBody>
        <w:p w:rsidR="00D412CA" w:rsidRDefault="007674E2">
          <w:r w:rsidRPr="008651F4">
            <w:rPr>
              <w:rStyle w:val="PlaceholderText"/>
            </w:rPr>
            <w:t>[Effective Date]</w:t>
          </w:r>
        </w:p>
      </w:docPartBody>
    </w:docPart>
    <w:docPart>
      <w:docPartPr>
        <w:name w:val="F5D4C068A52B451CBD99375B54731CD0"/>
        <w:category>
          <w:name w:val="General"/>
          <w:gallery w:val="placeholder"/>
        </w:category>
        <w:types>
          <w:type w:val="bbPlcHdr"/>
        </w:types>
        <w:behaviors>
          <w:behavior w:val="content"/>
        </w:behaviors>
        <w:guid w:val="{2E82B8F7-E406-4741-8328-3D8F3A73B467}"/>
      </w:docPartPr>
      <w:docPartBody>
        <w:p w:rsidR="00D412CA" w:rsidRDefault="007674E2">
          <w:r w:rsidRPr="008651F4">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74E2"/>
    <w:rsid w:val="000405B2"/>
    <w:rsid w:val="00130DB3"/>
    <w:rsid w:val="007674E2"/>
    <w:rsid w:val="00CE03B4"/>
    <w:rsid w:val="00D412CA"/>
    <w:rsid w:val="00DD4985"/>
    <w:rsid w:val="00EF7416"/>
    <w:rsid w:val="00FE045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4E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Policy</UNDP_POPP_DOCUMENT_TYPE>
    <UNDP_POPP_DOCUMENT_TEMPLATE xmlns="8264c5cc-ec60-4b56-8111-ce635d3d139a" xsi:nil="true"/>
    <Location xmlns="e560140e-7b2f-4392-90df-e7567e3021a3" xsi:nil="true"/>
    <TaxCatchAll xmlns="8264c5cc-ec60-4b56-8111-ce635d3d139a">
      <Value>350</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2021-09-24T22:00:00+00:00</UNDP_POPP_PLANNED_REVIEWDATE>
    <UNDP_POPP_LASTMODIFIED xmlns="8264c5cc-ec60-4b56-8111-ce635d3d139a" xsi:nil="true"/>
    <UNDP_POPP_REJECT_COMMENTS xmlns="8264c5cc-ec60-4b56-8111-ce635d3d139a" xsi:nil="true"/>
    <DLCPolicyLabelValue xmlns="e560140e-7b2f-4392-90df-e7567e3021a3">Effective Date: 25/09/2018                                                Version #: 5</DLCPolicyLabelValue>
    <UNDP_POPP_EFFECTIVEDATE xmlns="8264c5cc-ec60-4b56-8111-ce635d3d139a">2018-09-24T22:00:00+00:00</UNDP_POPP_EFFECTIVEDATE>
    <UNDP_POPP_REFITEM_VERSION xmlns="8264c5cc-ec60-4b56-8111-ce635d3d139a">5</UNDP_POPP_REFITEM_VERSION>
    <UNDP_POPP_FILEVERSION xmlns="8264c5cc-ec60-4b56-8111-ce635d3d139a" xsi:nil="true"/>
    <UNDP_POPP_ISACTIVE xmlns="8264c5cc-ec60-4b56-8111-ce635d3d139a">true</UNDP_POPP_ISACTIVE>
    <UNDP_POPP_TITLE_EN xmlns="8264c5cc-ec60-4b56-8111-ce635d3d139a">Regualr Maintanance Accounts Payable</UNDP_POPP_TITLE_EN>
    <DLCPolicyLabelLock xmlns="e560140e-7b2f-4392-90df-e7567e3021a3" xsi:nil="true"/>
    <DLCPolicyLabelClientValue xmlns="e560140e-7b2f-4392-90df-e7567e3021a3">Effective Date: 25/09/2018                                                Version #: 5.0</DLCPolicyLabelClientValue>
    <UNDP_POPP_BUSINESSUNITID_HIDDEN xmlns="8264c5cc-ec60-4b56-8111-ce635d3d139a" xsi:nil="true"/>
    <_dlc_DocId xmlns="8264c5cc-ec60-4b56-8111-ce635d3d139a">POPP-11-2018</_dlc_DocId>
    <_dlc_DocIdUrl xmlns="8264c5cc-ec60-4b56-8111-ce635d3d139a">
      <Url>https://popp.undp.org/_layouts/15/DocIdRedir.aspx?ID=POPP-11-2018</Url>
      <Description>POPP-11-2018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D6148BC8-57EA-4933-BDB5-C1D2BD58AE05}">
  <ds:schemaRefs>
    <ds:schemaRef ds:uri="8264c5cc-ec60-4b56-8111-ce635d3d139a"/>
    <ds:schemaRef ds:uri="http://www.w3.org/XML/1998/namespace"/>
    <ds:schemaRef ds:uri="http://schemas.microsoft.com/sharepoint/v3"/>
    <ds:schemaRef ds:uri="http://purl.org/dc/dcmitype/"/>
    <ds:schemaRef ds:uri="http://purl.org/dc/elements/1.1/"/>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904CC2AE-FB15-46BF-80A5-71BE38CC5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10DAED-4C36-4B7D-BE43-99CD32081BC5}">
  <ds:schemaRefs>
    <ds:schemaRef ds:uri="http://schemas.microsoft.com/sharepoint/events"/>
  </ds:schemaRefs>
</ds:datastoreItem>
</file>

<file path=customXml/itemProps4.xml><?xml version="1.0" encoding="utf-8"?>
<ds:datastoreItem xmlns:ds="http://schemas.openxmlformats.org/officeDocument/2006/customXml" ds:itemID="{B8815211-FC0E-4A31-AB88-27FD05825325}">
  <ds:schemaRefs>
    <ds:schemaRef ds:uri="http://schemas.microsoft.com/sharepoint/v3/contenttype/forms"/>
  </ds:schemaRefs>
</ds:datastoreItem>
</file>

<file path=customXml/itemProps5.xml><?xml version="1.0" encoding="utf-8"?>
<ds:datastoreItem xmlns:ds="http://schemas.openxmlformats.org/officeDocument/2006/customXml" ds:itemID="{EF38F091-85F7-4F99-BDCC-DC8F8AC37FE0}">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750</Words>
  <Characters>4276</Characters>
  <Application>Microsoft Office Word</Application>
  <DocSecurity>0</DocSecurity>
  <Lines>35</Lines>
  <Paragraphs>10</Paragraphs>
  <ScaleCrop>false</ScaleCrop>
  <Company/>
  <LinksUpToDate>false</LinksUpToDate>
  <CharactersWithSpaces>5016</CharactersWithSpaces>
  <SharedDoc>false</SharedDoc>
  <HLinks>
    <vt:vector size="6" baseType="variant">
      <vt:variant>
        <vt:i4>589863</vt:i4>
      </vt:variant>
      <vt:variant>
        <vt:i4>0</vt:i4>
      </vt:variant>
      <vt:variant>
        <vt:i4>0</vt:i4>
      </vt:variant>
      <vt:variant>
        <vt:i4>5</vt:i4>
      </vt:variant>
      <vt:variant>
        <vt:lpwstr>mailto:sheau.weid.ang@undp.org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Pablo Morete</cp:lastModifiedBy>
  <cp:revision>5</cp:revision>
  <dcterms:created xsi:type="dcterms:W3CDTF">2023-01-09T08:44:00Z</dcterms:created>
  <dcterms:modified xsi:type="dcterms:W3CDTF">2023-05-05T09:47:00Z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2be8773c-7957-4a3f-bd9c-8650802f1270</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y fmtid="{D5CDD505-2E9C-101B-9397-08002B2CF9AE}" pid="6" name="MediaServiceImageTags">
    <vt:lpwstr/>
  </property>
  <property fmtid="{D5CDD505-2E9C-101B-9397-08002B2CF9AE}" pid="7" name="UNDP_POPP_BUSINESSPROCESS_HIDDEN">
    <vt:lpwstr/>
  </property>
  <property fmtid="{D5CDD505-2E9C-101B-9397-08002B2CF9AE}" pid="8" name="l0e6ef0c43e74560bd7f3acd1f5e8571">
    <vt:lpwstr>Financial Resources Management|682d4c54-a288-412d-bfec-ce5587bbd25c</vt:lpwstr>
  </property>
  <property fmtid="{D5CDD505-2E9C-101B-9397-08002B2CF9AE}" pid="9" name="DLCPolicyLabelValue">
    <vt:lpwstr>Effective Date: {Effective Date}                                                Version #: {POPPRefItemVersion}</vt:lpwstr>
  </property>
  <property fmtid="{D5CDD505-2E9C-101B-9397-08002B2CF9AE}" pid="10" name="SharedWithUsers">
    <vt:lpwstr>2144;#Armin Pihljak;#1280;#Mike Oswald;#219;#Mohamad Fadzli Othman;#207;#Tanuja Rajalingam;#2072;#Moses Opondo;#5822;#Seow Cheng LOW;#44;#Sheau Weid Ang;#162;#Man Yit Yap;#777;#Mazlan Husin;#1368;#Wan Athirah Wan Ab Aziz;#1492;#Lenny Marlina Mustapah</vt:lpwstr>
  </property>
</Properties>
</file>