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2924B" w14:textId="77777777" w:rsidR="00CE2AF7" w:rsidRPr="005B3F19" w:rsidRDefault="00CE2AF7" w:rsidP="00CE2AF7">
      <w:pPr>
        <w:shd w:val="clear" w:color="auto" w:fill="FFFFFF"/>
        <w:spacing w:line="240" w:lineRule="auto"/>
        <w:textAlignment w:val="top"/>
        <w:rPr>
          <w:rFonts w:ascii="Calibri" w:eastAsia="Times New Roman" w:hAnsi="Calibri" w:cs="Arial"/>
          <w:b/>
          <w:bCs/>
          <w:sz w:val="28"/>
        </w:rPr>
      </w:pPr>
      <w:r>
        <w:rPr>
          <w:rFonts w:ascii="Calibri" w:hAnsi="Calibri"/>
          <w:b/>
          <w:sz w:val="28"/>
        </w:rPr>
        <w:t>Ética, Fraude y Prácticas Corruptas en la Adquisición</w:t>
      </w:r>
    </w:p>
    <w:p w14:paraId="6DD32701" w14:textId="77777777" w:rsidR="00CE2AF7" w:rsidRPr="005E420F" w:rsidRDefault="00CE2AF7" w:rsidP="00CE2AF7">
      <w:pPr>
        <w:shd w:val="clear" w:color="auto" w:fill="FFFFFF"/>
        <w:spacing w:after="0" w:line="240" w:lineRule="auto"/>
        <w:textAlignment w:val="top"/>
        <w:rPr>
          <w:rFonts w:ascii="Calibri" w:eastAsia="Times New Roman" w:hAnsi="Calibri" w:cs="Arial"/>
          <w:color w:val="333333"/>
        </w:rPr>
      </w:pPr>
    </w:p>
    <w:p w14:paraId="588C3099" w14:textId="77777777" w:rsidR="00CE2AF7" w:rsidRPr="007E161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Esta política se basa en cuatro principios clave de la adquisición incluidos en el Reglamento Financiero y Reglamentación Financiera del PNUD. Los criterios son los siguientes:</w:t>
      </w:r>
    </w:p>
    <w:p w14:paraId="15313254" w14:textId="77777777" w:rsidR="00CE2AF7" w:rsidRPr="007E161B" w:rsidRDefault="00CE2AF7" w:rsidP="00CE2AF7">
      <w:pPr>
        <w:pStyle w:val="ListParagraph"/>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1B6484B4" w14:textId="77777777" w:rsidR="00CE2AF7" w:rsidRPr="007E161B" w:rsidRDefault="00CE2AF7" w:rsidP="00CE2AF7">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mejor relación entre calidad y precio;</w:t>
      </w:r>
    </w:p>
    <w:p w14:paraId="7A43AC1A" w14:textId="77777777" w:rsidR="00CE2AF7" w:rsidRPr="007E161B" w:rsidRDefault="00CE2AF7" w:rsidP="00CE2AF7">
      <w:pPr>
        <w:pStyle w:val="ListParagraph"/>
        <w:shd w:val="clear" w:color="auto" w:fill="FFFFFF"/>
        <w:spacing w:after="0" w:line="240" w:lineRule="auto"/>
        <w:ind w:left="1440"/>
        <w:textAlignment w:val="top"/>
        <w:rPr>
          <w:rFonts w:ascii="Calibri" w:eastAsia="Times New Roman" w:hAnsi="Calibri" w:cs="Arial"/>
        </w:rPr>
      </w:pPr>
    </w:p>
    <w:p w14:paraId="112E62ED" w14:textId="77777777" w:rsidR="00CE2AF7" w:rsidRPr="007E161B" w:rsidRDefault="00CE2AF7" w:rsidP="00CE2AF7">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imparcialidad, integridad y transparencia;</w:t>
      </w:r>
    </w:p>
    <w:p w14:paraId="3B95CCC7" w14:textId="77777777" w:rsidR="00CE2AF7" w:rsidRPr="007E161B" w:rsidRDefault="00CE2AF7" w:rsidP="00CE2AF7">
      <w:pPr>
        <w:pStyle w:val="ListParagraph"/>
        <w:shd w:val="clear" w:color="auto" w:fill="FFFFFF"/>
        <w:spacing w:after="0" w:line="240" w:lineRule="auto"/>
        <w:ind w:left="1440"/>
        <w:textAlignment w:val="top"/>
        <w:rPr>
          <w:rFonts w:ascii="Calibri" w:eastAsia="Times New Roman" w:hAnsi="Calibri" w:cs="Arial"/>
        </w:rPr>
      </w:pPr>
    </w:p>
    <w:p w14:paraId="7CDDCE59" w14:textId="77777777" w:rsidR="00CE2AF7" w:rsidRPr="007E161B" w:rsidRDefault="00CE2AF7" w:rsidP="00CE2AF7">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 xml:space="preserve">competencia internacional efectiva;  </w:t>
      </w:r>
    </w:p>
    <w:p w14:paraId="6442274A" w14:textId="77777777" w:rsidR="00CE2AF7" w:rsidRPr="007E161B" w:rsidRDefault="00CE2AF7" w:rsidP="00CE2AF7">
      <w:pPr>
        <w:pStyle w:val="ListParagraph"/>
        <w:shd w:val="clear" w:color="auto" w:fill="FFFFFF"/>
        <w:spacing w:after="0" w:line="240" w:lineRule="auto"/>
        <w:ind w:left="1440"/>
        <w:textAlignment w:val="top"/>
        <w:rPr>
          <w:rFonts w:ascii="Calibri" w:eastAsia="Times New Roman" w:hAnsi="Calibri" w:cs="Arial"/>
        </w:rPr>
      </w:pPr>
    </w:p>
    <w:p w14:paraId="58EA1E91" w14:textId="77777777" w:rsidR="00CE2AF7" w:rsidRPr="007E161B" w:rsidRDefault="00CE2AF7" w:rsidP="00CE2AF7">
      <w:pPr>
        <w:pStyle w:val="ListParagraph"/>
        <w:numPr>
          <w:ilvl w:val="0"/>
          <w:numId w:val="20"/>
        </w:numPr>
        <w:shd w:val="clear" w:color="auto" w:fill="FFFFFF"/>
        <w:spacing w:after="0" w:line="240" w:lineRule="auto"/>
        <w:ind w:left="1440"/>
        <w:textAlignment w:val="top"/>
        <w:rPr>
          <w:rFonts w:ascii="Calibri" w:eastAsia="Times New Roman" w:hAnsi="Calibri" w:cs="Arial"/>
        </w:rPr>
      </w:pPr>
      <w:r>
        <w:rPr>
          <w:rFonts w:ascii="Calibri" w:hAnsi="Calibri"/>
        </w:rPr>
        <w:t>el mejor interés del PNUD.</w:t>
      </w:r>
    </w:p>
    <w:p w14:paraId="28A394F7" w14:textId="77777777" w:rsidR="00CE2AF7" w:rsidRPr="007E161B" w:rsidRDefault="00CE2AF7" w:rsidP="00CE2AF7">
      <w:pPr>
        <w:pStyle w:val="ListParagraph"/>
        <w:shd w:val="clear" w:color="auto" w:fill="FFFFFF"/>
        <w:spacing w:after="0" w:line="240" w:lineRule="auto"/>
        <w:ind w:left="1440"/>
        <w:textAlignment w:val="top"/>
        <w:rPr>
          <w:rFonts w:ascii="Calibri" w:eastAsia="Times New Roman" w:hAnsi="Calibri" w:cs="Arial"/>
        </w:rPr>
      </w:pPr>
    </w:p>
    <w:p w14:paraId="26969DFA" w14:textId="77777777" w:rsidR="00CE2AF7" w:rsidRPr="00C33FC3"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Pr>
          <w:rFonts w:ascii="Calibri" w:hAnsi="Calibri"/>
        </w:rPr>
        <w:t>Como entidad perteneciente al Sistema de las Naciones Unidas, los fondos son confiados al PNUD por las entidades públicas en general. Todas las transacciones de adquisición deben realizarse siguiendo estándares impecables para mantener el máximo grado de confianza pública. Cuando ocurren prácticas fraudulentas y corruptas, el daño se extiende mucho más allá de las pérdidas financieras, lo que representa amenazas serias para la capacidad del PNUD para lograr sus objetivos operativos y programáticos, y para su credibilidad como asociado confiable, eficiente y eficaz.</w:t>
      </w:r>
    </w:p>
    <w:p w14:paraId="7B3735EA" w14:textId="77777777" w:rsidR="00CE2AF7" w:rsidRPr="007E161B" w:rsidRDefault="00CE2AF7" w:rsidP="00CE2AF7">
      <w:pPr>
        <w:pStyle w:val="ListParagraph"/>
        <w:shd w:val="clear" w:color="auto" w:fill="FFFFFF" w:themeFill="background1"/>
        <w:spacing w:before="240" w:after="0" w:line="240" w:lineRule="auto"/>
        <w:jc w:val="both"/>
        <w:textAlignment w:val="top"/>
        <w:rPr>
          <w:rFonts w:ascii="Calibri" w:eastAsia="Times New Roman" w:hAnsi="Calibri" w:cs="Arial"/>
        </w:rPr>
      </w:pPr>
    </w:p>
    <w:p w14:paraId="101C57C2" w14:textId="77777777" w:rsidR="00CE2AF7" w:rsidRPr="007E161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Pr>
          <w:rFonts w:ascii="Calibri" w:hAnsi="Calibri"/>
        </w:rPr>
        <w:t>De acuerdo con las Normas de Conducta de la ONU, el personal del PNUD debe ser consciente de todos los riesgos de fraude y prácticas corruptas que pueden darse en relación con la función de adquisiciones. Esta política orienta la prevención de estas prácticas, además de su identificación y el manejo de respuestas apropiadas. Se debe prestar atención en particular a los entornos de emergencia en los que las presiones para lograr resultados rápidos pueden entrañar riesgos de fraude o corrupción.</w:t>
      </w:r>
    </w:p>
    <w:p w14:paraId="2A5F69CC" w14:textId="77777777" w:rsidR="00CE2AF7" w:rsidRPr="007E161B" w:rsidRDefault="00CE2AF7" w:rsidP="00CE2AF7">
      <w:pPr>
        <w:pStyle w:val="ListParagraph"/>
        <w:shd w:val="clear" w:color="auto" w:fill="FFFFFF"/>
        <w:spacing w:after="0" w:line="240" w:lineRule="auto"/>
        <w:jc w:val="both"/>
        <w:textAlignment w:val="top"/>
        <w:rPr>
          <w:rFonts w:ascii="Calibri" w:eastAsia="Times New Roman" w:hAnsi="Calibri" w:cs="Arial"/>
        </w:rPr>
      </w:pPr>
    </w:p>
    <w:p w14:paraId="296A730E" w14:textId="77777777" w:rsidR="00CE2AF7" w:rsidRPr="00212D9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bookmarkStart w:id="0" w:name="RelevantPolicies"/>
      <w:bookmarkEnd w:id="0"/>
      <w:r>
        <w:rPr>
          <w:rFonts w:ascii="Calibri" w:hAnsi="Calibri"/>
        </w:rPr>
        <w:t>Para cumplir con las normas de conducta de la ONU, el PNUD debe respetar los más altos estándares de ética a lo largo del proceso de adquisición. El proceso debe permitir a los oferentes competir de manera justa, equitativa y transparente. Todo el personal relacionado con adquisiciones es responsable de proteger la integridad y la imparcialidad del proceso.  </w:t>
      </w:r>
    </w:p>
    <w:p w14:paraId="73CC9F8C" w14:textId="77777777" w:rsidR="00CE2AF7" w:rsidRPr="007E161B" w:rsidRDefault="00CE2AF7" w:rsidP="00CE2AF7">
      <w:pPr>
        <w:pStyle w:val="ListParagraph"/>
        <w:rPr>
          <w:rFonts w:ascii="Calibri" w:eastAsia="Times New Roman" w:hAnsi="Calibri" w:cs="Arial"/>
        </w:rPr>
      </w:pPr>
    </w:p>
    <w:p w14:paraId="0C11B84C" w14:textId="77777777" w:rsidR="00CE2AF7" w:rsidRPr="00212D9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 xml:space="preserve">Durante la fase previa a la licitación, el personal no debe permitir a los potenciales oferentes acceder a la información, tanto técnica como financiera o de cualquier otra naturaleza, antes de que la misma esté disponible para de forma pública. El personal no debe utilizar especificaciones, descripciones de la obra o términos de referencia innecesariamente restrictivos que puedan desalentar la competencia. El personal no puede revelar información patentada y de selección de fuentes, en forma directa o indirecta, a ninguna persona que no esté autorizada para recibir información en cualquier momento antes o después del proceso de selección y contratación. </w:t>
      </w:r>
    </w:p>
    <w:p w14:paraId="1ED7E798" w14:textId="77777777" w:rsidR="00CE2AF7" w:rsidRPr="007E161B" w:rsidRDefault="00CE2AF7" w:rsidP="00CE2AF7">
      <w:pPr>
        <w:pStyle w:val="ListParagraph"/>
        <w:rPr>
          <w:rFonts w:ascii="Calibri" w:eastAsia="Times New Roman" w:hAnsi="Calibri" w:cs="Arial"/>
        </w:rPr>
      </w:pPr>
    </w:p>
    <w:p w14:paraId="5BDC7D98" w14:textId="77777777" w:rsidR="00CE2AF7" w:rsidRPr="007E161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 xml:space="preserve">Para evitar conflicto de interés, no está permitido que el personal con un interés financiero en un oferente participe en el proceso de adquisición. Interés financiero significa cualquier cosa con valor monetario, incluidos, entre otros, un interés en una empresa que consista en cualquier acción, opción de compra de acciones o interés propietario similar, pero se excluye cualquier </w:t>
      </w:r>
      <w:r>
        <w:rPr>
          <w:rFonts w:ascii="Calibri" w:hAnsi="Calibri"/>
        </w:rPr>
        <w:lastRenderedPageBreak/>
        <w:t>interés que surja exclusivamente por motivos de inversión en dicha empresa mediante un fondo mutuo, de pensiones u otro tipo de fondo de inversión institucional sobre el cual el funcionario no ejerza ningún control. El interés financiero también puede implicar la recepción, o el derecho o la expectativa de recepción, de cualquier ingreso en una o más de las siguientes formas: costos de asesoramiento, honorarios, salario, subsidios, indulgencia de morosidad, condonación de deudas, interés en propiedades personales o inmuebles, dividendos,</w:t>
      </w:r>
      <w:r w:rsidRPr="00212D9B">
        <w:rPr>
          <w:lang w:val="es-ES_tradnl"/>
        </w:rPr>
        <w:t xml:space="preserve"> cánones</w:t>
      </w:r>
      <w:r>
        <w:rPr>
          <w:lang w:val="es-ES_tradnl"/>
        </w:rPr>
        <w:t>,</w:t>
      </w:r>
      <w:r>
        <w:rPr>
          <w:rFonts w:ascii="Calibri" w:hAnsi="Calibri"/>
        </w:rPr>
        <w:t xml:space="preserve"> derivadas del otorgamiento de licencias de tecnología u otros procesos o productos, renta o ganancia de capital.</w:t>
      </w:r>
    </w:p>
    <w:p w14:paraId="34CB2615" w14:textId="77777777" w:rsidR="00CE2AF7" w:rsidRPr="007E161B" w:rsidRDefault="00CE2AF7" w:rsidP="00CE2AF7">
      <w:pPr>
        <w:pStyle w:val="ListParagraph"/>
        <w:rPr>
          <w:rFonts w:ascii="Calibri" w:eastAsia="Times New Roman" w:hAnsi="Calibri" w:cs="Arial"/>
        </w:rPr>
      </w:pPr>
    </w:p>
    <w:p w14:paraId="7080C2C0" w14:textId="77777777" w:rsidR="00CE2AF7" w:rsidRPr="00212D9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Tampoco está permitido que el personal que tenga intereses personales o profesionales en un oferente participe en el proceso de adquisición. Los intereses personales o profesionales incluyen, entre otros: cualquier organización o empresa en la cual el funcionario, solo o junto con un familiar inmediato (es decir, cónyuge o pareja de hecho e hijos dependientes del empleado), tenga una participación mayoritaria. Estos intereses también implican a cualquier corporación, sociedad, sociedad unipersonal, empresa, franquicia, asociación, organización, grupo de empresas, empresa conjunta, sindicatura, negocio o fondo de inversión inmobiliaria u otra entidad legal no gubernamental organizada con o sin fines de lucro o con fines solidarios; o cualquier cargo ejecutivo o pertenencia a la junta del of</w:t>
      </w:r>
      <w:r w:rsidRPr="00212D9B">
        <w:rPr>
          <w:rFonts w:ascii="Calibri" w:hAnsi="Calibri"/>
        </w:rPr>
        <w:t>erente</w:t>
      </w:r>
      <w:r>
        <w:rPr>
          <w:rFonts w:ascii="Calibri" w:hAnsi="Calibri"/>
        </w:rPr>
        <w:t xml:space="preserve"> independientemente de la compensación; o cualquier cargo que incluya responsabilidades en un segmento significativo de la operación o la gestión de una empresa del oferente.</w:t>
      </w:r>
    </w:p>
    <w:p w14:paraId="16BC38C3" w14:textId="77777777" w:rsidR="00CE2AF7" w:rsidRPr="007E161B" w:rsidRDefault="00CE2AF7" w:rsidP="00CE2AF7">
      <w:pPr>
        <w:pStyle w:val="ListParagraph"/>
        <w:rPr>
          <w:rFonts w:ascii="Calibri" w:eastAsia="Times New Roman" w:hAnsi="Calibri" w:cs="Arial"/>
        </w:rPr>
      </w:pPr>
    </w:p>
    <w:p w14:paraId="4DDA51CD" w14:textId="77777777" w:rsidR="00CE2AF7" w:rsidRPr="007E161B" w:rsidRDefault="00CE2AF7" w:rsidP="00CE2AF7">
      <w:pPr>
        <w:pStyle w:val="ListParagraph"/>
        <w:numPr>
          <w:ilvl w:val="0"/>
          <w:numId w:val="19"/>
        </w:numPr>
        <w:shd w:val="clear" w:color="auto" w:fill="FFFFFF"/>
        <w:spacing w:after="0" w:line="240" w:lineRule="auto"/>
        <w:jc w:val="both"/>
        <w:textAlignment w:val="top"/>
        <w:rPr>
          <w:rFonts w:ascii="Calibri" w:eastAsia="Times New Roman" w:hAnsi="Calibri" w:cs="Arial"/>
        </w:rPr>
      </w:pPr>
      <w:r>
        <w:rPr>
          <w:rFonts w:ascii="Calibri" w:hAnsi="Calibri"/>
        </w:rPr>
        <w:t>Cualquier funcionario de adquisiciones que mantenga un conflicto de intereses o un conflicto potencial deberá notificar de inmediato al Representante Residente/Director de País o al jefe de la unidad de negocio.</w:t>
      </w:r>
    </w:p>
    <w:p w14:paraId="4B8111D2" w14:textId="77777777" w:rsidR="00CE2AF7" w:rsidRPr="007E161B" w:rsidRDefault="00CE2AF7" w:rsidP="00CE2AF7">
      <w:pPr>
        <w:pStyle w:val="ListParagraph"/>
        <w:rPr>
          <w:rFonts w:ascii="Calibri" w:eastAsia="Times New Roman" w:hAnsi="Calibri" w:cs="Arial"/>
        </w:rPr>
      </w:pPr>
    </w:p>
    <w:p w14:paraId="319571CB" w14:textId="77777777" w:rsidR="00CE2AF7" w:rsidRPr="007E161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El PNUD deberá excluir a los proveedores, los contratistas y los consultores de las oportunidades de licitación para adquisiciones si ellos o sus afiliados prestaron servicios de consultoría para la preparación y la ejecución de un proyecto. Para evitar un conflicto de intereses, el oferente y sus afiliados serán descalificados para proveer posteriormente bienes y ejecutar obras civiles con financiación del PNUD para el mismo proyecto.</w:t>
      </w:r>
    </w:p>
    <w:p w14:paraId="4D3B3DAE" w14:textId="77777777" w:rsidR="00CE2AF7" w:rsidRPr="007E161B" w:rsidRDefault="00CE2AF7" w:rsidP="00CE2AF7">
      <w:pPr>
        <w:pStyle w:val="ListParagraph"/>
        <w:rPr>
          <w:rFonts w:ascii="Calibri" w:eastAsia="Times New Roman" w:hAnsi="Calibri" w:cs="Arial"/>
        </w:rPr>
      </w:pPr>
    </w:p>
    <w:p w14:paraId="74BA1A3E" w14:textId="2CA97AC3" w:rsidR="00CE2AF7" w:rsidRPr="00212D9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 xml:space="preserve">Para proteger al PNUD contra el uso ilícito de fondos asignados públicamente en la financiación del terrorismo, las unidades de negocio deben evaluar a todas las entidades con las que realizan operaciones comerciales para asegurar que los fondos se utilicen para los fines previstos. Para mantener el control financiero de dichos fondos públicos y el cumplimiento con los reglamentos y las directrices de las Naciones Unidas en relación con las prácticas de financiación antiterroristas, la diligencia organizacional debida exige que las unidades de negocio realicen una revisión del perfil de la entidad, incluidos sus antecedentes, informes financieros, estados financieros anuales, etc., y que confirmen el registro de la empresa con las autoridades gubernamentales. </w:t>
      </w:r>
      <w:r w:rsidRPr="009D1038">
        <w:rPr>
          <w:rFonts w:ascii="Calibri" w:hAnsi="Calibri"/>
        </w:rPr>
        <w:t>Se debe</w:t>
      </w:r>
      <w:r>
        <w:rPr>
          <w:rFonts w:ascii="Calibri" w:hAnsi="Calibri"/>
        </w:rPr>
        <w:t>rá</w:t>
      </w:r>
      <w:r w:rsidRPr="009D1038">
        <w:rPr>
          <w:rFonts w:ascii="Calibri" w:hAnsi="Calibri"/>
        </w:rPr>
        <w:t xml:space="preserve"> verificar que todas las entidades sean legítimas y no figuren en la </w:t>
      </w:r>
      <w:hyperlink r:id="rId13" w:history="1">
        <w:r w:rsidRPr="0048466D">
          <w:rPr>
            <w:rStyle w:val="Hyperlink"/>
            <w:rFonts w:ascii="Calibri" w:hAnsi="Calibri"/>
          </w:rPr>
          <w:t>lista de proveedores suspendidos o eliminados del Mercado Global de las Naciones Unidas</w:t>
        </w:r>
      </w:hyperlink>
      <w:r w:rsidRPr="00DB5DE8">
        <w:rPr>
          <w:rFonts w:ascii="Calibri" w:hAnsi="Calibri"/>
        </w:rPr>
        <w:t xml:space="preserve"> </w:t>
      </w:r>
      <w:r>
        <w:rPr>
          <w:rFonts w:ascii="Calibri" w:hAnsi="Calibri"/>
        </w:rPr>
        <w:t>(UNGM, United Nations Global Marketplace, por sus siglas en inglés)</w:t>
      </w:r>
      <w:r w:rsidRPr="009D1038">
        <w:rPr>
          <w:rFonts w:ascii="Calibri" w:hAnsi="Calibri"/>
        </w:rPr>
        <w:t xml:space="preserve">, que incluye la lista de terroristas y </w:t>
      </w:r>
      <w:r>
        <w:rPr>
          <w:rFonts w:ascii="Calibri" w:hAnsi="Calibri"/>
        </w:rPr>
        <w:t xml:space="preserve"> </w:t>
      </w:r>
      <w:r w:rsidRPr="009D1038">
        <w:rPr>
          <w:rFonts w:ascii="Calibri" w:hAnsi="Calibri"/>
        </w:rPr>
        <w:t xml:space="preserve">financiadores del terrorismo del Comité del Consejo de Seguridad establecido en virtud de la resolución 1267 (1999), la lista de proveedores suspendidos o eliminados del PNUD y otras listas obligatorias.  </w:t>
      </w:r>
    </w:p>
    <w:p w14:paraId="228DBB28" w14:textId="77777777" w:rsidR="00CE2AF7" w:rsidRDefault="00CE2AF7" w:rsidP="00CE2AF7">
      <w:pPr>
        <w:pStyle w:val="ListParagraph"/>
        <w:jc w:val="both"/>
        <w:rPr>
          <w:rFonts w:ascii="Calibri" w:eastAsia="Times New Roman" w:hAnsi="Calibri" w:cs="Arial"/>
        </w:rPr>
      </w:pPr>
    </w:p>
    <w:p w14:paraId="3251A01C" w14:textId="77777777" w:rsidR="00CE2AF7" w:rsidRDefault="00CE2AF7" w:rsidP="00CE2AF7">
      <w:pPr>
        <w:pStyle w:val="ListParagraph"/>
        <w:jc w:val="both"/>
        <w:rPr>
          <w:rFonts w:ascii="Calibri" w:eastAsia="Times New Roman" w:hAnsi="Calibri" w:cs="Arial"/>
        </w:rPr>
      </w:pPr>
      <w:r w:rsidRPr="009D1038">
        <w:rPr>
          <w:rFonts w:ascii="Calibri" w:eastAsia="Times New Roman" w:hAnsi="Calibri" w:cs="Arial"/>
        </w:rPr>
        <w:lastRenderedPageBreak/>
        <w:t>La verificación de los proveedores puede requerir la obtención de documentación justificativa de una relación comercial de buena fe entre el PNUD y el proveedor. Entre los principales documentos justificativos figuran los originales o las copias certificadas en las que se indica el nombre completo, la dirección y los datos bancarios del proveedor y que están debidamente firmados por un funcionario autorizado de la empresa, respaldados por una copia del extracto bancario o un cheque anulado. Esta documentación justificativa debe conservarse y archivarse en condiciones de seguridad. En el POPP se especifican el procedimiento completo y las orientaciones de procedimiento conexas, incluida la comprobación de fuentes alternativas de información para garantizar la legitimidad del proveedor.</w:t>
      </w:r>
    </w:p>
    <w:p w14:paraId="00781CF4" w14:textId="77777777" w:rsidR="00CE2AF7" w:rsidRPr="007E161B" w:rsidRDefault="00CE2AF7" w:rsidP="00CE2AF7">
      <w:pPr>
        <w:pStyle w:val="ListParagraph"/>
        <w:rPr>
          <w:rFonts w:ascii="Calibri" w:eastAsia="Times New Roman" w:hAnsi="Calibri" w:cs="Arial"/>
        </w:rPr>
      </w:pPr>
    </w:p>
    <w:p w14:paraId="1AFB7AC2" w14:textId="77777777" w:rsidR="00CE2AF7" w:rsidRPr="00212D9B" w:rsidRDefault="00CE2AF7" w:rsidP="00CE2AF7">
      <w:pPr>
        <w:pStyle w:val="ListParagraph"/>
        <w:numPr>
          <w:ilvl w:val="0"/>
          <w:numId w:val="19"/>
        </w:numPr>
        <w:shd w:val="clear" w:color="auto" w:fill="FFFFFF" w:themeFill="background1"/>
        <w:spacing w:after="0" w:line="240" w:lineRule="auto"/>
        <w:jc w:val="both"/>
        <w:textAlignment w:val="top"/>
        <w:rPr>
          <w:rFonts w:ascii="Calibri" w:eastAsia="Times New Roman" w:hAnsi="Calibri" w:cs="Arial"/>
        </w:rPr>
      </w:pPr>
      <w:r>
        <w:rPr>
          <w:rFonts w:ascii="Calibri" w:hAnsi="Calibri"/>
        </w:rPr>
        <w:t xml:space="preserve">Todo el personal es responsable de que sus acciones estén dentro del marco legal. Cualquier funcionario que realice alguna acción contraria al Reglamento Financiero y Reglamentación Financiera del PNUD o a esta política se considerará personal y financieramente responsable de las consecuencias. </w:t>
      </w:r>
    </w:p>
    <w:p w14:paraId="3CA12E35" w14:textId="77777777" w:rsidR="00CE2AF7" w:rsidRPr="007E161B" w:rsidRDefault="00CE2AF7" w:rsidP="00CE2AF7">
      <w:pPr>
        <w:pStyle w:val="ListParagraph"/>
        <w:shd w:val="clear" w:color="auto" w:fill="FFFFFF"/>
        <w:spacing w:after="0" w:line="240" w:lineRule="auto"/>
        <w:jc w:val="both"/>
        <w:textAlignment w:val="top"/>
        <w:rPr>
          <w:rFonts w:ascii="Calibri" w:eastAsia="Times New Roman" w:hAnsi="Calibri" w:cs="Arial"/>
        </w:rPr>
      </w:pPr>
    </w:p>
    <w:p w14:paraId="0E768268" w14:textId="77777777" w:rsidR="00CE2AF7" w:rsidRPr="00C33FC3"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rPr>
        <w:t xml:space="preserve">Los riesgos clave que deben evitarse en cada una de las fases de adquisición incluyen los siguientes: </w:t>
      </w:r>
    </w:p>
    <w:p w14:paraId="73759529" w14:textId="77777777" w:rsidR="00CE2AF7" w:rsidRPr="00212D9B" w:rsidRDefault="00CE2AF7" w:rsidP="00CE2AF7">
      <w:pPr>
        <w:shd w:val="clear" w:color="auto" w:fill="FFFFFF" w:themeFill="background1"/>
        <w:spacing w:before="100" w:beforeAutospacing="1" w:after="100" w:afterAutospacing="1" w:line="240" w:lineRule="auto"/>
        <w:ind w:left="720"/>
        <w:textAlignment w:val="top"/>
        <w:rPr>
          <w:rFonts w:ascii="Calibri" w:hAnsi="Calibri"/>
        </w:rPr>
      </w:pPr>
      <w:r>
        <w:rPr>
          <w:rFonts w:ascii="Calibri" w:hAnsi="Calibri"/>
        </w:rPr>
        <w:t>Planificación/definición de presupuestos de adquisiciones:</w:t>
      </w:r>
    </w:p>
    <w:p w14:paraId="00E84DBE" w14:textId="77777777" w:rsidR="00CE2AF7" w:rsidRPr="00212D9B" w:rsidRDefault="00CE2AF7" w:rsidP="00CE2AF7">
      <w:pPr>
        <w:numPr>
          <w:ilvl w:val="0"/>
          <w:numId w:val="21"/>
        </w:numPr>
        <w:shd w:val="clear" w:color="auto" w:fill="FFFFFF" w:themeFill="background1"/>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análisis inadecuado del mercado de suministros, de los requisitos organizacionales, y </w:t>
      </w:r>
      <w:r w:rsidRPr="00212D9B">
        <w:rPr>
          <w:rFonts w:ascii="Calibri" w:hAnsi="Calibri"/>
        </w:rPr>
        <w:t xml:space="preserve">de </w:t>
      </w:r>
      <w:r>
        <w:rPr>
          <w:rFonts w:ascii="Calibri" w:hAnsi="Calibri"/>
        </w:rPr>
        <w:t xml:space="preserve">las necesidades y los problemas de las partes interesadas; </w:t>
      </w:r>
    </w:p>
    <w:p w14:paraId="6AFB31A3" w14:textId="77777777" w:rsidR="00CE2AF7" w:rsidRPr="007E161B" w:rsidRDefault="00CE2AF7" w:rsidP="00CE2AF7">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falta de planificación y, por consiguiente, falta de evaluación de riesgos;  </w:t>
      </w:r>
    </w:p>
    <w:p w14:paraId="41AC1C39" w14:textId="77777777" w:rsidR="00CE2AF7" w:rsidRPr="007E161B" w:rsidRDefault="00CE2AF7" w:rsidP="00CE2AF7">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necesidades de adquisición artificialmente infladas o enunciadas de una manera que permite la aprobación de bienes o servicios de baja calidad;  </w:t>
      </w:r>
    </w:p>
    <w:p w14:paraId="02C38C34" w14:textId="77777777" w:rsidR="00CE2AF7" w:rsidRPr="007E161B" w:rsidRDefault="00CE2AF7" w:rsidP="00CE2AF7">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requisitos preparados de una manera que favorece o desfavorece a determinados proveedores; </w:t>
      </w:r>
    </w:p>
    <w:p w14:paraId="22E66409" w14:textId="77777777" w:rsidR="00CE2AF7" w:rsidRPr="007E161B" w:rsidRDefault="00CE2AF7" w:rsidP="00CE2AF7">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«justificación» poco fundamentada para las exenciones;</w:t>
      </w:r>
    </w:p>
    <w:p w14:paraId="7B986923" w14:textId="77777777" w:rsidR="00CE2AF7" w:rsidRPr="00C33FC3" w:rsidRDefault="00CE2AF7" w:rsidP="00CE2AF7">
      <w:pPr>
        <w:numPr>
          <w:ilvl w:val="0"/>
          <w:numId w:val="21"/>
        </w:numPr>
        <w:shd w:val="clear" w:color="auto" w:fill="FFFFFF" w:themeFill="background1"/>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presupuestos artificialmente altos.  </w:t>
      </w:r>
    </w:p>
    <w:p w14:paraId="21065994" w14:textId="77777777" w:rsidR="00CE2AF7" w:rsidRPr="007E161B" w:rsidRDefault="00CE2AF7" w:rsidP="00CE2AF7">
      <w:pPr>
        <w:shd w:val="clear" w:color="auto" w:fill="FFFFFF"/>
        <w:spacing w:before="100" w:beforeAutospacing="1" w:after="100" w:afterAutospacing="1" w:line="240" w:lineRule="auto"/>
        <w:ind w:left="720"/>
        <w:textAlignment w:val="top"/>
        <w:rPr>
          <w:rFonts w:ascii="Calibri" w:eastAsia="Times New Roman" w:hAnsi="Calibri" w:cs="Arial"/>
        </w:rPr>
      </w:pPr>
      <w:r>
        <w:rPr>
          <w:rFonts w:ascii="Calibri" w:hAnsi="Calibri"/>
        </w:rPr>
        <w:t>Selección de adquisición:</w:t>
      </w:r>
    </w:p>
    <w:p w14:paraId="0BA751F8"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uso de métodos inapropiados de adquisición con el propósito de encontrar maneras para desvirtuar el proceso habitual de toma de decisiones; </w:t>
      </w:r>
    </w:p>
    <w:p w14:paraId="2D004A59"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criterios de evaluación diseñados para favorecer a un proveedor en particular o desfavorecer a otros;  </w:t>
      </w:r>
    </w:p>
    <w:p w14:paraId="7F30F518"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información compartida para favorecer a un proveedor en particular;  </w:t>
      </w:r>
    </w:p>
    <w:p w14:paraId="1437A5D6"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restricción indebida de la base de proveedores potenciales; </w:t>
      </w:r>
    </w:p>
    <w:p w14:paraId="35E1CFFF"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lastRenderedPageBreak/>
        <w:t xml:space="preserve">aceptación de ofertas o propuestas de última hora;  </w:t>
      </w:r>
    </w:p>
    <w:p w14:paraId="32F52787"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rechazo de ofertas legítimas;  </w:t>
      </w:r>
    </w:p>
    <w:p w14:paraId="01FA413C"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evaluación inapropiada de un proveedor; </w:t>
      </w:r>
    </w:p>
    <w:p w14:paraId="78A55071" w14:textId="77777777" w:rsidR="00CE2AF7" w:rsidRPr="007E161B" w:rsidRDefault="00CE2AF7" w:rsidP="00CE2AF7">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manejo inapropiado de ofertas recibidas;</w:t>
      </w:r>
    </w:p>
    <w:p w14:paraId="790C015A" w14:textId="77777777" w:rsidR="00CE2AF7" w:rsidRPr="007E161B" w:rsidRDefault="00CE2AF7" w:rsidP="00CE2AF7">
      <w:pPr>
        <w:numPr>
          <w:ilvl w:val="0"/>
          <w:numId w:val="22"/>
        </w:numPr>
        <w:shd w:val="clear" w:color="auto" w:fill="FFFFFF" w:themeFill="background1"/>
        <w:tabs>
          <w:tab w:val="clear" w:pos="720"/>
        </w:tabs>
        <w:spacing w:before="240" w:after="100" w:afterAutospacing="1" w:line="240" w:lineRule="auto"/>
        <w:ind w:left="1440"/>
        <w:textAlignment w:val="top"/>
        <w:rPr>
          <w:rFonts w:ascii="Calibri" w:eastAsia="Times New Roman" w:hAnsi="Calibri" w:cs="Arial"/>
        </w:rPr>
      </w:pPr>
      <w:r>
        <w:rPr>
          <w:rFonts w:ascii="Calibri" w:hAnsi="Calibri"/>
        </w:rPr>
        <w:t xml:space="preserve">falla en la detección de documentos fraudulentos presentados por los licitantes. </w:t>
      </w:r>
    </w:p>
    <w:p w14:paraId="05580139" w14:textId="77777777" w:rsidR="00CE2AF7" w:rsidRPr="007E161B" w:rsidRDefault="00CE2AF7" w:rsidP="00CE2AF7">
      <w:pPr>
        <w:shd w:val="clear" w:color="auto" w:fill="FFFFFF"/>
        <w:spacing w:before="100" w:beforeAutospacing="1" w:after="100" w:afterAutospacing="1" w:line="240" w:lineRule="auto"/>
        <w:ind w:left="720"/>
        <w:textAlignment w:val="top"/>
        <w:rPr>
          <w:rFonts w:ascii="Calibri" w:eastAsia="Times New Roman" w:hAnsi="Calibri" w:cs="Arial"/>
        </w:rPr>
      </w:pPr>
      <w:r>
        <w:rPr>
          <w:rFonts w:ascii="Calibri" w:hAnsi="Calibri"/>
        </w:rPr>
        <w:t>Adjudicación y gestión de contratos:</w:t>
      </w:r>
    </w:p>
    <w:p w14:paraId="1C33A1DB" w14:textId="77777777" w:rsidR="00CE2AF7" w:rsidRPr="00212D9B" w:rsidRDefault="00CE2AF7" w:rsidP="00CE2AF7">
      <w:pPr>
        <w:numPr>
          <w:ilvl w:val="0"/>
          <w:numId w:val="23"/>
        </w:numPr>
        <w:shd w:val="clear" w:color="auto" w:fill="FFFFFF" w:themeFill="background1"/>
        <w:tabs>
          <w:tab w:val="clear" w:pos="720"/>
        </w:tabs>
        <w:spacing w:before="240" w:after="100" w:afterAutospacing="1" w:line="240" w:lineRule="auto"/>
        <w:ind w:left="1440"/>
        <w:jc w:val="both"/>
        <w:textAlignment w:val="top"/>
        <w:rPr>
          <w:rFonts w:ascii="Calibri" w:eastAsia="Times New Roman" w:hAnsi="Calibri" w:cs="Arial"/>
        </w:rPr>
      </w:pPr>
      <w:r w:rsidRPr="00212D9B">
        <w:rPr>
          <w:rFonts w:ascii="Calibri" w:hAnsi="Calibri"/>
        </w:rPr>
        <w:t>dividir los procesos de adquisición</w:t>
      </w:r>
      <w:r>
        <w:rPr>
          <w:rFonts w:ascii="Calibri" w:hAnsi="Calibri"/>
        </w:rPr>
        <w:t xml:space="preserve"> para mantenerse debajo del techo para la revisión de adquisiciones por parte de los comités correspondientes; </w:t>
      </w:r>
    </w:p>
    <w:p w14:paraId="03D5003D"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ofertas irrealmente bajas con la expectativa de enmendar con posterioridad el contrato; </w:t>
      </w:r>
    </w:p>
    <w:p w14:paraId="1D76E80C"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bienes o expertos de nivel irrealmente alto presentados en una propuesta enviada, con un alto riesgo de ser reemplazados luego por otros inferiores; </w:t>
      </w:r>
    </w:p>
    <w:p w14:paraId="75B0DD90"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subcontratistas corruptos;  </w:t>
      </w:r>
    </w:p>
    <w:p w14:paraId="1D30C8E9"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contrato diferente de la oferta o la propuesta en relación con las especificaciones, las cantidades, el nivel de esfuerzo, el calendario de entrega y los términos de pago; </w:t>
      </w:r>
    </w:p>
    <w:p w14:paraId="73986630"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requisitos de supervisión y presentación de informes minimizados para evitar el control de calidad apropiado;  </w:t>
      </w:r>
    </w:p>
    <w:p w14:paraId="38952D95"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personal inadecuado para la supervisión; </w:t>
      </w:r>
    </w:p>
    <w:p w14:paraId="4E028791"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aceptación de sobrecostos; </w:t>
      </w:r>
    </w:p>
    <w:p w14:paraId="5217A8BB"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manipulación y destrucción de documentación de respaldo; </w:t>
      </w:r>
    </w:p>
    <w:p w14:paraId="70B0ECB7" w14:textId="77777777" w:rsidR="00CE2AF7" w:rsidRPr="007E161B"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partición de contratos u órdenes de compra para evitar la investigación;</w:t>
      </w:r>
    </w:p>
    <w:p w14:paraId="4E762011" w14:textId="77777777" w:rsidR="00CE2AF7" w:rsidRPr="00C33FC3" w:rsidRDefault="00CE2AF7" w:rsidP="00CE2AF7">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extensión o enmienda injustificadas del contrato.</w:t>
      </w:r>
    </w:p>
    <w:p w14:paraId="24B9021F" w14:textId="77777777" w:rsidR="00CE2AF7" w:rsidRPr="00212D9B" w:rsidRDefault="00CE2AF7" w:rsidP="00CE2AF7">
      <w:pPr>
        <w:shd w:val="clear" w:color="auto" w:fill="FFFFFF" w:themeFill="background1"/>
        <w:spacing w:before="100" w:beforeAutospacing="1" w:after="100" w:afterAutospacing="1" w:line="240" w:lineRule="auto"/>
        <w:ind w:left="720"/>
        <w:textAlignment w:val="top"/>
        <w:rPr>
          <w:rFonts w:ascii="Calibri" w:hAnsi="Calibri"/>
        </w:rPr>
      </w:pPr>
      <w:r>
        <w:rPr>
          <w:rFonts w:ascii="Calibri" w:hAnsi="Calibri"/>
        </w:rPr>
        <w:t>Es necesario velar constantemente en aspectos tales como:</w:t>
      </w:r>
    </w:p>
    <w:p w14:paraId="68931FD9" w14:textId="77777777" w:rsidR="00CE2AF7" w:rsidRPr="007E161B" w:rsidRDefault="00CE2AF7" w:rsidP="00CE2AF7">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reforzar la conducta ética según lo establecido por las políticas del PNUD, respaldada por capacitación y asesoramiento adecuados sobre dilemas éticos;</w:t>
      </w:r>
    </w:p>
    <w:p w14:paraId="6F39B7B3" w14:textId="77777777" w:rsidR="00CE2AF7" w:rsidRPr="007E161B" w:rsidRDefault="00CE2AF7" w:rsidP="00CE2AF7">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garantizar la planificación adecuada de la adquisición, incluida la evaluación de riesgos; </w:t>
      </w:r>
    </w:p>
    <w:p w14:paraId="14492F23" w14:textId="77777777" w:rsidR="00CE2AF7" w:rsidRPr="00212D9B" w:rsidRDefault="00CE2AF7" w:rsidP="00CE2AF7">
      <w:pPr>
        <w:numPr>
          <w:ilvl w:val="0"/>
          <w:numId w:val="24"/>
        </w:numPr>
        <w:shd w:val="clear" w:color="auto" w:fill="FFFFFF" w:themeFill="background1"/>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mantener una clara  separación de las funciones;</w:t>
      </w:r>
    </w:p>
    <w:p w14:paraId="56A214C6" w14:textId="77777777" w:rsidR="00CE2AF7" w:rsidRPr="007E161B" w:rsidRDefault="00CE2AF7" w:rsidP="00CE2AF7">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lastRenderedPageBreak/>
        <w:t>actuar de una manera transparente; p. ej., al compartir públicamente los calendarios y los planes de adquisiciones, las licitaciones y las adjudicaciones de contratos;</w:t>
      </w:r>
    </w:p>
    <w:p w14:paraId="2303DF93" w14:textId="77777777" w:rsidR="00CE2AF7" w:rsidRPr="007E161B" w:rsidRDefault="00CE2AF7" w:rsidP="00CE2AF7">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garantizar la supervisión, p. ej., mediante verificaciones esporádicas regulares de las transacciones de adquisiciones y los perfiles de los proveedores, y verificaciones de antecedentes de los proveedores;</w:t>
      </w:r>
    </w:p>
    <w:p w14:paraId="66A4D69A" w14:textId="77777777" w:rsidR="00CE2AF7" w:rsidRPr="00212D9B" w:rsidRDefault="00CE2AF7" w:rsidP="00CE2AF7">
      <w:pPr>
        <w:numPr>
          <w:ilvl w:val="0"/>
          <w:numId w:val="24"/>
        </w:numPr>
        <w:shd w:val="clear" w:color="auto" w:fill="FFFFFF" w:themeFill="background1"/>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preparar informes anuales sobre las actividades de adquisición, prestando atención en particular a la cantidad de excepciones presentadass independientemente del monto involucrado, la cantidad acumulativa de contratos por proveedor, etc. </w:t>
      </w:r>
    </w:p>
    <w:p w14:paraId="5CC9C7BB" w14:textId="77777777" w:rsidR="00CE2AF7" w:rsidRPr="007E161B" w:rsidRDefault="00CE2AF7" w:rsidP="00CE2AF7">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rPr>
      </w:pPr>
      <w:r>
        <w:rPr>
          <w:rFonts w:ascii="Calibri" w:hAnsi="Calibri"/>
        </w:rPr>
        <w:t xml:space="preserve">informar las instancias de fraude y corrupción de manera oportuna y precisa. </w:t>
      </w:r>
    </w:p>
    <w:p w14:paraId="44003F74" w14:textId="77777777" w:rsidR="00CE2AF7" w:rsidRPr="007E161B" w:rsidRDefault="00CE2AF7" w:rsidP="00CE2AF7">
      <w:pPr>
        <w:pStyle w:val="Head1"/>
        <w:rPr>
          <w:szCs w:val="22"/>
        </w:rPr>
      </w:pPr>
      <w:bookmarkStart w:id="1" w:name="Procedures"/>
      <w:bookmarkStart w:id="2" w:name="_Toc449604615"/>
      <w:bookmarkEnd w:id="1"/>
      <w:r>
        <w:t>Áreas Vulnerables en la función de Adquisición</w:t>
      </w:r>
      <w:bookmarkEnd w:id="2"/>
    </w:p>
    <w:p w14:paraId="588F1BE8" w14:textId="77777777" w:rsidR="00CE2AF7" w:rsidRPr="00C33FC3"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sidRPr="00212D9B">
        <w:rPr>
          <w:rFonts w:ascii="Calibri" w:hAnsi="Calibri"/>
          <w:b/>
          <w:bCs/>
          <w:u w:val="single"/>
        </w:rPr>
        <w:t xml:space="preserve">Conflicto de interés: </w:t>
      </w:r>
      <w:r>
        <w:rPr>
          <w:rFonts w:ascii="Calibri" w:hAnsi="Calibri"/>
        </w:rPr>
        <w:t>cualquier aporte al proceso de adquisición realizado por una parte con intereses creados en el resultado crea un conflicto de intereses. Los conflictos pueden ser reales, percibidos o potenciales. Son más graves en la siguiente situación:</w:t>
      </w:r>
    </w:p>
    <w:p w14:paraId="052E7A29" w14:textId="77777777" w:rsidR="00CE2AF7" w:rsidRPr="007E161B" w:rsidRDefault="00CE2AF7" w:rsidP="00CE2AF7">
      <w:pPr>
        <w:pStyle w:val="ListParagraph"/>
        <w:shd w:val="clear" w:color="auto" w:fill="FFFFFF" w:themeFill="background1"/>
        <w:spacing w:before="240" w:after="0" w:line="240" w:lineRule="auto"/>
        <w:jc w:val="both"/>
        <w:textAlignment w:val="top"/>
        <w:rPr>
          <w:rFonts w:ascii="Calibri" w:eastAsia="Times New Roman" w:hAnsi="Calibri" w:cs="Arial"/>
        </w:rPr>
      </w:pPr>
    </w:p>
    <w:p w14:paraId="6311396E" w14:textId="77777777" w:rsidR="00CE2AF7" w:rsidRPr="007E161B"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rPr>
        <w:t xml:space="preserve">Durante la </w:t>
      </w:r>
      <w:r>
        <w:rPr>
          <w:rFonts w:ascii="Calibri" w:hAnsi="Calibri"/>
          <w:b/>
          <w:u w:val="single"/>
        </w:rPr>
        <w:t>fase de desarrollo de la estrategia</w:t>
      </w:r>
      <w:r>
        <w:rPr>
          <w:rFonts w:ascii="Calibri" w:hAnsi="Calibri"/>
        </w:rPr>
        <w:t>, una investigación inadecuada o sesgada del mercado de suministros puede limitar las fuentes de abastecimiento a productos o proveedores específicos. Algunos ejemplos incluyen la competencia justa en relación con los términos de referencia y/o la especificación técnica.  Todos los involucrados en los pasos clave de la adquisición deben declarar todos sus intereses, incluidos los reales, los percibidos y los potenciales, con anticipación. También deben firmar acuerdos de confidencialidad sobre no divulgar información recibida durante el proceso. </w:t>
      </w:r>
    </w:p>
    <w:p w14:paraId="26D51631" w14:textId="77777777" w:rsidR="00CE2AF7" w:rsidRPr="007E161B" w:rsidRDefault="00CE2AF7" w:rsidP="00CE2AF7">
      <w:pPr>
        <w:pStyle w:val="ListParagraph"/>
        <w:shd w:val="clear" w:color="auto" w:fill="FFFFFF"/>
        <w:spacing w:before="240" w:after="0" w:line="240" w:lineRule="auto"/>
        <w:jc w:val="both"/>
        <w:textAlignment w:val="top"/>
        <w:rPr>
          <w:rFonts w:ascii="Calibri" w:eastAsia="Times New Roman" w:hAnsi="Calibri" w:cs="Arial"/>
        </w:rPr>
      </w:pPr>
    </w:p>
    <w:p w14:paraId="57C1187C" w14:textId="77777777" w:rsidR="00CE2AF7" w:rsidRPr="007E161B"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La colusión entre los funcionarios del PNUD o entre el personal y los proveedores del PNUD</w:t>
      </w:r>
      <w:r>
        <w:rPr>
          <w:rFonts w:ascii="Calibri" w:hAnsi="Calibri"/>
        </w:rPr>
        <w:t xml:space="preserve"> podría implicar sobornos o gratificaciones, que conllevarían a la manipulación del proceso por parte del personal del PNUD, por ejemplo, al restringir la lista de proveedores. Es fundamental no permitir que los empleados trabajen solos en muchos pasos del proceso de adquisiciones, especialmente en la evaluación de los proveedores y en las negociaciones con estos.   </w:t>
      </w:r>
    </w:p>
    <w:p w14:paraId="25D54037" w14:textId="77777777" w:rsidR="00CE2AF7" w:rsidRPr="007E161B" w:rsidRDefault="00CE2AF7" w:rsidP="00CE2AF7">
      <w:pPr>
        <w:pStyle w:val="ListParagraph"/>
        <w:rPr>
          <w:rFonts w:ascii="Calibri" w:eastAsia="Times New Roman" w:hAnsi="Calibri" w:cs="Arial"/>
        </w:rPr>
      </w:pPr>
    </w:p>
    <w:p w14:paraId="010D386E"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Pr>
          <w:rFonts w:ascii="Calibri" w:hAnsi="Calibri"/>
        </w:rPr>
        <w:t xml:space="preserve">Cuando diferentes proveedores tienen los mismos propietarios o están asociados de algún otro modo, la competencia podría no ser significativa. Las invitaciones limitadas aumentan la exposición a este riesgo, dado que los proveedores podrían actuar como un cartel, lo que podría tener un impacto en los precios o las decisiones.  El decision indebida de otorgar la condición/”status” de «proveedor único» reduce la competencia y puede dar lugar a la competencia no genuina. </w:t>
      </w:r>
    </w:p>
    <w:p w14:paraId="733A7B25" w14:textId="77777777" w:rsidR="00CE2AF7" w:rsidRPr="007E161B" w:rsidRDefault="00CE2AF7" w:rsidP="00CE2AF7">
      <w:pPr>
        <w:pStyle w:val="ListParagraph"/>
        <w:rPr>
          <w:rFonts w:ascii="Calibri" w:eastAsia="Times New Roman" w:hAnsi="Calibri" w:cs="Arial"/>
          <w:iCs/>
        </w:rPr>
      </w:pPr>
    </w:p>
    <w:p w14:paraId="25933A92"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Pr>
          <w:rFonts w:ascii="Calibri" w:hAnsi="Calibri"/>
        </w:rPr>
        <w:t>Es importante asegurar la existencia de una amplia base de proveedores competitivos y evitar las excepcionalidades (waiver)</w:t>
      </w:r>
      <w:r w:rsidRPr="00212D9B">
        <w:rPr>
          <w:rFonts w:ascii="Calibri" w:hAnsi="Calibri"/>
        </w:rPr>
        <w:t>, especialmente basad</w:t>
      </w:r>
      <w:r>
        <w:rPr>
          <w:rFonts w:ascii="Calibri" w:hAnsi="Calibri"/>
        </w:rPr>
        <w:t>a</w:t>
      </w:r>
      <w:r w:rsidRPr="00212D9B">
        <w:rPr>
          <w:rFonts w:ascii="Calibri" w:hAnsi="Calibri"/>
        </w:rPr>
        <w:t xml:space="preserve">s en </w:t>
      </w:r>
      <w:r>
        <w:rPr>
          <w:rFonts w:ascii="Calibri" w:hAnsi="Calibri"/>
        </w:rPr>
        <w:t>«proveedor único». En muchos mercados de suministros, es posible que las fuentes sean limitadas, un factor de riesgo que requiere un análisis cuidadoso del mercado de suministros que debe documentarse ampliamente y transmitirse a los comités de revisión de adquisiciones para su revisión. </w:t>
      </w:r>
    </w:p>
    <w:p w14:paraId="1C3AC949" w14:textId="77777777" w:rsidR="00CE2AF7" w:rsidRPr="007E161B" w:rsidRDefault="00CE2AF7" w:rsidP="00CE2AF7">
      <w:pPr>
        <w:pStyle w:val="ListParagraph"/>
        <w:shd w:val="clear" w:color="auto" w:fill="FFFFFF"/>
        <w:spacing w:before="240" w:after="0" w:line="240" w:lineRule="auto"/>
        <w:jc w:val="both"/>
        <w:textAlignment w:val="top"/>
        <w:rPr>
          <w:rFonts w:ascii="Calibri" w:eastAsia="Times New Roman" w:hAnsi="Calibri" w:cs="Arial"/>
        </w:rPr>
      </w:pPr>
      <w:r>
        <w:rPr>
          <w:rFonts w:ascii="Calibri" w:hAnsi="Calibri"/>
        </w:rPr>
        <w:t xml:space="preserve"> </w:t>
      </w:r>
    </w:p>
    <w:p w14:paraId="1648AB9F"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Pr>
          <w:rFonts w:ascii="Calibri" w:hAnsi="Calibri"/>
        </w:rPr>
        <w:lastRenderedPageBreak/>
        <w:t>También puede ser posible considerar productos o servicios s</w:t>
      </w:r>
      <w:r w:rsidRPr="00212D9B">
        <w:rPr>
          <w:lang w:val="es-ES_tradnl"/>
        </w:rPr>
        <w:t>ustitutivos</w:t>
      </w:r>
      <w:r w:rsidDel="009E1AC3">
        <w:rPr>
          <w:rFonts w:ascii="Calibri" w:hAnsi="Calibri"/>
        </w:rPr>
        <w:t xml:space="preserve"> </w:t>
      </w:r>
      <w:r>
        <w:rPr>
          <w:rFonts w:ascii="Calibri" w:hAnsi="Calibri"/>
        </w:rPr>
        <w:t xml:space="preserve"> que atenderían la misma necesidad.  En algunos casos, esto permitiría identificar proveedores de mercados más competitivos. Identifique proveedores potenciales en el Portal Mundial para los Proveedores de las Naciones Unidas (UNGM) y publique las oportunidades de adquisición para permitir la </w:t>
      </w:r>
      <w:r>
        <w:rPr>
          <w:lang w:val="es-ES_tradnl"/>
        </w:rPr>
        <w:t xml:space="preserve">difusión </w:t>
      </w:r>
      <w:r>
        <w:rPr>
          <w:rFonts w:ascii="Calibri" w:hAnsi="Calibri"/>
        </w:rPr>
        <w:t>pública de los requerimientos. Brinde oportunidades a bases más amplias de proveedores. Realice verificaciones minuciosas de antecedentes de las empresas y busque proveedores que tengan diferentes nombres, pero los mismos números de teléfono, direcciones, información bancaria, propietarios y gerentes.</w:t>
      </w:r>
    </w:p>
    <w:p w14:paraId="7CECABC7" w14:textId="77777777" w:rsidR="00CE2AF7" w:rsidRPr="007E161B" w:rsidRDefault="00CE2AF7" w:rsidP="00CE2AF7">
      <w:pPr>
        <w:pStyle w:val="ListParagraph"/>
        <w:rPr>
          <w:rFonts w:ascii="Calibri" w:eastAsia="Times New Roman" w:hAnsi="Calibri" w:cs="Arial"/>
          <w:b/>
          <w:bCs/>
          <w:u w:val="single"/>
        </w:rPr>
      </w:pPr>
    </w:p>
    <w:p w14:paraId="1E86FA44" w14:textId="77777777" w:rsidR="00CE2AF7" w:rsidRPr="007E161B"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b/>
          <w:u w:val="single"/>
        </w:rPr>
        <w:t>La ventaja desleal a proveedores individuales</w:t>
      </w:r>
      <w:r>
        <w:rPr>
          <w:rFonts w:ascii="Calibri" w:hAnsi="Calibri"/>
        </w:rPr>
        <w:t xml:space="preserve"> significa que la información no se divulga de manera uniforme a todos los proveedores potenciales durante el proceso de licitación, o que se divulga información privilegiada a un proveedor potencial o un proveedor existente. Permitir que el personal actúe solo o que realice investigaciones de mercado ineficaces puede dar lugar a la ventaja desleal. </w:t>
      </w:r>
    </w:p>
    <w:p w14:paraId="3B3BB7AE" w14:textId="77777777" w:rsidR="00CE2AF7" w:rsidRPr="007E161B" w:rsidRDefault="00CE2AF7" w:rsidP="00CE2AF7">
      <w:pPr>
        <w:pStyle w:val="ListParagraph"/>
        <w:rPr>
          <w:rFonts w:ascii="Calibri" w:eastAsia="Times New Roman" w:hAnsi="Calibri" w:cs="Arial"/>
          <w:iCs/>
        </w:rPr>
      </w:pPr>
    </w:p>
    <w:p w14:paraId="7D0251CB" w14:textId="77777777" w:rsidR="00CE2AF7" w:rsidRPr="007E161B"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rPr>
        <w:t>Documente las interacciones con los proveedores y los proveedores potenciales en presencia de más de una persona. Convierta esto en un requisito. Realice investigación de mercado estructurada y ampliamente documentada, tanto en las etapas del proceso de planificación como de adquisición.</w:t>
      </w:r>
    </w:p>
    <w:p w14:paraId="5D08D2CE" w14:textId="77777777" w:rsidR="00CE2AF7" w:rsidRPr="007E161B" w:rsidRDefault="00CE2AF7" w:rsidP="00CE2AF7">
      <w:pPr>
        <w:pStyle w:val="ListParagraph"/>
        <w:rPr>
          <w:rFonts w:ascii="Calibri" w:eastAsia="Times New Roman" w:hAnsi="Calibri" w:cs="Arial"/>
          <w:iCs/>
        </w:rPr>
      </w:pPr>
    </w:p>
    <w:p w14:paraId="368BFEA1" w14:textId="77777777" w:rsidR="00CE2AF7" w:rsidRPr="007E161B"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rPr>
        <w:t>Evite responder consultas de licitantes por teléfono, a menos que la pregunta y las respuestas se capturen en detalle y se compartan por escrito con los otros licitantes.</w:t>
      </w:r>
    </w:p>
    <w:p w14:paraId="33B43F81" w14:textId="77777777" w:rsidR="00CE2AF7" w:rsidRPr="007E161B" w:rsidRDefault="00CE2AF7" w:rsidP="00CE2AF7">
      <w:pPr>
        <w:pStyle w:val="ListParagraph"/>
        <w:rPr>
          <w:rFonts w:ascii="Calibri" w:eastAsia="Times New Roman" w:hAnsi="Calibri" w:cs="Arial"/>
          <w:b/>
          <w:bCs/>
          <w:u w:val="single"/>
        </w:rPr>
      </w:pPr>
    </w:p>
    <w:p w14:paraId="24F5099D"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sidRPr="00212D9B">
        <w:rPr>
          <w:rFonts w:ascii="Calibri" w:hAnsi="Calibri"/>
          <w:b/>
          <w:bCs/>
          <w:u w:val="single"/>
        </w:rPr>
        <w:t>Evitar/ajustar los techos</w:t>
      </w:r>
      <w:r>
        <w:rPr>
          <w:rFonts w:ascii="Calibri" w:hAnsi="Calibri"/>
        </w:rPr>
        <w:t xml:space="preserve"> para la realización de licitaciones formales y para la revisión por parte de los comités de revisión de adquisiciones ocurre al dividir las órdenes, establecer acuerdos a largo plazo que no tienen un valor total, y estimar costos por debajo de los costos reales para adjudicar contratos de bajo valor que se ajustan posteriormente. Al extender o modificar contratos, determine el historial de contratos y la cantidad acumulativa actual de contratos, y justifique por qué se extiende o modifica el contrato.</w:t>
      </w:r>
    </w:p>
    <w:p w14:paraId="677E8607" w14:textId="77777777" w:rsidR="00CE2AF7" w:rsidRPr="007E161B" w:rsidRDefault="00CE2AF7" w:rsidP="00CE2AF7">
      <w:pPr>
        <w:pStyle w:val="ListParagraph"/>
        <w:rPr>
          <w:rFonts w:ascii="Calibri" w:eastAsia="Times New Roman" w:hAnsi="Calibri" w:cs="Arial"/>
          <w:iCs/>
        </w:rPr>
      </w:pPr>
    </w:p>
    <w:p w14:paraId="7BE8AB02" w14:textId="080E16E2"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Pr>
          <w:rFonts w:ascii="Calibri" w:hAnsi="Calibri"/>
        </w:rPr>
        <w:t xml:space="preserve">Ejecute informes en </w:t>
      </w:r>
      <w:r w:rsidR="0061078F">
        <w:rPr>
          <w:rFonts w:ascii="Calibri" w:hAnsi="Calibri"/>
        </w:rPr>
        <w:t>Quantum</w:t>
      </w:r>
      <w:r>
        <w:rPr>
          <w:rFonts w:ascii="Calibri" w:hAnsi="Calibri"/>
        </w:rPr>
        <w:t xml:space="preserve"> para permitir la generación de listados que impliquen varios pedidos del mismo proveedor. Compare las órdenes de compra de </w:t>
      </w:r>
      <w:r w:rsidR="0061078F">
        <w:rPr>
          <w:rFonts w:ascii="Calibri" w:hAnsi="Calibri"/>
        </w:rPr>
        <w:t>Quantum</w:t>
      </w:r>
      <w:r>
        <w:rPr>
          <w:rFonts w:ascii="Calibri" w:hAnsi="Calibri"/>
        </w:rPr>
        <w:t xml:space="preserve"> superiores al techo con los informes en línea del comité de revisión de adquisiciones para una determinada unidad de negocio.</w:t>
      </w:r>
    </w:p>
    <w:p w14:paraId="27F55E38" w14:textId="77777777" w:rsidR="00CE2AF7" w:rsidRPr="007E161B" w:rsidRDefault="00CE2AF7" w:rsidP="00CE2AF7">
      <w:pPr>
        <w:pStyle w:val="ListParagraph"/>
        <w:spacing w:line="240" w:lineRule="auto"/>
        <w:rPr>
          <w:rFonts w:ascii="Calibri" w:eastAsia="Times New Roman" w:hAnsi="Calibri" w:cs="Arial"/>
          <w:b/>
          <w:bCs/>
          <w:u w:val="single"/>
        </w:rPr>
      </w:pPr>
    </w:p>
    <w:p w14:paraId="0B2C52CE" w14:textId="77777777" w:rsidR="00CE2AF7" w:rsidRPr="007E161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sidRPr="00212D9B">
        <w:rPr>
          <w:rFonts w:ascii="Calibri" w:hAnsi="Calibri"/>
          <w:b/>
          <w:bCs/>
          <w:u w:val="single"/>
        </w:rPr>
        <w:t>El conocimiento inadecuado del mercado o de la naturaleza de los bienes o los servicios a ser adquiridos</w:t>
      </w:r>
      <w:r>
        <w:rPr>
          <w:rFonts w:ascii="Calibri" w:hAnsi="Calibri"/>
        </w:rPr>
        <w:t xml:space="preserve"> </w:t>
      </w:r>
      <w:r>
        <w:rPr>
          <w:lang w:val="es-PA"/>
        </w:rPr>
        <w:t>p</w:t>
      </w:r>
      <w:r w:rsidRPr="00EF7B19">
        <w:rPr>
          <w:lang w:val="es-PA"/>
        </w:rPr>
        <w:t>uede hacer que se a</w:t>
      </w:r>
      <w:r>
        <w:rPr>
          <w:lang w:val="es-PA"/>
        </w:rPr>
        <w:t>borde el mercado de forma inapropiada</w:t>
      </w:r>
      <w:r>
        <w:rPr>
          <w:rFonts w:ascii="Calibri" w:hAnsi="Calibri"/>
        </w:rPr>
        <w:t>, puede provocar la obtención de bienes o servicios de mala calidad, y una mala relación entre calidad y precio, o sobreprecios.</w:t>
      </w:r>
    </w:p>
    <w:p w14:paraId="3E714EC0" w14:textId="77777777" w:rsidR="00CE2AF7" w:rsidRPr="007E161B" w:rsidRDefault="00CE2AF7" w:rsidP="00CE2AF7">
      <w:pPr>
        <w:pStyle w:val="ListParagraph"/>
        <w:spacing w:line="240" w:lineRule="auto"/>
        <w:rPr>
          <w:rFonts w:ascii="Calibri" w:eastAsia="Times New Roman" w:hAnsi="Calibri" w:cs="Arial"/>
          <w:iCs/>
        </w:rPr>
      </w:pPr>
    </w:p>
    <w:p w14:paraId="1BE6F225" w14:textId="77777777" w:rsidR="00CE2AF7" w:rsidRPr="007E161B"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rPr>
        <w:t>Asegure que los encargados de realizar las adquisiciones tengan habilidades y conocimientos adecuados para el nivel de complejidad con el que tratan.  </w:t>
      </w:r>
    </w:p>
    <w:p w14:paraId="05E4397B" w14:textId="77777777" w:rsidR="00CE2AF7" w:rsidRPr="007E161B" w:rsidRDefault="00CE2AF7" w:rsidP="00CE2AF7">
      <w:pPr>
        <w:pStyle w:val="ListParagraph"/>
        <w:spacing w:line="240" w:lineRule="auto"/>
        <w:rPr>
          <w:rFonts w:ascii="Calibri" w:eastAsia="Times New Roman" w:hAnsi="Calibri" w:cs="Arial"/>
          <w:b/>
          <w:bCs/>
          <w:u w:val="single"/>
        </w:rPr>
      </w:pPr>
    </w:p>
    <w:p w14:paraId="1F7DD477"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sidRPr="00212D9B">
        <w:rPr>
          <w:rFonts w:ascii="Calibri" w:hAnsi="Calibri"/>
          <w:b/>
          <w:bCs/>
          <w:u w:val="single"/>
        </w:rPr>
        <w:t>Atenciones, obsequios e incentivos inapropiados</w:t>
      </w:r>
      <w:r>
        <w:rPr>
          <w:rFonts w:ascii="Calibri" w:hAnsi="Calibri"/>
        </w:rPr>
        <w:t> incluyen sobornos e incentivos tales como bienes gratuitos o con descuento y servicios privados.           </w:t>
      </w:r>
    </w:p>
    <w:p w14:paraId="394C9639" w14:textId="77777777" w:rsidR="00CE2AF7" w:rsidRPr="007E161B" w:rsidRDefault="00CE2AF7" w:rsidP="00CE2AF7">
      <w:pPr>
        <w:pStyle w:val="ListParagraph"/>
        <w:spacing w:line="240" w:lineRule="auto"/>
        <w:rPr>
          <w:rFonts w:ascii="Calibri" w:eastAsia="Times New Roman" w:hAnsi="Calibri" w:cs="Arial"/>
          <w:iCs/>
        </w:rPr>
      </w:pPr>
    </w:p>
    <w:p w14:paraId="4A2BDD00"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Pr>
          <w:rFonts w:ascii="Calibri" w:hAnsi="Calibri"/>
        </w:rPr>
        <w:lastRenderedPageBreak/>
        <w:t>Observe casos donde una hospitalidad excesiva puede estar disfrazada de eventos que aparentan ser educativos o de demostración.  Observe los contratos que están estructurados sobre la base de beneficios como boletos gratis de agencias de viajes, cuando dichos beneficios se convierten en un criterio de evaluación clave.</w:t>
      </w:r>
    </w:p>
    <w:p w14:paraId="0FCA301B" w14:textId="77777777" w:rsidR="00CE2AF7" w:rsidRPr="00212D9B" w:rsidRDefault="00CE2AF7" w:rsidP="00CE2AF7">
      <w:pPr>
        <w:shd w:val="clear" w:color="auto" w:fill="FFFFFF" w:themeFill="background1"/>
        <w:spacing w:before="240" w:after="0" w:line="240" w:lineRule="auto"/>
        <w:ind w:left="360"/>
        <w:jc w:val="both"/>
        <w:rPr>
          <w:rFonts w:ascii="Calibri" w:hAnsi="Calibri"/>
        </w:rPr>
      </w:pPr>
    </w:p>
    <w:p w14:paraId="5AA42CE3" w14:textId="77777777" w:rsidR="00CE2AF7" w:rsidRPr="007E161B" w:rsidRDefault="00CE2AF7" w:rsidP="00CE2AF7">
      <w:pPr>
        <w:shd w:val="clear" w:color="auto" w:fill="FFFFFF"/>
        <w:spacing w:before="100" w:beforeAutospacing="1" w:after="100" w:afterAutospacing="1" w:line="240" w:lineRule="auto"/>
        <w:ind w:left="720"/>
        <w:textAlignment w:val="top"/>
        <w:rPr>
          <w:rFonts w:ascii="Calibri" w:eastAsia="Times New Roman" w:hAnsi="Calibri" w:cs="Arial"/>
          <w:b/>
          <w:bCs/>
          <w:u w:val="single"/>
        </w:rPr>
      </w:pPr>
      <w:r>
        <w:rPr>
          <w:rFonts w:ascii="Calibri" w:hAnsi="Calibri"/>
          <w:b/>
          <w:u w:val="single"/>
        </w:rPr>
        <w:t>Falta de necesidad fundamentada de los bienes o los servicios</w:t>
      </w:r>
      <w:r>
        <w:rPr>
          <w:rFonts w:ascii="Calibri" w:hAnsi="Calibri"/>
        </w:rPr>
        <w:t xml:space="preserve"> </w:t>
      </w:r>
    </w:p>
    <w:p w14:paraId="675AD954" w14:textId="77777777" w:rsidR="00CE2AF7" w:rsidRPr="007E161B"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rPr>
      </w:pPr>
      <w:r>
        <w:rPr>
          <w:rFonts w:ascii="Calibri" w:hAnsi="Calibri"/>
        </w:rPr>
        <w:t xml:space="preserve">Coteje las estrategias y los planes de adquisiciones y los requisitos de licitación con el documento del proyecto.  Plantee si la cantidad y/o la duración parecen apropiadas para la necesidad. </w:t>
      </w:r>
    </w:p>
    <w:p w14:paraId="235055B1" w14:textId="77777777" w:rsidR="00CE2AF7" w:rsidRPr="007E161B" w:rsidRDefault="00CE2AF7" w:rsidP="00CE2AF7">
      <w:pPr>
        <w:pStyle w:val="ListParagraph"/>
        <w:shd w:val="clear" w:color="auto" w:fill="FFFFFF"/>
        <w:spacing w:before="240" w:after="0" w:line="240" w:lineRule="auto"/>
        <w:jc w:val="both"/>
        <w:textAlignment w:val="top"/>
        <w:rPr>
          <w:rFonts w:ascii="Calibri" w:eastAsia="Times New Roman" w:hAnsi="Calibri" w:cs="Arial"/>
        </w:rPr>
      </w:pPr>
    </w:p>
    <w:p w14:paraId="5BF42989"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sidRPr="00212D9B">
        <w:rPr>
          <w:rFonts w:ascii="Calibri" w:hAnsi="Calibri"/>
          <w:b/>
          <w:bCs/>
          <w:u w:val="single"/>
        </w:rPr>
        <w:t>Habilidades y conocimientos inadecuados del personal</w:t>
      </w:r>
      <w:r>
        <w:rPr>
          <w:rFonts w:ascii="Calibri" w:hAnsi="Calibri"/>
        </w:rPr>
        <w:t> La función de adquisición es una tarea administrativa estratégica y compleja que requiere experiencia en muchos niveles. Un bajo nivel de competencia aumenta la exposición a riesgos, en especial al fraude por parte de los proveedores.  Esto sucede particularmente en situaciones de emergencia, en las que el PNUD puede verse en la necesidad de realizar una cantidad sustancial de actividades con personal y tiempo limitados. Utilice la planificación de adquisiciones con evaluaciones de posicionamiento o riesgo de proveedores para ayudar a determinar la naturaleza de las competencias requeridas p</w:t>
      </w:r>
      <w:r w:rsidRPr="00EB22E9">
        <w:rPr>
          <w:lang w:val="es-PA"/>
        </w:rPr>
        <w:t xml:space="preserve">ara una </w:t>
      </w:r>
      <w:r>
        <w:rPr>
          <w:lang w:val="es-PA"/>
        </w:rPr>
        <w:t>o</w:t>
      </w:r>
      <w:r w:rsidRPr="00EB22E9">
        <w:rPr>
          <w:lang w:val="es-PA"/>
        </w:rPr>
        <w:t>peración específica d</w:t>
      </w:r>
      <w:r>
        <w:rPr>
          <w:lang w:val="es-PA"/>
        </w:rPr>
        <w:t>e adquisiciones</w:t>
      </w:r>
      <w:r>
        <w:rPr>
          <w:rFonts w:ascii="Calibri" w:hAnsi="Calibri"/>
        </w:rPr>
        <w:t>. Utilice las expresiones de interés y los estudios del mercado de suministros ampliamente documentados para recopilar datos sobre requisitos. Los especialistas del proyecto SURGE del PNUD, además de los especialistas en adquisiciones itinerantes (“roving procurement specialists”) del PNUD, están disponibles para ayudar a las oficinas de país con las necesidades a corto plazo.</w:t>
      </w:r>
    </w:p>
    <w:p w14:paraId="40EA5C7D" w14:textId="77777777" w:rsidR="00CE2AF7" w:rsidRPr="007E161B" w:rsidRDefault="00CE2AF7" w:rsidP="00CE2AF7">
      <w:pPr>
        <w:pStyle w:val="ListParagraph"/>
        <w:spacing w:line="240" w:lineRule="auto"/>
        <w:rPr>
          <w:rFonts w:ascii="Calibri" w:eastAsia="Times New Roman" w:hAnsi="Calibri" w:cs="Arial"/>
          <w:b/>
          <w:bCs/>
          <w:u w:val="single"/>
        </w:rPr>
      </w:pPr>
    </w:p>
    <w:p w14:paraId="79EAFA94" w14:textId="77777777" w:rsidR="00CE2AF7" w:rsidRPr="00212D9B" w:rsidRDefault="00CE2AF7" w:rsidP="00CE2AF7">
      <w:pPr>
        <w:pStyle w:val="ListParagraph"/>
        <w:numPr>
          <w:ilvl w:val="0"/>
          <w:numId w:val="19"/>
        </w:numPr>
        <w:shd w:val="clear" w:color="auto" w:fill="FFFFFF" w:themeFill="background1"/>
        <w:spacing w:before="240" w:after="0" w:line="240" w:lineRule="auto"/>
        <w:jc w:val="both"/>
        <w:textAlignment w:val="top"/>
        <w:rPr>
          <w:rFonts w:ascii="Calibri" w:eastAsia="Times New Roman" w:hAnsi="Calibri" w:cs="Arial"/>
        </w:rPr>
      </w:pPr>
      <w:r w:rsidRPr="00212D9B">
        <w:rPr>
          <w:rFonts w:ascii="Calibri" w:hAnsi="Calibri"/>
          <w:b/>
          <w:bCs/>
          <w:u w:val="single"/>
        </w:rPr>
        <w:t xml:space="preserve">Las rutas alternativas (“shortcuts”) </w:t>
      </w:r>
      <w:r>
        <w:rPr>
          <w:rFonts w:ascii="Calibri" w:hAnsi="Calibri"/>
        </w:rPr>
        <w:t>acortan el tiempo para licitar  y resultan en expresiones de interés o solicitudes de cotización inapropiadas. Los riesgos de fraude aumentan sustancialmente, ya que tanto los proveedores como el personal del PNUD actúan con información insuficiente. Este es un riesgo crítico, en especial en situaciones de emergencia. Tómese un tiempo para evaluar la naturaleza de los desafíos en materia de adquisiciones y los riesgos asociados, y planifique en consecuencia.  La inversión en análisis y planificación anticipados permite ahorrar tiempo incluso en situaciones de emergencia, además de mitigar los riesgos.</w:t>
      </w:r>
      <w:bookmarkStart w:id="3" w:name="Deliverables"/>
      <w:bookmarkEnd w:id="3"/>
    </w:p>
    <w:p w14:paraId="469BF16F" w14:textId="77777777" w:rsidR="00CE2AF7" w:rsidRPr="007E161B" w:rsidRDefault="00CE2AF7" w:rsidP="00CE2AF7">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rPr>
      </w:pPr>
      <w:bookmarkStart w:id="4" w:name="RolesResponsibilities"/>
      <w:bookmarkEnd w:id="4"/>
      <w:r>
        <w:rPr>
          <w:rFonts w:ascii="Calibri" w:hAnsi="Calibri"/>
        </w:rPr>
        <w:t xml:space="preserve">Formulario de Declaración de la Información Financiera (en preparación) </w:t>
      </w:r>
    </w:p>
    <w:p w14:paraId="6789F7ED" w14:textId="77777777" w:rsidR="00CE2AF7" w:rsidRPr="007E161B" w:rsidRDefault="00CE2AF7" w:rsidP="00CE2AF7">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rPr>
      </w:pPr>
      <w:r>
        <w:rPr>
          <w:rFonts w:ascii="Calibri" w:hAnsi="Calibri"/>
        </w:rPr>
        <w:t xml:space="preserve">Declaración de intereses (en preparación) </w:t>
      </w:r>
    </w:p>
    <w:p w14:paraId="32F93FAD" w14:textId="77777777" w:rsidR="00CE2AF7" w:rsidRDefault="00CE2AF7" w:rsidP="00CE2AF7">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rPr>
      </w:pPr>
      <w:r>
        <w:rPr>
          <w:rFonts w:ascii="Calibri" w:hAnsi="Calibri"/>
        </w:rPr>
        <w:t>Declaración de Imparcialidad</w:t>
      </w:r>
    </w:p>
    <w:p w14:paraId="1F0C9E00" w14:textId="77777777" w:rsidR="00CE2AF7" w:rsidRPr="005B5049" w:rsidRDefault="00000000" w:rsidP="00CE2AF7">
      <w:pPr>
        <w:numPr>
          <w:ilvl w:val="2"/>
          <w:numId w:val="25"/>
        </w:numPr>
        <w:shd w:val="clear" w:color="auto" w:fill="FFFFFF"/>
        <w:spacing w:before="100" w:beforeAutospacing="1" w:after="100" w:afterAutospacing="1" w:line="240" w:lineRule="auto"/>
        <w:textAlignment w:val="top"/>
        <w:rPr>
          <w:rFonts w:ascii="Calibri" w:eastAsia="Times New Roman" w:hAnsi="Calibri" w:cs="Arial"/>
        </w:rPr>
      </w:pPr>
      <w:hyperlink r:id="rId14" w:history="1">
        <w:r w:rsidR="00CE2AF7">
          <w:rPr>
            <w:rStyle w:val="Hyperlink"/>
            <w:rFonts w:ascii="Calibri" w:hAnsi="Calibri"/>
          </w:rPr>
          <w:t>i</w:t>
        </w:r>
        <w:r w:rsidR="00CE2AF7" w:rsidRPr="00506836">
          <w:rPr>
            <w:rStyle w:val="Hyperlink"/>
            <w:rFonts w:ascii="Calibri" w:hAnsi="Calibri"/>
          </w:rPr>
          <w:t>nglés</w:t>
        </w:r>
      </w:hyperlink>
      <w:r w:rsidR="00CE2AF7">
        <w:rPr>
          <w:rFonts w:ascii="Calibri" w:hAnsi="Calibri"/>
        </w:rPr>
        <w:t xml:space="preserve"> </w:t>
      </w:r>
    </w:p>
    <w:p w14:paraId="42162AC9" w14:textId="77777777" w:rsidR="00CE2AF7" w:rsidRPr="005B5049" w:rsidRDefault="00000000" w:rsidP="00CE2AF7">
      <w:pPr>
        <w:numPr>
          <w:ilvl w:val="2"/>
          <w:numId w:val="25"/>
        </w:numPr>
        <w:shd w:val="clear" w:color="auto" w:fill="FFFFFF"/>
        <w:spacing w:before="100" w:beforeAutospacing="1" w:after="100" w:afterAutospacing="1" w:line="240" w:lineRule="auto"/>
        <w:textAlignment w:val="top"/>
        <w:rPr>
          <w:rFonts w:ascii="Calibri" w:eastAsia="Times New Roman" w:hAnsi="Calibri" w:cs="Arial"/>
        </w:rPr>
      </w:pPr>
      <w:hyperlink r:id="rId15" w:history="1">
        <w:r w:rsidR="00CE2AF7">
          <w:rPr>
            <w:rStyle w:val="Hyperlink"/>
            <w:rFonts w:ascii="Calibri" w:hAnsi="Calibri"/>
          </w:rPr>
          <w:t>f</w:t>
        </w:r>
        <w:r w:rsidR="00CE2AF7" w:rsidRPr="00506836">
          <w:rPr>
            <w:rStyle w:val="Hyperlink"/>
            <w:rFonts w:ascii="Calibri" w:hAnsi="Calibri"/>
          </w:rPr>
          <w:t>rancés</w:t>
        </w:r>
      </w:hyperlink>
      <w:r w:rsidR="00CE2AF7">
        <w:rPr>
          <w:rFonts w:ascii="Calibri" w:hAnsi="Calibri"/>
        </w:rPr>
        <w:t xml:space="preserve"> </w:t>
      </w:r>
    </w:p>
    <w:p w14:paraId="6774311E" w14:textId="77777777" w:rsidR="00CE2AF7" w:rsidRPr="00727AC3" w:rsidRDefault="00CE2AF7" w:rsidP="00CE2AF7">
      <w:pPr>
        <w:numPr>
          <w:ilvl w:val="2"/>
          <w:numId w:val="25"/>
        </w:numPr>
        <w:shd w:val="clear" w:color="auto" w:fill="FFFFFF"/>
        <w:spacing w:before="100" w:beforeAutospacing="1" w:after="100" w:afterAutospacing="1" w:line="240" w:lineRule="auto"/>
        <w:textAlignment w:val="top"/>
        <w:rPr>
          <w:rStyle w:val="Hyperlink"/>
          <w:rFonts w:ascii="Calibri" w:eastAsia="Times New Roman" w:hAnsi="Calibri" w:cs="Arial"/>
        </w:rPr>
      </w:pPr>
      <w:r>
        <w:rPr>
          <w:rFonts w:ascii="Calibri" w:hAnsi="Calibri"/>
        </w:rPr>
        <w:fldChar w:fldCharType="begin"/>
      </w:r>
      <w:r>
        <w:rPr>
          <w:rFonts w:ascii="Calibri" w:hAnsi="Calibri"/>
        </w:rPr>
        <w:instrText xml:space="preserve"> HYPERLINK "https://popp.undp.org/es/node/5231" </w:instrText>
      </w:r>
      <w:r>
        <w:rPr>
          <w:rFonts w:ascii="Calibri" w:hAnsi="Calibri"/>
        </w:rPr>
      </w:r>
      <w:r>
        <w:rPr>
          <w:rFonts w:ascii="Calibri" w:hAnsi="Calibri"/>
        </w:rPr>
        <w:fldChar w:fldCharType="separate"/>
      </w:r>
      <w:r>
        <w:rPr>
          <w:rStyle w:val="Hyperlink"/>
          <w:rFonts w:ascii="Calibri" w:hAnsi="Calibri"/>
        </w:rPr>
        <w:t>e</w:t>
      </w:r>
      <w:r w:rsidRPr="00727AC3">
        <w:rPr>
          <w:rStyle w:val="Hyperlink"/>
          <w:rFonts w:ascii="Calibri" w:hAnsi="Calibri"/>
        </w:rPr>
        <w:t xml:space="preserve">spañol </w:t>
      </w:r>
    </w:p>
    <w:p w14:paraId="6F8D2C67" w14:textId="77777777" w:rsidR="00CE2AF7" w:rsidRPr="005E420F" w:rsidRDefault="00CE2AF7" w:rsidP="00CE2AF7">
      <w:pPr>
        <w:pStyle w:val="ListParagraph"/>
        <w:numPr>
          <w:ilvl w:val="0"/>
          <w:numId w:val="19"/>
        </w:numPr>
        <w:shd w:val="clear" w:color="auto" w:fill="FFFFFF"/>
        <w:spacing w:before="240" w:after="0" w:line="240" w:lineRule="auto"/>
        <w:jc w:val="both"/>
        <w:textAlignment w:val="top"/>
        <w:rPr>
          <w:rFonts w:ascii="Calibri" w:eastAsia="Times New Roman" w:hAnsi="Calibri" w:cs="Arial"/>
          <w:color w:val="333333"/>
        </w:rPr>
      </w:pPr>
      <w:r>
        <w:rPr>
          <w:rFonts w:ascii="Calibri" w:hAnsi="Calibri"/>
        </w:rPr>
        <w:fldChar w:fldCharType="end"/>
      </w:r>
      <w:r>
        <w:rPr>
          <w:rFonts w:ascii="Calibri" w:hAnsi="Calibri"/>
          <w:color w:val="333333"/>
        </w:rPr>
        <w:t xml:space="preserve">Para proteger la integridad del proceso de adquisición, los posibles abusos pueden derivarse al </w:t>
      </w:r>
      <w:hyperlink r:id="rId16" w:history="1">
        <w:r w:rsidRPr="00506836">
          <w:rPr>
            <w:rStyle w:val="Hyperlink"/>
            <w:rFonts w:ascii="Calibri" w:hAnsi="Calibri"/>
          </w:rPr>
          <w:t>Sistema de Informes de Fraude en Línea del PNUD o la Oficina de Auditoría e Investigaciones (OAI). </w:t>
        </w:r>
      </w:hyperlink>
    </w:p>
    <w:p w14:paraId="15ED69D3" w14:textId="77777777" w:rsidR="00CE2AF7" w:rsidRPr="005E420F" w:rsidRDefault="00CE2AF7" w:rsidP="00CE2AF7">
      <w:pPr>
        <w:pStyle w:val="ListParagraph"/>
        <w:shd w:val="clear" w:color="auto" w:fill="FFFFFF"/>
        <w:spacing w:before="240" w:after="0" w:line="240" w:lineRule="auto"/>
        <w:jc w:val="both"/>
        <w:textAlignment w:val="top"/>
        <w:rPr>
          <w:rFonts w:ascii="Calibri" w:eastAsia="Times New Roman" w:hAnsi="Calibri" w:cs="Arial"/>
          <w:color w:val="333333"/>
        </w:rPr>
      </w:pPr>
      <w:r>
        <w:rPr>
          <w:rFonts w:ascii="Calibri" w:hAnsi="Calibri"/>
          <w:color w:val="333333"/>
        </w:rPr>
        <w:t> </w:t>
      </w:r>
    </w:p>
    <w:p w14:paraId="5001879D" w14:textId="77777777" w:rsidR="00CE2AF7" w:rsidRPr="009A027B" w:rsidRDefault="00CE2AF7" w:rsidP="00CE2AF7">
      <w:pPr>
        <w:pStyle w:val="ListParagraph"/>
        <w:numPr>
          <w:ilvl w:val="0"/>
          <w:numId w:val="19"/>
        </w:numPr>
        <w:shd w:val="clear" w:color="auto" w:fill="FFFFFF" w:themeFill="background1"/>
        <w:spacing w:before="240" w:after="0" w:line="240" w:lineRule="auto"/>
        <w:jc w:val="both"/>
        <w:rPr>
          <w:rFonts w:ascii="Calibri" w:eastAsia="Times New Roman" w:hAnsi="Calibri" w:cs="Arial"/>
          <w:color w:val="333333"/>
        </w:rPr>
      </w:pPr>
      <w:r>
        <w:t xml:space="preserve">Consulte también la </w:t>
      </w:r>
      <w:hyperlink r:id="rId17" w:history="1">
        <w:r w:rsidRPr="00506836">
          <w:rPr>
            <w:rStyle w:val="Hyperlink"/>
          </w:rPr>
          <w:t>Lista de Sanciones del Consejo de Seguridad de la ONU</w:t>
        </w:r>
      </w:hyperlink>
      <w:r w:rsidRPr="42F64E93">
        <w:t xml:space="preserve">  </w:t>
      </w:r>
    </w:p>
    <w:p w14:paraId="65BC6235" w14:textId="77777777" w:rsidR="00CE2AF7" w:rsidRPr="00212D9B" w:rsidRDefault="00CE2AF7" w:rsidP="00CE2AF7">
      <w:pPr>
        <w:pStyle w:val="ListParagraph"/>
        <w:shd w:val="clear" w:color="auto" w:fill="FFFFFF" w:themeFill="background1"/>
        <w:spacing w:before="240" w:after="0" w:line="240" w:lineRule="auto"/>
        <w:jc w:val="both"/>
        <w:rPr>
          <w:rFonts w:ascii="Calibri" w:eastAsia="Times New Roman" w:hAnsi="Calibri" w:cs="Arial"/>
          <w:color w:val="333333"/>
        </w:rPr>
      </w:pPr>
    </w:p>
    <w:p w14:paraId="071072BC" w14:textId="77777777" w:rsidR="00CE2AF7" w:rsidRDefault="00CE2AF7" w:rsidP="00CE2AF7">
      <w:pPr>
        <w:shd w:val="clear" w:color="auto" w:fill="FFFFFF"/>
        <w:spacing w:after="0" w:line="240" w:lineRule="auto"/>
        <w:jc w:val="center"/>
        <w:rPr>
          <w:rFonts w:ascii="Calibri" w:eastAsia="Times New Roman" w:hAnsi="Calibri" w:cs="Times New Roman"/>
          <w:i/>
          <w:iCs/>
          <w:color w:val="000000"/>
          <w:sz w:val="24"/>
          <w:szCs w:val="24"/>
          <w:lang w:val="en-US" w:eastAsia="en-US" w:bidi="ar-SA"/>
        </w:rPr>
      </w:pPr>
      <w:r w:rsidRPr="00911CA3">
        <w:rPr>
          <w:rFonts w:ascii="Calibri" w:eastAsia="Times New Roman" w:hAnsi="Calibri" w:cs="Times New Roman"/>
          <w:i/>
          <w:iCs/>
          <w:color w:val="000000"/>
          <w:sz w:val="24"/>
          <w:szCs w:val="24"/>
          <w:lang w:val="en-US" w:eastAsia="en-US" w:bidi="ar-SA"/>
        </w:rPr>
        <w:lastRenderedPageBreak/>
        <w:t>Disclaimer: This document was translated from English into Spanish. In the event of any discrepancy between this translation and the original English document, the original English document shall prevail.</w:t>
      </w:r>
    </w:p>
    <w:p w14:paraId="1D0E43DB" w14:textId="77777777" w:rsidR="00CE2AF7" w:rsidRPr="00911CA3" w:rsidRDefault="00CE2AF7" w:rsidP="00CE2AF7">
      <w:pPr>
        <w:shd w:val="clear" w:color="auto" w:fill="FFFFFF"/>
        <w:spacing w:after="0" w:line="240" w:lineRule="auto"/>
        <w:jc w:val="center"/>
        <w:rPr>
          <w:rFonts w:ascii="Calibri" w:eastAsia="Times New Roman" w:hAnsi="Calibri" w:cs="Times New Roman"/>
          <w:color w:val="000000"/>
          <w:sz w:val="24"/>
          <w:szCs w:val="24"/>
          <w:lang w:val="en-US" w:eastAsia="en-US" w:bidi="ar-SA"/>
        </w:rPr>
      </w:pPr>
    </w:p>
    <w:p w14:paraId="474DECD1" w14:textId="77777777" w:rsidR="00CE2AF7" w:rsidRPr="00212D9B" w:rsidRDefault="00CE2AF7" w:rsidP="00CE2AF7">
      <w:pPr>
        <w:shd w:val="clear" w:color="auto" w:fill="FFFFFF"/>
        <w:spacing w:after="0" w:line="240" w:lineRule="auto"/>
        <w:jc w:val="center"/>
        <w:rPr>
          <w:rFonts w:ascii="Calibri" w:eastAsia="Times New Roman" w:hAnsi="Calibri" w:cs="Times New Roman"/>
          <w:color w:val="000000"/>
          <w:sz w:val="24"/>
          <w:szCs w:val="24"/>
          <w:lang w:val="es-ES_tradnl" w:eastAsia="en-US" w:bidi="ar-SA"/>
        </w:rPr>
      </w:pPr>
      <w:r w:rsidRPr="00212D9B">
        <w:rPr>
          <w:rFonts w:ascii="Calibri" w:eastAsia="Times New Roman" w:hAnsi="Calibri" w:cs="Times New Roman"/>
          <w:i/>
          <w:iCs/>
          <w:color w:val="000000"/>
          <w:sz w:val="24"/>
          <w:szCs w:val="24"/>
          <w:lang w:val="es-ES_tradnl" w:eastAsia="en-US" w:bidi="ar-SA"/>
        </w:rPr>
        <w:t xml:space="preserve">Descargo de responsabilidad: esta es una traducción de un documento original en </w:t>
      </w:r>
      <w:r>
        <w:rPr>
          <w:rFonts w:ascii="Calibri" w:eastAsia="Times New Roman" w:hAnsi="Calibri" w:cs="Times New Roman"/>
          <w:i/>
          <w:iCs/>
          <w:color w:val="000000"/>
          <w:sz w:val="24"/>
          <w:szCs w:val="24"/>
          <w:lang w:val="es-ES_tradnl" w:eastAsia="en-US" w:bidi="ar-SA"/>
        </w:rPr>
        <w:t>i</w:t>
      </w:r>
      <w:r w:rsidRPr="00212D9B">
        <w:rPr>
          <w:rFonts w:ascii="Calibri" w:eastAsia="Times New Roman" w:hAnsi="Calibri" w:cs="Times New Roman"/>
          <w:i/>
          <w:iCs/>
          <w:color w:val="000000"/>
          <w:sz w:val="24"/>
          <w:szCs w:val="24"/>
          <w:lang w:val="es-ES_tradnl" w:eastAsia="en-US" w:bidi="ar-SA"/>
        </w:rPr>
        <w:t>nglés. En caso de discrepancias entre esta traducción y el documento original en inglés, prevalecerá el documento original en inglés.</w:t>
      </w:r>
    </w:p>
    <w:p w14:paraId="1382F9FA" w14:textId="77777777" w:rsidR="00CE2AF7" w:rsidRPr="00C526DC" w:rsidRDefault="00CE2AF7" w:rsidP="00CE2AF7">
      <w:pPr>
        <w:rPr>
          <w:lang w:val="es-ES_tradnl"/>
        </w:rPr>
      </w:pPr>
    </w:p>
    <w:p w14:paraId="578FCA8B" w14:textId="77777777" w:rsidR="006C1FD0" w:rsidRPr="00CE2AF7" w:rsidRDefault="006C1FD0" w:rsidP="00CE2AF7">
      <w:pPr>
        <w:rPr>
          <w:lang w:val="es-ES_tradnl"/>
        </w:rPr>
      </w:pPr>
    </w:p>
    <w:sectPr w:rsidR="006C1FD0" w:rsidRPr="00CE2AF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3486F" w14:textId="77777777" w:rsidR="00D6377C" w:rsidRDefault="00D6377C" w:rsidP="005E420F">
      <w:pPr>
        <w:spacing w:after="0" w:line="240" w:lineRule="auto"/>
      </w:pPr>
      <w:r>
        <w:separator/>
      </w:r>
    </w:p>
  </w:endnote>
  <w:endnote w:type="continuationSeparator" w:id="0">
    <w:p w14:paraId="5532D218" w14:textId="77777777" w:rsidR="00D6377C" w:rsidRDefault="00D6377C" w:rsidP="005E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132FE" w14:textId="77777777" w:rsidR="00C3667F" w:rsidRDefault="00C36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3288B" w14:textId="2BFDBB5E" w:rsidR="005E420F" w:rsidRPr="00DC5158" w:rsidRDefault="001429B2">
    <w:pPr>
      <w:pStyle w:val="Footer"/>
    </w:pPr>
    <w:r>
      <w:t xml:space="preserve">Página </w:t>
    </w:r>
    <w:r>
      <w:rPr>
        <w:b/>
        <w:bCs/>
      </w:rPr>
      <w:fldChar w:fldCharType="begin"/>
    </w:r>
    <w:r w:rsidRPr="00DC5158">
      <w:rPr>
        <w:b/>
        <w:bCs/>
      </w:rPr>
      <w:instrText>PAGE  \* Arabic  \* MERGEFORMAT</w:instrText>
    </w:r>
    <w:r>
      <w:rPr>
        <w:b/>
        <w:bCs/>
      </w:rPr>
      <w:fldChar w:fldCharType="separate"/>
    </w:r>
    <w:r w:rsidR="00C33FC3">
      <w:rPr>
        <w:b/>
        <w:bCs/>
        <w:noProof/>
      </w:rPr>
      <w:t>7</w:t>
    </w:r>
    <w:r>
      <w:rPr>
        <w:b/>
        <w:bCs/>
      </w:rPr>
      <w:fldChar w:fldCharType="end"/>
    </w:r>
    <w:r>
      <w:t xml:space="preserve"> de </w:t>
    </w:r>
    <w:r>
      <w:rPr>
        <w:b/>
        <w:bCs/>
      </w:rPr>
      <w:fldChar w:fldCharType="begin"/>
    </w:r>
    <w:r w:rsidRPr="00DC5158">
      <w:rPr>
        <w:b/>
        <w:bCs/>
      </w:rPr>
      <w:instrText>NUMPAGES  \* Arabic  \* MERGEFORMAT</w:instrText>
    </w:r>
    <w:r>
      <w:rPr>
        <w:b/>
        <w:bCs/>
      </w:rPr>
      <w:fldChar w:fldCharType="separate"/>
    </w:r>
    <w:r w:rsidR="00C33FC3">
      <w:rPr>
        <w:b/>
        <w:bCs/>
        <w:noProof/>
      </w:rPr>
      <w:t>7</w:t>
    </w:r>
    <w:r>
      <w:rPr>
        <w:b/>
        <w:bCs/>
      </w:rPr>
      <w:fldChar w:fldCharType="end"/>
    </w:r>
    <w:r>
      <w:ptab w:relativeTo="margin" w:alignment="center" w:leader="none"/>
    </w:r>
    <w:r>
      <w:t>Fecha de entrada en vigor:</w:t>
    </w:r>
    <w:r w:rsidR="00B107E6" w:rsidRPr="00B107E6">
      <w:t xml:space="preserve"> </w:t>
    </w:r>
    <w:r w:rsidR="00B107E6" w:rsidRPr="00B107E6">
      <w:t>26/07/2016</w:t>
    </w:r>
    <w:r>
      <w:tab/>
      <w:t xml:space="preserve">Versión n.°: </w:t>
    </w:r>
    <w:sdt>
      <w:sdtPr>
        <w:rPr>
          <w:rFonts w:cstheme="minorHAnsi"/>
        </w:rPr>
        <w:alias w:val="POPPRefItemVersion"/>
        <w:tag w:val="UNDP_POPP_REFITEM_VERSION"/>
        <w:id w:val="-210807958"/>
        <w:placeholder>
          <w:docPart w:val="E42977DAA68048CBBCEFE17E13C05D2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E897C4-14AE-4387-B325-2EDC38C21916}"/>
        <w:text/>
      </w:sdtPr>
      <w:sdtContent>
        <w:r w:rsidR="00A3428E">
          <w:rPr>
            <w:rFonts w:cstheme="minorHAnsi"/>
          </w:rPr>
          <w:t>3</w:t>
        </w:r>
      </w:sdtContent>
    </w:sdt>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3ABB8" w14:textId="77777777" w:rsidR="00C3667F" w:rsidRDefault="00C36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F6CE5" w14:textId="77777777" w:rsidR="00D6377C" w:rsidRDefault="00D6377C" w:rsidP="005E420F">
      <w:pPr>
        <w:spacing w:after="0" w:line="240" w:lineRule="auto"/>
      </w:pPr>
      <w:r>
        <w:separator/>
      </w:r>
    </w:p>
  </w:footnote>
  <w:footnote w:type="continuationSeparator" w:id="0">
    <w:p w14:paraId="1EAB2806" w14:textId="77777777" w:rsidR="00D6377C" w:rsidRDefault="00D6377C" w:rsidP="005E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45FE2" w14:textId="77777777" w:rsidR="00C3667F" w:rsidRDefault="00C36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88576" w14:textId="516800D9" w:rsidR="006F6589" w:rsidRDefault="00C3667F" w:rsidP="006F6589">
    <w:pPr>
      <w:pStyle w:val="Header"/>
      <w:jc w:val="right"/>
    </w:pPr>
    <w:r>
      <w:rPr>
        <w:noProof/>
      </w:rPr>
      <w:drawing>
        <wp:inline distT="0" distB="0" distL="0" distR="0" wp14:anchorId="1DF575C0" wp14:editId="6CB31652">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0C437AD0" w14:textId="77777777" w:rsidR="006F6589" w:rsidRDefault="006F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320B0" w14:textId="77777777" w:rsidR="00C3667F" w:rsidRDefault="00C36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82B"/>
    <w:multiLevelType w:val="multilevel"/>
    <w:tmpl w:val="9EC0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51646"/>
    <w:multiLevelType w:val="hybridMultilevel"/>
    <w:tmpl w:val="71F662CA"/>
    <w:lvl w:ilvl="0" w:tplc="041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81AF3"/>
    <w:multiLevelType w:val="multilevel"/>
    <w:tmpl w:val="355A386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80616"/>
    <w:multiLevelType w:val="multilevel"/>
    <w:tmpl w:val="5D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528B7"/>
    <w:multiLevelType w:val="multilevel"/>
    <w:tmpl w:val="5D72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86A22"/>
    <w:multiLevelType w:val="multilevel"/>
    <w:tmpl w:val="D2C2E47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23C64"/>
    <w:multiLevelType w:val="hybridMultilevel"/>
    <w:tmpl w:val="FAC4BBA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E294863"/>
    <w:multiLevelType w:val="multilevel"/>
    <w:tmpl w:val="8198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133DB"/>
    <w:multiLevelType w:val="multilevel"/>
    <w:tmpl w:val="0BDA03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F5A59A5"/>
    <w:multiLevelType w:val="multilevel"/>
    <w:tmpl w:val="97AE8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557CB"/>
    <w:multiLevelType w:val="multilevel"/>
    <w:tmpl w:val="C50E1BF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5726"/>
    <w:multiLevelType w:val="multilevel"/>
    <w:tmpl w:val="4E3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30573"/>
    <w:multiLevelType w:val="multilevel"/>
    <w:tmpl w:val="704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8159F"/>
    <w:multiLevelType w:val="multilevel"/>
    <w:tmpl w:val="4C1A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809F7"/>
    <w:multiLevelType w:val="multilevel"/>
    <w:tmpl w:val="B22264C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E38FE"/>
    <w:multiLevelType w:val="multilevel"/>
    <w:tmpl w:val="0578386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939F9"/>
    <w:multiLevelType w:val="multilevel"/>
    <w:tmpl w:val="9A7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918B1"/>
    <w:multiLevelType w:val="multilevel"/>
    <w:tmpl w:val="E0B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4781A"/>
    <w:multiLevelType w:val="multilevel"/>
    <w:tmpl w:val="859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A5F24"/>
    <w:multiLevelType w:val="hybridMultilevel"/>
    <w:tmpl w:val="444C6B5A"/>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C068ECC6">
      <w:start w:val="1"/>
      <w:numFmt w:val="lowerRoman"/>
      <w:lvlText w:val="%3."/>
      <w:lvlJc w:val="right"/>
      <w:pPr>
        <w:ind w:left="2160" w:hanging="180"/>
      </w:pPr>
      <w:rPr>
        <w:color w:val="auto"/>
      </w:r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684A2840"/>
    <w:multiLevelType w:val="multilevel"/>
    <w:tmpl w:val="CA62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C3E"/>
    <w:multiLevelType w:val="multilevel"/>
    <w:tmpl w:val="096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E1DE7"/>
    <w:multiLevelType w:val="multilevel"/>
    <w:tmpl w:val="D55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12B0E"/>
    <w:multiLevelType w:val="multilevel"/>
    <w:tmpl w:val="DE2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0262"/>
    <w:multiLevelType w:val="multilevel"/>
    <w:tmpl w:val="0CE6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C3764B"/>
    <w:multiLevelType w:val="hybridMultilevel"/>
    <w:tmpl w:val="C3D41468"/>
    <w:lvl w:ilvl="0" w:tplc="A14E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857465">
    <w:abstractNumId w:val="0"/>
  </w:num>
  <w:num w:numId="2" w16cid:durableId="1652556417">
    <w:abstractNumId w:val="3"/>
  </w:num>
  <w:num w:numId="3" w16cid:durableId="2028868568">
    <w:abstractNumId w:val="18"/>
  </w:num>
  <w:num w:numId="4" w16cid:durableId="1825244922">
    <w:abstractNumId w:val="20"/>
  </w:num>
  <w:num w:numId="5" w16cid:durableId="653995831">
    <w:abstractNumId w:val="12"/>
  </w:num>
  <w:num w:numId="6" w16cid:durableId="378556231">
    <w:abstractNumId w:val="17"/>
  </w:num>
  <w:num w:numId="7" w16cid:durableId="1570262596">
    <w:abstractNumId w:val="24"/>
  </w:num>
  <w:num w:numId="8" w16cid:durableId="426928555">
    <w:abstractNumId w:val="13"/>
  </w:num>
  <w:num w:numId="9" w16cid:durableId="1446845637">
    <w:abstractNumId w:val="9"/>
  </w:num>
  <w:num w:numId="10" w16cid:durableId="2030371393">
    <w:abstractNumId w:val="21"/>
  </w:num>
  <w:num w:numId="11" w16cid:durableId="1546944411">
    <w:abstractNumId w:val="22"/>
  </w:num>
  <w:num w:numId="12" w16cid:durableId="1256748904">
    <w:abstractNumId w:val="7"/>
  </w:num>
  <w:num w:numId="13" w16cid:durableId="868185268">
    <w:abstractNumId w:val="11"/>
  </w:num>
  <w:num w:numId="14" w16cid:durableId="1637098802">
    <w:abstractNumId w:val="4"/>
  </w:num>
  <w:num w:numId="15" w16cid:durableId="1942644371">
    <w:abstractNumId w:val="16"/>
  </w:num>
  <w:num w:numId="16" w16cid:durableId="1000235707">
    <w:abstractNumId w:val="23"/>
  </w:num>
  <w:num w:numId="17" w16cid:durableId="1397818343">
    <w:abstractNumId w:val="8"/>
  </w:num>
  <w:num w:numId="18" w16cid:durableId="1299728266">
    <w:abstractNumId w:val="25"/>
  </w:num>
  <w:num w:numId="19" w16cid:durableId="1284582103">
    <w:abstractNumId w:val="6"/>
  </w:num>
  <w:num w:numId="20" w16cid:durableId="1268076419">
    <w:abstractNumId w:val="1"/>
  </w:num>
  <w:num w:numId="21" w16cid:durableId="1628388390">
    <w:abstractNumId w:val="10"/>
  </w:num>
  <w:num w:numId="22" w16cid:durableId="1548450802">
    <w:abstractNumId w:val="14"/>
  </w:num>
  <w:num w:numId="23" w16cid:durableId="900098667">
    <w:abstractNumId w:val="15"/>
  </w:num>
  <w:num w:numId="24" w16cid:durableId="325204671">
    <w:abstractNumId w:val="5"/>
  </w:num>
  <w:num w:numId="25" w16cid:durableId="1828208587">
    <w:abstractNumId w:val="19"/>
  </w:num>
  <w:num w:numId="26" w16cid:durableId="146677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MTS3MLY0MzExtDBQ0lEKTi0uzszPAykwrAUAMHsmiiwAAAA="/>
  </w:docVars>
  <w:rsids>
    <w:rsidRoot w:val="00E02075"/>
    <w:rsid w:val="00007A13"/>
    <w:rsid w:val="00015FD1"/>
    <w:rsid w:val="0003178A"/>
    <w:rsid w:val="0003339B"/>
    <w:rsid w:val="000728A1"/>
    <w:rsid w:val="00090AAD"/>
    <w:rsid w:val="000D6D62"/>
    <w:rsid w:val="001052B5"/>
    <w:rsid w:val="00105826"/>
    <w:rsid w:val="00134432"/>
    <w:rsid w:val="001429B2"/>
    <w:rsid w:val="00145710"/>
    <w:rsid w:val="0016295A"/>
    <w:rsid w:val="00175B99"/>
    <w:rsid w:val="00182814"/>
    <w:rsid w:val="00186DE6"/>
    <w:rsid w:val="001E10F8"/>
    <w:rsid w:val="0021475B"/>
    <w:rsid w:val="00223B60"/>
    <w:rsid w:val="00227EB0"/>
    <w:rsid w:val="00243392"/>
    <w:rsid w:val="0024488E"/>
    <w:rsid w:val="00251E3D"/>
    <w:rsid w:val="00257313"/>
    <w:rsid w:val="0027462B"/>
    <w:rsid w:val="002C4052"/>
    <w:rsid w:val="00300A66"/>
    <w:rsid w:val="00332E9B"/>
    <w:rsid w:val="00337FC2"/>
    <w:rsid w:val="00355486"/>
    <w:rsid w:val="003A4327"/>
    <w:rsid w:val="003D5034"/>
    <w:rsid w:val="003E2113"/>
    <w:rsid w:val="00407012"/>
    <w:rsid w:val="00496489"/>
    <w:rsid w:val="00496E99"/>
    <w:rsid w:val="004D631C"/>
    <w:rsid w:val="004F387D"/>
    <w:rsid w:val="00511C00"/>
    <w:rsid w:val="00514F38"/>
    <w:rsid w:val="005271B3"/>
    <w:rsid w:val="00541E38"/>
    <w:rsid w:val="005615CF"/>
    <w:rsid w:val="005656E1"/>
    <w:rsid w:val="00571E2A"/>
    <w:rsid w:val="0058639A"/>
    <w:rsid w:val="005B3F19"/>
    <w:rsid w:val="005B5049"/>
    <w:rsid w:val="005E420F"/>
    <w:rsid w:val="00603754"/>
    <w:rsid w:val="0061078F"/>
    <w:rsid w:val="006766B6"/>
    <w:rsid w:val="00697F29"/>
    <w:rsid w:val="006C0174"/>
    <w:rsid w:val="006C1FD0"/>
    <w:rsid w:val="006F6589"/>
    <w:rsid w:val="00702F5D"/>
    <w:rsid w:val="00734CCA"/>
    <w:rsid w:val="00772807"/>
    <w:rsid w:val="007D7F68"/>
    <w:rsid w:val="007E161B"/>
    <w:rsid w:val="00815FFD"/>
    <w:rsid w:val="00822C31"/>
    <w:rsid w:val="008306B8"/>
    <w:rsid w:val="00840483"/>
    <w:rsid w:val="008F4494"/>
    <w:rsid w:val="00902CA1"/>
    <w:rsid w:val="009116BA"/>
    <w:rsid w:val="009276F2"/>
    <w:rsid w:val="00932028"/>
    <w:rsid w:val="009342DA"/>
    <w:rsid w:val="009951FA"/>
    <w:rsid w:val="009E280B"/>
    <w:rsid w:val="00A002AA"/>
    <w:rsid w:val="00A0354E"/>
    <w:rsid w:val="00A1594E"/>
    <w:rsid w:val="00A3012A"/>
    <w:rsid w:val="00A3428E"/>
    <w:rsid w:val="00A55F3F"/>
    <w:rsid w:val="00A56264"/>
    <w:rsid w:val="00A6435D"/>
    <w:rsid w:val="00A8008E"/>
    <w:rsid w:val="00AA0135"/>
    <w:rsid w:val="00AF1141"/>
    <w:rsid w:val="00B05A96"/>
    <w:rsid w:val="00B107E6"/>
    <w:rsid w:val="00B11320"/>
    <w:rsid w:val="00BA5739"/>
    <w:rsid w:val="00BB61C3"/>
    <w:rsid w:val="00C25DE6"/>
    <w:rsid w:val="00C33FC3"/>
    <w:rsid w:val="00C3667F"/>
    <w:rsid w:val="00C46B39"/>
    <w:rsid w:val="00C526DC"/>
    <w:rsid w:val="00C62F8F"/>
    <w:rsid w:val="00C95C56"/>
    <w:rsid w:val="00CE2AF7"/>
    <w:rsid w:val="00CF084E"/>
    <w:rsid w:val="00CF3035"/>
    <w:rsid w:val="00D6377C"/>
    <w:rsid w:val="00D7333C"/>
    <w:rsid w:val="00D8037E"/>
    <w:rsid w:val="00DB5C18"/>
    <w:rsid w:val="00DC059C"/>
    <w:rsid w:val="00DC509A"/>
    <w:rsid w:val="00DC5158"/>
    <w:rsid w:val="00DE7FCB"/>
    <w:rsid w:val="00E02075"/>
    <w:rsid w:val="00E21887"/>
    <w:rsid w:val="00E25F85"/>
    <w:rsid w:val="00E82804"/>
    <w:rsid w:val="00E96905"/>
    <w:rsid w:val="00EA0714"/>
    <w:rsid w:val="00EA1F89"/>
    <w:rsid w:val="00EA379C"/>
    <w:rsid w:val="00EE0549"/>
    <w:rsid w:val="00F170EC"/>
    <w:rsid w:val="00F23214"/>
    <w:rsid w:val="00F76234"/>
    <w:rsid w:val="00FC1F53"/>
    <w:rsid w:val="00FD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ABD2"/>
  <w15:chartTrackingRefBased/>
  <w15:docId w15:val="{376DB8A0-2229-4E1E-B172-6D717BB8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AF7"/>
  </w:style>
  <w:style w:type="paragraph" w:styleId="Heading1">
    <w:name w:val="heading 1"/>
    <w:basedOn w:val="Normal"/>
    <w:next w:val="Normal"/>
    <w:link w:val="Heading1Char"/>
    <w:uiPriority w:val="9"/>
    <w:qFormat/>
    <w:rsid w:val="00F762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639A"/>
    <w:rPr>
      <w:sz w:val="16"/>
      <w:szCs w:val="16"/>
    </w:rPr>
  </w:style>
  <w:style w:type="paragraph" w:styleId="CommentText">
    <w:name w:val="annotation text"/>
    <w:basedOn w:val="Normal"/>
    <w:link w:val="CommentTextChar"/>
    <w:uiPriority w:val="99"/>
    <w:semiHidden/>
    <w:unhideWhenUsed/>
    <w:rsid w:val="0058639A"/>
    <w:pPr>
      <w:spacing w:line="240" w:lineRule="auto"/>
    </w:pPr>
    <w:rPr>
      <w:sz w:val="20"/>
      <w:szCs w:val="20"/>
    </w:rPr>
  </w:style>
  <w:style w:type="character" w:customStyle="1" w:styleId="CommentTextChar">
    <w:name w:val="Comment Text Char"/>
    <w:basedOn w:val="DefaultParagraphFont"/>
    <w:link w:val="CommentText"/>
    <w:uiPriority w:val="99"/>
    <w:semiHidden/>
    <w:rsid w:val="0058639A"/>
    <w:rPr>
      <w:sz w:val="20"/>
      <w:szCs w:val="20"/>
      <w:lang w:val="es-ES"/>
    </w:rPr>
  </w:style>
  <w:style w:type="paragraph" w:styleId="CommentSubject">
    <w:name w:val="annotation subject"/>
    <w:basedOn w:val="CommentText"/>
    <w:next w:val="CommentText"/>
    <w:link w:val="CommentSubjectChar"/>
    <w:uiPriority w:val="99"/>
    <w:semiHidden/>
    <w:unhideWhenUsed/>
    <w:rsid w:val="0058639A"/>
    <w:rPr>
      <w:b/>
      <w:bCs/>
    </w:rPr>
  </w:style>
  <w:style w:type="character" w:customStyle="1" w:styleId="CommentSubjectChar">
    <w:name w:val="Comment Subject Char"/>
    <w:basedOn w:val="CommentTextChar"/>
    <w:link w:val="CommentSubject"/>
    <w:uiPriority w:val="99"/>
    <w:semiHidden/>
    <w:rsid w:val="0058639A"/>
    <w:rPr>
      <w:b/>
      <w:bCs/>
      <w:sz w:val="20"/>
      <w:szCs w:val="20"/>
      <w:lang w:val="es-ES"/>
    </w:rPr>
  </w:style>
  <w:style w:type="paragraph" w:styleId="BalloonText">
    <w:name w:val="Balloon Text"/>
    <w:basedOn w:val="Normal"/>
    <w:link w:val="BalloonTextChar"/>
    <w:uiPriority w:val="99"/>
    <w:semiHidden/>
    <w:unhideWhenUsed/>
    <w:rsid w:val="00586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39A"/>
    <w:rPr>
      <w:rFonts w:ascii="Segoe UI" w:hAnsi="Segoe UI" w:cs="Segoe UI"/>
      <w:sz w:val="18"/>
      <w:szCs w:val="18"/>
      <w:lang w:val="es-ES"/>
    </w:rPr>
  </w:style>
  <w:style w:type="paragraph" w:styleId="ListParagraph">
    <w:name w:val="List Paragraph"/>
    <w:basedOn w:val="Normal"/>
    <w:uiPriority w:val="34"/>
    <w:qFormat/>
    <w:rsid w:val="00243392"/>
    <w:pPr>
      <w:ind w:left="720"/>
      <w:contextualSpacing/>
    </w:pPr>
  </w:style>
  <w:style w:type="paragraph" w:customStyle="1" w:styleId="Head1">
    <w:name w:val="Head 1"/>
    <w:basedOn w:val="Heading1"/>
    <w:link w:val="Head1Char"/>
    <w:qFormat/>
    <w:rsid w:val="00F76234"/>
    <w:pPr>
      <w:shd w:val="clear" w:color="auto" w:fill="FFFFFF"/>
      <w:spacing w:line="240" w:lineRule="auto"/>
      <w:textAlignment w:val="top"/>
    </w:pPr>
    <w:rPr>
      <w:rFonts w:ascii="Calibri" w:eastAsia="Times New Roman" w:hAnsi="Calibri" w:cs="Arial"/>
      <w:b/>
      <w:bCs/>
      <w:color w:val="auto"/>
      <w:sz w:val="22"/>
    </w:rPr>
  </w:style>
  <w:style w:type="paragraph" w:styleId="Header">
    <w:name w:val="header"/>
    <w:basedOn w:val="Normal"/>
    <w:link w:val="HeaderChar"/>
    <w:uiPriority w:val="99"/>
    <w:unhideWhenUsed/>
    <w:rsid w:val="005E420F"/>
    <w:pPr>
      <w:tabs>
        <w:tab w:val="center" w:pos="4513"/>
        <w:tab w:val="right" w:pos="9026"/>
      </w:tabs>
      <w:spacing w:after="0" w:line="240" w:lineRule="auto"/>
    </w:pPr>
  </w:style>
  <w:style w:type="character" w:customStyle="1" w:styleId="Heading1Char">
    <w:name w:val="Heading 1 Char"/>
    <w:basedOn w:val="DefaultParagraphFont"/>
    <w:link w:val="Heading1"/>
    <w:uiPriority w:val="9"/>
    <w:rsid w:val="00F76234"/>
    <w:rPr>
      <w:rFonts w:asciiTheme="majorHAnsi" w:eastAsiaTheme="majorEastAsia" w:hAnsiTheme="majorHAnsi" w:cstheme="majorBidi"/>
      <w:color w:val="2E74B5" w:themeColor="accent1" w:themeShade="BF"/>
      <w:sz w:val="32"/>
      <w:szCs w:val="32"/>
      <w:lang w:val="es-ES"/>
    </w:rPr>
  </w:style>
  <w:style w:type="character" w:customStyle="1" w:styleId="Head1Char">
    <w:name w:val="Head 1 Char"/>
    <w:basedOn w:val="Heading1Char"/>
    <w:link w:val="Head1"/>
    <w:rsid w:val="00F76234"/>
    <w:rPr>
      <w:rFonts w:ascii="Calibri" w:eastAsia="Times New Roman" w:hAnsi="Calibri" w:cs="Arial"/>
      <w:b/>
      <w:bCs/>
      <w:color w:val="2E74B5" w:themeColor="accent1" w:themeShade="BF"/>
      <w:sz w:val="32"/>
      <w:szCs w:val="32"/>
      <w:shd w:val="clear" w:color="auto" w:fill="FFFFFF"/>
      <w:lang w:val="es-ES"/>
    </w:rPr>
  </w:style>
  <w:style w:type="character" w:customStyle="1" w:styleId="HeaderChar">
    <w:name w:val="Header Char"/>
    <w:basedOn w:val="DefaultParagraphFont"/>
    <w:link w:val="Header"/>
    <w:uiPriority w:val="99"/>
    <w:rsid w:val="005E420F"/>
    <w:rPr>
      <w:lang w:val="es-ES"/>
    </w:rPr>
  </w:style>
  <w:style w:type="paragraph" w:styleId="Footer">
    <w:name w:val="footer"/>
    <w:basedOn w:val="Normal"/>
    <w:link w:val="FooterChar"/>
    <w:uiPriority w:val="99"/>
    <w:unhideWhenUsed/>
    <w:rsid w:val="005E4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20F"/>
    <w:rPr>
      <w:lang w:val="es-ES"/>
    </w:rPr>
  </w:style>
  <w:style w:type="paragraph" w:styleId="TOCHeading">
    <w:name w:val="TOC Heading"/>
    <w:basedOn w:val="Heading1"/>
    <w:next w:val="Normal"/>
    <w:uiPriority w:val="39"/>
    <w:unhideWhenUsed/>
    <w:qFormat/>
    <w:rsid w:val="00EA0714"/>
    <w:pPr>
      <w:outlineLvl w:val="9"/>
    </w:pPr>
  </w:style>
  <w:style w:type="paragraph" w:styleId="TOC1">
    <w:name w:val="toc 1"/>
    <w:basedOn w:val="Normal"/>
    <w:next w:val="Normal"/>
    <w:autoRedefine/>
    <w:uiPriority w:val="39"/>
    <w:unhideWhenUsed/>
    <w:rsid w:val="00EA0714"/>
    <w:pPr>
      <w:spacing w:after="100"/>
    </w:pPr>
  </w:style>
  <w:style w:type="character" w:styleId="Hyperlink">
    <w:name w:val="Hyperlink"/>
    <w:basedOn w:val="DefaultParagraphFont"/>
    <w:uiPriority w:val="99"/>
    <w:unhideWhenUsed/>
    <w:rsid w:val="00EA0714"/>
    <w:rPr>
      <w:color w:val="0563C1" w:themeColor="hyperlink"/>
      <w:u w:val="single"/>
    </w:rPr>
  </w:style>
  <w:style w:type="character" w:styleId="PlaceholderText">
    <w:name w:val="Placeholder Text"/>
    <w:basedOn w:val="DefaultParagraphFont"/>
    <w:uiPriority w:val="99"/>
    <w:semiHidden/>
    <w:rsid w:val="001429B2"/>
    <w:rPr>
      <w:color w:val="808080"/>
    </w:rPr>
  </w:style>
  <w:style w:type="character" w:styleId="UnresolvedMention">
    <w:name w:val="Unresolved Mention"/>
    <w:basedOn w:val="DefaultParagraphFont"/>
    <w:uiPriority w:val="99"/>
    <w:semiHidden/>
    <w:unhideWhenUsed/>
    <w:rsid w:val="003A4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59986">
      <w:bodyDiv w:val="1"/>
      <w:marLeft w:val="0"/>
      <w:marRight w:val="0"/>
      <w:marTop w:val="0"/>
      <w:marBottom w:val="0"/>
      <w:divBdr>
        <w:top w:val="none" w:sz="0" w:space="0" w:color="auto"/>
        <w:left w:val="none" w:sz="0" w:space="0" w:color="auto"/>
        <w:bottom w:val="none" w:sz="0" w:space="0" w:color="auto"/>
        <w:right w:val="none" w:sz="0" w:space="0" w:color="auto"/>
      </w:divBdr>
      <w:divsChild>
        <w:div w:id="1678192557">
          <w:marLeft w:val="0"/>
          <w:marRight w:val="0"/>
          <w:marTop w:val="0"/>
          <w:marBottom w:val="0"/>
          <w:divBdr>
            <w:top w:val="none" w:sz="0" w:space="0" w:color="auto"/>
            <w:left w:val="none" w:sz="0" w:space="0" w:color="auto"/>
            <w:bottom w:val="none" w:sz="0" w:space="0" w:color="auto"/>
            <w:right w:val="none" w:sz="0" w:space="0" w:color="auto"/>
          </w:divBdr>
          <w:divsChild>
            <w:div w:id="1709717437">
              <w:marLeft w:val="0"/>
              <w:marRight w:val="0"/>
              <w:marTop w:val="0"/>
              <w:marBottom w:val="0"/>
              <w:divBdr>
                <w:top w:val="none" w:sz="0" w:space="0" w:color="auto"/>
                <w:left w:val="none" w:sz="0" w:space="0" w:color="auto"/>
                <w:bottom w:val="none" w:sz="0" w:space="0" w:color="auto"/>
                <w:right w:val="none" w:sz="0" w:space="0" w:color="auto"/>
              </w:divBdr>
              <w:divsChild>
                <w:div w:id="533351195">
                  <w:marLeft w:val="0"/>
                  <w:marRight w:val="0"/>
                  <w:marTop w:val="0"/>
                  <w:marBottom w:val="300"/>
                  <w:divBdr>
                    <w:top w:val="none" w:sz="0" w:space="0" w:color="auto"/>
                    <w:left w:val="none" w:sz="0" w:space="0" w:color="auto"/>
                    <w:bottom w:val="none" w:sz="0" w:space="0" w:color="auto"/>
                    <w:right w:val="none" w:sz="0" w:space="0" w:color="auto"/>
                  </w:divBdr>
                  <w:divsChild>
                    <w:div w:id="1819805807">
                      <w:marLeft w:val="2325"/>
                      <w:marRight w:val="0"/>
                      <w:marTop w:val="0"/>
                      <w:marBottom w:val="0"/>
                      <w:divBdr>
                        <w:top w:val="none" w:sz="0" w:space="0" w:color="auto"/>
                        <w:left w:val="none" w:sz="0" w:space="0" w:color="auto"/>
                        <w:bottom w:val="none" w:sz="0" w:space="0" w:color="auto"/>
                        <w:right w:val="none" w:sz="0" w:space="0" w:color="auto"/>
                      </w:divBdr>
                      <w:divsChild>
                        <w:div w:id="414016815">
                          <w:marLeft w:val="0"/>
                          <w:marRight w:val="0"/>
                          <w:marTop w:val="0"/>
                          <w:marBottom w:val="0"/>
                          <w:divBdr>
                            <w:top w:val="none" w:sz="0" w:space="0" w:color="auto"/>
                            <w:left w:val="none" w:sz="0" w:space="0" w:color="auto"/>
                            <w:bottom w:val="none" w:sz="0" w:space="0" w:color="auto"/>
                            <w:right w:val="none" w:sz="0" w:space="0" w:color="auto"/>
                          </w:divBdr>
                          <w:divsChild>
                            <w:div w:id="364643806">
                              <w:marLeft w:val="0"/>
                              <w:marRight w:val="0"/>
                              <w:marTop w:val="0"/>
                              <w:marBottom w:val="0"/>
                              <w:divBdr>
                                <w:top w:val="none" w:sz="0" w:space="0" w:color="auto"/>
                                <w:left w:val="none" w:sz="0" w:space="0" w:color="auto"/>
                                <w:bottom w:val="none" w:sz="0" w:space="0" w:color="auto"/>
                                <w:right w:val="none" w:sz="0" w:space="0" w:color="auto"/>
                              </w:divBdr>
                              <w:divsChild>
                                <w:div w:id="2108427315">
                                  <w:marLeft w:val="0"/>
                                  <w:marRight w:val="0"/>
                                  <w:marTop w:val="0"/>
                                  <w:marBottom w:val="0"/>
                                  <w:divBdr>
                                    <w:top w:val="none" w:sz="0" w:space="0" w:color="auto"/>
                                    <w:left w:val="none" w:sz="0" w:space="0" w:color="auto"/>
                                    <w:bottom w:val="none" w:sz="0" w:space="0" w:color="auto"/>
                                    <w:right w:val="none" w:sz="0" w:space="0" w:color="auto"/>
                                  </w:divBdr>
                                  <w:divsChild>
                                    <w:div w:id="631448522">
                                      <w:marLeft w:val="0"/>
                                      <w:marRight w:val="0"/>
                                      <w:marTop w:val="0"/>
                                      <w:marBottom w:val="0"/>
                                      <w:divBdr>
                                        <w:top w:val="none" w:sz="0" w:space="0" w:color="auto"/>
                                        <w:left w:val="none" w:sz="0" w:space="0" w:color="auto"/>
                                        <w:bottom w:val="none" w:sz="0" w:space="0" w:color="auto"/>
                                        <w:right w:val="none" w:sz="0" w:space="0" w:color="auto"/>
                                      </w:divBdr>
                                      <w:divsChild>
                                        <w:div w:id="1452288888">
                                          <w:marLeft w:val="0"/>
                                          <w:marRight w:val="-3525"/>
                                          <w:marTop w:val="0"/>
                                          <w:marBottom w:val="0"/>
                                          <w:divBdr>
                                            <w:top w:val="none" w:sz="0" w:space="0" w:color="auto"/>
                                            <w:left w:val="none" w:sz="0" w:space="0" w:color="auto"/>
                                            <w:bottom w:val="none" w:sz="0" w:space="0" w:color="auto"/>
                                            <w:right w:val="none" w:sz="0" w:space="0" w:color="auto"/>
                                          </w:divBdr>
                                          <w:divsChild>
                                            <w:div w:id="66653434">
                                              <w:marLeft w:val="0"/>
                                              <w:marRight w:val="3225"/>
                                              <w:marTop w:val="0"/>
                                              <w:marBottom w:val="0"/>
                                              <w:divBdr>
                                                <w:top w:val="none" w:sz="0" w:space="0" w:color="auto"/>
                                                <w:left w:val="none" w:sz="0" w:space="0" w:color="auto"/>
                                                <w:bottom w:val="none" w:sz="0" w:space="0" w:color="auto"/>
                                                <w:right w:val="none" w:sz="0" w:space="0" w:color="auto"/>
                                              </w:divBdr>
                                              <w:divsChild>
                                                <w:div w:id="745762163">
                                                  <w:marLeft w:val="0"/>
                                                  <w:marRight w:val="0"/>
                                                  <w:marTop w:val="0"/>
                                                  <w:marBottom w:val="150"/>
                                                  <w:divBdr>
                                                    <w:top w:val="none" w:sz="0" w:space="0" w:color="auto"/>
                                                    <w:left w:val="none" w:sz="0" w:space="0" w:color="auto"/>
                                                    <w:bottom w:val="none" w:sz="0" w:space="0" w:color="auto"/>
                                                    <w:right w:val="none" w:sz="0" w:space="0" w:color="auto"/>
                                                  </w:divBdr>
                                                </w:div>
                                                <w:div w:id="559245624">
                                                  <w:marLeft w:val="0"/>
                                                  <w:marRight w:val="0"/>
                                                  <w:marTop w:val="0"/>
                                                  <w:marBottom w:val="0"/>
                                                  <w:divBdr>
                                                    <w:top w:val="none" w:sz="0" w:space="0" w:color="auto"/>
                                                    <w:left w:val="none" w:sz="0" w:space="0" w:color="auto"/>
                                                    <w:bottom w:val="none" w:sz="0" w:space="0" w:color="auto"/>
                                                    <w:right w:val="none" w:sz="0" w:space="0" w:color="auto"/>
                                                  </w:divBdr>
                                                  <w:divsChild>
                                                    <w:div w:id="1286421816">
                                                      <w:marLeft w:val="0"/>
                                                      <w:marRight w:val="0"/>
                                                      <w:marTop w:val="0"/>
                                                      <w:marBottom w:val="0"/>
                                                      <w:divBdr>
                                                        <w:top w:val="none" w:sz="0" w:space="0" w:color="auto"/>
                                                        <w:left w:val="none" w:sz="0" w:space="0" w:color="auto"/>
                                                        <w:bottom w:val="none" w:sz="0" w:space="0" w:color="auto"/>
                                                        <w:right w:val="none" w:sz="0" w:space="0" w:color="auto"/>
                                                      </w:divBdr>
                                                    </w:div>
                                                  </w:divsChild>
                                                </w:div>
                                                <w:div w:id="1901402294">
                                                  <w:marLeft w:val="15"/>
                                                  <w:marRight w:val="15"/>
                                                  <w:marTop w:val="15"/>
                                                  <w:marBottom w:val="15"/>
                                                  <w:divBdr>
                                                    <w:top w:val="none" w:sz="0" w:space="0" w:color="auto"/>
                                                    <w:left w:val="none" w:sz="0" w:space="0" w:color="auto"/>
                                                    <w:bottom w:val="none" w:sz="0" w:space="0" w:color="auto"/>
                                                    <w:right w:val="none" w:sz="0" w:space="0" w:color="auto"/>
                                                  </w:divBdr>
                                                  <w:divsChild>
                                                    <w:div w:id="1568035199">
                                                      <w:marLeft w:val="0"/>
                                                      <w:marRight w:val="0"/>
                                                      <w:marTop w:val="0"/>
                                                      <w:marBottom w:val="0"/>
                                                      <w:divBdr>
                                                        <w:top w:val="none" w:sz="0" w:space="0" w:color="auto"/>
                                                        <w:left w:val="none" w:sz="0" w:space="0" w:color="auto"/>
                                                        <w:bottom w:val="none" w:sz="0" w:space="0" w:color="auto"/>
                                                        <w:right w:val="none" w:sz="0" w:space="0" w:color="auto"/>
                                                      </w:divBdr>
                                                    </w:div>
                                                    <w:div w:id="646279374">
                                                      <w:marLeft w:val="0"/>
                                                      <w:marRight w:val="0"/>
                                                      <w:marTop w:val="0"/>
                                                      <w:marBottom w:val="0"/>
                                                      <w:divBdr>
                                                        <w:top w:val="none" w:sz="0" w:space="0" w:color="auto"/>
                                                        <w:left w:val="none" w:sz="0" w:space="0" w:color="auto"/>
                                                        <w:bottom w:val="none" w:sz="0" w:space="0" w:color="auto"/>
                                                        <w:right w:val="none" w:sz="0" w:space="0" w:color="auto"/>
                                                      </w:divBdr>
                                                    </w:div>
                                                    <w:div w:id="753016140">
                                                      <w:marLeft w:val="0"/>
                                                      <w:marRight w:val="0"/>
                                                      <w:marTop w:val="0"/>
                                                      <w:marBottom w:val="0"/>
                                                      <w:divBdr>
                                                        <w:top w:val="none" w:sz="0" w:space="0" w:color="auto"/>
                                                        <w:left w:val="none" w:sz="0" w:space="0" w:color="auto"/>
                                                        <w:bottom w:val="none" w:sz="0" w:space="0" w:color="auto"/>
                                                        <w:right w:val="none" w:sz="0" w:space="0" w:color="auto"/>
                                                      </w:divBdr>
                                                    </w:div>
                                                    <w:div w:id="1511723053">
                                                      <w:marLeft w:val="0"/>
                                                      <w:marRight w:val="0"/>
                                                      <w:marTop w:val="0"/>
                                                      <w:marBottom w:val="0"/>
                                                      <w:divBdr>
                                                        <w:top w:val="none" w:sz="0" w:space="0" w:color="auto"/>
                                                        <w:left w:val="none" w:sz="0" w:space="0" w:color="auto"/>
                                                        <w:bottom w:val="none" w:sz="0" w:space="0" w:color="auto"/>
                                                        <w:right w:val="none" w:sz="0" w:space="0" w:color="auto"/>
                                                      </w:divBdr>
                                                    </w:div>
                                                    <w:div w:id="476190813">
                                                      <w:marLeft w:val="0"/>
                                                      <w:marRight w:val="0"/>
                                                      <w:marTop w:val="0"/>
                                                      <w:marBottom w:val="0"/>
                                                      <w:divBdr>
                                                        <w:top w:val="none" w:sz="0" w:space="0" w:color="auto"/>
                                                        <w:left w:val="none" w:sz="0" w:space="0" w:color="auto"/>
                                                        <w:bottom w:val="none" w:sz="0" w:space="0" w:color="auto"/>
                                                        <w:right w:val="none" w:sz="0" w:space="0" w:color="auto"/>
                                                      </w:divBdr>
                                                    </w:div>
                                                    <w:div w:id="630672663">
                                                      <w:marLeft w:val="0"/>
                                                      <w:marRight w:val="0"/>
                                                      <w:marTop w:val="0"/>
                                                      <w:marBottom w:val="0"/>
                                                      <w:divBdr>
                                                        <w:top w:val="none" w:sz="0" w:space="0" w:color="auto"/>
                                                        <w:left w:val="none" w:sz="0" w:space="0" w:color="auto"/>
                                                        <w:bottom w:val="none" w:sz="0" w:space="0" w:color="auto"/>
                                                        <w:right w:val="none" w:sz="0" w:space="0" w:color="auto"/>
                                                      </w:divBdr>
                                                    </w:div>
                                                    <w:div w:id="472219383">
                                                      <w:marLeft w:val="0"/>
                                                      <w:marRight w:val="0"/>
                                                      <w:marTop w:val="0"/>
                                                      <w:marBottom w:val="0"/>
                                                      <w:divBdr>
                                                        <w:top w:val="none" w:sz="0" w:space="0" w:color="auto"/>
                                                        <w:left w:val="none" w:sz="0" w:space="0" w:color="auto"/>
                                                        <w:bottom w:val="none" w:sz="0" w:space="0" w:color="auto"/>
                                                        <w:right w:val="none" w:sz="0" w:space="0" w:color="auto"/>
                                                      </w:divBdr>
                                                    </w:div>
                                                    <w:div w:id="1635256419">
                                                      <w:marLeft w:val="0"/>
                                                      <w:marRight w:val="0"/>
                                                      <w:marTop w:val="0"/>
                                                      <w:marBottom w:val="0"/>
                                                      <w:divBdr>
                                                        <w:top w:val="none" w:sz="0" w:space="0" w:color="auto"/>
                                                        <w:left w:val="none" w:sz="0" w:space="0" w:color="auto"/>
                                                        <w:bottom w:val="none" w:sz="0" w:space="0" w:color="auto"/>
                                                        <w:right w:val="none" w:sz="0" w:space="0" w:color="auto"/>
                                                      </w:divBdr>
                                                    </w:div>
                                                    <w:div w:id="1369182536">
                                                      <w:marLeft w:val="0"/>
                                                      <w:marRight w:val="0"/>
                                                      <w:marTop w:val="0"/>
                                                      <w:marBottom w:val="0"/>
                                                      <w:divBdr>
                                                        <w:top w:val="none" w:sz="0" w:space="0" w:color="auto"/>
                                                        <w:left w:val="none" w:sz="0" w:space="0" w:color="auto"/>
                                                        <w:bottom w:val="none" w:sz="0" w:space="0" w:color="auto"/>
                                                        <w:right w:val="none" w:sz="0" w:space="0" w:color="auto"/>
                                                      </w:divBdr>
                                                    </w:div>
                                                    <w:div w:id="2066878634">
                                                      <w:marLeft w:val="0"/>
                                                      <w:marRight w:val="0"/>
                                                      <w:marTop w:val="0"/>
                                                      <w:marBottom w:val="0"/>
                                                      <w:divBdr>
                                                        <w:top w:val="none" w:sz="0" w:space="0" w:color="auto"/>
                                                        <w:left w:val="none" w:sz="0" w:space="0" w:color="auto"/>
                                                        <w:bottom w:val="none" w:sz="0" w:space="0" w:color="auto"/>
                                                        <w:right w:val="none" w:sz="0" w:space="0" w:color="auto"/>
                                                      </w:divBdr>
                                                    </w:div>
                                                    <w:div w:id="1734159861">
                                                      <w:marLeft w:val="0"/>
                                                      <w:marRight w:val="0"/>
                                                      <w:marTop w:val="0"/>
                                                      <w:marBottom w:val="0"/>
                                                      <w:divBdr>
                                                        <w:top w:val="none" w:sz="0" w:space="0" w:color="auto"/>
                                                        <w:left w:val="none" w:sz="0" w:space="0" w:color="auto"/>
                                                        <w:bottom w:val="none" w:sz="0" w:space="0" w:color="auto"/>
                                                        <w:right w:val="none" w:sz="0" w:space="0" w:color="auto"/>
                                                      </w:divBdr>
                                                    </w:div>
                                                    <w:div w:id="585264943">
                                                      <w:marLeft w:val="0"/>
                                                      <w:marRight w:val="0"/>
                                                      <w:marTop w:val="0"/>
                                                      <w:marBottom w:val="0"/>
                                                      <w:divBdr>
                                                        <w:top w:val="none" w:sz="0" w:space="0" w:color="auto"/>
                                                        <w:left w:val="none" w:sz="0" w:space="0" w:color="auto"/>
                                                        <w:bottom w:val="none" w:sz="0" w:space="0" w:color="auto"/>
                                                        <w:right w:val="none" w:sz="0" w:space="0" w:color="auto"/>
                                                      </w:divBdr>
                                                    </w:div>
                                                    <w:div w:id="131748973">
                                                      <w:marLeft w:val="0"/>
                                                      <w:marRight w:val="0"/>
                                                      <w:marTop w:val="0"/>
                                                      <w:marBottom w:val="0"/>
                                                      <w:divBdr>
                                                        <w:top w:val="none" w:sz="0" w:space="0" w:color="auto"/>
                                                        <w:left w:val="none" w:sz="0" w:space="0" w:color="auto"/>
                                                        <w:bottom w:val="none" w:sz="0" w:space="0" w:color="auto"/>
                                                        <w:right w:val="none" w:sz="0" w:space="0" w:color="auto"/>
                                                      </w:divBdr>
                                                    </w:div>
                                                    <w:div w:id="110589736">
                                                      <w:marLeft w:val="0"/>
                                                      <w:marRight w:val="0"/>
                                                      <w:marTop w:val="0"/>
                                                      <w:marBottom w:val="0"/>
                                                      <w:divBdr>
                                                        <w:top w:val="none" w:sz="0" w:space="0" w:color="auto"/>
                                                        <w:left w:val="none" w:sz="0" w:space="0" w:color="auto"/>
                                                        <w:bottom w:val="none" w:sz="0" w:space="0" w:color="auto"/>
                                                        <w:right w:val="none" w:sz="0" w:space="0" w:color="auto"/>
                                                      </w:divBdr>
                                                    </w:div>
                                                    <w:div w:id="1834252179">
                                                      <w:marLeft w:val="0"/>
                                                      <w:marRight w:val="0"/>
                                                      <w:marTop w:val="0"/>
                                                      <w:marBottom w:val="0"/>
                                                      <w:divBdr>
                                                        <w:top w:val="none" w:sz="0" w:space="0" w:color="auto"/>
                                                        <w:left w:val="none" w:sz="0" w:space="0" w:color="auto"/>
                                                        <w:bottom w:val="none" w:sz="0" w:space="0" w:color="auto"/>
                                                        <w:right w:val="none" w:sz="0" w:space="0" w:color="auto"/>
                                                      </w:divBdr>
                                                    </w:div>
                                                    <w:div w:id="35660191">
                                                      <w:marLeft w:val="0"/>
                                                      <w:marRight w:val="0"/>
                                                      <w:marTop w:val="0"/>
                                                      <w:marBottom w:val="0"/>
                                                      <w:divBdr>
                                                        <w:top w:val="none" w:sz="0" w:space="0" w:color="auto"/>
                                                        <w:left w:val="none" w:sz="0" w:space="0" w:color="auto"/>
                                                        <w:bottom w:val="none" w:sz="0" w:space="0" w:color="auto"/>
                                                        <w:right w:val="none" w:sz="0" w:space="0" w:color="auto"/>
                                                      </w:divBdr>
                                                    </w:div>
                                                    <w:div w:id="1794670373">
                                                      <w:marLeft w:val="0"/>
                                                      <w:marRight w:val="0"/>
                                                      <w:marTop w:val="0"/>
                                                      <w:marBottom w:val="0"/>
                                                      <w:divBdr>
                                                        <w:top w:val="none" w:sz="0" w:space="0" w:color="auto"/>
                                                        <w:left w:val="none" w:sz="0" w:space="0" w:color="auto"/>
                                                        <w:bottom w:val="none" w:sz="0" w:space="0" w:color="auto"/>
                                                        <w:right w:val="none" w:sz="0" w:space="0" w:color="auto"/>
                                                      </w:divBdr>
                                                    </w:div>
                                                    <w:div w:id="1312253179">
                                                      <w:marLeft w:val="0"/>
                                                      <w:marRight w:val="0"/>
                                                      <w:marTop w:val="0"/>
                                                      <w:marBottom w:val="0"/>
                                                      <w:divBdr>
                                                        <w:top w:val="none" w:sz="0" w:space="0" w:color="auto"/>
                                                        <w:left w:val="none" w:sz="0" w:space="0" w:color="auto"/>
                                                        <w:bottom w:val="none" w:sz="0" w:space="0" w:color="auto"/>
                                                        <w:right w:val="none" w:sz="0" w:space="0" w:color="auto"/>
                                                      </w:divBdr>
                                                    </w:div>
                                                    <w:div w:id="499735081">
                                                      <w:marLeft w:val="0"/>
                                                      <w:marRight w:val="0"/>
                                                      <w:marTop w:val="0"/>
                                                      <w:marBottom w:val="0"/>
                                                      <w:divBdr>
                                                        <w:top w:val="none" w:sz="0" w:space="0" w:color="auto"/>
                                                        <w:left w:val="none" w:sz="0" w:space="0" w:color="auto"/>
                                                        <w:bottom w:val="none" w:sz="0" w:space="0" w:color="auto"/>
                                                        <w:right w:val="none" w:sz="0" w:space="0" w:color="auto"/>
                                                      </w:divBdr>
                                                    </w:div>
                                                    <w:div w:id="1784298036">
                                                      <w:marLeft w:val="0"/>
                                                      <w:marRight w:val="0"/>
                                                      <w:marTop w:val="0"/>
                                                      <w:marBottom w:val="0"/>
                                                      <w:divBdr>
                                                        <w:top w:val="none" w:sz="0" w:space="0" w:color="auto"/>
                                                        <w:left w:val="none" w:sz="0" w:space="0" w:color="auto"/>
                                                        <w:bottom w:val="none" w:sz="0" w:space="0" w:color="auto"/>
                                                        <w:right w:val="none" w:sz="0" w:space="0" w:color="auto"/>
                                                      </w:divBdr>
                                                    </w:div>
                                                    <w:div w:id="98067731">
                                                      <w:marLeft w:val="0"/>
                                                      <w:marRight w:val="0"/>
                                                      <w:marTop w:val="0"/>
                                                      <w:marBottom w:val="0"/>
                                                      <w:divBdr>
                                                        <w:top w:val="none" w:sz="0" w:space="0" w:color="auto"/>
                                                        <w:left w:val="none" w:sz="0" w:space="0" w:color="auto"/>
                                                        <w:bottom w:val="none" w:sz="0" w:space="0" w:color="auto"/>
                                                        <w:right w:val="none" w:sz="0" w:space="0" w:color="auto"/>
                                                      </w:divBdr>
                                                    </w:div>
                                                    <w:div w:id="765269067">
                                                      <w:marLeft w:val="0"/>
                                                      <w:marRight w:val="0"/>
                                                      <w:marTop w:val="0"/>
                                                      <w:marBottom w:val="0"/>
                                                      <w:divBdr>
                                                        <w:top w:val="none" w:sz="0" w:space="0" w:color="auto"/>
                                                        <w:left w:val="none" w:sz="0" w:space="0" w:color="auto"/>
                                                        <w:bottom w:val="none" w:sz="0" w:space="0" w:color="auto"/>
                                                        <w:right w:val="none" w:sz="0" w:space="0" w:color="auto"/>
                                                      </w:divBdr>
                                                    </w:div>
                                                    <w:div w:id="38553943">
                                                      <w:marLeft w:val="0"/>
                                                      <w:marRight w:val="0"/>
                                                      <w:marTop w:val="0"/>
                                                      <w:marBottom w:val="0"/>
                                                      <w:divBdr>
                                                        <w:top w:val="none" w:sz="0" w:space="0" w:color="auto"/>
                                                        <w:left w:val="none" w:sz="0" w:space="0" w:color="auto"/>
                                                        <w:bottom w:val="none" w:sz="0" w:space="0" w:color="auto"/>
                                                        <w:right w:val="none" w:sz="0" w:space="0" w:color="auto"/>
                                                      </w:divBdr>
                                                    </w:div>
                                                    <w:div w:id="835456310">
                                                      <w:marLeft w:val="0"/>
                                                      <w:marRight w:val="0"/>
                                                      <w:marTop w:val="0"/>
                                                      <w:marBottom w:val="0"/>
                                                      <w:divBdr>
                                                        <w:top w:val="none" w:sz="0" w:space="0" w:color="auto"/>
                                                        <w:left w:val="none" w:sz="0" w:space="0" w:color="auto"/>
                                                        <w:bottom w:val="none" w:sz="0" w:space="0" w:color="auto"/>
                                                        <w:right w:val="none" w:sz="0" w:space="0" w:color="auto"/>
                                                      </w:divBdr>
                                                    </w:div>
                                                    <w:div w:id="1643148662">
                                                      <w:marLeft w:val="0"/>
                                                      <w:marRight w:val="0"/>
                                                      <w:marTop w:val="0"/>
                                                      <w:marBottom w:val="0"/>
                                                      <w:divBdr>
                                                        <w:top w:val="none" w:sz="0" w:space="0" w:color="auto"/>
                                                        <w:left w:val="none" w:sz="0" w:space="0" w:color="auto"/>
                                                        <w:bottom w:val="none" w:sz="0" w:space="0" w:color="auto"/>
                                                        <w:right w:val="none" w:sz="0" w:space="0" w:color="auto"/>
                                                      </w:divBdr>
                                                    </w:div>
                                                    <w:div w:id="1319649980">
                                                      <w:marLeft w:val="0"/>
                                                      <w:marRight w:val="0"/>
                                                      <w:marTop w:val="0"/>
                                                      <w:marBottom w:val="0"/>
                                                      <w:divBdr>
                                                        <w:top w:val="none" w:sz="0" w:space="0" w:color="auto"/>
                                                        <w:left w:val="none" w:sz="0" w:space="0" w:color="auto"/>
                                                        <w:bottom w:val="none" w:sz="0" w:space="0" w:color="auto"/>
                                                        <w:right w:val="none" w:sz="0" w:space="0" w:color="auto"/>
                                                      </w:divBdr>
                                                    </w:div>
                                                    <w:div w:id="894662635">
                                                      <w:marLeft w:val="0"/>
                                                      <w:marRight w:val="0"/>
                                                      <w:marTop w:val="0"/>
                                                      <w:marBottom w:val="0"/>
                                                      <w:divBdr>
                                                        <w:top w:val="none" w:sz="0" w:space="0" w:color="auto"/>
                                                        <w:left w:val="none" w:sz="0" w:space="0" w:color="auto"/>
                                                        <w:bottom w:val="none" w:sz="0" w:space="0" w:color="auto"/>
                                                        <w:right w:val="none" w:sz="0" w:space="0" w:color="auto"/>
                                                      </w:divBdr>
                                                    </w:div>
                                                    <w:div w:id="1228341522">
                                                      <w:marLeft w:val="0"/>
                                                      <w:marRight w:val="0"/>
                                                      <w:marTop w:val="0"/>
                                                      <w:marBottom w:val="0"/>
                                                      <w:divBdr>
                                                        <w:top w:val="none" w:sz="0" w:space="0" w:color="auto"/>
                                                        <w:left w:val="none" w:sz="0" w:space="0" w:color="auto"/>
                                                        <w:bottom w:val="none" w:sz="0" w:space="0" w:color="auto"/>
                                                        <w:right w:val="none" w:sz="0" w:space="0" w:color="auto"/>
                                                      </w:divBdr>
                                                    </w:div>
                                                    <w:div w:id="547496900">
                                                      <w:marLeft w:val="0"/>
                                                      <w:marRight w:val="0"/>
                                                      <w:marTop w:val="0"/>
                                                      <w:marBottom w:val="0"/>
                                                      <w:divBdr>
                                                        <w:top w:val="none" w:sz="0" w:space="0" w:color="auto"/>
                                                        <w:left w:val="none" w:sz="0" w:space="0" w:color="auto"/>
                                                        <w:bottom w:val="none" w:sz="0" w:space="0" w:color="auto"/>
                                                        <w:right w:val="none" w:sz="0" w:space="0" w:color="auto"/>
                                                      </w:divBdr>
                                                    </w:div>
                                                    <w:div w:id="1004168768">
                                                      <w:marLeft w:val="0"/>
                                                      <w:marRight w:val="0"/>
                                                      <w:marTop w:val="0"/>
                                                      <w:marBottom w:val="0"/>
                                                      <w:divBdr>
                                                        <w:top w:val="none" w:sz="0" w:space="0" w:color="auto"/>
                                                        <w:left w:val="none" w:sz="0" w:space="0" w:color="auto"/>
                                                        <w:bottom w:val="none" w:sz="0" w:space="0" w:color="auto"/>
                                                        <w:right w:val="none" w:sz="0" w:space="0" w:color="auto"/>
                                                      </w:divBdr>
                                                    </w:div>
                                                    <w:div w:id="1381436295">
                                                      <w:marLeft w:val="0"/>
                                                      <w:marRight w:val="0"/>
                                                      <w:marTop w:val="0"/>
                                                      <w:marBottom w:val="0"/>
                                                      <w:divBdr>
                                                        <w:top w:val="none" w:sz="0" w:space="0" w:color="auto"/>
                                                        <w:left w:val="none" w:sz="0" w:space="0" w:color="auto"/>
                                                        <w:bottom w:val="none" w:sz="0" w:space="0" w:color="auto"/>
                                                        <w:right w:val="none" w:sz="0" w:space="0" w:color="auto"/>
                                                      </w:divBdr>
                                                    </w:div>
                                                    <w:div w:id="1454981274">
                                                      <w:marLeft w:val="0"/>
                                                      <w:marRight w:val="0"/>
                                                      <w:marTop w:val="0"/>
                                                      <w:marBottom w:val="0"/>
                                                      <w:divBdr>
                                                        <w:top w:val="none" w:sz="0" w:space="0" w:color="auto"/>
                                                        <w:left w:val="none" w:sz="0" w:space="0" w:color="auto"/>
                                                        <w:bottom w:val="none" w:sz="0" w:space="0" w:color="auto"/>
                                                        <w:right w:val="none" w:sz="0" w:space="0" w:color="auto"/>
                                                      </w:divBdr>
                                                    </w:div>
                                                    <w:div w:id="1806006588">
                                                      <w:marLeft w:val="0"/>
                                                      <w:marRight w:val="0"/>
                                                      <w:marTop w:val="0"/>
                                                      <w:marBottom w:val="0"/>
                                                      <w:divBdr>
                                                        <w:top w:val="none" w:sz="0" w:space="0" w:color="auto"/>
                                                        <w:left w:val="none" w:sz="0" w:space="0" w:color="auto"/>
                                                        <w:bottom w:val="none" w:sz="0" w:space="0" w:color="auto"/>
                                                        <w:right w:val="none" w:sz="0" w:space="0" w:color="auto"/>
                                                      </w:divBdr>
                                                    </w:div>
                                                    <w:div w:id="410280201">
                                                      <w:marLeft w:val="0"/>
                                                      <w:marRight w:val="0"/>
                                                      <w:marTop w:val="0"/>
                                                      <w:marBottom w:val="0"/>
                                                      <w:divBdr>
                                                        <w:top w:val="none" w:sz="0" w:space="0" w:color="auto"/>
                                                        <w:left w:val="none" w:sz="0" w:space="0" w:color="auto"/>
                                                        <w:bottom w:val="none" w:sz="0" w:space="0" w:color="auto"/>
                                                        <w:right w:val="none" w:sz="0" w:space="0" w:color="auto"/>
                                                      </w:divBdr>
                                                    </w:div>
                                                    <w:div w:id="868181298">
                                                      <w:marLeft w:val="0"/>
                                                      <w:marRight w:val="0"/>
                                                      <w:marTop w:val="0"/>
                                                      <w:marBottom w:val="0"/>
                                                      <w:divBdr>
                                                        <w:top w:val="none" w:sz="0" w:space="0" w:color="auto"/>
                                                        <w:left w:val="none" w:sz="0" w:space="0" w:color="auto"/>
                                                        <w:bottom w:val="none" w:sz="0" w:space="0" w:color="auto"/>
                                                        <w:right w:val="none" w:sz="0" w:space="0" w:color="auto"/>
                                                      </w:divBdr>
                                                    </w:div>
                                                    <w:div w:id="778373835">
                                                      <w:marLeft w:val="0"/>
                                                      <w:marRight w:val="0"/>
                                                      <w:marTop w:val="0"/>
                                                      <w:marBottom w:val="0"/>
                                                      <w:divBdr>
                                                        <w:top w:val="none" w:sz="0" w:space="0" w:color="auto"/>
                                                        <w:left w:val="none" w:sz="0" w:space="0" w:color="auto"/>
                                                        <w:bottom w:val="none" w:sz="0" w:space="0" w:color="auto"/>
                                                        <w:right w:val="none" w:sz="0" w:space="0" w:color="auto"/>
                                                      </w:divBdr>
                                                    </w:div>
                                                    <w:div w:id="3415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ngm.org/Account/Account/Login?ReturnUrl=%2FAdmin%2FIneligibleVendor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org/securitycouncil/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undp.org/hot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fr/node/3981"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981"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2977DAA68048CBBCEFE17E13C05D21"/>
        <w:category>
          <w:name w:val="Общие"/>
          <w:gallery w:val="placeholder"/>
        </w:category>
        <w:types>
          <w:type w:val="bbPlcHdr"/>
        </w:types>
        <w:behaviors>
          <w:behavior w:val="content"/>
        </w:behaviors>
        <w:guid w:val="{F6077F92-E853-4246-B002-D685EDA37365}"/>
      </w:docPartPr>
      <w:docPartBody>
        <w:p w:rsidR="00B51D7A" w:rsidRDefault="000B7127">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27"/>
    <w:rsid w:val="00015FD1"/>
    <w:rsid w:val="000B7127"/>
    <w:rsid w:val="009E61F7"/>
    <w:rsid w:val="00B50D30"/>
    <w:rsid w:val="00B51D7A"/>
    <w:rsid w:val="00FB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2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1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_dlc_DocId xmlns="8264c5cc-ec60-4b56-8111-ce635d3d139a">POPP-11-2618</_dlc_DocId>
    <_dlc_DocIdUrl xmlns="8264c5cc-ec60-4b56-8111-ce635d3d139a">
      <Url>https://popp.undp.org/_layouts/15/DocIdRedir.aspx?ID=POPP-11-2618</Url>
      <Description>POPP-11-2618</Description>
    </_dlc_DocIdUrl>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26/07/2016                                                Version #: 3.0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Ética, Fraude y Prácticas Corruptas en la Adquisición</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26/07/2016                                                Version #: 3</DLCPolicyLabelVal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9AB86BF-48E2-4DD6-92AC-B02991769E45}">
  <ds:schemaRefs>
    <ds:schemaRef ds:uri="http://schemas.microsoft.com/sharepoint/v3/contenttype/forms"/>
  </ds:schemaRefs>
</ds:datastoreItem>
</file>

<file path=customXml/itemProps2.xml><?xml version="1.0" encoding="utf-8"?>
<ds:datastoreItem xmlns:ds="http://schemas.openxmlformats.org/officeDocument/2006/customXml" ds:itemID="{549F955D-A2E7-4BCD-A0F1-ADDC65AA90D3}">
  <ds:schemaRefs>
    <ds:schemaRef ds:uri="http://schemas.microsoft.com/sharepoint/events"/>
  </ds:schemaRefs>
</ds:datastoreItem>
</file>

<file path=customXml/itemProps3.xml><?xml version="1.0" encoding="utf-8"?>
<ds:datastoreItem xmlns:ds="http://schemas.openxmlformats.org/officeDocument/2006/customXml" ds:itemID="{F8E897C4-14AE-4387-B325-2EDC38C2191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9A1B0B54-36BF-4668-A41F-F79AF8962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8F1660-4CB4-4DC0-9F24-A585FA544C5B}">
  <ds:schemaRefs>
    <ds:schemaRef ds:uri="http://schemas.openxmlformats.org/officeDocument/2006/bibliography"/>
  </ds:schemaRefs>
</ds:datastoreItem>
</file>

<file path=customXml/itemProps6.xml><?xml version="1.0" encoding="utf-8"?>
<ds:datastoreItem xmlns:ds="http://schemas.openxmlformats.org/officeDocument/2006/customXml" ds:itemID="{2FBCA870-A8F2-465A-8975-59DDF665A980}">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2938</Words>
  <Characters>16747</Characters>
  <Application>Microsoft Office Word</Application>
  <DocSecurity>0</DocSecurity>
  <Lines>139</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keywords/>
  <dc:description/>
  <cp:lastModifiedBy>Pablo Morete</cp:lastModifiedBy>
  <cp:revision>15</cp:revision>
  <cp:lastPrinted>2016-04-26T13:51:00Z</cp:lastPrinted>
  <dcterms:created xsi:type="dcterms:W3CDTF">2018-04-25T01:05:00Z</dcterms:created>
  <dcterms:modified xsi:type="dcterms:W3CDTF">2024-08-30T10:49:00Z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l0e6ef0c43e74560bd7f3acd1f5e8571">
    <vt:lpwstr>Procurement|254a9f96-b883-476a-8ef8-e81f93a2b38d</vt:lpwstr>
  </property>
  <property fmtid="{D5CDD505-2E9C-101B-9397-08002B2CF9AE}" pid="6" name="_dlc_DocIdItemGuid">
    <vt:lpwstr>ec6dd350-a9ac-4157-a89c-b1179e6c2d59</vt:lpwstr>
  </property>
  <property fmtid="{D5CDD505-2E9C-101B-9397-08002B2CF9AE}" pid="7" name="UNDP_POPP_BUSINESSUNIT">
    <vt:lpwstr>355;#Procurement|254a9f96-b883-476a-8ef8-e81f93a2b38d</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ies>
</file>