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9A44" w14:textId="10EFE05F" w:rsidR="00B3368A" w:rsidRDefault="00B3368A" w:rsidP="00B3368A">
      <w:pPr>
        <w:pStyle w:val="Heading1"/>
        <w:numPr>
          <w:ilvl w:val="0"/>
          <w:numId w:val="0"/>
        </w:numPr>
        <w:rPr>
          <w:sz w:val="28"/>
        </w:rPr>
      </w:pPr>
      <w:bookmarkStart w:id="0" w:name="_Toc526164860"/>
      <w:bookmarkStart w:id="1" w:name="_Toc530059511"/>
      <w:bookmarkStart w:id="2" w:name="_Toc518736470"/>
      <w:bookmarkStart w:id="3" w:name="_Toc518915286"/>
      <w:r>
        <w:rPr>
          <w:sz w:val="28"/>
        </w:rPr>
        <w:t xml:space="preserve">Low Value Grants </w:t>
      </w:r>
      <w:r w:rsidR="0063748A">
        <w:rPr>
          <w:sz w:val="28"/>
        </w:rPr>
        <w:t>–</w:t>
      </w:r>
      <w:r>
        <w:rPr>
          <w:sz w:val="28"/>
        </w:rPr>
        <w:t xml:space="preserve"> </w:t>
      </w:r>
      <w:r w:rsidR="0063748A">
        <w:rPr>
          <w:sz w:val="28"/>
        </w:rPr>
        <w:t xml:space="preserve">UNDP </w:t>
      </w:r>
      <w:r w:rsidRPr="00F74191">
        <w:rPr>
          <w:sz w:val="28"/>
        </w:rPr>
        <w:t>Operational Guide</w:t>
      </w:r>
      <w:bookmarkEnd w:id="0"/>
      <w:bookmarkEnd w:id="1"/>
      <w:r w:rsidRPr="00F74191">
        <w:rPr>
          <w:sz w:val="28"/>
        </w:rPr>
        <w:t xml:space="preserve"> </w:t>
      </w:r>
      <w:bookmarkEnd w:id="2"/>
      <w:bookmarkEnd w:id="3"/>
    </w:p>
    <w:p w14:paraId="04C29238" w14:textId="19B57078" w:rsidR="003E1D6E" w:rsidRDefault="003E1D6E" w:rsidP="003E1D6E"/>
    <w:p w14:paraId="60A8679C" w14:textId="77777777" w:rsidR="006F40E6" w:rsidRPr="003E1D6E" w:rsidRDefault="006F40E6" w:rsidP="003E1D6E"/>
    <w:tbl>
      <w:tblPr>
        <w:tblStyle w:val="TableGrid"/>
        <w:tblW w:w="0" w:type="auto"/>
        <w:tblLook w:val="04A0" w:firstRow="1" w:lastRow="0" w:firstColumn="1" w:lastColumn="0" w:noHBand="0" w:noVBand="1"/>
      </w:tblPr>
      <w:tblGrid>
        <w:gridCol w:w="1387"/>
        <w:gridCol w:w="3462"/>
        <w:gridCol w:w="1371"/>
        <w:gridCol w:w="2836"/>
      </w:tblGrid>
      <w:tr w:rsidR="00FD562C" w:rsidRPr="00F74191" w14:paraId="66FFAD19" w14:textId="77777777" w:rsidTr="00072E39">
        <w:trPr>
          <w:trHeight w:val="517"/>
        </w:trPr>
        <w:tc>
          <w:tcPr>
            <w:tcW w:w="1387" w:type="dxa"/>
            <w:shd w:val="clear" w:color="auto" w:fill="2F5496" w:themeFill="accent1" w:themeFillShade="BF"/>
          </w:tcPr>
          <w:p w14:paraId="70577FF7" w14:textId="77777777" w:rsidR="00FD562C" w:rsidRPr="00F74191" w:rsidRDefault="00FD562C" w:rsidP="00072E39">
            <w:pPr>
              <w:rPr>
                <w:color w:val="FFFFFF" w:themeColor="background1"/>
                <w:sz w:val="20"/>
                <w:szCs w:val="20"/>
              </w:rPr>
            </w:pPr>
            <w:r w:rsidRPr="00F74191">
              <w:rPr>
                <w:color w:val="FFFFFF" w:themeColor="background1"/>
                <w:sz w:val="20"/>
                <w:szCs w:val="20"/>
              </w:rPr>
              <w:t>Policy Area:</w:t>
            </w:r>
          </w:p>
        </w:tc>
        <w:tc>
          <w:tcPr>
            <w:tcW w:w="3462" w:type="dxa"/>
          </w:tcPr>
          <w:p w14:paraId="67D51FE3" w14:textId="77777777" w:rsidR="00FD562C" w:rsidRPr="00F74191" w:rsidRDefault="00275B4F" w:rsidP="00B55FE9">
            <w:pPr>
              <w:rPr>
                <w:sz w:val="20"/>
                <w:szCs w:val="20"/>
              </w:rPr>
            </w:pPr>
            <w:r>
              <w:rPr>
                <w:sz w:val="20"/>
                <w:szCs w:val="20"/>
              </w:rPr>
              <w:t xml:space="preserve">Low Value </w:t>
            </w:r>
            <w:r w:rsidR="00DC38EE" w:rsidRPr="00F74191">
              <w:rPr>
                <w:sz w:val="20"/>
                <w:szCs w:val="20"/>
              </w:rPr>
              <w:t>Grants</w:t>
            </w:r>
          </w:p>
        </w:tc>
        <w:tc>
          <w:tcPr>
            <w:tcW w:w="1371" w:type="dxa"/>
            <w:shd w:val="clear" w:color="auto" w:fill="2F5496" w:themeFill="accent1" w:themeFillShade="BF"/>
          </w:tcPr>
          <w:p w14:paraId="76353CBA" w14:textId="77777777" w:rsidR="00FD562C" w:rsidRPr="00F74191" w:rsidRDefault="00FD562C" w:rsidP="00072E39">
            <w:pPr>
              <w:rPr>
                <w:color w:val="FFFFFF" w:themeColor="background1"/>
                <w:sz w:val="20"/>
                <w:szCs w:val="20"/>
              </w:rPr>
            </w:pPr>
            <w:r w:rsidRPr="00F74191">
              <w:rPr>
                <w:color w:val="FFFFFF" w:themeColor="background1"/>
                <w:sz w:val="20"/>
                <w:szCs w:val="20"/>
              </w:rPr>
              <w:t>Main Policy:</w:t>
            </w:r>
          </w:p>
        </w:tc>
        <w:tc>
          <w:tcPr>
            <w:tcW w:w="2836" w:type="dxa"/>
          </w:tcPr>
          <w:p w14:paraId="73678FAC" w14:textId="77777777" w:rsidR="00FD562C" w:rsidRPr="00F74191" w:rsidRDefault="00F3329B" w:rsidP="00072E39">
            <w:pPr>
              <w:rPr>
                <w:sz w:val="20"/>
                <w:szCs w:val="20"/>
              </w:rPr>
            </w:pPr>
            <w:r w:rsidRPr="00F74191">
              <w:rPr>
                <w:sz w:val="20"/>
                <w:szCs w:val="20"/>
              </w:rPr>
              <w:t>Programme &amp; Project Management</w:t>
            </w:r>
          </w:p>
        </w:tc>
      </w:tr>
      <w:tr w:rsidR="00FD562C" w:rsidRPr="00F74191" w14:paraId="36A070D0" w14:textId="77777777" w:rsidTr="00072E39">
        <w:tc>
          <w:tcPr>
            <w:tcW w:w="1387" w:type="dxa"/>
            <w:shd w:val="clear" w:color="auto" w:fill="2F5496" w:themeFill="accent1" w:themeFillShade="BF"/>
          </w:tcPr>
          <w:p w14:paraId="437BF3CC" w14:textId="77777777" w:rsidR="00FD562C" w:rsidRPr="00F74191" w:rsidRDefault="00FD562C" w:rsidP="00072E39">
            <w:pPr>
              <w:rPr>
                <w:color w:val="FFFFFF" w:themeColor="background1"/>
                <w:sz w:val="20"/>
                <w:szCs w:val="20"/>
              </w:rPr>
            </w:pPr>
            <w:r w:rsidRPr="00F74191">
              <w:rPr>
                <w:color w:val="FFFFFF" w:themeColor="background1"/>
                <w:sz w:val="20"/>
                <w:szCs w:val="20"/>
              </w:rPr>
              <w:t>Summary of Changes</w:t>
            </w:r>
          </w:p>
        </w:tc>
        <w:tc>
          <w:tcPr>
            <w:tcW w:w="7669" w:type="dxa"/>
            <w:gridSpan w:val="3"/>
          </w:tcPr>
          <w:p w14:paraId="0544ACA9" w14:textId="77777777" w:rsidR="00FD562C" w:rsidRPr="00F74191" w:rsidRDefault="00F3329B" w:rsidP="00C330F0">
            <w:pPr>
              <w:rPr>
                <w:sz w:val="20"/>
                <w:szCs w:val="20"/>
              </w:rPr>
            </w:pPr>
            <w:r w:rsidRPr="00F74191">
              <w:rPr>
                <w:sz w:val="20"/>
                <w:szCs w:val="20"/>
              </w:rPr>
              <w:t xml:space="preserve">New content based on PPM </w:t>
            </w:r>
            <w:r w:rsidR="00275B4F">
              <w:rPr>
                <w:sz w:val="20"/>
                <w:szCs w:val="20"/>
              </w:rPr>
              <w:t>changes</w:t>
            </w:r>
            <w:r w:rsidRPr="00F74191">
              <w:rPr>
                <w:sz w:val="20"/>
                <w:szCs w:val="20"/>
              </w:rPr>
              <w:t xml:space="preserve"> </w:t>
            </w:r>
          </w:p>
        </w:tc>
      </w:tr>
    </w:tbl>
    <w:p w14:paraId="42285847" w14:textId="3159D53C" w:rsidR="00227CF9" w:rsidRDefault="005A0D3C">
      <w:pPr>
        <w:pStyle w:val="TOC1"/>
        <w:rPr>
          <w:sz w:val="22"/>
          <w:szCs w:val="22"/>
        </w:rPr>
      </w:pPr>
      <w:r>
        <w:fldChar w:fldCharType="begin"/>
      </w:r>
      <w:r>
        <w:instrText xml:space="preserve"> TOC \o "1-4" </w:instrText>
      </w:r>
      <w:r>
        <w:fldChar w:fldCharType="separate"/>
      </w:r>
      <w:r w:rsidR="00227CF9">
        <w:t>Low Value Grants - Operational Guide</w:t>
      </w:r>
      <w:r w:rsidR="00227CF9">
        <w:tab/>
      </w:r>
      <w:r w:rsidR="00227CF9">
        <w:fldChar w:fldCharType="begin"/>
      </w:r>
      <w:r w:rsidR="00227CF9">
        <w:instrText xml:space="preserve"> PAGEREF _Toc530059511 \h </w:instrText>
      </w:r>
      <w:r w:rsidR="00227CF9">
        <w:fldChar w:fldCharType="separate"/>
      </w:r>
      <w:r w:rsidR="00227CF9">
        <w:t>1</w:t>
      </w:r>
      <w:r w:rsidR="00227CF9">
        <w:fldChar w:fldCharType="end"/>
      </w:r>
    </w:p>
    <w:p w14:paraId="20CF7689" w14:textId="2DA4AB09" w:rsidR="00227CF9" w:rsidRDefault="00227CF9">
      <w:pPr>
        <w:pStyle w:val="TOC2"/>
        <w:rPr>
          <w:rFonts w:eastAsiaTheme="minorEastAsia"/>
          <w:b w:val="0"/>
          <w:bCs w:val="0"/>
          <w:noProof/>
        </w:rPr>
      </w:pPr>
      <w:r>
        <w:rPr>
          <w:noProof/>
        </w:rPr>
        <w:t>A.</w:t>
      </w:r>
      <w:r>
        <w:rPr>
          <w:rFonts w:eastAsiaTheme="minorEastAsia"/>
          <w:b w:val="0"/>
          <w:bCs w:val="0"/>
          <w:noProof/>
        </w:rPr>
        <w:tab/>
      </w:r>
      <w:r>
        <w:rPr>
          <w:noProof/>
        </w:rPr>
        <w:t>Overview: Definition and purpose of low value grants</w:t>
      </w:r>
      <w:r>
        <w:rPr>
          <w:noProof/>
        </w:rPr>
        <w:tab/>
      </w:r>
      <w:r>
        <w:rPr>
          <w:noProof/>
        </w:rPr>
        <w:fldChar w:fldCharType="begin"/>
      </w:r>
      <w:r>
        <w:rPr>
          <w:noProof/>
        </w:rPr>
        <w:instrText xml:space="preserve"> PAGEREF _Toc530059512 \h </w:instrText>
      </w:r>
      <w:r>
        <w:rPr>
          <w:noProof/>
        </w:rPr>
      </w:r>
      <w:r>
        <w:rPr>
          <w:noProof/>
        </w:rPr>
        <w:fldChar w:fldCharType="separate"/>
      </w:r>
      <w:r>
        <w:rPr>
          <w:noProof/>
        </w:rPr>
        <w:t>2</w:t>
      </w:r>
      <w:r>
        <w:rPr>
          <w:noProof/>
        </w:rPr>
        <w:fldChar w:fldCharType="end"/>
      </w:r>
    </w:p>
    <w:p w14:paraId="520317F9" w14:textId="71E0AFBD" w:rsidR="00227CF9" w:rsidRDefault="00227CF9">
      <w:pPr>
        <w:pStyle w:val="TOC4"/>
        <w:tabs>
          <w:tab w:val="right" w:leader="dot" w:pos="9056"/>
        </w:tabs>
        <w:rPr>
          <w:rFonts w:eastAsiaTheme="minorEastAsia"/>
          <w:noProof/>
          <w:sz w:val="22"/>
          <w:szCs w:val="22"/>
        </w:rPr>
      </w:pPr>
      <w:r>
        <w:rPr>
          <w:noProof/>
        </w:rPr>
        <w:t>Definition of LVGs</w:t>
      </w:r>
      <w:r>
        <w:rPr>
          <w:noProof/>
        </w:rPr>
        <w:tab/>
      </w:r>
      <w:r>
        <w:rPr>
          <w:noProof/>
        </w:rPr>
        <w:fldChar w:fldCharType="begin"/>
      </w:r>
      <w:r>
        <w:rPr>
          <w:noProof/>
        </w:rPr>
        <w:instrText xml:space="preserve"> PAGEREF _Toc530059513 \h </w:instrText>
      </w:r>
      <w:r>
        <w:rPr>
          <w:noProof/>
        </w:rPr>
      </w:r>
      <w:r>
        <w:rPr>
          <w:noProof/>
        </w:rPr>
        <w:fldChar w:fldCharType="separate"/>
      </w:r>
      <w:r>
        <w:rPr>
          <w:noProof/>
        </w:rPr>
        <w:t>2</w:t>
      </w:r>
      <w:r>
        <w:rPr>
          <w:noProof/>
        </w:rPr>
        <w:fldChar w:fldCharType="end"/>
      </w:r>
    </w:p>
    <w:p w14:paraId="5BBB79C1" w14:textId="42CD7DAB" w:rsidR="00227CF9" w:rsidRDefault="00227CF9">
      <w:pPr>
        <w:pStyle w:val="TOC4"/>
        <w:tabs>
          <w:tab w:val="right" w:leader="dot" w:pos="9056"/>
        </w:tabs>
        <w:rPr>
          <w:rFonts w:eastAsiaTheme="minorEastAsia"/>
          <w:noProof/>
          <w:sz w:val="22"/>
          <w:szCs w:val="22"/>
        </w:rPr>
      </w:pPr>
      <w:r>
        <w:rPr>
          <w:noProof/>
        </w:rPr>
        <w:t>Purpose of LVGs</w:t>
      </w:r>
      <w:r>
        <w:rPr>
          <w:noProof/>
        </w:rPr>
        <w:tab/>
      </w:r>
      <w:r>
        <w:rPr>
          <w:noProof/>
        </w:rPr>
        <w:fldChar w:fldCharType="begin"/>
      </w:r>
      <w:r>
        <w:rPr>
          <w:noProof/>
        </w:rPr>
        <w:instrText xml:space="preserve"> PAGEREF _Toc530059514 \h </w:instrText>
      </w:r>
      <w:r>
        <w:rPr>
          <w:noProof/>
        </w:rPr>
      </w:r>
      <w:r>
        <w:rPr>
          <w:noProof/>
        </w:rPr>
        <w:fldChar w:fldCharType="separate"/>
      </w:r>
      <w:r>
        <w:rPr>
          <w:noProof/>
        </w:rPr>
        <w:t>3</w:t>
      </w:r>
      <w:r>
        <w:rPr>
          <w:noProof/>
        </w:rPr>
        <w:fldChar w:fldCharType="end"/>
      </w:r>
    </w:p>
    <w:p w14:paraId="423ADA33" w14:textId="17156C05" w:rsidR="00227CF9" w:rsidRDefault="00227CF9">
      <w:pPr>
        <w:pStyle w:val="TOC4"/>
        <w:tabs>
          <w:tab w:val="right" w:leader="dot" w:pos="9056"/>
        </w:tabs>
        <w:rPr>
          <w:rFonts w:eastAsiaTheme="minorEastAsia"/>
          <w:noProof/>
          <w:sz w:val="22"/>
          <w:szCs w:val="22"/>
        </w:rPr>
      </w:pPr>
      <w:r>
        <w:rPr>
          <w:noProof/>
        </w:rPr>
        <w:t>Definition of grant recipients</w:t>
      </w:r>
      <w:r>
        <w:rPr>
          <w:noProof/>
        </w:rPr>
        <w:tab/>
      </w:r>
      <w:r>
        <w:rPr>
          <w:noProof/>
        </w:rPr>
        <w:fldChar w:fldCharType="begin"/>
      </w:r>
      <w:r>
        <w:rPr>
          <w:noProof/>
        </w:rPr>
        <w:instrText xml:space="preserve"> PAGEREF _Toc530059515 \h </w:instrText>
      </w:r>
      <w:r>
        <w:rPr>
          <w:noProof/>
        </w:rPr>
      </w:r>
      <w:r>
        <w:rPr>
          <w:noProof/>
        </w:rPr>
        <w:fldChar w:fldCharType="separate"/>
      </w:r>
      <w:r>
        <w:rPr>
          <w:noProof/>
        </w:rPr>
        <w:t>4</w:t>
      </w:r>
      <w:r>
        <w:rPr>
          <w:noProof/>
        </w:rPr>
        <w:fldChar w:fldCharType="end"/>
      </w:r>
    </w:p>
    <w:p w14:paraId="66D19E62" w14:textId="563F46B9" w:rsidR="00227CF9" w:rsidRDefault="00227CF9">
      <w:pPr>
        <w:pStyle w:val="TOC4"/>
        <w:tabs>
          <w:tab w:val="right" w:leader="dot" w:pos="9056"/>
        </w:tabs>
        <w:rPr>
          <w:rFonts w:eastAsiaTheme="minorEastAsia"/>
          <w:noProof/>
          <w:sz w:val="22"/>
          <w:szCs w:val="22"/>
        </w:rPr>
      </w:pPr>
      <w:r>
        <w:rPr>
          <w:noProof/>
        </w:rPr>
        <w:t>Difference between LVGs and procurement</w:t>
      </w:r>
      <w:r>
        <w:rPr>
          <w:noProof/>
        </w:rPr>
        <w:tab/>
      </w:r>
      <w:r>
        <w:rPr>
          <w:noProof/>
        </w:rPr>
        <w:fldChar w:fldCharType="begin"/>
      </w:r>
      <w:r>
        <w:rPr>
          <w:noProof/>
        </w:rPr>
        <w:instrText xml:space="preserve"> PAGEREF _Toc530059516 \h </w:instrText>
      </w:r>
      <w:r>
        <w:rPr>
          <w:noProof/>
        </w:rPr>
      </w:r>
      <w:r>
        <w:rPr>
          <w:noProof/>
        </w:rPr>
        <w:fldChar w:fldCharType="separate"/>
      </w:r>
      <w:r>
        <w:rPr>
          <w:noProof/>
        </w:rPr>
        <w:t>5</w:t>
      </w:r>
      <w:r>
        <w:rPr>
          <w:noProof/>
        </w:rPr>
        <w:fldChar w:fldCharType="end"/>
      </w:r>
    </w:p>
    <w:p w14:paraId="12B5F6DD" w14:textId="1652FECC" w:rsidR="00227CF9" w:rsidRDefault="00227CF9">
      <w:pPr>
        <w:pStyle w:val="TOC4"/>
        <w:tabs>
          <w:tab w:val="right" w:leader="dot" w:pos="9056"/>
        </w:tabs>
        <w:rPr>
          <w:rFonts w:eastAsiaTheme="minorEastAsia"/>
          <w:noProof/>
          <w:sz w:val="22"/>
          <w:szCs w:val="22"/>
        </w:rPr>
      </w:pPr>
      <w:r>
        <w:rPr>
          <w:noProof/>
        </w:rPr>
        <w:t>Difference between LVGs and responsible parties</w:t>
      </w:r>
      <w:r>
        <w:rPr>
          <w:noProof/>
        </w:rPr>
        <w:tab/>
      </w:r>
      <w:r>
        <w:rPr>
          <w:noProof/>
        </w:rPr>
        <w:fldChar w:fldCharType="begin"/>
      </w:r>
      <w:r>
        <w:rPr>
          <w:noProof/>
        </w:rPr>
        <w:instrText xml:space="preserve"> PAGEREF _Toc530059517 \h </w:instrText>
      </w:r>
      <w:r>
        <w:rPr>
          <w:noProof/>
        </w:rPr>
      </w:r>
      <w:r>
        <w:rPr>
          <w:noProof/>
        </w:rPr>
        <w:fldChar w:fldCharType="separate"/>
      </w:r>
      <w:r>
        <w:rPr>
          <w:noProof/>
        </w:rPr>
        <w:t>5</w:t>
      </w:r>
      <w:r>
        <w:rPr>
          <w:noProof/>
        </w:rPr>
        <w:fldChar w:fldCharType="end"/>
      </w:r>
    </w:p>
    <w:p w14:paraId="69CC26EB" w14:textId="7256601B" w:rsidR="00227CF9" w:rsidRDefault="00227CF9">
      <w:pPr>
        <w:pStyle w:val="TOC4"/>
        <w:tabs>
          <w:tab w:val="right" w:leader="dot" w:pos="9056"/>
        </w:tabs>
        <w:rPr>
          <w:rFonts w:eastAsiaTheme="minorEastAsia"/>
          <w:noProof/>
          <w:sz w:val="22"/>
          <w:szCs w:val="22"/>
        </w:rPr>
      </w:pPr>
      <w:r>
        <w:rPr>
          <w:noProof/>
        </w:rPr>
        <w:t>Difference between LVGs and innovation challenge</w:t>
      </w:r>
      <w:r>
        <w:rPr>
          <w:noProof/>
        </w:rPr>
        <w:tab/>
      </w:r>
      <w:r>
        <w:rPr>
          <w:noProof/>
        </w:rPr>
        <w:fldChar w:fldCharType="begin"/>
      </w:r>
      <w:r>
        <w:rPr>
          <w:noProof/>
        </w:rPr>
        <w:instrText xml:space="preserve"> PAGEREF _Toc530059518 \h </w:instrText>
      </w:r>
      <w:r>
        <w:rPr>
          <w:noProof/>
        </w:rPr>
      </w:r>
      <w:r>
        <w:rPr>
          <w:noProof/>
        </w:rPr>
        <w:fldChar w:fldCharType="separate"/>
      </w:r>
      <w:r>
        <w:rPr>
          <w:noProof/>
        </w:rPr>
        <w:t>6</w:t>
      </w:r>
      <w:r>
        <w:rPr>
          <w:noProof/>
        </w:rPr>
        <w:fldChar w:fldCharType="end"/>
      </w:r>
    </w:p>
    <w:p w14:paraId="57FDECC5" w14:textId="76A8B362" w:rsidR="00227CF9" w:rsidRDefault="00227CF9">
      <w:pPr>
        <w:pStyle w:val="TOC4"/>
        <w:tabs>
          <w:tab w:val="right" w:leader="dot" w:pos="9056"/>
        </w:tabs>
        <w:rPr>
          <w:rFonts w:eastAsiaTheme="minorEastAsia"/>
          <w:noProof/>
          <w:sz w:val="22"/>
          <w:szCs w:val="22"/>
        </w:rPr>
      </w:pPr>
      <w:r>
        <w:rPr>
          <w:noProof/>
        </w:rPr>
        <w:t>Difference between LVGs and low value Performance-based Payments</w:t>
      </w:r>
      <w:r>
        <w:rPr>
          <w:noProof/>
        </w:rPr>
        <w:tab/>
      </w:r>
      <w:r>
        <w:rPr>
          <w:noProof/>
        </w:rPr>
        <w:fldChar w:fldCharType="begin"/>
      </w:r>
      <w:r>
        <w:rPr>
          <w:noProof/>
        </w:rPr>
        <w:instrText xml:space="preserve"> PAGEREF _Toc530059519 \h </w:instrText>
      </w:r>
      <w:r>
        <w:rPr>
          <w:noProof/>
        </w:rPr>
      </w:r>
      <w:r>
        <w:rPr>
          <w:noProof/>
        </w:rPr>
        <w:fldChar w:fldCharType="separate"/>
      </w:r>
      <w:r>
        <w:rPr>
          <w:noProof/>
        </w:rPr>
        <w:t>6</w:t>
      </w:r>
      <w:r>
        <w:rPr>
          <w:noProof/>
        </w:rPr>
        <w:fldChar w:fldCharType="end"/>
      </w:r>
    </w:p>
    <w:p w14:paraId="437134E2" w14:textId="42DE1B81" w:rsidR="00227CF9" w:rsidRDefault="00227CF9">
      <w:pPr>
        <w:pStyle w:val="TOC2"/>
        <w:rPr>
          <w:rFonts w:eastAsiaTheme="minorEastAsia"/>
          <w:b w:val="0"/>
          <w:bCs w:val="0"/>
          <w:noProof/>
        </w:rPr>
      </w:pPr>
      <w:r>
        <w:rPr>
          <w:noProof/>
        </w:rPr>
        <w:t>B.</w:t>
      </w:r>
      <w:r>
        <w:rPr>
          <w:rFonts w:eastAsiaTheme="minorEastAsia"/>
          <w:b w:val="0"/>
          <w:bCs w:val="0"/>
          <w:noProof/>
        </w:rPr>
        <w:tab/>
      </w:r>
      <w:r>
        <w:rPr>
          <w:noProof/>
        </w:rPr>
        <w:t>Planning for the use of grants</w:t>
      </w:r>
      <w:r>
        <w:rPr>
          <w:noProof/>
        </w:rPr>
        <w:tab/>
      </w:r>
      <w:r>
        <w:rPr>
          <w:noProof/>
        </w:rPr>
        <w:fldChar w:fldCharType="begin"/>
      </w:r>
      <w:r>
        <w:rPr>
          <w:noProof/>
        </w:rPr>
        <w:instrText xml:space="preserve"> PAGEREF _Toc530059520 \h </w:instrText>
      </w:r>
      <w:r>
        <w:rPr>
          <w:noProof/>
        </w:rPr>
      </w:r>
      <w:r>
        <w:rPr>
          <w:noProof/>
        </w:rPr>
        <w:fldChar w:fldCharType="separate"/>
      </w:r>
      <w:r>
        <w:rPr>
          <w:noProof/>
        </w:rPr>
        <w:t>6</w:t>
      </w:r>
      <w:r>
        <w:rPr>
          <w:noProof/>
        </w:rPr>
        <w:fldChar w:fldCharType="end"/>
      </w:r>
    </w:p>
    <w:p w14:paraId="69068A7B" w14:textId="6CDC029B" w:rsidR="00227CF9" w:rsidRDefault="00227CF9">
      <w:pPr>
        <w:pStyle w:val="TOC4"/>
        <w:tabs>
          <w:tab w:val="right" w:leader="dot" w:pos="9056"/>
        </w:tabs>
        <w:rPr>
          <w:rFonts w:eastAsiaTheme="minorEastAsia"/>
          <w:noProof/>
          <w:sz w:val="22"/>
          <w:szCs w:val="22"/>
        </w:rPr>
      </w:pPr>
      <w:r>
        <w:rPr>
          <w:noProof/>
        </w:rPr>
        <w:t>Grant eligibility</w:t>
      </w:r>
      <w:r>
        <w:rPr>
          <w:noProof/>
        </w:rPr>
        <w:tab/>
      </w:r>
      <w:r>
        <w:rPr>
          <w:noProof/>
        </w:rPr>
        <w:fldChar w:fldCharType="begin"/>
      </w:r>
      <w:r>
        <w:rPr>
          <w:noProof/>
        </w:rPr>
        <w:instrText xml:space="preserve"> PAGEREF _Toc530059521 \h </w:instrText>
      </w:r>
      <w:r>
        <w:rPr>
          <w:noProof/>
        </w:rPr>
      </w:r>
      <w:r>
        <w:rPr>
          <w:noProof/>
        </w:rPr>
        <w:fldChar w:fldCharType="separate"/>
      </w:r>
      <w:r>
        <w:rPr>
          <w:noProof/>
        </w:rPr>
        <w:t>7</w:t>
      </w:r>
      <w:r>
        <w:rPr>
          <w:noProof/>
        </w:rPr>
        <w:fldChar w:fldCharType="end"/>
      </w:r>
    </w:p>
    <w:p w14:paraId="3AFB7C5B" w14:textId="7438BE74" w:rsidR="00227CF9" w:rsidRDefault="00227CF9">
      <w:pPr>
        <w:pStyle w:val="TOC4"/>
        <w:tabs>
          <w:tab w:val="right" w:leader="dot" w:pos="9056"/>
        </w:tabs>
        <w:rPr>
          <w:rFonts w:eastAsiaTheme="minorEastAsia"/>
          <w:noProof/>
          <w:sz w:val="22"/>
          <w:szCs w:val="22"/>
        </w:rPr>
      </w:pPr>
      <w:r>
        <w:rPr>
          <w:noProof/>
        </w:rPr>
        <w:t>Grant threshold</w:t>
      </w:r>
      <w:r>
        <w:rPr>
          <w:noProof/>
        </w:rPr>
        <w:tab/>
      </w:r>
      <w:r>
        <w:rPr>
          <w:noProof/>
        </w:rPr>
        <w:fldChar w:fldCharType="begin"/>
      </w:r>
      <w:r>
        <w:rPr>
          <w:noProof/>
        </w:rPr>
        <w:instrText xml:space="preserve"> PAGEREF _Toc530059522 \h </w:instrText>
      </w:r>
      <w:r>
        <w:rPr>
          <w:noProof/>
        </w:rPr>
      </w:r>
      <w:r>
        <w:rPr>
          <w:noProof/>
        </w:rPr>
        <w:fldChar w:fldCharType="separate"/>
      </w:r>
      <w:r>
        <w:rPr>
          <w:noProof/>
        </w:rPr>
        <w:t>7</w:t>
      </w:r>
      <w:r>
        <w:rPr>
          <w:noProof/>
        </w:rPr>
        <w:fldChar w:fldCharType="end"/>
      </w:r>
    </w:p>
    <w:p w14:paraId="5CDE8992" w14:textId="294174BF" w:rsidR="00227CF9" w:rsidRDefault="00227CF9">
      <w:pPr>
        <w:pStyle w:val="TOC4"/>
        <w:tabs>
          <w:tab w:val="right" w:leader="dot" w:pos="9056"/>
        </w:tabs>
        <w:rPr>
          <w:rFonts w:eastAsiaTheme="minorEastAsia"/>
          <w:noProof/>
          <w:sz w:val="22"/>
          <w:szCs w:val="22"/>
        </w:rPr>
      </w:pPr>
      <w:r>
        <w:rPr>
          <w:noProof/>
        </w:rPr>
        <w:t>Governance issues specific to LVGs</w:t>
      </w:r>
      <w:r>
        <w:rPr>
          <w:noProof/>
        </w:rPr>
        <w:tab/>
      </w:r>
      <w:r>
        <w:rPr>
          <w:noProof/>
        </w:rPr>
        <w:fldChar w:fldCharType="begin"/>
      </w:r>
      <w:r>
        <w:rPr>
          <w:noProof/>
        </w:rPr>
        <w:instrText xml:space="preserve"> PAGEREF _Toc530059523 \h </w:instrText>
      </w:r>
      <w:r>
        <w:rPr>
          <w:noProof/>
        </w:rPr>
      </w:r>
      <w:r>
        <w:rPr>
          <w:noProof/>
        </w:rPr>
        <w:fldChar w:fldCharType="separate"/>
      </w:r>
      <w:r>
        <w:rPr>
          <w:noProof/>
        </w:rPr>
        <w:t>7</w:t>
      </w:r>
      <w:r>
        <w:rPr>
          <w:noProof/>
        </w:rPr>
        <w:fldChar w:fldCharType="end"/>
      </w:r>
    </w:p>
    <w:p w14:paraId="60509010" w14:textId="7D0FA2E7" w:rsidR="00227CF9" w:rsidRDefault="00227CF9">
      <w:pPr>
        <w:pStyle w:val="TOC4"/>
        <w:tabs>
          <w:tab w:val="right" w:leader="dot" w:pos="9056"/>
        </w:tabs>
        <w:rPr>
          <w:rFonts w:eastAsiaTheme="minorEastAsia"/>
          <w:noProof/>
          <w:sz w:val="22"/>
          <w:szCs w:val="22"/>
        </w:rPr>
      </w:pPr>
      <w:r>
        <w:rPr>
          <w:noProof/>
        </w:rPr>
        <w:t>Grant selection criteria</w:t>
      </w:r>
      <w:r>
        <w:rPr>
          <w:noProof/>
        </w:rPr>
        <w:tab/>
      </w:r>
      <w:r>
        <w:rPr>
          <w:noProof/>
        </w:rPr>
        <w:fldChar w:fldCharType="begin"/>
      </w:r>
      <w:r>
        <w:rPr>
          <w:noProof/>
        </w:rPr>
        <w:instrText xml:space="preserve"> PAGEREF _Toc530059524 \h </w:instrText>
      </w:r>
      <w:r>
        <w:rPr>
          <w:noProof/>
        </w:rPr>
      </w:r>
      <w:r>
        <w:rPr>
          <w:noProof/>
        </w:rPr>
        <w:fldChar w:fldCharType="separate"/>
      </w:r>
      <w:r>
        <w:rPr>
          <w:noProof/>
        </w:rPr>
        <w:t>8</w:t>
      </w:r>
      <w:r>
        <w:rPr>
          <w:noProof/>
        </w:rPr>
        <w:fldChar w:fldCharType="end"/>
      </w:r>
    </w:p>
    <w:p w14:paraId="0DB3907B" w14:textId="50EE4AAB" w:rsidR="00227CF9" w:rsidRDefault="00227CF9">
      <w:pPr>
        <w:pStyle w:val="TOC4"/>
        <w:tabs>
          <w:tab w:val="right" w:leader="dot" w:pos="9056"/>
        </w:tabs>
        <w:rPr>
          <w:rFonts w:eastAsiaTheme="minorEastAsia"/>
          <w:noProof/>
          <w:sz w:val="22"/>
          <w:szCs w:val="22"/>
        </w:rPr>
      </w:pPr>
      <w:r>
        <w:rPr>
          <w:noProof/>
        </w:rPr>
        <w:t>Grant solicitation process</w:t>
      </w:r>
      <w:r>
        <w:rPr>
          <w:noProof/>
        </w:rPr>
        <w:tab/>
      </w:r>
      <w:r>
        <w:rPr>
          <w:noProof/>
        </w:rPr>
        <w:fldChar w:fldCharType="begin"/>
      </w:r>
      <w:r>
        <w:rPr>
          <w:noProof/>
        </w:rPr>
        <w:instrText xml:space="preserve"> PAGEREF _Toc530059525 \h </w:instrText>
      </w:r>
      <w:r>
        <w:rPr>
          <w:noProof/>
        </w:rPr>
      </w:r>
      <w:r>
        <w:rPr>
          <w:noProof/>
        </w:rPr>
        <w:fldChar w:fldCharType="separate"/>
      </w:r>
      <w:r>
        <w:rPr>
          <w:noProof/>
        </w:rPr>
        <w:t>10</w:t>
      </w:r>
      <w:r>
        <w:rPr>
          <w:noProof/>
        </w:rPr>
        <w:fldChar w:fldCharType="end"/>
      </w:r>
    </w:p>
    <w:p w14:paraId="3CBA69EB" w14:textId="7058F63F" w:rsidR="00227CF9" w:rsidRDefault="00227CF9">
      <w:pPr>
        <w:pStyle w:val="TOC4"/>
        <w:tabs>
          <w:tab w:val="right" w:leader="dot" w:pos="9056"/>
        </w:tabs>
        <w:rPr>
          <w:rFonts w:eastAsiaTheme="minorEastAsia"/>
          <w:noProof/>
          <w:sz w:val="22"/>
          <w:szCs w:val="22"/>
        </w:rPr>
      </w:pPr>
      <w:r>
        <w:rPr>
          <w:noProof/>
        </w:rPr>
        <w:t>Grant selection process</w:t>
      </w:r>
      <w:r>
        <w:rPr>
          <w:noProof/>
        </w:rPr>
        <w:tab/>
      </w:r>
      <w:r>
        <w:rPr>
          <w:noProof/>
        </w:rPr>
        <w:fldChar w:fldCharType="begin"/>
      </w:r>
      <w:r>
        <w:rPr>
          <w:noProof/>
        </w:rPr>
        <w:instrText xml:space="preserve"> PAGEREF _Toc530059526 \h </w:instrText>
      </w:r>
      <w:r>
        <w:rPr>
          <w:noProof/>
        </w:rPr>
      </w:r>
      <w:r>
        <w:rPr>
          <w:noProof/>
        </w:rPr>
        <w:fldChar w:fldCharType="separate"/>
      </w:r>
      <w:r>
        <w:rPr>
          <w:noProof/>
        </w:rPr>
        <w:t>10</w:t>
      </w:r>
      <w:r>
        <w:rPr>
          <w:noProof/>
        </w:rPr>
        <w:fldChar w:fldCharType="end"/>
      </w:r>
    </w:p>
    <w:p w14:paraId="567E2ECB" w14:textId="4E1027B6" w:rsidR="00227CF9" w:rsidRDefault="00227CF9">
      <w:pPr>
        <w:pStyle w:val="TOC2"/>
        <w:rPr>
          <w:rFonts w:eastAsiaTheme="minorEastAsia"/>
          <w:b w:val="0"/>
          <w:bCs w:val="0"/>
          <w:noProof/>
        </w:rPr>
      </w:pPr>
      <w:r>
        <w:rPr>
          <w:noProof/>
        </w:rPr>
        <w:t>C.</w:t>
      </w:r>
      <w:r>
        <w:rPr>
          <w:rFonts w:eastAsiaTheme="minorEastAsia"/>
          <w:b w:val="0"/>
          <w:bCs w:val="0"/>
          <w:noProof/>
        </w:rPr>
        <w:tab/>
      </w:r>
      <w:r>
        <w:rPr>
          <w:noProof/>
        </w:rPr>
        <w:t>Formulating grant components</w:t>
      </w:r>
      <w:r>
        <w:rPr>
          <w:noProof/>
        </w:rPr>
        <w:tab/>
      </w:r>
      <w:r>
        <w:rPr>
          <w:noProof/>
        </w:rPr>
        <w:fldChar w:fldCharType="begin"/>
      </w:r>
      <w:r>
        <w:rPr>
          <w:noProof/>
        </w:rPr>
        <w:instrText xml:space="preserve"> PAGEREF _Toc530059527 \h </w:instrText>
      </w:r>
      <w:r>
        <w:rPr>
          <w:noProof/>
        </w:rPr>
      </w:r>
      <w:r>
        <w:rPr>
          <w:noProof/>
        </w:rPr>
        <w:fldChar w:fldCharType="separate"/>
      </w:r>
      <w:r>
        <w:rPr>
          <w:noProof/>
        </w:rPr>
        <w:t>11</w:t>
      </w:r>
      <w:r>
        <w:rPr>
          <w:noProof/>
        </w:rPr>
        <w:fldChar w:fldCharType="end"/>
      </w:r>
    </w:p>
    <w:p w14:paraId="41D5F418" w14:textId="0E9F44B3" w:rsidR="00227CF9" w:rsidRDefault="00227CF9">
      <w:pPr>
        <w:pStyle w:val="TOC4"/>
        <w:tabs>
          <w:tab w:val="right" w:leader="dot" w:pos="9056"/>
        </w:tabs>
        <w:rPr>
          <w:rFonts w:eastAsiaTheme="minorEastAsia"/>
          <w:noProof/>
          <w:sz w:val="22"/>
          <w:szCs w:val="22"/>
        </w:rPr>
      </w:pPr>
      <w:r>
        <w:rPr>
          <w:noProof/>
        </w:rPr>
        <w:t>Formulating a grant component within a project</w:t>
      </w:r>
      <w:r>
        <w:rPr>
          <w:noProof/>
        </w:rPr>
        <w:tab/>
      </w:r>
      <w:r>
        <w:rPr>
          <w:noProof/>
        </w:rPr>
        <w:fldChar w:fldCharType="begin"/>
      </w:r>
      <w:r>
        <w:rPr>
          <w:noProof/>
        </w:rPr>
        <w:instrText xml:space="preserve"> PAGEREF _Toc530059528 \h </w:instrText>
      </w:r>
      <w:r>
        <w:rPr>
          <w:noProof/>
        </w:rPr>
      </w:r>
      <w:r>
        <w:rPr>
          <w:noProof/>
        </w:rPr>
        <w:fldChar w:fldCharType="separate"/>
      </w:r>
      <w:r>
        <w:rPr>
          <w:noProof/>
        </w:rPr>
        <w:t>11</w:t>
      </w:r>
      <w:r>
        <w:rPr>
          <w:noProof/>
        </w:rPr>
        <w:fldChar w:fldCharType="end"/>
      </w:r>
    </w:p>
    <w:p w14:paraId="48020819" w14:textId="62FFE91F" w:rsidR="00227CF9" w:rsidRDefault="00227CF9">
      <w:pPr>
        <w:pStyle w:val="TOC4"/>
        <w:tabs>
          <w:tab w:val="right" w:leader="dot" w:pos="9056"/>
        </w:tabs>
        <w:rPr>
          <w:rFonts w:eastAsiaTheme="minorEastAsia"/>
          <w:noProof/>
          <w:sz w:val="22"/>
          <w:szCs w:val="22"/>
        </w:rPr>
      </w:pPr>
      <w:r>
        <w:rPr>
          <w:noProof/>
        </w:rPr>
        <w:t>Selection of a Partner for on-granting</w:t>
      </w:r>
      <w:r>
        <w:rPr>
          <w:noProof/>
        </w:rPr>
        <w:tab/>
      </w:r>
      <w:r>
        <w:rPr>
          <w:noProof/>
        </w:rPr>
        <w:fldChar w:fldCharType="begin"/>
      </w:r>
      <w:r>
        <w:rPr>
          <w:noProof/>
        </w:rPr>
        <w:instrText xml:space="preserve"> PAGEREF _Toc530059529 \h </w:instrText>
      </w:r>
      <w:r>
        <w:rPr>
          <w:noProof/>
        </w:rPr>
      </w:r>
      <w:r>
        <w:rPr>
          <w:noProof/>
        </w:rPr>
        <w:fldChar w:fldCharType="separate"/>
      </w:r>
      <w:r>
        <w:rPr>
          <w:noProof/>
        </w:rPr>
        <w:t>12</w:t>
      </w:r>
      <w:r>
        <w:rPr>
          <w:noProof/>
        </w:rPr>
        <w:fldChar w:fldCharType="end"/>
      </w:r>
    </w:p>
    <w:p w14:paraId="10FD7696" w14:textId="517069C5" w:rsidR="00227CF9" w:rsidRDefault="00227CF9">
      <w:pPr>
        <w:pStyle w:val="TOC2"/>
        <w:rPr>
          <w:rFonts w:eastAsiaTheme="minorEastAsia"/>
          <w:b w:val="0"/>
          <w:bCs w:val="0"/>
          <w:noProof/>
        </w:rPr>
      </w:pPr>
      <w:r>
        <w:rPr>
          <w:noProof/>
        </w:rPr>
        <w:t>D.</w:t>
      </w:r>
      <w:r>
        <w:rPr>
          <w:rFonts w:eastAsiaTheme="minorEastAsia"/>
          <w:b w:val="0"/>
          <w:bCs w:val="0"/>
          <w:noProof/>
        </w:rPr>
        <w:tab/>
      </w:r>
      <w:r>
        <w:rPr>
          <w:noProof/>
        </w:rPr>
        <w:t>Implementation of grants</w:t>
      </w:r>
      <w:r>
        <w:rPr>
          <w:noProof/>
        </w:rPr>
        <w:tab/>
      </w:r>
      <w:r>
        <w:rPr>
          <w:noProof/>
        </w:rPr>
        <w:fldChar w:fldCharType="begin"/>
      </w:r>
      <w:r>
        <w:rPr>
          <w:noProof/>
        </w:rPr>
        <w:instrText xml:space="preserve"> PAGEREF _Toc530059530 \h </w:instrText>
      </w:r>
      <w:r>
        <w:rPr>
          <w:noProof/>
        </w:rPr>
      </w:r>
      <w:r>
        <w:rPr>
          <w:noProof/>
        </w:rPr>
        <w:fldChar w:fldCharType="separate"/>
      </w:r>
      <w:r>
        <w:rPr>
          <w:noProof/>
        </w:rPr>
        <w:t>13</w:t>
      </w:r>
      <w:r>
        <w:rPr>
          <w:noProof/>
        </w:rPr>
        <w:fldChar w:fldCharType="end"/>
      </w:r>
    </w:p>
    <w:p w14:paraId="66BB0140" w14:textId="5043D179" w:rsidR="00227CF9" w:rsidRDefault="00227CF9">
      <w:pPr>
        <w:pStyle w:val="TOC4"/>
        <w:tabs>
          <w:tab w:val="right" w:leader="dot" w:pos="9056"/>
        </w:tabs>
        <w:rPr>
          <w:rFonts w:eastAsiaTheme="minorEastAsia"/>
          <w:noProof/>
          <w:sz w:val="22"/>
          <w:szCs w:val="22"/>
        </w:rPr>
      </w:pPr>
      <w:r>
        <w:rPr>
          <w:noProof/>
        </w:rPr>
        <w:t>Grant agreement</w:t>
      </w:r>
      <w:r>
        <w:rPr>
          <w:noProof/>
        </w:rPr>
        <w:tab/>
      </w:r>
      <w:r>
        <w:rPr>
          <w:noProof/>
        </w:rPr>
        <w:fldChar w:fldCharType="begin"/>
      </w:r>
      <w:r>
        <w:rPr>
          <w:noProof/>
        </w:rPr>
        <w:instrText xml:space="preserve"> PAGEREF _Toc530059531 \h </w:instrText>
      </w:r>
      <w:r>
        <w:rPr>
          <w:noProof/>
        </w:rPr>
      </w:r>
      <w:r>
        <w:rPr>
          <w:noProof/>
        </w:rPr>
        <w:fldChar w:fldCharType="separate"/>
      </w:r>
      <w:r>
        <w:rPr>
          <w:noProof/>
        </w:rPr>
        <w:t>13</w:t>
      </w:r>
      <w:r>
        <w:rPr>
          <w:noProof/>
        </w:rPr>
        <w:fldChar w:fldCharType="end"/>
      </w:r>
    </w:p>
    <w:p w14:paraId="2F2BED43" w14:textId="56F1AEB1" w:rsidR="00227CF9" w:rsidRDefault="00227CF9">
      <w:pPr>
        <w:pStyle w:val="TOC4"/>
        <w:tabs>
          <w:tab w:val="right" w:leader="dot" w:pos="9056"/>
        </w:tabs>
        <w:rPr>
          <w:rFonts w:eastAsiaTheme="minorEastAsia"/>
          <w:noProof/>
          <w:sz w:val="22"/>
          <w:szCs w:val="22"/>
        </w:rPr>
      </w:pPr>
      <w:r>
        <w:rPr>
          <w:noProof/>
        </w:rPr>
        <w:t>Contingent Repayment Clauses in Grant Agreements</w:t>
      </w:r>
      <w:r>
        <w:rPr>
          <w:noProof/>
        </w:rPr>
        <w:tab/>
      </w:r>
      <w:r>
        <w:rPr>
          <w:noProof/>
        </w:rPr>
        <w:fldChar w:fldCharType="begin"/>
      </w:r>
      <w:r>
        <w:rPr>
          <w:noProof/>
        </w:rPr>
        <w:instrText xml:space="preserve"> PAGEREF _Toc530059532 \h </w:instrText>
      </w:r>
      <w:r>
        <w:rPr>
          <w:noProof/>
        </w:rPr>
      </w:r>
      <w:r>
        <w:rPr>
          <w:noProof/>
        </w:rPr>
        <w:fldChar w:fldCharType="separate"/>
      </w:r>
      <w:r>
        <w:rPr>
          <w:noProof/>
        </w:rPr>
        <w:t>13</w:t>
      </w:r>
      <w:r>
        <w:rPr>
          <w:noProof/>
        </w:rPr>
        <w:fldChar w:fldCharType="end"/>
      </w:r>
    </w:p>
    <w:p w14:paraId="4339E43A" w14:textId="252FD24B" w:rsidR="00227CF9" w:rsidRDefault="00227CF9">
      <w:pPr>
        <w:pStyle w:val="TOC4"/>
        <w:tabs>
          <w:tab w:val="right" w:leader="dot" w:pos="9056"/>
        </w:tabs>
        <w:rPr>
          <w:rFonts w:eastAsiaTheme="minorEastAsia"/>
          <w:noProof/>
          <w:sz w:val="22"/>
          <w:szCs w:val="22"/>
        </w:rPr>
      </w:pPr>
      <w:r>
        <w:rPr>
          <w:noProof/>
        </w:rPr>
        <w:t>Disbursement</w:t>
      </w:r>
      <w:r>
        <w:rPr>
          <w:noProof/>
        </w:rPr>
        <w:tab/>
      </w:r>
      <w:r>
        <w:rPr>
          <w:noProof/>
        </w:rPr>
        <w:fldChar w:fldCharType="begin"/>
      </w:r>
      <w:r>
        <w:rPr>
          <w:noProof/>
        </w:rPr>
        <w:instrText xml:space="preserve"> PAGEREF _Toc530059533 \h </w:instrText>
      </w:r>
      <w:r>
        <w:rPr>
          <w:noProof/>
        </w:rPr>
      </w:r>
      <w:r>
        <w:rPr>
          <w:noProof/>
        </w:rPr>
        <w:fldChar w:fldCharType="separate"/>
      </w:r>
      <w:r>
        <w:rPr>
          <w:noProof/>
        </w:rPr>
        <w:t>13</w:t>
      </w:r>
      <w:r>
        <w:rPr>
          <w:noProof/>
        </w:rPr>
        <w:fldChar w:fldCharType="end"/>
      </w:r>
    </w:p>
    <w:p w14:paraId="1EF56A73" w14:textId="501DBBE0" w:rsidR="00227CF9" w:rsidRDefault="00227CF9">
      <w:pPr>
        <w:pStyle w:val="TOC4"/>
        <w:tabs>
          <w:tab w:val="right" w:leader="dot" w:pos="9056"/>
        </w:tabs>
        <w:rPr>
          <w:rFonts w:eastAsiaTheme="minorEastAsia"/>
          <w:noProof/>
          <w:sz w:val="22"/>
          <w:szCs w:val="22"/>
        </w:rPr>
      </w:pPr>
      <w:r>
        <w:rPr>
          <w:noProof/>
        </w:rPr>
        <w:t>Monitoring</w:t>
      </w:r>
      <w:r>
        <w:rPr>
          <w:noProof/>
        </w:rPr>
        <w:tab/>
      </w:r>
      <w:r>
        <w:rPr>
          <w:noProof/>
        </w:rPr>
        <w:fldChar w:fldCharType="begin"/>
      </w:r>
      <w:r>
        <w:rPr>
          <w:noProof/>
        </w:rPr>
        <w:instrText xml:space="preserve"> PAGEREF _Toc530059534 \h </w:instrText>
      </w:r>
      <w:r>
        <w:rPr>
          <w:noProof/>
        </w:rPr>
      </w:r>
      <w:r>
        <w:rPr>
          <w:noProof/>
        </w:rPr>
        <w:fldChar w:fldCharType="separate"/>
      </w:r>
      <w:r>
        <w:rPr>
          <w:noProof/>
        </w:rPr>
        <w:t>14</w:t>
      </w:r>
      <w:r>
        <w:rPr>
          <w:noProof/>
        </w:rPr>
        <w:fldChar w:fldCharType="end"/>
      </w:r>
    </w:p>
    <w:p w14:paraId="48018E66" w14:textId="3BBF01B0" w:rsidR="00227CF9" w:rsidRDefault="00227CF9">
      <w:pPr>
        <w:pStyle w:val="TOC4"/>
        <w:tabs>
          <w:tab w:val="right" w:leader="dot" w:pos="9056"/>
        </w:tabs>
        <w:rPr>
          <w:rFonts w:eastAsiaTheme="minorEastAsia"/>
          <w:noProof/>
          <w:sz w:val="22"/>
          <w:szCs w:val="22"/>
        </w:rPr>
      </w:pPr>
      <w:r>
        <w:rPr>
          <w:noProof/>
        </w:rPr>
        <w:t>Reporting</w:t>
      </w:r>
      <w:r>
        <w:rPr>
          <w:noProof/>
        </w:rPr>
        <w:tab/>
      </w:r>
      <w:r>
        <w:rPr>
          <w:noProof/>
        </w:rPr>
        <w:fldChar w:fldCharType="begin"/>
      </w:r>
      <w:r>
        <w:rPr>
          <w:noProof/>
        </w:rPr>
        <w:instrText xml:space="preserve"> PAGEREF _Toc530059535 \h </w:instrText>
      </w:r>
      <w:r>
        <w:rPr>
          <w:noProof/>
        </w:rPr>
      </w:r>
      <w:r>
        <w:rPr>
          <w:noProof/>
        </w:rPr>
        <w:fldChar w:fldCharType="separate"/>
      </w:r>
      <w:r>
        <w:rPr>
          <w:noProof/>
        </w:rPr>
        <w:t>15</w:t>
      </w:r>
      <w:r>
        <w:rPr>
          <w:noProof/>
        </w:rPr>
        <w:fldChar w:fldCharType="end"/>
      </w:r>
    </w:p>
    <w:p w14:paraId="7EC0C9F9" w14:textId="7FD60C30" w:rsidR="00227CF9" w:rsidRDefault="00227CF9">
      <w:pPr>
        <w:pStyle w:val="TOC2"/>
        <w:rPr>
          <w:rFonts w:eastAsiaTheme="minorEastAsia"/>
          <w:b w:val="0"/>
          <w:bCs w:val="0"/>
          <w:noProof/>
        </w:rPr>
      </w:pPr>
      <w:r>
        <w:rPr>
          <w:noProof/>
        </w:rPr>
        <w:t>E.</w:t>
      </w:r>
      <w:r>
        <w:rPr>
          <w:rFonts w:eastAsiaTheme="minorEastAsia"/>
          <w:b w:val="0"/>
          <w:bCs w:val="0"/>
          <w:noProof/>
        </w:rPr>
        <w:tab/>
      </w:r>
      <w:r>
        <w:rPr>
          <w:noProof/>
        </w:rPr>
        <w:t>Annex:</w:t>
      </w:r>
      <w:r>
        <w:rPr>
          <w:noProof/>
        </w:rPr>
        <w:tab/>
      </w:r>
      <w:r>
        <w:rPr>
          <w:noProof/>
        </w:rPr>
        <w:fldChar w:fldCharType="begin"/>
      </w:r>
      <w:r>
        <w:rPr>
          <w:noProof/>
        </w:rPr>
        <w:instrText xml:space="preserve"> PAGEREF _Toc530059536 \h </w:instrText>
      </w:r>
      <w:r>
        <w:rPr>
          <w:noProof/>
        </w:rPr>
      </w:r>
      <w:r>
        <w:rPr>
          <w:noProof/>
        </w:rPr>
        <w:fldChar w:fldCharType="separate"/>
      </w:r>
      <w:r>
        <w:rPr>
          <w:noProof/>
        </w:rPr>
        <w:t>16</w:t>
      </w:r>
      <w:r>
        <w:rPr>
          <w:noProof/>
        </w:rPr>
        <w:fldChar w:fldCharType="end"/>
      </w:r>
    </w:p>
    <w:p w14:paraId="45115D61" w14:textId="70AAF7A3" w:rsidR="00227CF9" w:rsidRDefault="00227CF9">
      <w:pPr>
        <w:pStyle w:val="TOC4"/>
        <w:tabs>
          <w:tab w:val="right" w:leader="dot" w:pos="9056"/>
        </w:tabs>
        <w:rPr>
          <w:rFonts w:eastAsiaTheme="minorEastAsia"/>
          <w:noProof/>
          <w:sz w:val="22"/>
          <w:szCs w:val="22"/>
        </w:rPr>
      </w:pPr>
      <w:r>
        <w:rPr>
          <w:noProof/>
        </w:rPr>
        <w:t>Glossary</w:t>
      </w:r>
      <w:r>
        <w:rPr>
          <w:noProof/>
        </w:rPr>
        <w:tab/>
      </w:r>
      <w:r>
        <w:rPr>
          <w:noProof/>
        </w:rPr>
        <w:fldChar w:fldCharType="begin"/>
      </w:r>
      <w:r>
        <w:rPr>
          <w:noProof/>
        </w:rPr>
        <w:instrText xml:space="preserve"> PAGEREF _Toc530059537 \h </w:instrText>
      </w:r>
      <w:r>
        <w:rPr>
          <w:noProof/>
        </w:rPr>
      </w:r>
      <w:r>
        <w:rPr>
          <w:noProof/>
        </w:rPr>
        <w:fldChar w:fldCharType="separate"/>
      </w:r>
      <w:r>
        <w:rPr>
          <w:noProof/>
        </w:rPr>
        <w:t>16</w:t>
      </w:r>
      <w:r>
        <w:rPr>
          <w:noProof/>
        </w:rPr>
        <w:fldChar w:fldCharType="end"/>
      </w:r>
    </w:p>
    <w:p w14:paraId="463818E5" w14:textId="4398C859" w:rsidR="00227CF9" w:rsidRDefault="00227CF9">
      <w:pPr>
        <w:pStyle w:val="TOC4"/>
        <w:tabs>
          <w:tab w:val="right" w:leader="dot" w:pos="9056"/>
        </w:tabs>
        <w:rPr>
          <w:rFonts w:eastAsiaTheme="minorEastAsia"/>
          <w:noProof/>
          <w:sz w:val="22"/>
          <w:szCs w:val="22"/>
        </w:rPr>
      </w:pPr>
      <w:r>
        <w:rPr>
          <w:noProof/>
        </w:rPr>
        <w:t>Options Used by UNDP to Provide Low-Value Grants</w:t>
      </w:r>
      <w:r>
        <w:rPr>
          <w:noProof/>
        </w:rPr>
        <w:tab/>
      </w:r>
      <w:r>
        <w:rPr>
          <w:noProof/>
        </w:rPr>
        <w:fldChar w:fldCharType="begin"/>
      </w:r>
      <w:r>
        <w:rPr>
          <w:noProof/>
        </w:rPr>
        <w:instrText xml:space="preserve"> PAGEREF _Toc530059538 \h </w:instrText>
      </w:r>
      <w:r>
        <w:rPr>
          <w:noProof/>
        </w:rPr>
      </w:r>
      <w:r>
        <w:rPr>
          <w:noProof/>
        </w:rPr>
        <w:fldChar w:fldCharType="separate"/>
      </w:r>
      <w:r>
        <w:rPr>
          <w:noProof/>
        </w:rPr>
        <w:t>16</w:t>
      </w:r>
      <w:r>
        <w:rPr>
          <w:noProof/>
        </w:rPr>
        <w:fldChar w:fldCharType="end"/>
      </w:r>
    </w:p>
    <w:p w14:paraId="711FEE0B" w14:textId="6752D15C" w:rsidR="00227CF9" w:rsidRDefault="00227CF9">
      <w:pPr>
        <w:pStyle w:val="TOC4"/>
        <w:tabs>
          <w:tab w:val="right" w:leader="dot" w:pos="9056"/>
        </w:tabs>
        <w:rPr>
          <w:rFonts w:eastAsiaTheme="minorEastAsia"/>
          <w:noProof/>
          <w:sz w:val="22"/>
          <w:szCs w:val="22"/>
        </w:rPr>
      </w:pPr>
      <w:r w:rsidRPr="00A3270D">
        <w:rPr>
          <w:b/>
          <w:noProof/>
        </w:rPr>
        <w:t>Grant threshold</w:t>
      </w:r>
      <w:r>
        <w:rPr>
          <w:noProof/>
        </w:rPr>
        <w:tab/>
      </w:r>
      <w:r>
        <w:rPr>
          <w:noProof/>
        </w:rPr>
        <w:fldChar w:fldCharType="begin"/>
      </w:r>
      <w:r>
        <w:rPr>
          <w:noProof/>
        </w:rPr>
        <w:instrText xml:space="preserve"> PAGEREF _Toc530059539 \h </w:instrText>
      </w:r>
      <w:r>
        <w:rPr>
          <w:noProof/>
        </w:rPr>
      </w:r>
      <w:r>
        <w:rPr>
          <w:noProof/>
        </w:rPr>
        <w:fldChar w:fldCharType="separate"/>
      </w:r>
      <w:r>
        <w:rPr>
          <w:noProof/>
        </w:rPr>
        <w:t>16</w:t>
      </w:r>
      <w:r>
        <w:rPr>
          <w:noProof/>
        </w:rPr>
        <w:fldChar w:fldCharType="end"/>
      </w:r>
    </w:p>
    <w:p w14:paraId="70FC0891" w14:textId="3154DB06" w:rsidR="00227CF9" w:rsidRDefault="00227CF9">
      <w:pPr>
        <w:pStyle w:val="TOC4"/>
        <w:tabs>
          <w:tab w:val="right" w:leader="dot" w:pos="9056"/>
        </w:tabs>
        <w:rPr>
          <w:rFonts w:eastAsiaTheme="minorEastAsia"/>
          <w:noProof/>
          <w:sz w:val="22"/>
          <w:szCs w:val="22"/>
        </w:rPr>
      </w:pPr>
      <w:r w:rsidRPr="00A3270D">
        <w:rPr>
          <w:rFonts w:cstheme="minorHAnsi"/>
          <w:b/>
          <w:noProof/>
        </w:rPr>
        <w:t>On-Grant threshold</w:t>
      </w:r>
      <w:r>
        <w:rPr>
          <w:noProof/>
        </w:rPr>
        <w:tab/>
      </w:r>
      <w:r>
        <w:rPr>
          <w:noProof/>
        </w:rPr>
        <w:fldChar w:fldCharType="begin"/>
      </w:r>
      <w:r>
        <w:rPr>
          <w:noProof/>
        </w:rPr>
        <w:instrText xml:space="preserve"> PAGEREF _Toc530059540 \h </w:instrText>
      </w:r>
      <w:r>
        <w:rPr>
          <w:noProof/>
        </w:rPr>
      </w:r>
      <w:r>
        <w:rPr>
          <w:noProof/>
        </w:rPr>
        <w:fldChar w:fldCharType="separate"/>
      </w:r>
      <w:r>
        <w:rPr>
          <w:noProof/>
        </w:rPr>
        <w:t>17</w:t>
      </w:r>
      <w:r>
        <w:rPr>
          <w:noProof/>
        </w:rPr>
        <w:fldChar w:fldCharType="end"/>
      </w:r>
    </w:p>
    <w:p w14:paraId="6B999805" w14:textId="5674FDAC" w:rsidR="0078181B" w:rsidRDefault="005A0D3C" w:rsidP="00A74766">
      <w:r>
        <w:fldChar w:fldCharType="end"/>
      </w:r>
    </w:p>
    <w:p w14:paraId="613487D3" w14:textId="374B8969" w:rsidR="003E1D6E" w:rsidRDefault="003E1D6E" w:rsidP="00A74766"/>
    <w:p w14:paraId="7E69EEDD" w14:textId="4A438327" w:rsidR="0068068B" w:rsidRPr="00F74191" w:rsidRDefault="00683291" w:rsidP="005A0D3C">
      <w:pPr>
        <w:pStyle w:val="Heading2"/>
      </w:pPr>
      <w:bookmarkStart w:id="4" w:name="_Toc530059512"/>
      <w:r w:rsidRPr="00F74191">
        <w:t xml:space="preserve">Overview: </w:t>
      </w:r>
      <w:r w:rsidR="00275B4F">
        <w:t>Definition and p</w:t>
      </w:r>
      <w:r w:rsidR="00E5240F" w:rsidRPr="00F74191">
        <w:t xml:space="preserve">urpose </w:t>
      </w:r>
      <w:r w:rsidR="00D94872" w:rsidRPr="00F74191">
        <w:t xml:space="preserve">of </w:t>
      </w:r>
      <w:r w:rsidR="00346471" w:rsidRPr="00F74191">
        <w:t>low value</w:t>
      </w:r>
      <w:r w:rsidR="00D94872" w:rsidRPr="00F74191">
        <w:t xml:space="preserve"> grants</w:t>
      </w:r>
      <w:bookmarkEnd w:id="4"/>
      <w:r w:rsidR="0004488B" w:rsidRPr="00F74191">
        <w:t xml:space="preserve"> </w:t>
      </w:r>
    </w:p>
    <w:p w14:paraId="40FD9D54" w14:textId="028A8E82" w:rsidR="00265C01" w:rsidRPr="00F74191" w:rsidRDefault="007166E3" w:rsidP="00CA5B6E">
      <w:pPr>
        <w:numPr>
          <w:ilvl w:val="0"/>
          <w:numId w:val="3"/>
        </w:numPr>
        <w:spacing w:before="120"/>
        <w:jc w:val="both"/>
        <w:rPr>
          <w:sz w:val="22"/>
        </w:rPr>
      </w:pPr>
      <w:r w:rsidRPr="00F74191">
        <w:rPr>
          <w:sz w:val="22"/>
        </w:rPr>
        <w:t xml:space="preserve">The purpose of this operational guidance is to familiarize staff members with </w:t>
      </w:r>
      <w:r w:rsidR="00B11508">
        <w:rPr>
          <w:sz w:val="22"/>
        </w:rPr>
        <w:t xml:space="preserve">all types </w:t>
      </w:r>
      <w:r w:rsidR="00481DBD">
        <w:rPr>
          <w:sz w:val="22"/>
        </w:rPr>
        <w:t xml:space="preserve">of </w:t>
      </w:r>
      <w:r w:rsidR="00D9285F" w:rsidRPr="00F74191">
        <w:rPr>
          <w:sz w:val="22"/>
        </w:rPr>
        <w:t>low-value grants (</w:t>
      </w:r>
      <w:r w:rsidRPr="00F74191">
        <w:rPr>
          <w:sz w:val="22"/>
        </w:rPr>
        <w:t>LVGs</w:t>
      </w:r>
      <w:r w:rsidR="00D9285F" w:rsidRPr="00F74191">
        <w:rPr>
          <w:sz w:val="22"/>
        </w:rPr>
        <w:t>)</w:t>
      </w:r>
      <w:r w:rsidR="00481DBD">
        <w:rPr>
          <w:rStyle w:val="FootnoteReference"/>
          <w:sz w:val="22"/>
        </w:rPr>
        <w:footnoteReference w:id="1"/>
      </w:r>
      <w:r w:rsidRPr="00F74191">
        <w:rPr>
          <w:sz w:val="22"/>
        </w:rPr>
        <w:t xml:space="preserve"> </w:t>
      </w:r>
      <w:r w:rsidR="002202C1" w:rsidRPr="002202C1">
        <w:rPr>
          <w:sz w:val="22"/>
        </w:rPr>
        <w:t>(also known as micro-capital grants)</w:t>
      </w:r>
      <w:r w:rsidR="002202C1">
        <w:rPr>
          <w:sz w:val="22"/>
        </w:rPr>
        <w:t xml:space="preserve"> </w:t>
      </w:r>
      <w:r w:rsidRPr="00F74191">
        <w:rPr>
          <w:sz w:val="22"/>
        </w:rPr>
        <w:t>and how they can be used as part of development projects</w:t>
      </w:r>
      <w:r w:rsidR="00472BD6" w:rsidRPr="00F74191">
        <w:rPr>
          <w:sz w:val="22"/>
        </w:rPr>
        <w:t xml:space="preserve"> in line with the Programme &amp; Project Management </w:t>
      </w:r>
      <w:r w:rsidR="00D9285F" w:rsidRPr="00F74191">
        <w:rPr>
          <w:sz w:val="22"/>
        </w:rPr>
        <w:t xml:space="preserve">(PPM) </w:t>
      </w:r>
      <w:r w:rsidR="00472BD6" w:rsidRPr="00F74191">
        <w:rPr>
          <w:sz w:val="22"/>
        </w:rPr>
        <w:t xml:space="preserve">section of the </w:t>
      </w:r>
      <w:r w:rsidR="00D9285F" w:rsidRPr="00F74191">
        <w:rPr>
          <w:sz w:val="22"/>
        </w:rPr>
        <w:t>Programme &amp; Operations Policies &amp; Procedures (</w:t>
      </w:r>
      <w:r w:rsidR="00472BD6" w:rsidRPr="00F74191">
        <w:rPr>
          <w:sz w:val="22"/>
        </w:rPr>
        <w:t>POPP</w:t>
      </w:r>
      <w:r w:rsidR="00D9285F" w:rsidRPr="00F74191">
        <w:rPr>
          <w:sz w:val="22"/>
        </w:rPr>
        <w:t>)</w:t>
      </w:r>
      <w:r w:rsidRPr="00F74191">
        <w:rPr>
          <w:sz w:val="22"/>
        </w:rPr>
        <w:t xml:space="preserve">. </w:t>
      </w:r>
    </w:p>
    <w:p w14:paraId="2AD0305C" w14:textId="6400D923" w:rsidR="003E1D6E" w:rsidRDefault="006605E2" w:rsidP="00CA5B6E">
      <w:pPr>
        <w:pStyle w:val="ListParagraph"/>
        <w:numPr>
          <w:ilvl w:val="0"/>
          <w:numId w:val="3"/>
        </w:numPr>
        <w:spacing w:before="120"/>
        <w:contextualSpacing w:val="0"/>
        <w:jc w:val="both"/>
        <w:rPr>
          <w:sz w:val="22"/>
        </w:rPr>
      </w:pPr>
      <w:r w:rsidRPr="00F74191">
        <w:rPr>
          <w:sz w:val="22"/>
        </w:rPr>
        <w:t>This section explains the characteristics of LVGs</w:t>
      </w:r>
      <w:r w:rsidR="00B11508">
        <w:rPr>
          <w:sz w:val="22"/>
        </w:rPr>
        <w:t xml:space="preserve">, when managed by UNDP or a development partner, </w:t>
      </w:r>
      <w:r w:rsidR="00F774C2">
        <w:rPr>
          <w:sz w:val="22"/>
        </w:rPr>
        <w:t>as a programmatic instrument</w:t>
      </w:r>
      <w:r w:rsidRPr="00F74191">
        <w:rPr>
          <w:sz w:val="22"/>
        </w:rPr>
        <w:t xml:space="preserve"> and how they differ from other engagement modalities such as </w:t>
      </w:r>
      <w:r w:rsidR="00275B4F">
        <w:rPr>
          <w:sz w:val="22"/>
        </w:rPr>
        <w:t>engaging responsible parties</w:t>
      </w:r>
      <w:r w:rsidR="006A6BBB">
        <w:rPr>
          <w:sz w:val="22"/>
        </w:rPr>
        <w:t xml:space="preserve"> and</w:t>
      </w:r>
      <w:r w:rsidR="00275B4F">
        <w:rPr>
          <w:sz w:val="22"/>
        </w:rPr>
        <w:t xml:space="preserve"> </w:t>
      </w:r>
      <w:r w:rsidRPr="00F74191">
        <w:rPr>
          <w:sz w:val="22"/>
        </w:rPr>
        <w:t>procurement</w:t>
      </w:r>
      <w:r w:rsidR="006A6BBB">
        <w:rPr>
          <w:sz w:val="22"/>
        </w:rPr>
        <w:t xml:space="preserve">. </w:t>
      </w:r>
    </w:p>
    <w:p w14:paraId="7AA1E503" w14:textId="77777777" w:rsidR="006F40E6" w:rsidRDefault="006F40E6" w:rsidP="006F40E6">
      <w:pPr>
        <w:pStyle w:val="Heading4"/>
      </w:pPr>
      <w:bookmarkStart w:id="5" w:name="_Toc530059513"/>
    </w:p>
    <w:p w14:paraId="22491AFD" w14:textId="38F493DA" w:rsidR="00A73745" w:rsidRPr="003E1D6E" w:rsidRDefault="006F40E6" w:rsidP="006F40E6">
      <w:pPr>
        <w:pStyle w:val="Heading4"/>
        <w:rPr>
          <w:sz w:val="22"/>
        </w:rPr>
      </w:pPr>
      <w:r w:rsidRPr="00F74191">
        <w:t>Definition of LVGs</w:t>
      </w:r>
      <w:bookmarkEnd w:id="5"/>
    </w:p>
    <w:p w14:paraId="4DA8697E" w14:textId="19D8F028" w:rsidR="00F74191" w:rsidRDefault="00E914AB" w:rsidP="00CA5B6E">
      <w:pPr>
        <w:numPr>
          <w:ilvl w:val="0"/>
          <w:numId w:val="3"/>
        </w:numPr>
        <w:spacing w:before="120"/>
        <w:jc w:val="both"/>
        <w:rPr>
          <w:sz w:val="22"/>
        </w:rPr>
      </w:pPr>
      <w:r w:rsidRPr="00F74191">
        <w:rPr>
          <w:noProof/>
        </w:rPr>
        <mc:AlternateContent>
          <mc:Choice Requires="wps">
            <w:drawing>
              <wp:anchor distT="0" distB="0" distL="114300" distR="114300" simplePos="0" relativeHeight="251659264" behindDoc="0" locked="0" layoutInCell="1" allowOverlap="1" wp14:anchorId="7B49C924" wp14:editId="4A5B14C2">
                <wp:simplePos x="0" y="0"/>
                <wp:positionH relativeFrom="column">
                  <wp:posOffset>3957295</wp:posOffset>
                </wp:positionH>
                <wp:positionV relativeFrom="paragraph">
                  <wp:posOffset>180340</wp:posOffset>
                </wp:positionV>
                <wp:extent cx="2102485" cy="123571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2102485" cy="12357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5F9E1B" w14:textId="1C7155CA" w:rsidR="00FB15F9" w:rsidRPr="00A4474D" w:rsidRDefault="00FB15F9" w:rsidP="00FB1404">
                            <w:pPr>
                              <w:pBdr>
                                <w:top w:val="single" w:sz="4" w:space="7" w:color="8EAADB" w:themeColor="accent1" w:themeTint="99"/>
                                <w:left w:val="single" w:sz="4" w:space="1" w:color="8EAADB" w:themeColor="accent1" w:themeTint="99"/>
                                <w:bottom w:val="single" w:sz="4" w:space="1" w:color="8EAADB" w:themeColor="accent1" w:themeTint="99"/>
                                <w:right w:val="single" w:sz="4" w:space="1" w:color="8EAADB" w:themeColor="accent1" w:themeTint="99"/>
                              </w:pBdr>
                              <w:jc w:val="both"/>
                              <w:rPr>
                                <w:b/>
                                <w:sz w:val="18"/>
                              </w:rPr>
                            </w:pPr>
                            <w:r w:rsidRPr="00A4474D">
                              <w:rPr>
                                <w:b/>
                                <w:sz w:val="18"/>
                              </w:rPr>
                              <w:t xml:space="preserve">UNDP’s Definition of </w:t>
                            </w:r>
                            <w:r>
                              <w:rPr>
                                <w:b/>
                                <w:sz w:val="18"/>
                              </w:rPr>
                              <w:t xml:space="preserve">Low-Value </w:t>
                            </w:r>
                            <w:r w:rsidRPr="00A4474D">
                              <w:rPr>
                                <w:b/>
                                <w:sz w:val="18"/>
                              </w:rPr>
                              <w:t>Grants:</w:t>
                            </w:r>
                          </w:p>
                          <w:p w14:paraId="2D416307" w14:textId="6C790EDC" w:rsidR="00FB15F9" w:rsidRPr="00A4474D" w:rsidRDefault="00FB15F9" w:rsidP="00FB1404">
                            <w:pPr>
                              <w:pBdr>
                                <w:top w:val="single" w:sz="4" w:space="7" w:color="8EAADB" w:themeColor="accent1" w:themeTint="99"/>
                                <w:left w:val="single" w:sz="4" w:space="1" w:color="8EAADB" w:themeColor="accent1" w:themeTint="99"/>
                                <w:bottom w:val="single" w:sz="4" w:space="1" w:color="8EAADB" w:themeColor="accent1" w:themeTint="99"/>
                                <w:right w:val="single" w:sz="4" w:space="1" w:color="8EAADB" w:themeColor="accent1" w:themeTint="99"/>
                              </w:pBdr>
                              <w:rPr>
                                <w:sz w:val="18"/>
                              </w:rPr>
                            </w:pPr>
                            <w:r>
                              <w:rPr>
                                <w:sz w:val="18"/>
                              </w:rPr>
                              <w:t>LVG</w:t>
                            </w:r>
                            <w:r w:rsidRPr="00A4474D">
                              <w:rPr>
                                <w:sz w:val="18"/>
                              </w:rPr>
                              <w:t xml:space="preserve"> are cash </w:t>
                            </w:r>
                            <w:r>
                              <w:rPr>
                                <w:sz w:val="18"/>
                              </w:rPr>
                              <w:t xml:space="preserve">awards – selected via programmatic decisions – to civil society and non-governmental partners to </w:t>
                            </w:r>
                            <w:r w:rsidRPr="00A4474D">
                              <w:rPr>
                                <w:sz w:val="18"/>
                              </w:rPr>
                              <w:t>generat</w:t>
                            </w:r>
                            <w:r>
                              <w:rPr>
                                <w:sz w:val="18"/>
                              </w:rPr>
                              <w:t>e</w:t>
                            </w:r>
                            <w:r w:rsidRPr="00A4474D">
                              <w:rPr>
                                <w:sz w:val="18"/>
                              </w:rPr>
                              <w:t xml:space="preserve"> and solicit development solutions for which no repayment is </w:t>
                            </w:r>
                            <w:r>
                              <w:rPr>
                                <w:sz w:val="18"/>
                              </w:rPr>
                              <w:t xml:space="preserve">typically </w:t>
                            </w:r>
                            <w:r w:rsidRPr="00A4474D">
                              <w:rPr>
                                <w:sz w:val="18"/>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9C924" id="_x0000_t202" coordsize="21600,21600" o:spt="202" path="m,l,21600r21600,l21600,xe">
                <v:stroke joinstyle="miter"/>
                <v:path gradientshapeok="t" o:connecttype="rect"/>
              </v:shapetype>
              <v:shape id="Text Box 3" o:spid="_x0000_s1026" type="#_x0000_t202" style="position:absolute;left:0;text-align:left;margin-left:311.6pt;margin-top:14.2pt;width:165.55pt;height: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" filled="f" stroked="f">
                <v:textbox>
                  <w:txbxContent>
                    <w:p w14:paraId="565F9E1B" w14:textId="1C7155CA" w:rsidR="00FB15F9" w:rsidRPr="00A4474D" w:rsidRDefault="00FB15F9" w:rsidP="00FB1404">
                      <w:pPr>
                        <w:pBdr>
                          <w:top w:val="single" w:sz="4" w:space="7" w:color="8EAADB" w:themeColor="accent1" w:themeTint="99"/>
                          <w:left w:val="single" w:sz="4" w:space="1" w:color="8EAADB" w:themeColor="accent1" w:themeTint="99"/>
                          <w:bottom w:val="single" w:sz="4" w:space="1" w:color="8EAADB" w:themeColor="accent1" w:themeTint="99"/>
                          <w:right w:val="single" w:sz="4" w:space="1" w:color="8EAADB" w:themeColor="accent1" w:themeTint="99"/>
                        </w:pBdr>
                        <w:jc w:val="both"/>
                        <w:rPr>
                          <w:b/>
                          <w:sz w:val="18"/>
                        </w:rPr>
                      </w:pPr>
                      <w:r w:rsidRPr="00A4474D">
                        <w:rPr>
                          <w:b/>
                          <w:sz w:val="18"/>
                        </w:rPr>
                        <w:t xml:space="preserve">UNDP’s Definition of </w:t>
                      </w:r>
                      <w:r>
                        <w:rPr>
                          <w:b/>
                          <w:sz w:val="18"/>
                        </w:rPr>
                        <w:t xml:space="preserve">Low-Value </w:t>
                      </w:r>
                      <w:r w:rsidRPr="00A4474D">
                        <w:rPr>
                          <w:b/>
                          <w:sz w:val="18"/>
                        </w:rPr>
                        <w:t>Grants:</w:t>
                      </w:r>
                    </w:p>
                    <w:p w14:paraId="2D416307" w14:textId="6C790EDC" w:rsidR="00FB15F9" w:rsidRPr="00A4474D" w:rsidRDefault="00FB15F9" w:rsidP="00FB1404">
                      <w:pPr>
                        <w:pBdr>
                          <w:top w:val="single" w:sz="4" w:space="7" w:color="8EAADB" w:themeColor="accent1" w:themeTint="99"/>
                          <w:left w:val="single" w:sz="4" w:space="1" w:color="8EAADB" w:themeColor="accent1" w:themeTint="99"/>
                          <w:bottom w:val="single" w:sz="4" w:space="1" w:color="8EAADB" w:themeColor="accent1" w:themeTint="99"/>
                          <w:right w:val="single" w:sz="4" w:space="1" w:color="8EAADB" w:themeColor="accent1" w:themeTint="99"/>
                        </w:pBdr>
                        <w:rPr>
                          <w:sz w:val="18"/>
                        </w:rPr>
                      </w:pPr>
                      <w:r>
                        <w:rPr>
                          <w:sz w:val="18"/>
                        </w:rPr>
                        <w:t>LVG</w:t>
                      </w:r>
                      <w:r w:rsidRPr="00A4474D">
                        <w:rPr>
                          <w:sz w:val="18"/>
                        </w:rPr>
                        <w:t xml:space="preserve"> are cash </w:t>
                      </w:r>
                      <w:r>
                        <w:rPr>
                          <w:sz w:val="18"/>
                        </w:rPr>
                        <w:t xml:space="preserve">awards – selected via programmatic decisions – to civil society and non-governmental partners to </w:t>
                      </w:r>
                      <w:r w:rsidRPr="00A4474D">
                        <w:rPr>
                          <w:sz w:val="18"/>
                        </w:rPr>
                        <w:t>generat</w:t>
                      </w:r>
                      <w:r>
                        <w:rPr>
                          <w:sz w:val="18"/>
                        </w:rPr>
                        <w:t>e</w:t>
                      </w:r>
                      <w:r w:rsidRPr="00A4474D">
                        <w:rPr>
                          <w:sz w:val="18"/>
                        </w:rPr>
                        <w:t xml:space="preserve"> and solicit development solutions for which no repayment is </w:t>
                      </w:r>
                      <w:r>
                        <w:rPr>
                          <w:sz w:val="18"/>
                        </w:rPr>
                        <w:t xml:space="preserve">typically </w:t>
                      </w:r>
                      <w:r w:rsidRPr="00A4474D">
                        <w:rPr>
                          <w:sz w:val="18"/>
                        </w:rPr>
                        <w:t>required.</w:t>
                      </w:r>
                    </w:p>
                  </w:txbxContent>
                </v:textbox>
                <w10:wrap type="square"/>
              </v:shape>
            </w:pict>
          </mc:Fallback>
        </mc:AlternateContent>
      </w:r>
      <w:r w:rsidR="00D60479" w:rsidRPr="00F74191">
        <w:rPr>
          <w:sz w:val="22"/>
        </w:rPr>
        <w:t xml:space="preserve">UNDP defines </w:t>
      </w:r>
      <w:r w:rsidR="00DA4B52">
        <w:rPr>
          <w:sz w:val="22"/>
        </w:rPr>
        <w:t xml:space="preserve">low-value </w:t>
      </w:r>
      <w:r w:rsidR="00D60479" w:rsidRPr="00F74191">
        <w:rPr>
          <w:sz w:val="22"/>
        </w:rPr>
        <w:t xml:space="preserve">grants as cash </w:t>
      </w:r>
      <w:r w:rsidR="00DA4B52">
        <w:rPr>
          <w:sz w:val="22"/>
        </w:rPr>
        <w:t xml:space="preserve">awards – selected via programmatic decisions – to civil society </w:t>
      </w:r>
      <w:r w:rsidR="00FB1404">
        <w:rPr>
          <w:sz w:val="22"/>
        </w:rPr>
        <w:t xml:space="preserve">and non-governmental </w:t>
      </w:r>
      <w:r w:rsidR="00DA4B52">
        <w:rPr>
          <w:sz w:val="22"/>
        </w:rPr>
        <w:t xml:space="preserve">partners </w:t>
      </w:r>
      <w:r w:rsidR="00AD1A64">
        <w:rPr>
          <w:sz w:val="22"/>
        </w:rPr>
        <w:t>to</w:t>
      </w:r>
      <w:r w:rsidR="00DA4B52">
        <w:rPr>
          <w:sz w:val="22"/>
        </w:rPr>
        <w:t xml:space="preserve"> </w:t>
      </w:r>
      <w:r w:rsidR="00D60479" w:rsidRPr="00F74191">
        <w:rPr>
          <w:sz w:val="22"/>
        </w:rPr>
        <w:t>generat</w:t>
      </w:r>
      <w:r w:rsidR="00AD1A64">
        <w:rPr>
          <w:sz w:val="22"/>
        </w:rPr>
        <w:t>e</w:t>
      </w:r>
      <w:r w:rsidR="00D60479" w:rsidRPr="00F74191">
        <w:rPr>
          <w:sz w:val="22"/>
        </w:rPr>
        <w:t xml:space="preserve"> and solicit development solutions for which no repayment is </w:t>
      </w:r>
      <w:r w:rsidR="00DA4B52">
        <w:rPr>
          <w:sz w:val="22"/>
        </w:rPr>
        <w:t xml:space="preserve">typically </w:t>
      </w:r>
      <w:r w:rsidR="00D60479" w:rsidRPr="00F74191">
        <w:rPr>
          <w:sz w:val="22"/>
        </w:rPr>
        <w:t>required</w:t>
      </w:r>
      <w:r w:rsidR="00D60479" w:rsidRPr="00F74191">
        <w:rPr>
          <w:rStyle w:val="FootnoteReference"/>
          <w:sz w:val="22"/>
        </w:rPr>
        <w:footnoteReference w:id="2"/>
      </w:r>
      <w:r w:rsidR="00D60479" w:rsidRPr="00F74191">
        <w:rPr>
          <w:sz w:val="22"/>
        </w:rPr>
        <w:t xml:space="preserve">. </w:t>
      </w:r>
    </w:p>
    <w:p w14:paraId="50E3E70E" w14:textId="21D06809" w:rsidR="00A73745" w:rsidRPr="008F79E2" w:rsidRDefault="0068334D" w:rsidP="00CA5B6E">
      <w:pPr>
        <w:numPr>
          <w:ilvl w:val="0"/>
          <w:numId w:val="3"/>
        </w:numPr>
        <w:spacing w:before="120"/>
        <w:jc w:val="both"/>
        <w:rPr>
          <w:sz w:val="22"/>
        </w:rPr>
      </w:pPr>
      <w:r w:rsidRPr="008F79E2">
        <w:rPr>
          <w:sz w:val="22"/>
        </w:rPr>
        <w:t>UNDP’s Financial Regulations and Rules</w:t>
      </w:r>
      <w:r w:rsidR="00F74191" w:rsidRPr="008F79E2">
        <w:rPr>
          <w:sz w:val="22"/>
        </w:rPr>
        <w:t xml:space="preserve"> (FRRs)</w:t>
      </w:r>
      <w:r w:rsidRPr="008F79E2">
        <w:rPr>
          <w:sz w:val="22"/>
        </w:rPr>
        <w:t xml:space="preserve"> </w:t>
      </w:r>
      <w:r w:rsidR="00F74191" w:rsidRPr="008F79E2">
        <w:rPr>
          <w:sz w:val="22"/>
        </w:rPr>
        <w:t>in Reg. 19.01 authorizes the Administrator to use “micro-capital grants”. Until the FRRs are updated to reflect the new terminology in the PPM, all provisions related to “micro-capital grants” equally apply to LVGs</w:t>
      </w:r>
      <w:r w:rsidR="00F74191" w:rsidRPr="00AD1A64">
        <w:rPr>
          <w:sz w:val="22"/>
          <w:szCs w:val="22"/>
        </w:rPr>
        <w:t xml:space="preserve">. </w:t>
      </w:r>
    </w:p>
    <w:p w14:paraId="19219924" w14:textId="6E91424A" w:rsidR="000375DE" w:rsidRDefault="008F79E2" w:rsidP="00CA5B6E">
      <w:pPr>
        <w:numPr>
          <w:ilvl w:val="0"/>
          <w:numId w:val="3"/>
        </w:numPr>
        <w:spacing w:before="120"/>
        <w:jc w:val="both"/>
        <w:rPr>
          <w:sz w:val="22"/>
        </w:rPr>
      </w:pPr>
      <w:r w:rsidRPr="008F79E2">
        <w:rPr>
          <w:sz w:val="22"/>
        </w:rPr>
        <w:t>LVGs</w:t>
      </w:r>
      <w:r w:rsidR="00262DC9">
        <w:rPr>
          <w:sz w:val="22"/>
        </w:rPr>
        <w:t xml:space="preserve"> are typically provided through a development project but may also be provided </w:t>
      </w:r>
      <w:r w:rsidR="004234BD">
        <w:rPr>
          <w:sz w:val="22"/>
        </w:rPr>
        <w:t>when</w:t>
      </w:r>
      <w:r w:rsidR="00262DC9">
        <w:rPr>
          <w:sz w:val="22"/>
        </w:rPr>
        <w:t xml:space="preserve"> UNDP is implementing a grants component that is part of a partner’s project (such as for an IFI, another UN agency or a government)</w:t>
      </w:r>
      <w:r w:rsidR="002E3E6F">
        <w:rPr>
          <w:sz w:val="22"/>
        </w:rPr>
        <w:t xml:space="preserve"> under Development Services</w:t>
      </w:r>
      <w:r w:rsidR="00262DC9">
        <w:rPr>
          <w:sz w:val="22"/>
        </w:rPr>
        <w:t xml:space="preserve">. LVGs cannot be incorporated into </w:t>
      </w:r>
      <w:hyperlink r:id="rId13" w:history="1">
        <w:r w:rsidR="00262DC9" w:rsidRPr="00277C71">
          <w:rPr>
            <w:rStyle w:val="Hyperlink"/>
            <w:sz w:val="22"/>
          </w:rPr>
          <w:t>engagement facility projects</w:t>
        </w:r>
      </w:hyperlink>
      <w:r w:rsidR="00262DC9">
        <w:rPr>
          <w:sz w:val="22"/>
        </w:rPr>
        <w:t>, development effectiveness projects, or institutional effectiveness projects</w:t>
      </w:r>
      <w:r w:rsidR="002515D4">
        <w:rPr>
          <w:sz w:val="22"/>
        </w:rPr>
        <w:t xml:space="preserve"> (i.e., management projects)</w:t>
      </w:r>
      <w:r w:rsidR="00262DC9">
        <w:rPr>
          <w:sz w:val="22"/>
        </w:rPr>
        <w:t>.</w:t>
      </w:r>
      <w:r w:rsidRPr="008F79E2">
        <w:rPr>
          <w:sz w:val="22"/>
        </w:rPr>
        <w:t xml:space="preserve"> </w:t>
      </w:r>
    </w:p>
    <w:p w14:paraId="5223ED96" w14:textId="03C293C8" w:rsidR="00262DC9" w:rsidRPr="005F3692" w:rsidRDefault="000375DE" w:rsidP="00CA5B6E">
      <w:pPr>
        <w:numPr>
          <w:ilvl w:val="0"/>
          <w:numId w:val="3"/>
        </w:numPr>
        <w:spacing w:before="120"/>
        <w:jc w:val="both"/>
        <w:rPr>
          <w:sz w:val="22"/>
          <w:szCs w:val="22"/>
        </w:rPr>
      </w:pPr>
      <w:r>
        <w:rPr>
          <w:sz w:val="22"/>
        </w:rPr>
        <w:t xml:space="preserve">If </w:t>
      </w:r>
      <w:r w:rsidRPr="004A62B3">
        <w:rPr>
          <w:iCs/>
          <w:sz w:val="22"/>
        </w:rPr>
        <w:t xml:space="preserve">UNDP provides funds to a grant-making institution serving as </w:t>
      </w:r>
      <w:r>
        <w:rPr>
          <w:iCs/>
          <w:sz w:val="22"/>
        </w:rPr>
        <w:t>either an</w:t>
      </w:r>
      <w:r w:rsidRPr="004A62B3">
        <w:rPr>
          <w:iCs/>
          <w:sz w:val="22"/>
        </w:rPr>
        <w:t xml:space="preserve"> implementing partner (under national implementation) or responsible party (under direct implementation or direct country office support services</w:t>
      </w:r>
      <w:r>
        <w:rPr>
          <w:iCs/>
          <w:sz w:val="22"/>
        </w:rPr>
        <w:t xml:space="preserve"> to NIM</w:t>
      </w:r>
      <w:r w:rsidRPr="005F3692">
        <w:rPr>
          <w:iCs/>
          <w:sz w:val="22"/>
          <w:szCs w:val="22"/>
        </w:rPr>
        <w:t xml:space="preserve">), this is called “on-granting.” The institution then awards grants to recipient(s) following </w:t>
      </w:r>
      <w:r w:rsidR="006F4A47" w:rsidRPr="005F3692">
        <w:rPr>
          <w:iCs/>
          <w:sz w:val="22"/>
          <w:szCs w:val="22"/>
        </w:rPr>
        <w:t>their own</w:t>
      </w:r>
      <w:r w:rsidRPr="005F3692">
        <w:rPr>
          <w:iCs/>
          <w:sz w:val="22"/>
          <w:szCs w:val="22"/>
        </w:rPr>
        <w:t xml:space="preserve"> guidelines and appropriate due diligence</w:t>
      </w:r>
      <w:r w:rsidR="006F4A47" w:rsidRPr="005F3692">
        <w:rPr>
          <w:iCs/>
          <w:sz w:val="22"/>
          <w:szCs w:val="22"/>
        </w:rPr>
        <w:t xml:space="preserve"> as long as it is determined they are</w:t>
      </w:r>
      <w:r w:rsidRPr="005F3692">
        <w:rPr>
          <w:iCs/>
          <w:sz w:val="22"/>
          <w:szCs w:val="22"/>
        </w:rPr>
        <w:t xml:space="preserve"> qualified to perform that role after an assessment of their capacity for on-granting by UNDP.</w:t>
      </w:r>
      <w:r w:rsidR="005F3692" w:rsidRPr="005F3692">
        <w:rPr>
          <w:iCs/>
          <w:sz w:val="22"/>
          <w:szCs w:val="22"/>
        </w:rPr>
        <w:t xml:space="preserve"> </w:t>
      </w:r>
      <w:r w:rsidR="005F3692" w:rsidRPr="005F3692">
        <w:rPr>
          <w:iCs/>
          <w:sz w:val="22"/>
          <w:szCs w:val="22"/>
          <w:u w:val="single"/>
        </w:rPr>
        <w:t>If any financial regulations, rules and other directives of the institution contravene the principles of UNDP’s grant policies, and Financial Regulations and Rules then UNDP’s prescriptive requirements must be followed</w:t>
      </w:r>
      <w:r w:rsidR="005F3692">
        <w:rPr>
          <w:iCs/>
          <w:sz w:val="22"/>
          <w:szCs w:val="22"/>
          <w:u w:val="single"/>
        </w:rPr>
        <w:t>.</w:t>
      </w:r>
    </w:p>
    <w:p w14:paraId="475E63BE" w14:textId="4A56949A" w:rsidR="00262DC9" w:rsidRDefault="00C75149" w:rsidP="00CA5B6E">
      <w:pPr>
        <w:numPr>
          <w:ilvl w:val="0"/>
          <w:numId w:val="3"/>
        </w:numPr>
        <w:spacing w:before="120"/>
        <w:jc w:val="both"/>
        <w:rPr>
          <w:sz w:val="22"/>
        </w:rPr>
      </w:pPr>
      <w:r>
        <w:rPr>
          <w:sz w:val="22"/>
        </w:rPr>
        <w:t>The use of LVGs</w:t>
      </w:r>
      <w:r w:rsidR="00262DC9">
        <w:rPr>
          <w:sz w:val="22"/>
        </w:rPr>
        <w:t xml:space="preserve"> </w:t>
      </w:r>
      <w:r>
        <w:rPr>
          <w:sz w:val="22"/>
        </w:rPr>
        <w:t xml:space="preserve">should be specified in the project document, to the extent possible, and included in the multi-year work plan. LVGs may be </w:t>
      </w:r>
      <w:r w:rsidR="00D02D5E">
        <w:rPr>
          <w:sz w:val="22"/>
        </w:rPr>
        <w:t>one</w:t>
      </w:r>
      <w:r>
        <w:rPr>
          <w:sz w:val="22"/>
        </w:rPr>
        <w:t xml:space="preserve"> component of a </w:t>
      </w:r>
      <w:r w:rsidR="00D02D5E">
        <w:rPr>
          <w:sz w:val="22"/>
        </w:rPr>
        <w:t xml:space="preserve">broader </w:t>
      </w:r>
      <w:r>
        <w:rPr>
          <w:sz w:val="22"/>
        </w:rPr>
        <w:t>project, or the sole purpose of the project may be to deliver LVGs. If the use of LVGs is identified after the start of the project, the project board (or equivalent project governance mechanism) may approve the use of LVGs as part of a project revision</w:t>
      </w:r>
      <w:r w:rsidR="004234BD">
        <w:rPr>
          <w:sz w:val="22"/>
        </w:rPr>
        <w:t xml:space="preserve"> pursuant to agreement with the funding source</w:t>
      </w:r>
      <w:r>
        <w:rPr>
          <w:sz w:val="22"/>
        </w:rPr>
        <w:t xml:space="preserve">. </w:t>
      </w:r>
    </w:p>
    <w:p w14:paraId="0B25381C" w14:textId="7D3E09F8" w:rsidR="00C75149" w:rsidRPr="001F0010" w:rsidRDefault="00C75149" w:rsidP="00CA5B6E">
      <w:pPr>
        <w:numPr>
          <w:ilvl w:val="0"/>
          <w:numId w:val="3"/>
        </w:numPr>
        <w:spacing w:before="120"/>
        <w:jc w:val="both"/>
        <w:rPr>
          <w:sz w:val="22"/>
        </w:rPr>
      </w:pPr>
      <w:r>
        <w:rPr>
          <w:sz w:val="22"/>
        </w:rPr>
        <w:t>The following must be either included in the project document and/or agreed by t</w:t>
      </w:r>
      <w:r w:rsidRPr="00FE409E">
        <w:rPr>
          <w:sz w:val="22"/>
        </w:rPr>
        <w:t>he</w:t>
      </w:r>
      <w:r w:rsidR="004D7CCB" w:rsidRPr="00FE409E">
        <w:rPr>
          <w:sz w:val="22"/>
        </w:rPr>
        <w:t xml:space="preserve"> </w:t>
      </w:r>
      <w:r w:rsidR="00581481">
        <w:rPr>
          <w:sz w:val="22"/>
        </w:rPr>
        <w:t xml:space="preserve">project board/steering committee </w:t>
      </w:r>
      <w:r w:rsidR="004234BD" w:rsidRPr="001F0010">
        <w:rPr>
          <w:sz w:val="22"/>
        </w:rPr>
        <w:t>(applicable both to DIM and NIM)</w:t>
      </w:r>
      <w:r w:rsidRPr="001F0010">
        <w:rPr>
          <w:sz w:val="22"/>
        </w:rPr>
        <w:t>:</w:t>
      </w:r>
    </w:p>
    <w:p w14:paraId="2DE6339C" w14:textId="77777777" w:rsidR="00C75149" w:rsidRPr="004D7CCB" w:rsidRDefault="00C75149" w:rsidP="00C75149">
      <w:pPr>
        <w:numPr>
          <w:ilvl w:val="1"/>
          <w:numId w:val="3"/>
        </w:numPr>
        <w:jc w:val="both"/>
        <w:rPr>
          <w:sz w:val="22"/>
        </w:rPr>
      </w:pPr>
      <w:r w:rsidRPr="004D7CCB">
        <w:rPr>
          <w:sz w:val="22"/>
        </w:rPr>
        <w:t>The total amount of the project budget that will be allocated to LVGs;</w:t>
      </w:r>
    </w:p>
    <w:p w14:paraId="7356AC4E" w14:textId="12FFA42C" w:rsidR="00704826" w:rsidRDefault="00704826" w:rsidP="00C75149">
      <w:pPr>
        <w:numPr>
          <w:ilvl w:val="1"/>
          <w:numId w:val="3"/>
        </w:numPr>
        <w:jc w:val="both"/>
        <w:rPr>
          <w:sz w:val="22"/>
        </w:rPr>
      </w:pPr>
      <w:r>
        <w:rPr>
          <w:sz w:val="22"/>
        </w:rPr>
        <w:t>The entity that will award the grants and sign the grant agreement(s)</w:t>
      </w:r>
      <w:r w:rsidR="00642EBD">
        <w:rPr>
          <w:sz w:val="22"/>
        </w:rPr>
        <w:t>,</w:t>
      </w:r>
      <w:r w:rsidR="00581481">
        <w:rPr>
          <w:sz w:val="22"/>
        </w:rPr>
        <w:t xml:space="preserve"> known as</w:t>
      </w:r>
      <w:r w:rsidR="00642EBD">
        <w:rPr>
          <w:sz w:val="22"/>
        </w:rPr>
        <w:t xml:space="preserve"> the “</w:t>
      </w:r>
      <w:r w:rsidR="00B00F7D">
        <w:rPr>
          <w:sz w:val="22"/>
        </w:rPr>
        <w:t>grantmaking institution” if different from UNDP (see section related to on-granting below)</w:t>
      </w:r>
      <w:r>
        <w:rPr>
          <w:sz w:val="22"/>
        </w:rPr>
        <w:t>;</w:t>
      </w:r>
    </w:p>
    <w:p w14:paraId="5F1D14DC" w14:textId="77777777" w:rsidR="00C75149" w:rsidRDefault="00C75149" w:rsidP="00C75149">
      <w:pPr>
        <w:numPr>
          <w:ilvl w:val="1"/>
          <w:numId w:val="3"/>
        </w:numPr>
        <w:jc w:val="both"/>
        <w:rPr>
          <w:sz w:val="22"/>
        </w:rPr>
      </w:pPr>
      <w:r>
        <w:rPr>
          <w:sz w:val="22"/>
        </w:rPr>
        <w:t xml:space="preserve">The </w:t>
      </w:r>
      <w:r w:rsidRPr="004D7CCB">
        <w:rPr>
          <w:sz w:val="22"/>
        </w:rPr>
        <w:t>intended purpose</w:t>
      </w:r>
      <w:r>
        <w:rPr>
          <w:sz w:val="22"/>
        </w:rPr>
        <w:t xml:space="preserve"> of the LVGs that will be </w:t>
      </w:r>
      <w:r w:rsidR="00D02D5E">
        <w:rPr>
          <w:sz w:val="22"/>
        </w:rPr>
        <w:t xml:space="preserve">awarded </w:t>
      </w:r>
      <w:r>
        <w:rPr>
          <w:sz w:val="22"/>
        </w:rPr>
        <w:t>through the project;</w:t>
      </w:r>
    </w:p>
    <w:p w14:paraId="79B624BE" w14:textId="77777777" w:rsidR="00C75149" w:rsidRDefault="00C75149" w:rsidP="00C75149">
      <w:pPr>
        <w:numPr>
          <w:ilvl w:val="1"/>
          <w:numId w:val="3"/>
        </w:numPr>
        <w:jc w:val="both"/>
        <w:rPr>
          <w:sz w:val="22"/>
        </w:rPr>
      </w:pPr>
      <w:r>
        <w:rPr>
          <w:sz w:val="22"/>
        </w:rPr>
        <w:t>The types of entities that will be eligible to be awarded a LVG through the project</w:t>
      </w:r>
      <w:r w:rsidR="00D02D5E">
        <w:rPr>
          <w:rStyle w:val="FootnoteReference"/>
          <w:sz w:val="22"/>
        </w:rPr>
        <w:footnoteReference w:id="3"/>
      </w:r>
      <w:r>
        <w:rPr>
          <w:sz w:val="22"/>
        </w:rPr>
        <w:t>;</w:t>
      </w:r>
    </w:p>
    <w:p w14:paraId="5BAC91A5" w14:textId="25EEC82F" w:rsidR="00C75149" w:rsidRDefault="00C75149" w:rsidP="00C75149">
      <w:pPr>
        <w:numPr>
          <w:ilvl w:val="1"/>
          <w:numId w:val="3"/>
        </w:numPr>
        <w:jc w:val="both"/>
        <w:rPr>
          <w:sz w:val="22"/>
        </w:rPr>
      </w:pPr>
      <w:r>
        <w:rPr>
          <w:sz w:val="22"/>
        </w:rPr>
        <w:t xml:space="preserve">The process for soliciting and reviewing </w:t>
      </w:r>
      <w:r w:rsidR="00704826">
        <w:rPr>
          <w:sz w:val="22"/>
        </w:rPr>
        <w:t xml:space="preserve">grant </w:t>
      </w:r>
      <w:r>
        <w:rPr>
          <w:sz w:val="22"/>
        </w:rPr>
        <w:t>proposals, as well as authority for deciding which entities will receive LVGs from the project funds;</w:t>
      </w:r>
    </w:p>
    <w:p w14:paraId="065C5444" w14:textId="77777777" w:rsidR="00C75149" w:rsidRDefault="00C75149" w:rsidP="00C75149">
      <w:pPr>
        <w:numPr>
          <w:ilvl w:val="1"/>
          <w:numId w:val="3"/>
        </w:numPr>
        <w:jc w:val="both"/>
        <w:rPr>
          <w:sz w:val="22"/>
        </w:rPr>
      </w:pPr>
      <w:r w:rsidRPr="004D7CCB">
        <w:rPr>
          <w:sz w:val="22"/>
        </w:rPr>
        <w:t>The criteria that the LVG proposals</w:t>
      </w:r>
      <w:r>
        <w:rPr>
          <w:sz w:val="22"/>
        </w:rPr>
        <w:t xml:space="preserve"> will be assessed against.</w:t>
      </w:r>
    </w:p>
    <w:p w14:paraId="1F1968B5" w14:textId="77777777" w:rsidR="00C35075" w:rsidRDefault="00C35075" w:rsidP="004D7CCB">
      <w:pPr>
        <w:ind w:left="720"/>
        <w:jc w:val="both"/>
        <w:rPr>
          <w:sz w:val="22"/>
        </w:rPr>
      </w:pPr>
    </w:p>
    <w:p w14:paraId="26F0343A" w14:textId="77777777" w:rsidR="005902B3" w:rsidRPr="005902B3" w:rsidRDefault="005902B3" w:rsidP="005A0D3C">
      <w:pPr>
        <w:pStyle w:val="Heading4"/>
      </w:pPr>
      <w:bookmarkStart w:id="6" w:name="_Toc530059514"/>
      <w:r w:rsidRPr="005902B3">
        <w:t>Purpose of LVGs</w:t>
      </w:r>
      <w:bookmarkEnd w:id="6"/>
    </w:p>
    <w:p w14:paraId="681065EA" w14:textId="476BEDD8" w:rsidR="000D3490" w:rsidRDefault="000D3490" w:rsidP="00CA5B6E">
      <w:pPr>
        <w:pStyle w:val="ListParagraph"/>
        <w:numPr>
          <w:ilvl w:val="0"/>
          <w:numId w:val="3"/>
        </w:numPr>
        <w:spacing w:before="120"/>
        <w:contextualSpacing w:val="0"/>
        <w:jc w:val="both"/>
        <w:rPr>
          <w:sz w:val="22"/>
        </w:rPr>
      </w:pPr>
      <w:r w:rsidRPr="000D3490">
        <w:rPr>
          <w:sz w:val="22"/>
        </w:rPr>
        <w:t xml:space="preserve">LVGs are typically used to engage with stakeholders who have a unique or distinct perspective on a development challenge, either because they represent populations excluded from the </w:t>
      </w:r>
      <w:r w:rsidRPr="000D3490">
        <w:rPr>
          <w:sz w:val="22"/>
        </w:rPr>
        <w:lastRenderedPageBreak/>
        <w:t>development process</w:t>
      </w:r>
      <w:r w:rsidR="00581481">
        <w:rPr>
          <w:sz w:val="22"/>
        </w:rPr>
        <w:t>,</w:t>
      </w:r>
      <w:r w:rsidRPr="000D3490">
        <w:rPr>
          <w:sz w:val="22"/>
        </w:rPr>
        <w:t xml:space="preserve"> </w:t>
      </w:r>
      <w:r w:rsidR="00581481">
        <w:rPr>
          <w:sz w:val="22"/>
        </w:rPr>
        <w:t xml:space="preserve">are able to provide innovative/experimental development solutions or </w:t>
      </w:r>
      <w:r w:rsidRPr="000D3490">
        <w:rPr>
          <w:sz w:val="22"/>
        </w:rPr>
        <w:t>have particular legitimacy or exposure to a development challenge.</w:t>
      </w:r>
      <w:r w:rsidR="00477F52" w:rsidRPr="00477F52">
        <w:rPr>
          <w:sz w:val="22"/>
        </w:rPr>
        <w:t xml:space="preserve"> </w:t>
      </w:r>
      <w:r w:rsidR="00277C71">
        <w:rPr>
          <w:sz w:val="22"/>
        </w:rPr>
        <w:t xml:space="preserve">While grantees often lack “traditional capacity” in some areas, their </w:t>
      </w:r>
      <w:r w:rsidR="006A6459">
        <w:rPr>
          <w:sz w:val="22"/>
        </w:rPr>
        <w:t>inclusion</w:t>
      </w:r>
      <w:r w:rsidR="00477F52" w:rsidRPr="00F74191">
        <w:rPr>
          <w:sz w:val="22"/>
        </w:rPr>
        <w:t xml:space="preserve"> in the development and implementation of UNDP projects leverages their technical capacity, relationships</w:t>
      </w:r>
      <w:r w:rsidR="006A6459">
        <w:rPr>
          <w:sz w:val="22"/>
        </w:rPr>
        <w:t>,</w:t>
      </w:r>
      <w:r w:rsidR="00477F52" w:rsidRPr="00F74191">
        <w:rPr>
          <w:sz w:val="22"/>
        </w:rPr>
        <w:t xml:space="preserve"> and networks </w:t>
      </w:r>
      <w:r w:rsidR="006A6459">
        <w:rPr>
          <w:sz w:val="22"/>
        </w:rPr>
        <w:t>so that</w:t>
      </w:r>
      <w:r w:rsidR="00477F52" w:rsidRPr="00F74191">
        <w:rPr>
          <w:sz w:val="22"/>
        </w:rPr>
        <w:t xml:space="preserve"> </w:t>
      </w:r>
      <w:r w:rsidR="006A6459">
        <w:rPr>
          <w:sz w:val="22"/>
        </w:rPr>
        <w:t>UNDP</w:t>
      </w:r>
      <w:r w:rsidR="00477F52" w:rsidRPr="00F74191">
        <w:rPr>
          <w:sz w:val="22"/>
        </w:rPr>
        <w:t xml:space="preserve"> </w:t>
      </w:r>
      <w:r w:rsidR="006A6459">
        <w:rPr>
          <w:sz w:val="22"/>
        </w:rPr>
        <w:t>can</w:t>
      </w:r>
      <w:r w:rsidR="00477F52" w:rsidRPr="00F74191">
        <w:rPr>
          <w:sz w:val="22"/>
        </w:rPr>
        <w:t xml:space="preserve"> </w:t>
      </w:r>
      <w:r w:rsidR="006A6459">
        <w:rPr>
          <w:sz w:val="22"/>
        </w:rPr>
        <w:t>maximize</w:t>
      </w:r>
      <w:r w:rsidR="00477F52" w:rsidRPr="00F74191">
        <w:rPr>
          <w:sz w:val="22"/>
        </w:rPr>
        <w:t xml:space="preserve"> its </w:t>
      </w:r>
      <w:r w:rsidR="006A6459">
        <w:rPr>
          <w:sz w:val="22"/>
        </w:rPr>
        <w:t xml:space="preserve">development </w:t>
      </w:r>
      <w:r w:rsidR="00477F52" w:rsidRPr="00F74191">
        <w:rPr>
          <w:sz w:val="22"/>
        </w:rPr>
        <w:t>impact.</w:t>
      </w:r>
      <w:r w:rsidR="004A051D">
        <w:rPr>
          <w:sz w:val="22"/>
        </w:rPr>
        <w:t xml:space="preserve"> </w:t>
      </w:r>
    </w:p>
    <w:p w14:paraId="5822C1D6" w14:textId="77777777" w:rsidR="006A6459" w:rsidRPr="000D3490" w:rsidRDefault="004A051D" w:rsidP="00CA5B6E">
      <w:pPr>
        <w:pStyle w:val="ListParagraph"/>
        <w:numPr>
          <w:ilvl w:val="0"/>
          <w:numId w:val="3"/>
        </w:numPr>
        <w:spacing w:before="120"/>
        <w:contextualSpacing w:val="0"/>
        <w:jc w:val="both"/>
        <w:rPr>
          <w:sz w:val="22"/>
        </w:rPr>
      </w:pPr>
      <w:r>
        <w:rPr>
          <w:sz w:val="22"/>
        </w:rPr>
        <w:t>The purpose</w:t>
      </w:r>
      <w:r w:rsidR="006A6459">
        <w:rPr>
          <w:sz w:val="22"/>
        </w:rPr>
        <w:t xml:space="preserve"> for the use of LGVs include:</w:t>
      </w:r>
    </w:p>
    <w:p w14:paraId="487303EF" w14:textId="7B0DEDF8" w:rsidR="00043A3B" w:rsidRPr="00D450B3" w:rsidRDefault="00043A3B" w:rsidP="00C009A6">
      <w:pPr>
        <w:numPr>
          <w:ilvl w:val="1"/>
          <w:numId w:val="3"/>
        </w:numPr>
        <w:ind w:left="1260"/>
        <w:jc w:val="both"/>
        <w:rPr>
          <w:sz w:val="22"/>
        </w:rPr>
      </w:pPr>
      <w:bookmarkStart w:id="7" w:name="_Hlk527562314"/>
      <w:r w:rsidRPr="00D450B3">
        <w:rPr>
          <w:sz w:val="22"/>
        </w:rPr>
        <w:t>Strengthening the institutional capacity of entities critical for achieving development objectives</w:t>
      </w:r>
      <w:r w:rsidR="004234BD">
        <w:rPr>
          <w:sz w:val="22"/>
        </w:rPr>
        <w:t>;</w:t>
      </w:r>
      <w:r w:rsidRPr="00D450B3">
        <w:rPr>
          <w:sz w:val="22"/>
        </w:rPr>
        <w:t xml:space="preserve"> </w:t>
      </w:r>
    </w:p>
    <w:p w14:paraId="7F6AD5D1" w14:textId="77777777" w:rsidR="00043A3B" w:rsidRPr="00D450B3" w:rsidRDefault="00043A3B" w:rsidP="00C009A6">
      <w:pPr>
        <w:numPr>
          <w:ilvl w:val="1"/>
          <w:numId w:val="3"/>
        </w:numPr>
        <w:ind w:left="1260"/>
        <w:jc w:val="both"/>
        <w:rPr>
          <w:sz w:val="22"/>
        </w:rPr>
      </w:pPr>
      <w:r w:rsidRPr="00D450B3">
        <w:rPr>
          <w:sz w:val="22"/>
        </w:rPr>
        <w:t>Supporting community-based self-help initiatives, which may include income-generating activities designed to alleviate poverty;</w:t>
      </w:r>
    </w:p>
    <w:p w14:paraId="4099A5A4" w14:textId="77777777" w:rsidR="00043A3B" w:rsidRPr="00D450B3" w:rsidRDefault="00043A3B" w:rsidP="00C009A6">
      <w:pPr>
        <w:numPr>
          <w:ilvl w:val="1"/>
          <w:numId w:val="3"/>
        </w:numPr>
        <w:ind w:left="1260"/>
        <w:jc w:val="both"/>
        <w:rPr>
          <w:sz w:val="22"/>
        </w:rPr>
      </w:pPr>
      <w:r w:rsidRPr="00D450B3">
        <w:rPr>
          <w:sz w:val="22"/>
        </w:rPr>
        <w:t>Promoting advocacy activities and networking between civil society organizations, a government and donors;</w:t>
      </w:r>
    </w:p>
    <w:p w14:paraId="61746203" w14:textId="77777777" w:rsidR="00043A3B" w:rsidRDefault="00043A3B" w:rsidP="00C009A6">
      <w:pPr>
        <w:numPr>
          <w:ilvl w:val="1"/>
          <w:numId w:val="3"/>
        </w:numPr>
        <w:ind w:left="1260"/>
        <w:jc w:val="both"/>
        <w:rPr>
          <w:sz w:val="22"/>
        </w:rPr>
      </w:pPr>
      <w:r w:rsidRPr="00D450B3">
        <w:rPr>
          <w:sz w:val="22"/>
        </w:rPr>
        <w:t xml:space="preserve">Supporting NGOs and community-based organizations involved with </w:t>
      </w:r>
      <w:r w:rsidR="008710D8">
        <w:rPr>
          <w:sz w:val="22"/>
        </w:rPr>
        <w:t xml:space="preserve">nature-based solutions, climate change actions, gender equality </w:t>
      </w:r>
      <w:r w:rsidRPr="00D450B3">
        <w:rPr>
          <w:sz w:val="22"/>
        </w:rPr>
        <w:t>and poverty eradication activities; and/or</w:t>
      </w:r>
    </w:p>
    <w:p w14:paraId="48E0FA56" w14:textId="77777777" w:rsidR="004A051D" w:rsidRPr="00D450B3" w:rsidRDefault="004A051D" w:rsidP="00C009A6">
      <w:pPr>
        <w:numPr>
          <w:ilvl w:val="1"/>
          <w:numId w:val="3"/>
        </w:numPr>
        <w:ind w:left="1260"/>
        <w:jc w:val="both"/>
        <w:rPr>
          <w:sz w:val="22"/>
        </w:rPr>
      </w:pPr>
      <w:r>
        <w:rPr>
          <w:sz w:val="22"/>
        </w:rPr>
        <w:t>Development challenges that still require some level of experimentation to identify possible solutions.</w:t>
      </w:r>
      <w:bookmarkEnd w:id="7"/>
      <w:r w:rsidR="008710D8">
        <w:rPr>
          <w:rStyle w:val="FootnoteReference"/>
          <w:sz w:val="22"/>
        </w:rPr>
        <w:footnoteReference w:id="4"/>
      </w:r>
    </w:p>
    <w:p w14:paraId="79F088A2" w14:textId="43148FB6" w:rsidR="009057DC" w:rsidRPr="0034654C" w:rsidRDefault="009057DC" w:rsidP="00CA5B6E">
      <w:pPr>
        <w:numPr>
          <w:ilvl w:val="0"/>
          <w:numId w:val="3"/>
        </w:numPr>
        <w:spacing w:before="120"/>
        <w:jc w:val="both"/>
        <w:rPr>
          <w:sz w:val="22"/>
        </w:rPr>
      </w:pPr>
      <w:r w:rsidRPr="00A16196">
        <w:rPr>
          <w:sz w:val="22"/>
        </w:rPr>
        <w:t xml:space="preserve">Grants are not </w:t>
      </w:r>
      <w:r w:rsidRPr="007C3792">
        <w:rPr>
          <w:sz w:val="22"/>
        </w:rPr>
        <w:t xml:space="preserve">primarily intended as cash subsidies for the </w:t>
      </w:r>
      <w:r w:rsidR="00F40887" w:rsidRPr="007C3792">
        <w:rPr>
          <w:sz w:val="22"/>
        </w:rPr>
        <w:t xml:space="preserve">purchase of </w:t>
      </w:r>
      <w:r w:rsidR="00F40887">
        <w:rPr>
          <w:sz w:val="22"/>
        </w:rPr>
        <w:t xml:space="preserve">standardized </w:t>
      </w:r>
      <w:r w:rsidR="00F40887" w:rsidRPr="007C3792">
        <w:rPr>
          <w:sz w:val="22"/>
        </w:rPr>
        <w:t xml:space="preserve">equipment </w:t>
      </w:r>
      <w:r w:rsidR="00F40887">
        <w:rPr>
          <w:sz w:val="22"/>
        </w:rPr>
        <w:t xml:space="preserve">or goods (e.g. a single laptop) </w:t>
      </w:r>
      <w:r w:rsidR="00F40887" w:rsidRPr="007C3792">
        <w:rPr>
          <w:sz w:val="22"/>
        </w:rPr>
        <w:t>by the beneficiary</w:t>
      </w:r>
      <w:r w:rsidRPr="007C3792">
        <w:rPr>
          <w:sz w:val="22"/>
        </w:rPr>
        <w:t xml:space="preserve">. </w:t>
      </w:r>
      <w:r w:rsidR="004D7CCB">
        <w:rPr>
          <w:sz w:val="22"/>
        </w:rPr>
        <w:t xml:space="preserve">In cases where beneficiaries need access to </w:t>
      </w:r>
      <w:r w:rsidR="00E6603D">
        <w:rPr>
          <w:sz w:val="22"/>
        </w:rPr>
        <w:t xml:space="preserve">highly technical </w:t>
      </w:r>
      <w:r w:rsidR="00E639C4">
        <w:rPr>
          <w:sz w:val="22"/>
        </w:rPr>
        <w:t xml:space="preserve">equipment (e.g. </w:t>
      </w:r>
      <w:r w:rsidR="00E6603D">
        <w:rPr>
          <w:sz w:val="22"/>
        </w:rPr>
        <w:t xml:space="preserve">multiple </w:t>
      </w:r>
      <w:r w:rsidR="00E639C4">
        <w:rPr>
          <w:sz w:val="22"/>
        </w:rPr>
        <w:t xml:space="preserve">solar panels), it is more economical </w:t>
      </w:r>
      <w:r w:rsidR="001C757D">
        <w:rPr>
          <w:sz w:val="22"/>
        </w:rPr>
        <w:t xml:space="preserve">and effective </w:t>
      </w:r>
      <w:r w:rsidR="00E639C4">
        <w:rPr>
          <w:sz w:val="22"/>
        </w:rPr>
        <w:t>to procure centrally and to distribute the equipment or goods, instead of each grantee purchasing on the open market, and thereby losing out on economies of scale</w:t>
      </w:r>
      <w:r w:rsidR="001C757D">
        <w:rPr>
          <w:sz w:val="22"/>
        </w:rPr>
        <w:t xml:space="preserve"> and/or the benefits of quality standardization</w:t>
      </w:r>
      <w:r w:rsidR="00E639C4">
        <w:rPr>
          <w:sz w:val="22"/>
        </w:rPr>
        <w:t xml:space="preserve">. </w:t>
      </w:r>
    </w:p>
    <w:p w14:paraId="1BB6B56D" w14:textId="77777777" w:rsidR="008F79E2" w:rsidRPr="00F74191" w:rsidRDefault="008F79E2" w:rsidP="00CA5B6E">
      <w:pPr>
        <w:numPr>
          <w:ilvl w:val="0"/>
          <w:numId w:val="3"/>
        </w:numPr>
        <w:spacing w:before="120"/>
        <w:jc w:val="both"/>
        <w:rPr>
          <w:sz w:val="22"/>
        </w:rPr>
      </w:pPr>
      <w:r w:rsidRPr="00F74191">
        <w:rPr>
          <w:sz w:val="22"/>
        </w:rPr>
        <w:t xml:space="preserve">Awarding grants as part of a project can be particularly effective when a development challenge presents no clear solution that could </w:t>
      </w:r>
      <w:r w:rsidR="00694333">
        <w:rPr>
          <w:sz w:val="22"/>
        </w:rPr>
        <w:t xml:space="preserve">otherwise </w:t>
      </w:r>
      <w:r w:rsidRPr="00F74191">
        <w:rPr>
          <w:sz w:val="22"/>
        </w:rPr>
        <w:t xml:space="preserve">be adopted as part of the project design. This is emblematic for development challenges that are: </w:t>
      </w:r>
    </w:p>
    <w:p w14:paraId="4B5AD2C4" w14:textId="77777777" w:rsidR="008F79E2" w:rsidRPr="00F74191" w:rsidRDefault="008F79E2" w:rsidP="00042C0C">
      <w:pPr>
        <w:numPr>
          <w:ilvl w:val="1"/>
          <w:numId w:val="3"/>
        </w:numPr>
        <w:ind w:left="1260"/>
        <w:jc w:val="both"/>
        <w:rPr>
          <w:sz w:val="22"/>
        </w:rPr>
      </w:pPr>
      <w:r w:rsidRPr="00F74191">
        <w:rPr>
          <w:sz w:val="22"/>
        </w:rPr>
        <w:t xml:space="preserve">new or have received little attention </w:t>
      </w:r>
      <w:r w:rsidR="009057DC">
        <w:rPr>
          <w:sz w:val="22"/>
        </w:rPr>
        <w:t xml:space="preserve">thus </w:t>
      </w:r>
      <w:r w:rsidRPr="00F74191">
        <w:rPr>
          <w:sz w:val="22"/>
        </w:rPr>
        <w:t xml:space="preserve">far </w:t>
      </w:r>
      <w:r w:rsidR="009057DC">
        <w:rPr>
          <w:sz w:val="22"/>
        </w:rPr>
        <w:t xml:space="preserve">through more traditional development assistance interventions </w:t>
      </w:r>
      <w:r w:rsidRPr="00F74191">
        <w:rPr>
          <w:sz w:val="22"/>
        </w:rPr>
        <w:t xml:space="preserve">and hence only limited experience </w:t>
      </w:r>
      <w:r w:rsidR="009057DC">
        <w:rPr>
          <w:sz w:val="22"/>
        </w:rPr>
        <w:t>in</w:t>
      </w:r>
      <w:r w:rsidRPr="00F74191">
        <w:rPr>
          <w:sz w:val="22"/>
        </w:rPr>
        <w:t xml:space="preserve"> the implementation of solutions</w:t>
      </w:r>
      <w:r w:rsidR="009057DC">
        <w:rPr>
          <w:sz w:val="22"/>
        </w:rPr>
        <w:t xml:space="preserve"> for these challenges</w:t>
      </w:r>
      <w:r w:rsidRPr="00F74191">
        <w:rPr>
          <w:sz w:val="22"/>
        </w:rPr>
        <w:t xml:space="preserve"> has been gained so far;</w:t>
      </w:r>
    </w:p>
    <w:p w14:paraId="76547D92" w14:textId="77777777" w:rsidR="008F79E2" w:rsidRPr="00F74191" w:rsidRDefault="008F79E2" w:rsidP="00042C0C">
      <w:pPr>
        <w:numPr>
          <w:ilvl w:val="1"/>
          <w:numId w:val="3"/>
        </w:numPr>
        <w:ind w:left="1260"/>
        <w:jc w:val="both"/>
        <w:rPr>
          <w:sz w:val="22"/>
        </w:rPr>
      </w:pPr>
      <w:r w:rsidRPr="00F74191">
        <w:rPr>
          <w:sz w:val="22"/>
        </w:rPr>
        <w:t>highly context-driven, often requiring customized approaches or interventions that directly include beneficiaries in the design and implementation of solutions (i.e. participatory design);</w:t>
      </w:r>
    </w:p>
    <w:p w14:paraId="2262381C" w14:textId="77777777" w:rsidR="008F79E2" w:rsidRPr="00F74191" w:rsidRDefault="008F79E2" w:rsidP="00042C0C">
      <w:pPr>
        <w:numPr>
          <w:ilvl w:val="1"/>
          <w:numId w:val="3"/>
        </w:numPr>
        <w:ind w:left="1260"/>
        <w:jc w:val="both"/>
        <w:rPr>
          <w:sz w:val="22"/>
        </w:rPr>
      </w:pPr>
      <w:r w:rsidRPr="00F74191">
        <w:rPr>
          <w:sz w:val="22"/>
        </w:rPr>
        <w:t>still require some level of experimentation to identify possible solutions</w:t>
      </w:r>
      <w:r w:rsidR="006E6F4F">
        <w:rPr>
          <w:sz w:val="22"/>
        </w:rPr>
        <w:t>.</w:t>
      </w:r>
    </w:p>
    <w:p w14:paraId="2D0F5D92" w14:textId="05FF1A20" w:rsidR="00977BD8" w:rsidRPr="00E63899" w:rsidRDefault="00856227" w:rsidP="00CA5B6E">
      <w:pPr>
        <w:numPr>
          <w:ilvl w:val="0"/>
          <w:numId w:val="3"/>
        </w:numPr>
        <w:spacing w:before="120"/>
        <w:jc w:val="both"/>
        <w:rPr>
          <w:sz w:val="22"/>
          <w:szCs w:val="22"/>
        </w:rPr>
      </w:pPr>
      <w:r w:rsidRPr="00977BD8">
        <w:rPr>
          <w:iCs/>
          <w:sz w:val="22"/>
        </w:rPr>
        <w:t>The award of grants is not exclusive. Several entities can be awarded separate grants for the same development challenge, or a consortium can be awarded a single grant</w:t>
      </w:r>
      <w:r w:rsidR="00841855" w:rsidRPr="00841855">
        <w:rPr>
          <w:iCs/>
          <w:sz w:val="22"/>
        </w:rPr>
        <w:t xml:space="preserve"> </w:t>
      </w:r>
      <w:r w:rsidR="00841855" w:rsidRPr="00977BD8">
        <w:rPr>
          <w:iCs/>
          <w:sz w:val="22"/>
        </w:rPr>
        <w:t>to foster collaboration</w:t>
      </w:r>
      <w:r w:rsidRPr="00977BD8">
        <w:rPr>
          <w:iCs/>
          <w:sz w:val="22"/>
        </w:rPr>
        <w:t xml:space="preserve">. </w:t>
      </w:r>
      <w:r w:rsidR="004436FC">
        <w:rPr>
          <w:iCs/>
          <w:sz w:val="22"/>
        </w:rPr>
        <w:t>Moreover</w:t>
      </w:r>
      <w:r w:rsidR="00770671">
        <w:rPr>
          <w:iCs/>
          <w:sz w:val="22"/>
        </w:rPr>
        <w:t>,</w:t>
      </w:r>
      <w:r w:rsidR="004436FC">
        <w:rPr>
          <w:iCs/>
          <w:sz w:val="22"/>
        </w:rPr>
        <w:t xml:space="preserve"> </w:t>
      </w:r>
      <w:r w:rsidR="007C7565" w:rsidRPr="00977BD8">
        <w:rPr>
          <w:sz w:val="22"/>
        </w:rPr>
        <w:t>LVGs</w:t>
      </w:r>
      <w:r w:rsidR="00B216EB" w:rsidRPr="00977BD8">
        <w:rPr>
          <w:sz w:val="22"/>
        </w:rPr>
        <w:t xml:space="preserve"> can be used in parallel to other engagement types</w:t>
      </w:r>
      <w:r w:rsidR="004436FC">
        <w:rPr>
          <w:sz w:val="22"/>
        </w:rPr>
        <w:t>;</w:t>
      </w:r>
      <w:r w:rsidR="0039376B" w:rsidRPr="00977BD8">
        <w:rPr>
          <w:sz w:val="22"/>
        </w:rPr>
        <w:t xml:space="preserve"> for instance</w:t>
      </w:r>
      <w:r w:rsidR="00E93DE2">
        <w:rPr>
          <w:sz w:val="22"/>
        </w:rPr>
        <w:t>,</w:t>
      </w:r>
      <w:r w:rsidR="0039376B" w:rsidRPr="00977BD8">
        <w:rPr>
          <w:sz w:val="22"/>
        </w:rPr>
        <w:t xml:space="preserve"> </w:t>
      </w:r>
      <w:r w:rsidR="00E63899">
        <w:rPr>
          <w:sz w:val="22"/>
        </w:rPr>
        <w:t>the</w:t>
      </w:r>
      <w:r w:rsidR="00E63899" w:rsidRPr="00977BD8">
        <w:rPr>
          <w:sz w:val="22"/>
        </w:rPr>
        <w:t xml:space="preserve"> </w:t>
      </w:r>
      <w:r w:rsidR="00740EF8" w:rsidRPr="00977BD8">
        <w:rPr>
          <w:sz w:val="22"/>
        </w:rPr>
        <w:t xml:space="preserve">same </w:t>
      </w:r>
      <w:r w:rsidR="0039376B" w:rsidRPr="00977BD8">
        <w:rPr>
          <w:sz w:val="22"/>
        </w:rPr>
        <w:t xml:space="preserve">NGO can </w:t>
      </w:r>
      <w:r w:rsidR="00740EF8" w:rsidRPr="00977BD8">
        <w:rPr>
          <w:sz w:val="22"/>
        </w:rPr>
        <w:t>concurrently</w:t>
      </w:r>
      <w:r w:rsidR="0039376B" w:rsidRPr="00977BD8">
        <w:rPr>
          <w:sz w:val="22"/>
        </w:rPr>
        <w:t xml:space="preserve"> </w:t>
      </w:r>
      <w:r w:rsidR="00740EF8" w:rsidRPr="00977BD8">
        <w:rPr>
          <w:sz w:val="22"/>
        </w:rPr>
        <w:t>be a grant recipient to develop a new local income-generation scheme and hold a procurement contract to provide logistical services for a workshop (</w:t>
      </w:r>
      <w:r w:rsidR="004436FC">
        <w:rPr>
          <w:sz w:val="22"/>
        </w:rPr>
        <w:t xml:space="preserve">provided there is no conflict of interest; </w:t>
      </w:r>
      <w:r w:rsidR="00740EF8" w:rsidRPr="00977BD8">
        <w:rPr>
          <w:sz w:val="22"/>
        </w:rPr>
        <w:t>see section below on difference between grants and procurement).</w:t>
      </w:r>
      <w:r w:rsidR="00977BD8" w:rsidRPr="00977BD8">
        <w:t xml:space="preserve"> </w:t>
      </w:r>
      <w:r w:rsidR="00E63899" w:rsidRPr="00E639C4">
        <w:rPr>
          <w:sz w:val="22"/>
          <w:szCs w:val="22"/>
        </w:rPr>
        <w:t xml:space="preserve">All resources provided to the entity by UNDP during the programme period are considered when assessing what, if any, </w:t>
      </w:r>
      <w:r w:rsidR="00E63899" w:rsidRPr="00581481">
        <w:rPr>
          <w:sz w:val="22"/>
          <w:szCs w:val="22"/>
        </w:rPr>
        <w:t>capacity assessments should be done.</w:t>
      </w:r>
      <w:r w:rsidR="00E63899" w:rsidRPr="00E639C4">
        <w:rPr>
          <w:sz w:val="22"/>
          <w:szCs w:val="22"/>
        </w:rPr>
        <w:t xml:space="preserve"> For example, if the value of a LVG plus procurement contract</w:t>
      </w:r>
      <w:r w:rsidR="00747119">
        <w:rPr>
          <w:sz w:val="22"/>
          <w:szCs w:val="22"/>
        </w:rPr>
        <w:t xml:space="preserve"> or responsible party agreement</w:t>
      </w:r>
      <w:r w:rsidR="00E63899" w:rsidRPr="00E639C4">
        <w:rPr>
          <w:sz w:val="22"/>
          <w:szCs w:val="22"/>
        </w:rPr>
        <w:t xml:space="preserve"> exceeds $300,000 total, the relevant capacity assessment must be done for that partner.</w:t>
      </w:r>
    </w:p>
    <w:p w14:paraId="3555B7A2" w14:textId="584826E7" w:rsidR="00A531CE" w:rsidRPr="00881D5D" w:rsidRDefault="00977BD8" w:rsidP="004644D9">
      <w:pPr>
        <w:numPr>
          <w:ilvl w:val="0"/>
          <w:numId w:val="3"/>
        </w:numPr>
        <w:spacing w:before="120"/>
        <w:jc w:val="both"/>
        <w:rPr>
          <w:sz w:val="22"/>
          <w:u w:val="single"/>
        </w:rPr>
      </w:pPr>
      <w:r w:rsidRPr="00881D5D">
        <w:rPr>
          <w:sz w:val="22"/>
        </w:rPr>
        <w:t xml:space="preserve">Grants are often used as a risk-mitigation strategy when faced with complex development challenges, since they allow rapid experimentation and learning </w:t>
      </w:r>
      <w:r w:rsidR="00E639C4" w:rsidRPr="00881D5D">
        <w:rPr>
          <w:sz w:val="22"/>
        </w:rPr>
        <w:t>while</w:t>
      </w:r>
      <w:r w:rsidR="004436FC" w:rsidRPr="00881D5D">
        <w:rPr>
          <w:sz w:val="22"/>
        </w:rPr>
        <w:t xml:space="preserve"> disburs</w:t>
      </w:r>
      <w:r w:rsidR="003B2053" w:rsidRPr="00881D5D">
        <w:rPr>
          <w:sz w:val="22"/>
        </w:rPr>
        <w:t>ing</w:t>
      </w:r>
      <w:r w:rsidR="004436FC" w:rsidRPr="00881D5D">
        <w:rPr>
          <w:sz w:val="22"/>
        </w:rPr>
        <w:t xml:space="preserve"> </w:t>
      </w:r>
      <w:r w:rsidRPr="00881D5D">
        <w:rPr>
          <w:sz w:val="22"/>
        </w:rPr>
        <w:t xml:space="preserve">comparatively small amounts. </w:t>
      </w:r>
    </w:p>
    <w:p w14:paraId="34729639" w14:textId="5E0E98E0" w:rsidR="00D9285F" w:rsidRPr="00F74191" w:rsidRDefault="00D9285F" w:rsidP="005A0D3C">
      <w:pPr>
        <w:pStyle w:val="Heading4"/>
      </w:pPr>
      <w:bookmarkStart w:id="8" w:name="_Toc530059515"/>
      <w:r w:rsidRPr="00F74191">
        <w:lastRenderedPageBreak/>
        <w:t xml:space="preserve">Definition of </w:t>
      </w:r>
      <w:r w:rsidR="005B684B" w:rsidRPr="00F74191">
        <w:t>grant recipient</w:t>
      </w:r>
      <w:r w:rsidR="00C4194F" w:rsidRPr="00F74191">
        <w:t>s</w:t>
      </w:r>
      <w:bookmarkEnd w:id="8"/>
    </w:p>
    <w:p w14:paraId="2AF9D06A" w14:textId="73A0DE1F" w:rsidR="0035420D" w:rsidRPr="00B746D6" w:rsidRDefault="0035420D" w:rsidP="00CA5B6E">
      <w:pPr>
        <w:numPr>
          <w:ilvl w:val="0"/>
          <w:numId w:val="3"/>
        </w:numPr>
        <w:spacing w:before="120"/>
        <w:jc w:val="both"/>
        <w:rPr>
          <w:sz w:val="22"/>
        </w:rPr>
      </w:pPr>
      <w:r w:rsidRPr="001C5DE5">
        <w:rPr>
          <w:sz w:val="22"/>
        </w:rPr>
        <w:t>LVGs provide an opportunity to work directly with beneficiaries</w:t>
      </w:r>
      <w:r>
        <w:rPr>
          <w:sz w:val="22"/>
        </w:rPr>
        <w:t xml:space="preserve"> </w:t>
      </w:r>
      <w:r w:rsidR="00420F2F">
        <w:rPr>
          <w:sz w:val="22"/>
        </w:rPr>
        <w:t xml:space="preserve">in which </w:t>
      </w:r>
      <w:r w:rsidRPr="000D3490">
        <w:rPr>
          <w:sz w:val="22"/>
        </w:rPr>
        <w:t xml:space="preserve">UNDP has a long-term interest. They are not strictly required to </w:t>
      </w:r>
      <w:r w:rsidR="0001250B">
        <w:rPr>
          <w:sz w:val="22"/>
        </w:rPr>
        <w:t xml:space="preserve">a priori </w:t>
      </w:r>
      <w:r w:rsidRPr="000D3490">
        <w:rPr>
          <w:sz w:val="22"/>
        </w:rPr>
        <w:t>prove existing capacity to implement</w:t>
      </w:r>
      <w:r w:rsidR="0001250B">
        <w:rPr>
          <w:sz w:val="22"/>
        </w:rPr>
        <w:t xml:space="preserve"> discrete activities</w:t>
      </w:r>
      <w:r w:rsidRPr="000D3490">
        <w:rPr>
          <w:sz w:val="22"/>
        </w:rPr>
        <w:t xml:space="preserve">, since the grant itself </w:t>
      </w:r>
      <w:r>
        <w:rPr>
          <w:sz w:val="22"/>
        </w:rPr>
        <w:t>can be</w:t>
      </w:r>
      <w:r w:rsidRPr="000D3490">
        <w:rPr>
          <w:sz w:val="22"/>
        </w:rPr>
        <w:t xml:space="preserve"> intended to strengthen their capacity</w:t>
      </w:r>
      <w:r w:rsidRPr="00F74191">
        <w:rPr>
          <w:sz w:val="22"/>
        </w:rPr>
        <w:t>.</w:t>
      </w:r>
      <w:r>
        <w:rPr>
          <w:sz w:val="22"/>
        </w:rPr>
        <w:t xml:space="preserve"> </w:t>
      </w:r>
    </w:p>
    <w:p w14:paraId="4CBD45D4" w14:textId="53337A52" w:rsidR="00B14534" w:rsidRDefault="001C5DE5" w:rsidP="00CA5B6E">
      <w:pPr>
        <w:numPr>
          <w:ilvl w:val="0"/>
          <w:numId w:val="3"/>
        </w:numPr>
        <w:spacing w:before="120"/>
        <w:jc w:val="both"/>
        <w:rPr>
          <w:sz w:val="22"/>
        </w:rPr>
      </w:pPr>
      <w:r>
        <w:rPr>
          <w:sz w:val="22"/>
        </w:rPr>
        <w:t>Grant recipients</w:t>
      </w:r>
      <w:r w:rsidRPr="002C2651">
        <w:rPr>
          <w:sz w:val="22"/>
        </w:rPr>
        <w:t xml:space="preserve"> </w:t>
      </w:r>
      <w:r w:rsidR="00DB3BA3">
        <w:rPr>
          <w:sz w:val="22"/>
        </w:rPr>
        <w:t xml:space="preserve">are often organizations in a position to experiment with innovative solutions to development challenges. They </w:t>
      </w:r>
      <w:r w:rsidRPr="002C2651">
        <w:rPr>
          <w:sz w:val="22"/>
        </w:rPr>
        <w:t xml:space="preserve">often represent populations excluded from the development process and play an important advocacy role for the </w:t>
      </w:r>
      <w:r>
        <w:rPr>
          <w:sz w:val="22"/>
        </w:rPr>
        <w:t>groups</w:t>
      </w:r>
      <w:r w:rsidRPr="002C2651">
        <w:rPr>
          <w:sz w:val="22"/>
        </w:rPr>
        <w:t xml:space="preserve"> they represent. </w:t>
      </w:r>
      <w:r w:rsidR="00B14534">
        <w:rPr>
          <w:sz w:val="22"/>
        </w:rPr>
        <w:t>They</w:t>
      </w:r>
      <w:r w:rsidR="00B14534" w:rsidRPr="00F74191">
        <w:rPr>
          <w:sz w:val="22"/>
        </w:rPr>
        <w:t xml:space="preserve"> are uniquely positioned to ensure </w:t>
      </w:r>
      <w:r w:rsidR="00B14534">
        <w:rPr>
          <w:sz w:val="22"/>
        </w:rPr>
        <w:t xml:space="preserve">a </w:t>
      </w:r>
      <w:r w:rsidR="00B14534" w:rsidRPr="00F74191">
        <w:rPr>
          <w:sz w:val="22"/>
        </w:rPr>
        <w:t>quick response</w:t>
      </w:r>
      <w:r w:rsidR="00B14534">
        <w:rPr>
          <w:sz w:val="22"/>
        </w:rPr>
        <w:t xml:space="preserve"> to a development challenge</w:t>
      </w:r>
      <w:r w:rsidR="00B14534" w:rsidRPr="00F74191">
        <w:rPr>
          <w:sz w:val="22"/>
        </w:rPr>
        <w:t>, to reach communities at grassroots</w:t>
      </w:r>
      <w:r w:rsidR="00B14534">
        <w:rPr>
          <w:sz w:val="22"/>
        </w:rPr>
        <w:t xml:space="preserve"> level</w:t>
      </w:r>
      <w:r w:rsidR="00B14534" w:rsidRPr="00F74191">
        <w:rPr>
          <w:sz w:val="22"/>
        </w:rPr>
        <w:t>, and to engage with excluded or marginalized population groups</w:t>
      </w:r>
      <w:r w:rsidR="00B14534">
        <w:rPr>
          <w:sz w:val="22"/>
        </w:rPr>
        <w:t>.</w:t>
      </w:r>
      <w:r w:rsidR="00B14534" w:rsidRPr="00C15F70">
        <w:rPr>
          <w:sz w:val="22"/>
        </w:rPr>
        <w:t xml:space="preserve"> </w:t>
      </w:r>
      <w:r w:rsidRPr="002C2651">
        <w:rPr>
          <w:sz w:val="22"/>
        </w:rPr>
        <w:t xml:space="preserve">In some instances, </w:t>
      </w:r>
      <w:r>
        <w:rPr>
          <w:sz w:val="22"/>
        </w:rPr>
        <w:t>they</w:t>
      </w:r>
      <w:r w:rsidRPr="002C2651">
        <w:rPr>
          <w:sz w:val="22"/>
        </w:rPr>
        <w:t xml:space="preserve"> hold special legitimacy as the exclusive representation of a certain group (i.e. recognized unions), so engagements with these </w:t>
      </w:r>
      <w:r>
        <w:rPr>
          <w:sz w:val="22"/>
        </w:rPr>
        <w:t>institutions</w:t>
      </w:r>
      <w:r w:rsidRPr="002C2651">
        <w:rPr>
          <w:sz w:val="22"/>
        </w:rPr>
        <w:t xml:space="preserve"> is essential for </w:t>
      </w:r>
      <w:r>
        <w:rPr>
          <w:sz w:val="22"/>
        </w:rPr>
        <w:t xml:space="preserve">certain </w:t>
      </w:r>
      <w:r w:rsidRPr="002C2651">
        <w:rPr>
          <w:sz w:val="22"/>
        </w:rPr>
        <w:t>projects.</w:t>
      </w:r>
      <w:r w:rsidR="00B14534" w:rsidRPr="00B14534">
        <w:rPr>
          <w:sz w:val="22"/>
        </w:rPr>
        <w:t xml:space="preserve"> </w:t>
      </w:r>
    </w:p>
    <w:p w14:paraId="142CAF42" w14:textId="77777777" w:rsidR="00B14534" w:rsidRPr="001C5DE5" w:rsidRDefault="00B14534" w:rsidP="00CA5B6E">
      <w:pPr>
        <w:numPr>
          <w:ilvl w:val="0"/>
          <w:numId w:val="3"/>
        </w:numPr>
        <w:spacing w:before="120"/>
        <w:jc w:val="both"/>
        <w:rPr>
          <w:sz w:val="22"/>
        </w:rPr>
      </w:pPr>
      <w:r w:rsidRPr="001C5DE5">
        <w:rPr>
          <w:sz w:val="22"/>
        </w:rPr>
        <w:t>Examples of frequently excluded population groups</w:t>
      </w:r>
      <w:r w:rsidR="00CF598E">
        <w:rPr>
          <w:sz w:val="22"/>
        </w:rPr>
        <w:t xml:space="preserve"> that deserve </w:t>
      </w:r>
      <w:r w:rsidR="00712666">
        <w:rPr>
          <w:sz w:val="22"/>
        </w:rPr>
        <w:t xml:space="preserve">attention </w:t>
      </w:r>
      <w:r w:rsidR="00CF598E">
        <w:rPr>
          <w:sz w:val="22"/>
        </w:rPr>
        <w:t xml:space="preserve">in light of </w:t>
      </w:r>
      <w:r w:rsidR="0001250B">
        <w:rPr>
          <w:sz w:val="22"/>
        </w:rPr>
        <w:t xml:space="preserve">the 2030 agenda’s focus on </w:t>
      </w:r>
      <w:r w:rsidR="0001250B" w:rsidRPr="0001250B">
        <w:rPr>
          <w:sz w:val="22"/>
        </w:rPr>
        <w:t>“leave no one behind”</w:t>
      </w:r>
      <w:r w:rsidR="003429D4">
        <w:rPr>
          <w:sz w:val="22"/>
        </w:rPr>
        <w:t xml:space="preserve"> (</w:t>
      </w:r>
      <w:r w:rsidR="003B2053">
        <w:rPr>
          <w:sz w:val="22"/>
        </w:rPr>
        <w:t>L</w:t>
      </w:r>
      <w:r w:rsidR="003429D4">
        <w:rPr>
          <w:sz w:val="22"/>
        </w:rPr>
        <w:t>NOB)</w:t>
      </w:r>
      <w:r w:rsidR="0001250B" w:rsidRPr="0001250B">
        <w:rPr>
          <w:sz w:val="22"/>
        </w:rPr>
        <w:t xml:space="preserve"> and “reach those furthest behind first”</w:t>
      </w:r>
      <w:r w:rsidR="0001250B">
        <w:rPr>
          <w:sz w:val="22"/>
        </w:rPr>
        <w:t xml:space="preserve"> include:</w:t>
      </w:r>
      <w:r w:rsidR="0001250B" w:rsidRPr="0001250B">
        <w:rPr>
          <w:sz w:val="22"/>
        </w:rPr>
        <w:t xml:space="preserve"> </w:t>
      </w:r>
    </w:p>
    <w:p w14:paraId="114C3745" w14:textId="77777777" w:rsidR="00B14534" w:rsidRPr="00F74191" w:rsidRDefault="00B14534" w:rsidP="00E532E6">
      <w:pPr>
        <w:numPr>
          <w:ilvl w:val="1"/>
          <w:numId w:val="6"/>
        </w:numPr>
        <w:jc w:val="both"/>
        <w:rPr>
          <w:sz w:val="22"/>
        </w:rPr>
      </w:pPr>
      <w:r w:rsidRPr="00F74191">
        <w:rPr>
          <w:sz w:val="22"/>
        </w:rPr>
        <w:t>Women and girls</w:t>
      </w:r>
    </w:p>
    <w:p w14:paraId="33F0FFB3" w14:textId="77777777" w:rsidR="00FE0B3D" w:rsidRDefault="00B14534" w:rsidP="00E532E6">
      <w:pPr>
        <w:numPr>
          <w:ilvl w:val="1"/>
          <w:numId w:val="6"/>
        </w:numPr>
        <w:jc w:val="both"/>
        <w:rPr>
          <w:sz w:val="22"/>
        </w:rPr>
      </w:pPr>
      <w:r w:rsidRPr="00F74191">
        <w:rPr>
          <w:sz w:val="22"/>
        </w:rPr>
        <w:t>Ethnic and regional</w:t>
      </w:r>
      <w:r w:rsidR="009716A1">
        <w:rPr>
          <w:sz w:val="22"/>
        </w:rPr>
        <w:t>/rural</w:t>
      </w:r>
      <w:r w:rsidRPr="00F74191">
        <w:rPr>
          <w:sz w:val="22"/>
        </w:rPr>
        <w:t xml:space="preserve"> populations</w:t>
      </w:r>
    </w:p>
    <w:p w14:paraId="3F8E4141" w14:textId="77777777" w:rsidR="00484BB1" w:rsidRDefault="00484BB1" w:rsidP="00E532E6">
      <w:pPr>
        <w:numPr>
          <w:ilvl w:val="1"/>
          <w:numId w:val="6"/>
        </w:numPr>
        <w:jc w:val="both"/>
        <w:rPr>
          <w:sz w:val="22"/>
        </w:rPr>
      </w:pPr>
      <w:r>
        <w:rPr>
          <w:sz w:val="22"/>
        </w:rPr>
        <w:t>Indigenous groups</w:t>
      </w:r>
    </w:p>
    <w:p w14:paraId="4F6A428A" w14:textId="77777777" w:rsidR="00B14534" w:rsidRPr="00F74191" w:rsidRDefault="00FE0B3D" w:rsidP="00E532E6">
      <w:pPr>
        <w:numPr>
          <w:ilvl w:val="1"/>
          <w:numId w:val="6"/>
        </w:numPr>
        <w:jc w:val="both"/>
        <w:rPr>
          <w:sz w:val="22"/>
        </w:rPr>
      </w:pPr>
      <w:r>
        <w:rPr>
          <w:sz w:val="22"/>
        </w:rPr>
        <w:t>D</w:t>
      </w:r>
      <w:r w:rsidR="00B14534" w:rsidRPr="00F74191">
        <w:rPr>
          <w:sz w:val="22"/>
        </w:rPr>
        <w:t xml:space="preserve">isadvantaged casts </w:t>
      </w:r>
      <w:r w:rsidR="0022627B">
        <w:rPr>
          <w:sz w:val="22"/>
        </w:rPr>
        <w:t>and</w:t>
      </w:r>
      <w:r w:rsidR="00B14534" w:rsidRPr="00F74191">
        <w:rPr>
          <w:sz w:val="22"/>
        </w:rPr>
        <w:t xml:space="preserve"> social groups</w:t>
      </w:r>
    </w:p>
    <w:p w14:paraId="3A877F80" w14:textId="77777777" w:rsidR="00B14534" w:rsidRPr="00F74191" w:rsidRDefault="00B14534" w:rsidP="00E532E6">
      <w:pPr>
        <w:numPr>
          <w:ilvl w:val="1"/>
          <w:numId w:val="6"/>
        </w:numPr>
        <w:jc w:val="both"/>
        <w:rPr>
          <w:sz w:val="22"/>
        </w:rPr>
      </w:pPr>
      <w:r w:rsidRPr="00F74191">
        <w:rPr>
          <w:sz w:val="22"/>
        </w:rPr>
        <w:t>Religious minorities</w:t>
      </w:r>
    </w:p>
    <w:p w14:paraId="7B332365" w14:textId="77777777" w:rsidR="00B14534" w:rsidRPr="00F74191" w:rsidRDefault="00B14534" w:rsidP="00E532E6">
      <w:pPr>
        <w:numPr>
          <w:ilvl w:val="1"/>
          <w:numId w:val="6"/>
        </w:numPr>
        <w:jc w:val="both"/>
        <w:rPr>
          <w:sz w:val="22"/>
        </w:rPr>
      </w:pPr>
      <w:r w:rsidRPr="00F74191">
        <w:rPr>
          <w:sz w:val="22"/>
        </w:rPr>
        <w:t>Sexual minorities</w:t>
      </w:r>
    </w:p>
    <w:p w14:paraId="73E1C7FC" w14:textId="77777777" w:rsidR="00B14534" w:rsidRPr="00F74191" w:rsidRDefault="00B14534" w:rsidP="00E532E6">
      <w:pPr>
        <w:numPr>
          <w:ilvl w:val="1"/>
          <w:numId w:val="6"/>
        </w:numPr>
        <w:jc w:val="both"/>
        <w:rPr>
          <w:sz w:val="22"/>
        </w:rPr>
      </w:pPr>
      <w:r w:rsidRPr="00F74191">
        <w:rPr>
          <w:sz w:val="22"/>
        </w:rPr>
        <w:t xml:space="preserve">People </w:t>
      </w:r>
      <w:r w:rsidR="00C6125E">
        <w:rPr>
          <w:sz w:val="22"/>
        </w:rPr>
        <w:t>affected by</w:t>
      </w:r>
      <w:r w:rsidRPr="00F74191">
        <w:rPr>
          <w:sz w:val="22"/>
        </w:rPr>
        <w:t xml:space="preserve"> disabilities, including HIV/AIDS</w:t>
      </w:r>
    </w:p>
    <w:p w14:paraId="37C1F6C6" w14:textId="03B7027D" w:rsidR="001C5DE5" w:rsidRDefault="00B14534" w:rsidP="00E532E6">
      <w:pPr>
        <w:numPr>
          <w:ilvl w:val="1"/>
          <w:numId w:val="6"/>
        </w:numPr>
        <w:jc w:val="both"/>
        <w:rPr>
          <w:sz w:val="22"/>
        </w:rPr>
      </w:pPr>
      <w:r>
        <w:rPr>
          <w:sz w:val="22"/>
        </w:rPr>
        <w:t>Workers’</w:t>
      </w:r>
      <w:r w:rsidRPr="00F74191">
        <w:rPr>
          <w:sz w:val="22"/>
        </w:rPr>
        <w:t xml:space="preserve"> associations and trade unions</w:t>
      </w:r>
    </w:p>
    <w:p w14:paraId="1EE7297D" w14:textId="75993893" w:rsidR="00DB3BA3" w:rsidRDefault="00DB3BA3" w:rsidP="00E532E6">
      <w:pPr>
        <w:numPr>
          <w:ilvl w:val="1"/>
          <w:numId w:val="6"/>
        </w:numPr>
        <w:jc w:val="both"/>
        <w:rPr>
          <w:sz w:val="22"/>
        </w:rPr>
      </w:pPr>
      <w:r>
        <w:rPr>
          <w:sz w:val="22"/>
        </w:rPr>
        <w:t>Youth not in education, employment or training</w:t>
      </w:r>
    </w:p>
    <w:p w14:paraId="2724D6E2" w14:textId="77777777" w:rsidR="00420F2F" w:rsidRPr="00B14534" w:rsidRDefault="00420F2F" w:rsidP="00E532E6">
      <w:pPr>
        <w:numPr>
          <w:ilvl w:val="1"/>
          <w:numId w:val="6"/>
        </w:numPr>
        <w:jc w:val="both"/>
        <w:rPr>
          <w:sz w:val="22"/>
        </w:rPr>
      </w:pPr>
      <w:r>
        <w:rPr>
          <w:sz w:val="22"/>
        </w:rPr>
        <w:t>Other groups relevant in the local context</w:t>
      </w:r>
    </w:p>
    <w:p w14:paraId="4B54647B" w14:textId="787DC639" w:rsidR="00884836" w:rsidRPr="001C5DE5" w:rsidRDefault="00F40887" w:rsidP="00CA5B6E">
      <w:pPr>
        <w:numPr>
          <w:ilvl w:val="0"/>
          <w:numId w:val="3"/>
        </w:numPr>
        <w:spacing w:before="120"/>
        <w:jc w:val="both"/>
        <w:rPr>
          <w:sz w:val="22"/>
        </w:rPr>
      </w:pPr>
      <w:r w:rsidRPr="001C5DE5">
        <w:rPr>
          <w:sz w:val="22"/>
        </w:rPr>
        <w:t>Strictly speaking, the entity signing the grant agreement is always the beneficiary from a legal perspective</w:t>
      </w:r>
      <w:r w:rsidR="00884836" w:rsidRPr="001C5DE5">
        <w:rPr>
          <w:sz w:val="22"/>
        </w:rPr>
        <w:t xml:space="preserve">; however, practically speaking three types of grant recipients are </w:t>
      </w:r>
      <w:r w:rsidR="00A670B9">
        <w:rPr>
          <w:sz w:val="22"/>
        </w:rPr>
        <w:t>possible</w:t>
      </w:r>
      <w:r w:rsidR="00884836" w:rsidRPr="001C5DE5">
        <w:rPr>
          <w:sz w:val="22"/>
        </w:rPr>
        <w:t>:</w:t>
      </w:r>
    </w:p>
    <w:p w14:paraId="7F9FAE5A" w14:textId="17031DBA" w:rsidR="00D9285F" w:rsidRPr="00F74191" w:rsidRDefault="00693E60" w:rsidP="00E532E6">
      <w:pPr>
        <w:numPr>
          <w:ilvl w:val="0"/>
          <w:numId w:val="10"/>
        </w:numPr>
        <w:jc w:val="both"/>
        <w:rPr>
          <w:sz w:val="22"/>
        </w:rPr>
      </w:pPr>
      <w:r w:rsidRPr="00F74191">
        <w:rPr>
          <w:sz w:val="22"/>
        </w:rPr>
        <w:t xml:space="preserve">The grant recipient is the </w:t>
      </w:r>
      <w:r w:rsidR="00E67A43" w:rsidRPr="00F74191">
        <w:rPr>
          <w:sz w:val="22"/>
          <w:u w:val="single"/>
        </w:rPr>
        <w:t>single</w:t>
      </w:r>
      <w:r w:rsidRPr="00F74191">
        <w:rPr>
          <w:sz w:val="22"/>
          <w:u w:val="single"/>
        </w:rPr>
        <w:t xml:space="preserve"> beneficiary</w:t>
      </w:r>
      <w:r w:rsidRPr="00F74191">
        <w:rPr>
          <w:sz w:val="22"/>
        </w:rPr>
        <w:t xml:space="preserve">. This is typically the case when </w:t>
      </w:r>
      <w:r w:rsidR="001C757D">
        <w:rPr>
          <w:sz w:val="22"/>
        </w:rPr>
        <w:t>the project</w:t>
      </w:r>
      <w:r w:rsidRPr="00F74191">
        <w:rPr>
          <w:sz w:val="22"/>
        </w:rPr>
        <w:t xml:space="preserve"> </w:t>
      </w:r>
      <w:r w:rsidR="002710A6" w:rsidRPr="00F74191">
        <w:rPr>
          <w:sz w:val="22"/>
        </w:rPr>
        <w:t>supports the capacity of a</w:t>
      </w:r>
      <w:r w:rsidR="00032E84" w:rsidRPr="00F74191">
        <w:rPr>
          <w:sz w:val="22"/>
        </w:rPr>
        <w:t xml:space="preserve"> single</w:t>
      </w:r>
      <w:r w:rsidR="002710A6" w:rsidRPr="00F74191">
        <w:rPr>
          <w:sz w:val="22"/>
        </w:rPr>
        <w:t xml:space="preserve"> institution that is expected to fulfil a development-relevant function. Examples</w:t>
      </w:r>
      <w:r w:rsidR="00032E84" w:rsidRPr="00F74191">
        <w:rPr>
          <w:sz w:val="22"/>
        </w:rPr>
        <w:t xml:space="preserve"> of such institutions are local development</w:t>
      </w:r>
      <w:r w:rsidR="00407063">
        <w:rPr>
          <w:sz w:val="22"/>
        </w:rPr>
        <w:t xml:space="preserve"> or </w:t>
      </w:r>
      <w:r w:rsidR="00032E84" w:rsidRPr="00F74191">
        <w:rPr>
          <w:sz w:val="22"/>
        </w:rPr>
        <w:t xml:space="preserve">environment funds </w:t>
      </w:r>
      <w:r w:rsidR="00A27476" w:rsidRPr="00F74191">
        <w:rPr>
          <w:sz w:val="22"/>
        </w:rPr>
        <w:t>and</w:t>
      </w:r>
      <w:r w:rsidR="00032E84" w:rsidRPr="00F74191">
        <w:rPr>
          <w:sz w:val="22"/>
        </w:rPr>
        <w:t xml:space="preserve"> </w:t>
      </w:r>
      <w:r w:rsidR="00790118" w:rsidRPr="00F74191">
        <w:rPr>
          <w:sz w:val="22"/>
        </w:rPr>
        <w:t>training</w:t>
      </w:r>
      <w:r w:rsidR="008D24A6" w:rsidRPr="00F74191">
        <w:rPr>
          <w:sz w:val="22"/>
        </w:rPr>
        <w:t xml:space="preserve"> </w:t>
      </w:r>
      <w:r w:rsidR="00790118" w:rsidRPr="00F74191">
        <w:rPr>
          <w:sz w:val="22"/>
        </w:rPr>
        <w:t>centers</w:t>
      </w:r>
      <w:r w:rsidR="00032E84" w:rsidRPr="00F74191">
        <w:rPr>
          <w:sz w:val="22"/>
        </w:rPr>
        <w:t>.</w:t>
      </w:r>
      <w:r w:rsidR="002710A6" w:rsidRPr="00F74191">
        <w:rPr>
          <w:sz w:val="22"/>
        </w:rPr>
        <w:t xml:space="preserve">  </w:t>
      </w:r>
    </w:p>
    <w:p w14:paraId="2BF0B393" w14:textId="77777777" w:rsidR="00032E84" w:rsidRPr="00F74191" w:rsidRDefault="00032E84" w:rsidP="00E532E6">
      <w:pPr>
        <w:numPr>
          <w:ilvl w:val="0"/>
          <w:numId w:val="10"/>
        </w:numPr>
        <w:jc w:val="both"/>
        <w:rPr>
          <w:sz w:val="22"/>
        </w:rPr>
      </w:pPr>
      <w:r w:rsidRPr="00F74191">
        <w:rPr>
          <w:sz w:val="22"/>
        </w:rPr>
        <w:t xml:space="preserve">The grant recipient is </w:t>
      </w:r>
      <w:r w:rsidRPr="00F74191">
        <w:rPr>
          <w:sz w:val="22"/>
          <w:u w:val="single"/>
        </w:rPr>
        <w:t>a collective that represents a specific group</w:t>
      </w:r>
      <w:r w:rsidRPr="00F74191">
        <w:rPr>
          <w:sz w:val="22"/>
        </w:rPr>
        <w:t xml:space="preserve"> of individuals who directly benefit from the grant. </w:t>
      </w:r>
      <w:r w:rsidR="00C068D6" w:rsidRPr="00F74191">
        <w:rPr>
          <w:sz w:val="22"/>
        </w:rPr>
        <w:t xml:space="preserve">The grant recipient </w:t>
      </w:r>
      <w:r w:rsidR="00295D66" w:rsidRPr="00F74191">
        <w:rPr>
          <w:sz w:val="22"/>
        </w:rPr>
        <w:t>signing the grant agreement could</w:t>
      </w:r>
      <w:r w:rsidR="00C068D6" w:rsidRPr="00F74191">
        <w:rPr>
          <w:sz w:val="22"/>
        </w:rPr>
        <w:t xml:space="preserve"> be a women’s cooperative or </w:t>
      </w:r>
      <w:r w:rsidR="00295D66" w:rsidRPr="00F74191">
        <w:rPr>
          <w:sz w:val="22"/>
        </w:rPr>
        <w:t>a support group of people affected by HIV</w:t>
      </w:r>
      <w:r w:rsidR="00E67A43" w:rsidRPr="00F74191">
        <w:rPr>
          <w:sz w:val="22"/>
        </w:rPr>
        <w:t>/AIDS</w:t>
      </w:r>
      <w:r w:rsidR="00295D66" w:rsidRPr="00F74191">
        <w:rPr>
          <w:sz w:val="22"/>
        </w:rPr>
        <w:t xml:space="preserve">, </w:t>
      </w:r>
      <w:r w:rsidR="00C27114">
        <w:rPr>
          <w:sz w:val="22"/>
        </w:rPr>
        <w:t>and</w:t>
      </w:r>
      <w:r w:rsidR="00295D66" w:rsidRPr="00F74191">
        <w:rPr>
          <w:sz w:val="22"/>
        </w:rPr>
        <w:t xml:space="preserve"> the benefits extend to all its members. </w:t>
      </w:r>
    </w:p>
    <w:p w14:paraId="4C25D210" w14:textId="77777777" w:rsidR="00032E84" w:rsidRPr="00F74191" w:rsidRDefault="00032E84" w:rsidP="00E532E6">
      <w:pPr>
        <w:numPr>
          <w:ilvl w:val="0"/>
          <w:numId w:val="10"/>
        </w:numPr>
        <w:jc w:val="both"/>
        <w:rPr>
          <w:sz w:val="22"/>
        </w:rPr>
      </w:pPr>
      <w:r w:rsidRPr="00F74191">
        <w:rPr>
          <w:sz w:val="22"/>
        </w:rPr>
        <w:t xml:space="preserve">The grant recipient represents a </w:t>
      </w:r>
      <w:r w:rsidRPr="00F74191">
        <w:rPr>
          <w:sz w:val="22"/>
          <w:u w:val="single"/>
        </w:rPr>
        <w:t>much broader constituency</w:t>
      </w:r>
      <w:r w:rsidR="00E67A43" w:rsidRPr="00F74191">
        <w:rPr>
          <w:sz w:val="22"/>
        </w:rPr>
        <w:t xml:space="preserve"> who only indirectly benefit from the grant</w:t>
      </w:r>
      <w:r w:rsidR="00A27476" w:rsidRPr="00F74191">
        <w:rPr>
          <w:sz w:val="22"/>
        </w:rPr>
        <w:t>. Such grants are typically used to give voice to groups traditionally excluded from the development process</w:t>
      </w:r>
      <w:r w:rsidR="00E67A43" w:rsidRPr="00F74191">
        <w:rPr>
          <w:sz w:val="22"/>
        </w:rPr>
        <w:t xml:space="preserve">, for instance through better advocacy of their interests. Typical examples include </w:t>
      </w:r>
      <w:r w:rsidR="005F6C19" w:rsidRPr="00F74191">
        <w:rPr>
          <w:sz w:val="22"/>
        </w:rPr>
        <w:t xml:space="preserve">professional associations and </w:t>
      </w:r>
      <w:r w:rsidR="00E67A43" w:rsidRPr="00F74191">
        <w:rPr>
          <w:sz w:val="22"/>
        </w:rPr>
        <w:t xml:space="preserve">trade unions </w:t>
      </w:r>
      <w:r w:rsidR="005F6C19" w:rsidRPr="00F74191">
        <w:rPr>
          <w:sz w:val="22"/>
        </w:rPr>
        <w:t>that not only represent their members, but workers at large.</w:t>
      </w:r>
    </w:p>
    <w:p w14:paraId="61F88A79" w14:textId="73721BF6" w:rsidR="00C4194F" w:rsidRPr="008C3A8D" w:rsidRDefault="0070106C" w:rsidP="00CA5B6E">
      <w:pPr>
        <w:pStyle w:val="ListParagraph"/>
        <w:numPr>
          <w:ilvl w:val="0"/>
          <w:numId w:val="3"/>
        </w:numPr>
        <w:shd w:val="clear" w:color="auto" w:fill="FFFFFF"/>
        <w:tabs>
          <w:tab w:val="left" w:pos="5760"/>
        </w:tabs>
        <w:spacing w:before="120"/>
        <w:contextualSpacing w:val="0"/>
        <w:jc w:val="both"/>
        <w:textAlignment w:val="top"/>
        <w:rPr>
          <w:sz w:val="22"/>
        </w:rPr>
      </w:pPr>
      <w:r w:rsidRPr="008C3A8D">
        <w:rPr>
          <w:sz w:val="22"/>
        </w:rPr>
        <w:t>Under exceptional circumstances an individual can be a grantee</w:t>
      </w:r>
      <w:r w:rsidR="00062A1D" w:rsidRPr="008C3A8D">
        <w:rPr>
          <w:sz w:val="22"/>
        </w:rPr>
        <w:t xml:space="preserve"> when</w:t>
      </w:r>
      <w:r w:rsidRPr="008C3A8D">
        <w:rPr>
          <w:sz w:val="22"/>
        </w:rPr>
        <w:t xml:space="preserve"> legislation </w:t>
      </w:r>
      <w:r w:rsidR="00062A1D" w:rsidRPr="008C3A8D">
        <w:rPr>
          <w:sz w:val="22"/>
        </w:rPr>
        <w:t>prev</w:t>
      </w:r>
      <w:r w:rsidR="00881D5D">
        <w:rPr>
          <w:sz w:val="22"/>
        </w:rPr>
        <w:t>e</w:t>
      </w:r>
      <w:r w:rsidR="00062A1D" w:rsidRPr="008C3A8D">
        <w:rPr>
          <w:sz w:val="22"/>
        </w:rPr>
        <w:t xml:space="preserve">nts </w:t>
      </w:r>
      <w:r w:rsidRPr="008C3A8D">
        <w:rPr>
          <w:sz w:val="22"/>
        </w:rPr>
        <w:t xml:space="preserve">excluded and marginalized groups (e.g. LGBTQ people, sex workers, people affected by </w:t>
      </w:r>
      <w:r w:rsidR="00C6125E" w:rsidRPr="008C3A8D">
        <w:rPr>
          <w:sz w:val="22"/>
        </w:rPr>
        <w:t>certain</w:t>
      </w:r>
      <w:r w:rsidRPr="008C3A8D">
        <w:rPr>
          <w:sz w:val="22"/>
        </w:rPr>
        <w:t xml:space="preserve"> illness</w:t>
      </w:r>
      <w:r w:rsidR="00C6125E" w:rsidRPr="008C3A8D">
        <w:rPr>
          <w:sz w:val="22"/>
        </w:rPr>
        <w:t>es</w:t>
      </w:r>
      <w:r w:rsidRPr="008C3A8D">
        <w:rPr>
          <w:sz w:val="22"/>
        </w:rPr>
        <w:t xml:space="preserve">, </w:t>
      </w:r>
      <w:r w:rsidRPr="008C3A8D">
        <w:rPr>
          <w:sz w:val="22"/>
          <w:szCs w:val="22"/>
        </w:rPr>
        <w:t>etc.)</w:t>
      </w:r>
      <w:r w:rsidR="00B657A5" w:rsidRPr="008C3A8D">
        <w:rPr>
          <w:sz w:val="22"/>
          <w:szCs w:val="22"/>
        </w:rPr>
        <w:t xml:space="preserve"> from organizing and attaining legal status</w:t>
      </w:r>
      <w:r w:rsidRPr="008C3A8D">
        <w:rPr>
          <w:sz w:val="22"/>
          <w:szCs w:val="22"/>
        </w:rPr>
        <w:t xml:space="preserve">. </w:t>
      </w:r>
      <w:r w:rsidR="008C3A8D" w:rsidRPr="00FB1404">
        <w:rPr>
          <w:sz w:val="22"/>
          <w:szCs w:val="22"/>
        </w:rPr>
        <w:t>If the country office’s</w:t>
      </w:r>
      <w:r w:rsidR="00BC76FF" w:rsidRPr="00FB1404">
        <w:rPr>
          <w:rFonts w:ascii="Calibri" w:eastAsia="Times New Roman" w:hAnsi="Calibri" w:cs="Arial"/>
          <w:sz w:val="22"/>
          <w:szCs w:val="22"/>
        </w:rPr>
        <w:t xml:space="preserve"> </w:t>
      </w:r>
      <w:r w:rsidR="008C3A8D" w:rsidRPr="00FB1404">
        <w:rPr>
          <w:rFonts w:ascii="Calibri" w:eastAsia="Times New Roman" w:hAnsi="Calibri" w:cs="Arial"/>
          <w:sz w:val="22"/>
          <w:szCs w:val="22"/>
        </w:rPr>
        <w:t>s</w:t>
      </w:r>
      <w:r w:rsidR="00BC76FF" w:rsidRPr="00FB1404">
        <w:rPr>
          <w:rFonts w:ascii="Calibri" w:eastAsia="Times New Roman" w:hAnsi="Calibri" w:cs="Arial"/>
          <w:sz w:val="22"/>
          <w:szCs w:val="22"/>
        </w:rPr>
        <w:t xml:space="preserve">enior </w:t>
      </w:r>
      <w:r w:rsidR="008C3A8D" w:rsidRPr="00FB1404">
        <w:rPr>
          <w:rFonts w:ascii="Calibri" w:eastAsia="Times New Roman" w:hAnsi="Calibri" w:cs="Arial"/>
          <w:sz w:val="22"/>
          <w:szCs w:val="22"/>
        </w:rPr>
        <w:t>m</w:t>
      </w:r>
      <w:r w:rsidR="00BC76FF" w:rsidRPr="00FB1404">
        <w:rPr>
          <w:rFonts w:ascii="Calibri" w:eastAsia="Times New Roman" w:hAnsi="Calibri" w:cs="Arial"/>
          <w:sz w:val="22"/>
          <w:szCs w:val="22"/>
        </w:rPr>
        <w:t xml:space="preserve">anagement has determined that the engagement is critical to delivery </w:t>
      </w:r>
      <w:r w:rsidR="008C3A8D" w:rsidRPr="00B943C3">
        <w:rPr>
          <w:rFonts w:ascii="Calibri" w:eastAsia="Times New Roman" w:hAnsi="Calibri" w:cs="Arial"/>
          <w:sz w:val="22"/>
          <w:szCs w:val="22"/>
        </w:rPr>
        <w:t xml:space="preserve">of results </w:t>
      </w:r>
      <w:r w:rsidR="00BC76FF" w:rsidRPr="00855BEB">
        <w:rPr>
          <w:rFonts w:ascii="Calibri" w:eastAsia="Times New Roman" w:hAnsi="Calibri" w:cs="Arial"/>
          <w:sz w:val="22"/>
          <w:szCs w:val="22"/>
        </w:rPr>
        <w:t>and</w:t>
      </w:r>
      <w:r w:rsidR="008C3A8D" w:rsidRPr="00855BEB">
        <w:rPr>
          <w:rFonts w:ascii="Calibri" w:eastAsia="Times New Roman" w:hAnsi="Calibri" w:cs="Arial"/>
          <w:sz w:val="22"/>
          <w:szCs w:val="22"/>
        </w:rPr>
        <w:t xml:space="preserve"> is</w:t>
      </w:r>
      <w:r w:rsidR="00BC76FF" w:rsidRPr="00855BEB">
        <w:rPr>
          <w:rFonts w:ascii="Calibri" w:eastAsia="Times New Roman" w:hAnsi="Calibri" w:cs="Arial"/>
          <w:sz w:val="22"/>
          <w:szCs w:val="22"/>
        </w:rPr>
        <w:t xml:space="preserve"> in the best interests of UNDP, the head of the Business Unit may authorize the use of the IC modality with one or more of the principals. The value of each individual contract shall be capped at the established threshold for micro </w:t>
      </w:r>
      <w:r w:rsidR="008C3A8D" w:rsidRPr="008C7D81">
        <w:rPr>
          <w:rFonts w:ascii="Calibri" w:eastAsia="Times New Roman" w:hAnsi="Calibri" w:cs="Arial"/>
          <w:sz w:val="22"/>
          <w:szCs w:val="22"/>
        </w:rPr>
        <w:t xml:space="preserve">purchasing (USD </w:t>
      </w:r>
      <w:r w:rsidR="008C3A8D">
        <w:rPr>
          <w:rFonts w:ascii="Calibri" w:eastAsia="Times New Roman" w:hAnsi="Calibri" w:cs="Arial"/>
          <w:sz w:val="22"/>
          <w:szCs w:val="22"/>
        </w:rPr>
        <w:t>10</w:t>
      </w:r>
      <w:r w:rsidR="00BC76FF" w:rsidRPr="008C3A8D">
        <w:rPr>
          <w:rFonts w:ascii="Calibri" w:eastAsia="Times New Roman" w:hAnsi="Calibri" w:cs="Arial"/>
          <w:sz w:val="22"/>
          <w:szCs w:val="22"/>
        </w:rPr>
        <w:t>,000).</w:t>
      </w:r>
    </w:p>
    <w:p w14:paraId="733878CA" w14:textId="73EB81FF" w:rsidR="00A531CE" w:rsidRPr="00A531CE" w:rsidRDefault="00A531CE" w:rsidP="00B25D97">
      <w:pPr>
        <w:pStyle w:val="Heading4"/>
        <w:tabs>
          <w:tab w:val="left" w:pos="5760"/>
        </w:tabs>
      </w:pPr>
      <w:bookmarkStart w:id="9" w:name="_Toc530059516"/>
      <w:r w:rsidRPr="00A531CE">
        <w:lastRenderedPageBreak/>
        <w:t xml:space="preserve">Difference between </w:t>
      </w:r>
      <w:r w:rsidR="00F52363">
        <w:t>LVGs</w:t>
      </w:r>
      <w:r w:rsidRPr="00A531CE">
        <w:t xml:space="preserve"> and</w:t>
      </w:r>
      <w:r w:rsidR="0069024A">
        <w:t xml:space="preserve"> </w:t>
      </w:r>
      <w:r w:rsidR="00B657A5">
        <w:t>procurement</w:t>
      </w:r>
      <w:bookmarkEnd w:id="9"/>
      <w:r w:rsidRPr="00A531CE">
        <w:t xml:space="preserve"> </w:t>
      </w:r>
    </w:p>
    <w:p w14:paraId="587ED617" w14:textId="701E3A57" w:rsidR="00F52363" w:rsidRDefault="00A531CE" w:rsidP="00CA5B6E">
      <w:pPr>
        <w:pStyle w:val="ListParagraph"/>
        <w:numPr>
          <w:ilvl w:val="0"/>
          <w:numId w:val="3"/>
        </w:numPr>
        <w:tabs>
          <w:tab w:val="left" w:pos="5760"/>
        </w:tabs>
        <w:spacing w:before="120"/>
        <w:contextualSpacing w:val="0"/>
        <w:jc w:val="both"/>
        <w:rPr>
          <w:sz w:val="22"/>
        </w:rPr>
      </w:pPr>
      <w:r w:rsidRPr="00A531CE">
        <w:rPr>
          <w:sz w:val="22"/>
        </w:rPr>
        <w:t>Procurement assumes a marketplace</w:t>
      </w:r>
      <w:r w:rsidRPr="00F74191">
        <w:rPr>
          <w:rStyle w:val="FootnoteReference"/>
          <w:sz w:val="22"/>
        </w:rPr>
        <w:footnoteReference w:id="5"/>
      </w:r>
      <w:r w:rsidRPr="00A531CE">
        <w:rPr>
          <w:sz w:val="22"/>
        </w:rPr>
        <w:t xml:space="preserve"> where several competitors offer similar products and services that are largely interchangeable. UNDP’s primary interest is in obtaining the most-appropriate project input for the optimal price (i.e. value for money). The choice of supplier is influenced by its capacity to deliver the product </w:t>
      </w:r>
      <w:r w:rsidR="00CA03F0">
        <w:rPr>
          <w:sz w:val="22"/>
        </w:rPr>
        <w:t>or</w:t>
      </w:r>
      <w:r w:rsidRPr="00A531CE">
        <w:rPr>
          <w:sz w:val="22"/>
        </w:rPr>
        <w:t xml:space="preserve"> service, including its ability to maintain, repair or replace the product </w:t>
      </w:r>
      <w:r w:rsidR="00CA03F0">
        <w:rPr>
          <w:sz w:val="22"/>
        </w:rPr>
        <w:t>or</w:t>
      </w:r>
      <w:r w:rsidRPr="00A531CE">
        <w:rPr>
          <w:sz w:val="22"/>
        </w:rPr>
        <w:t xml:space="preserve"> service. However, once the product or service has been delivered</w:t>
      </w:r>
      <w:r w:rsidRPr="00F74191">
        <w:rPr>
          <w:rStyle w:val="FootnoteReference"/>
          <w:sz w:val="22"/>
        </w:rPr>
        <w:footnoteReference w:id="6"/>
      </w:r>
      <w:r w:rsidRPr="00A531CE">
        <w:rPr>
          <w:sz w:val="22"/>
        </w:rPr>
        <w:t xml:space="preserve">, UNDP has no further strategic interest in the supplier. </w:t>
      </w:r>
    </w:p>
    <w:p w14:paraId="14E8222D" w14:textId="34063A50" w:rsidR="00A531CE" w:rsidRPr="00EC62FE" w:rsidRDefault="00A531CE" w:rsidP="00CA5B6E">
      <w:pPr>
        <w:pStyle w:val="ListParagraph"/>
        <w:numPr>
          <w:ilvl w:val="0"/>
          <w:numId w:val="3"/>
        </w:numPr>
        <w:spacing w:before="120"/>
        <w:contextualSpacing w:val="0"/>
        <w:jc w:val="both"/>
        <w:rPr>
          <w:sz w:val="22"/>
        </w:rPr>
      </w:pPr>
      <w:r w:rsidRPr="00A531CE">
        <w:rPr>
          <w:sz w:val="22"/>
        </w:rPr>
        <w:t xml:space="preserve">UNDP typically has a long-term strategic interest in the development </w:t>
      </w:r>
      <w:r w:rsidR="00CA03F0">
        <w:rPr>
          <w:sz w:val="22"/>
        </w:rPr>
        <w:t xml:space="preserve">of the </w:t>
      </w:r>
      <w:r w:rsidRPr="00A531CE">
        <w:rPr>
          <w:sz w:val="22"/>
        </w:rPr>
        <w:t xml:space="preserve">stakeholder benefitting from the </w:t>
      </w:r>
      <w:r w:rsidR="00EB2043">
        <w:rPr>
          <w:sz w:val="22"/>
        </w:rPr>
        <w:t>LVG, which is intrinsic since capacity building is an explicit aspect. UNDP’s</w:t>
      </w:r>
      <w:r w:rsidRPr="00A531CE">
        <w:rPr>
          <w:sz w:val="22"/>
        </w:rPr>
        <w:t xml:space="preserve"> interest </w:t>
      </w:r>
      <w:r w:rsidR="00EB2043">
        <w:rPr>
          <w:sz w:val="22"/>
        </w:rPr>
        <w:t>in the well</w:t>
      </w:r>
      <w:r w:rsidR="009A3FB7">
        <w:rPr>
          <w:sz w:val="22"/>
        </w:rPr>
        <w:t>-</w:t>
      </w:r>
      <w:r w:rsidR="00EB2043">
        <w:rPr>
          <w:sz w:val="22"/>
        </w:rPr>
        <w:t xml:space="preserve">being of the grant recipient </w:t>
      </w:r>
      <w:r w:rsidRPr="00A531CE">
        <w:rPr>
          <w:sz w:val="22"/>
        </w:rPr>
        <w:t>goes well beyond the duration of the LVG or ev</w:t>
      </w:r>
      <w:r w:rsidR="00EB2043">
        <w:rPr>
          <w:sz w:val="22"/>
        </w:rPr>
        <w:t>en the duration of the project.</w:t>
      </w:r>
    </w:p>
    <w:p w14:paraId="2873C874" w14:textId="03ED1789" w:rsidR="00EC62FE" w:rsidRDefault="00331C69" w:rsidP="00CA5B6E">
      <w:pPr>
        <w:pStyle w:val="ListParagraph"/>
        <w:numPr>
          <w:ilvl w:val="0"/>
          <w:numId w:val="3"/>
        </w:numPr>
        <w:spacing w:before="120"/>
        <w:contextualSpacing w:val="0"/>
        <w:jc w:val="both"/>
        <w:rPr>
          <w:sz w:val="22"/>
        </w:rPr>
      </w:pPr>
      <w:r>
        <w:rPr>
          <w:sz w:val="22"/>
        </w:rPr>
        <w:t xml:space="preserve">As mentioned, </w:t>
      </w:r>
      <w:r w:rsidR="00EB2043">
        <w:rPr>
          <w:sz w:val="22"/>
        </w:rPr>
        <w:t>a</w:t>
      </w:r>
      <w:r w:rsidR="00EC62FE" w:rsidRPr="00EC62FE">
        <w:rPr>
          <w:sz w:val="22"/>
        </w:rPr>
        <w:t xml:space="preserve"> grant cannot be used in lieu of </w:t>
      </w:r>
      <w:r w:rsidR="00EC62FE" w:rsidRPr="00F07C86">
        <w:rPr>
          <w:sz w:val="22"/>
        </w:rPr>
        <w:t>a</w:t>
      </w:r>
      <w:r w:rsidR="00A670B9" w:rsidRPr="00F07C86">
        <w:rPr>
          <w:sz w:val="22"/>
        </w:rPr>
        <w:t>n appropriate modality</w:t>
      </w:r>
      <w:r w:rsidR="00EC62FE" w:rsidRPr="00F07C86">
        <w:rPr>
          <w:sz w:val="22"/>
        </w:rPr>
        <w:t xml:space="preserve"> to provide goods </w:t>
      </w:r>
      <w:r w:rsidR="00A670B9" w:rsidRPr="00F07C86">
        <w:rPr>
          <w:sz w:val="22"/>
        </w:rPr>
        <w:t xml:space="preserve">or </w:t>
      </w:r>
      <w:r w:rsidR="00EC62FE" w:rsidRPr="00F07C86">
        <w:rPr>
          <w:sz w:val="22"/>
        </w:rPr>
        <w:t>services to the project</w:t>
      </w:r>
      <w:r w:rsidR="009A3FB7" w:rsidRPr="00F07C86">
        <w:rPr>
          <w:sz w:val="22"/>
        </w:rPr>
        <w:t xml:space="preserve"> </w:t>
      </w:r>
      <w:r w:rsidRPr="00F07C86">
        <w:rPr>
          <w:sz w:val="22"/>
        </w:rPr>
        <w:t>which could be done through procurement actions</w:t>
      </w:r>
      <w:r>
        <w:rPr>
          <w:sz w:val="22"/>
        </w:rPr>
        <w:t>,</w:t>
      </w:r>
      <w:r w:rsidR="0082443C">
        <w:rPr>
          <w:sz w:val="22"/>
        </w:rPr>
        <w:t xml:space="preserve"> since grants are intended to generate or solicit development solutions</w:t>
      </w:r>
      <w:r w:rsidR="00A670B9">
        <w:rPr>
          <w:sz w:val="22"/>
        </w:rPr>
        <w:t xml:space="preserve"> proposed by the grant recipient</w:t>
      </w:r>
      <w:r w:rsidR="0082443C">
        <w:rPr>
          <w:sz w:val="22"/>
        </w:rPr>
        <w:t xml:space="preserve">. </w:t>
      </w:r>
    </w:p>
    <w:p w14:paraId="1AB698E7" w14:textId="77777777" w:rsidR="008F7B7B" w:rsidRDefault="008F7B7B" w:rsidP="00221AF1">
      <w:pPr>
        <w:rPr>
          <w:b/>
          <w:sz w:val="22"/>
        </w:rPr>
      </w:pPr>
    </w:p>
    <w:p w14:paraId="17791566" w14:textId="091B6D12" w:rsidR="00CA03F0" w:rsidRDefault="00CA03F0" w:rsidP="003D0F9A">
      <w:pPr>
        <w:pStyle w:val="Heading4"/>
        <w:spacing w:before="120"/>
      </w:pPr>
      <w:bookmarkStart w:id="10" w:name="_Toc530059517"/>
      <w:r w:rsidRPr="00A531CE">
        <w:t xml:space="preserve">Difference between </w:t>
      </w:r>
      <w:r>
        <w:t>LVGs</w:t>
      </w:r>
      <w:r w:rsidRPr="00A531CE">
        <w:t xml:space="preserve"> and</w:t>
      </w:r>
      <w:r>
        <w:t xml:space="preserve"> responsible parties</w:t>
      </w:r>
      <w:bookmarkEnd w:id="10"/>
    </w:p>
    <w:p w14:paraId="18F4A083" w14:textId="44D3A654" w:rsidR="00CA03F0" w:rsidRDefault="00FB1404" w:rsidP="003D0F9A">
      <w:pPr>
        <w:pStyle w:val="ListParagraph"/>
        <w:numPr>
          <w:ilvl w:val="0"/>
          <w:numId w:val="19"/>
        </w:numPr>
        <w:spacing w:before="120"/>
        <w:contextualSpacing w:val="0"/>
        <w:jc w:val="both"/>
        <w:rPr>
          <w:sz w:val="22"/>
        </w:rPr>
      </w:pPr>
      <w:r>
        <w:rPr>
          <w:sz w:val="22"/>
        </w:rPr>
        <w:t>A project’s implementing partner can engage a responsible party</w:t>
      </w:r>
      <w:r w:rsidR="00065473">
        <w:rPr>
          <w:sz w:val="22"/>
        </w:rPr>
        <w:t xml:space="preserve"> (RP)</w:t>
      </w:r>
      <w:r>
        <w:rPr>
          <w:sz w:val="22"/>
        </w:rPr>
        <w:t xml:space="preserve"> to deliver all or part of a project’s work plan. Implementing partners use responsible parties to take advantage of their specialized skills, to mitigate risk and to relieve administrative burden. Responsible parties are accountable to the implementing partner in accordance with the terms of their agreement with the implementing partner</w:t>
      </w:r>
      <w:r w:rsidR="00065473">
        <w:rPr>
          <w:sz w:val="22"/>
        </w:rPr>
        <w:t xml:space="preserve"> and must have adequate capacity to perform their role. As per UNDP regulations and rules, RPs can receive cash greater than $300,000 as long as they have the capacity to deliver</w:t>
      </w:r>
      <w:r w:rsidR="001C7AEF">
        <w:rPr>
          <w:sz w:val="22"/>
        </w:rPr>
        <w:t xml:space="preserve"> and pass the required capacity assessments</w:t>
      </w:r>
      <w:r w:rsidR="00065473">
        <w:rPr>
          <w:sz w:val="22"/>
        </w:rPr>
        <w:t xml:space="preserve">. </w:t>
      </w:r>
    </w:p>
    <w:p w14:paraId="395B0E9C" w14:textId="550CE0D7" w:rsidR="00065473" w:rsidRDefault="00065473" w:rsidP="003D0F9A">
      <w:pPr>
        <w:pStyle w:val="ListParagraph"/>
        <w:numPr>
          <w:ilvl w:val="0"/>
          <w:numId w:val="19"/>
        </w:numPr>
        <w:spacing w:before="120"/>
        <w:contextualSpacing w:val="0"/>
        <w:jc w:val="both"/>
        <w:rPr>
          <w:sz w:val="22"/>
        </w:rPr>
      </w:pPr>
      <w:r>
        <w:rPr>
          <w:sz w:val="22"/>
        </w:rPr>
        <w:t>Grantees, on the other hand, implement activities that they propose. They do not implement all or part of the activities a project is accountable to deliver like a responsible party. Grantees do not need to possess existing capacity to implement discrete activities, but the LVG itself can be designated to strengthen their capacity. Grantees cannot receive more than $150,000 per grant, nor more than $300,000 in grants in a programme (i.e., CPD) period.</w:t>
      </w:r>
    </w:p>
    <w:p w14:paraId="02504932" w14:textId="27B2853F" w:rsidR="00CA03F0" w:rsidRPr="00CA03F0" w:rsidRDefault="00AD6BB1" w:rsidP="003D0F9A">
      <w:pPr>
        <w:pStyle w:val="ListParagraph"/>
        <w:numPr>
          <w:ilvl w:val="0"/>
          <w:numId w:val="19"/>
        </w:numPr>
        <w:spacing w:before="120"/>
        <w:contextualSpacing w:val="0"/>
        <w:jc w:val="both"/>
        <w:rPr>
          <w:sz w:val="22"/>
        </w:rPr>
      </w:pPr>
      <w:r>
        <w:rPr>
          <w:sz w:val="22"/>
        </w:rPr>
        <w:t>A</w:t>
      </w:r>
      <w:r w:rsidR="00CA03F0" w:rsidRPr="00CA03F0">
        <w:rPr>
          <w:sz w:val="22"/>
        </w:rPr>
        <w:t xml:space="preserve"> grant cannot be used in lieu of a</w:t>
      </w:r>
      <w:r>
        <w:rPr>
          <w:sz w:val="22"/>
        </w:rPr>
        <w:t xml:space="preserve"> responsible party agreement </w:t>
      </w:r>
      <w:r w:rsidR="00CA03F0" w:rsidRPr="00CA03F0">
        <w:rPr>
          <w:sz w:val="22"/>
        </w:rPr>
        <w:t xml:space="preserve">to implement standardized project activities and/or produce outputs, since grants are intended to generate or solicit development solutions proposed by the grant recipient. Partners that contribute to implementing a project must be engaged using the relevant method (see POPP: </w:t>
      </w:r>
      <w:hyperlink r:id="rId14" w:history="1">
        <w:r w:rsidR="00CA03F0" w:rsidRPr="00CA03F0">
          <w:rPr>
            <w:rStyle w:val="Hyperlink"/>
            <w:sz w:val="22"/>
          </w:rPr>
          <w:t>Select Responsible Parties and Grantees</w:t>
        </w:r>
      </w:hyperlink>
      <w:r w:rsidR="00CA03F0" w:rsidRPr="00CA03F0">
        <w:rPr>
          <w:sz w:val="22"/>
        </w:rPr>
        <w:t xml:space="preserve">).  </w:t>
      </w:r>
    </w:p>
    <w:p w14:paraId="34504822" w14:textId="3EC19DA6" w:rsidR="00CA03F0" w:rsidRDefault="00CA03F0" w:rsidP="003D0F9A">
      <w:pPr>
        <w:pStyle w:val="ListParagraph"/>
        <w:numPr>
          <w:ilvl w:val="0"/>
          <w:numId w:val="19"/>
        </w:numPr>
        <w:spacing w:before="120"/>
        <w:contextualSpacing w:val="0"/>
        <w:jc w:val="both"/>
        <w:rPr>
          <w:sz w:val="22"/>
        </w:rPr>
      </w:pPr>
      <w:r w:rsidRPr="006A004B">
        <w:rPr>
          <w:sz w:val="22"/>
        </w:rPr>
        <w:t>Non-legally constituted or non-registered civil society/non-governmental</w:t>
      </w:r>
      <w:r>
        <w:rPr>
          <w:sz w:val="22"/>
        </w:rPr>
        <w:t xml:space="preserve"> </w:t>
      </w:r>
      <w:r w:rsidRPr="006A004B">
        <w:rPr>
          <w:sz w:val="22"/>
        </w:rPr>
        <w:t>organizations may not be engaged as a responsible party. Such non-legal entities may only receive funding through</w:t>
      </w:r>
      <w:r>
        <w:rPr>
          <w:sz w:val="22"/>
        </w:rPr>
        <w:t xml:space="preserve"> an</w:t>
      </w:r>
      <w:r w:rsidRPr="006A004B">
        <w:rPr>
          <w:sz w:val="22"/>
        </w:rPr>
        <w:t xml:space="preserve"> </w:t>
      </w:r>
      <w:r>
        <w:rPr>
          <w:sz w:val="22"/>
        </w:rPr>
        <w:t>LVG subject to paragraph 1</w:t>
      </w:r>
      <w:r w:rsidR="000F023C">
        <w:rPr>
          <w:sz w:val="22"/>
        </w:rPr>
        <w:t>9</w:t>
      </w:r>
      <w:r w:rsidRPr="006A004B">
        <w:rPr>
          <w:sz w:val="22"/>
        </w:rPr>
        <w:t>.</w:t>
      </w:r>
    </w:p>
    <w:p w14:paraId="61491FBC" w14:textId="77777777" w:rsidR="001315ED" w:rsidRPr="001315ED" w:rsidRDefault="001315ED" w:rsidP="001315ED"/>
    <w:p w14:paraId="6A149D2C" w14:textId="23359DE4" w:rsidR="00C17982" w:rsidRDefault="00C17982" w:rsidP="00C17982">
      <w:pPr>
        <w:pStyle w:val="Heading4"/>
      </w:pPr>
      <w:bookmarkStart w:id="11" w:name="_Toc530059518"/>
      <w:r>
        <w:t>Difference between LVGs and innovation challenge</w:t>
      </w:r>
      <w:bookmarkEnd w:id="11"/>
    </w:p>
    <w:p w14:paraId="33DE9739" w14:textId="77777777" w:rsidR="008710D8" w:rsidRPr="008710D8" w:rsidRDefault="00C17982" w:rsidP="003D0F9A">
      <w:pPr>
        <w:pStyle w:val="ListParagraph"/>
        <w:numPr>
          <w:ilvl w:val="0"/>
          <w:numId w:val="19"/>
        </w:numPr>
        <w:spacing w:before="120"/>
        <w:contextualSpacing w:val="0"/>
        <w:jc w:val="both"/>
        <w:rPr>
          <w:sz w:val="22"/>
        </w:rPr>
      </w:pPr>
      <w:r w:rsidRPr="008710D8">
        <w:rPr>
          <w:sz w:val="22"/>
        </w:rPr>
        <w:t xml:space="preserve">Innovation Challenges are </w:t>
      </w:r>
      <w:r w:rsidR="008710D8" w:rsidRPr="008710D8">
        <w:rPr>
          <w:sz w:val="22"/>
        </w:rPr>
        <w:t>defined as prized challenges that Business Units (Country Offices) organize to solicit innovative ideas and solutions to address development challenges which cannot be achieved through traditional solicitation processes.</w:t>
      </w:r>
    </w:p>
    <w:p w14:paraId="7D5C314E" w14:textId="7D7637FB" w:rsidR="00FB72BD" w:rsidRDefault="00C17982" w:rsidP="003D0F9A">
      <w:pPr>
        <w:pStyle w:val="ListParagraph"/>
        <w:numPr>
          <w:ilvl w:val="0"/>
          <w:numId w:val="19"/>
        </w:numPr>
        <w:spacing w:before="120"/>
        <w:contextualSpacing w:val="0"/>
        <w:jc w:val="both"/>
        <w:rPr>
          <w:sz w:val="22"/>
        </w:rPr>
      </w:pPr>
      <w:r w:rsidRPr="008710D8">
        <w:rPr>
          <w:sz w:val="22"/>
        </w:rPr>
        <w:t xml:space="preserve">The principal differences between innovation challenges and low value grants are that innovation challenges: (i) often include stakeholders who are not necessarily affected by the development challenge but </w:t>
      </w:r>
      <w:r w:rsidR="000D14D8">
        <w:rPr>
          <w:sz w:val="22"/>
        </w:rPr>
        <w:t xml:space="preserve">are </w:t>
      </w:r>
      <w:r w:rsidRPr="008710D8">
        <w:rPr>
          <w:sz w:val="22"/>
        </w:rPr>
        <w:t xml:space="preserve">well placed to develop solutions; (ii) typically limit themselves </w:t>
      </w:r>
      <w:r w:rsidRPr="008710D8">
        <w:rPr>
          <w:sz w:val="22"/>
        </w:rPr>
        <w:lastRenderedPageBreak/>
        <w:t>to the generation or testing of ideas, but not their implementation</w:t>
      </w:r>
      <w:r w:rsidR="004A49D6" w:rsidRPr="008710D8">
        <w:rPr>
          <w:sz w:val="22"/>
        </w:rPr>
        <w:t>;</w:t>
      </w:r>
      <w:r w:rsidR="00DA6B18" w:rsidRPr="008710D8">
        <w:rPr>
          <w:sz w:val="22"/>
        </w:rPr>
        <w:t xml:space="preserve"> and</w:t>
      </w:r>
      <w:r w:rsidR="004A49D6" w:rsidRPr="008710D8">
        <w:rPr>
          <w:sz w:val="22"/>
        </w:rPr>
        <w:t xml:space="preserve"> (iii) </w:t>
      </w:r>
      <w:r w:rsidR="00DA6B18" w:rsidRPr="008710D8">
        <w:rPr>
          <w:sz w:val="22"/>
        </w:rPr>
        <w:t xml:space="preserve">can be provided to for-profit </w:t>
      </w:r>
      <w:r w:rsidR="008710D8" w:rsidRPr="008710D8">
        <w:rPr>
          <w:sz w:val="22"/>
        </w:rPr>
        <w:t xml:space="preserve">entities </w:t>
      </w:r>
      <w:r w:rsidR="00DA6B18" w:rsidRPr="008710D8">
        <w:rPr>
          <w:sz w:val="22"/>
        </w:rPr>
        <w:t>in the private sector</w:t>
      </w:r>
      <w:r w:rsidRPr="008710D8">
        <w:rPr>
          <w:sz w:val="22"/>
        </w:rPr>
        <w:t xml:space="preserve">. </w:t>
      </w:r>
    </w:p>
    <w:p w14:paraId="54DC881A" w14:textId="00E1AE9E" w:rsidR="008710D8" w:rsidRPr="008710D8" w:rsidRDefault="00FB72BD" w:rsidP="003D0F9A">
      <w:pPr>
        <w:pStyle w:val="ListParagraph"/>
        <w:numPr>
          <w:ilvl w:val="0"/>
          <w:numId w:val="19"/>
        </w:numPr>
        <w:spacing w:before="120"/>
        <w:contextualSpacing w:val="0"/>
        <w:jc w:val="both"/>
        <w:rPr>
          <w:sz w:val="22"/>
        </w:rPr>
      </w:pPr>
      <w:r>
        <w:rPr>
          <w:sz w:val="22"/>
        </w:rPr>
        <w:t xml:space="preserve">The cash thresholds for innovation challenge prizes are lower than for LVGs. In the case of innovation challenge prizes the </w:t>
      </w:r>
      <w:r w:rsidR="008710D8" w:rsidRPr="008710D8">
        <w:rPr>
          <w:sz w:val="22"/>
        </w:rPr>
        <w:t>Head of UNDP Business Units has the delegated authority to award a monetary priz</w:t>
      </w:r>
      <w:r>
        <w:rPr>
          <w:sz w:val="22"/>
        </w:rPr>
        <w:t xml:space="preserve">e up to a maximum of US $40,000 per awardee. </w:t>
      </w:r>
      <w:r w:rsidRPr="00FB72BD">
        <w:rPr>
          <w:sz w:val="22"/>
        </w:rPr>
        <w:t>Any innovation challenge envisioned to award a prize that is higher than $40,000 shall require the BU to seek the approval of the Chief Procurement Officer (CPO).</w:t>
      </w:r>
      <w:r w:rsidR="001C757D">
        <w:rPr>
          <w:sz w:val="22"/>
        </w:rPr>
        <w:t xml:space="preserve"> For further guidance please consult the POPP </w:t>
      </w:r>
      <w:hyperlink r:id="rId15" w:history="1">
        <w:r w:rsidR="001C757D" w:rsidRPr="001C757D">
          <w:rPr>
            <w:rStyle w:val="Hyperlink"/>
            <w:sz w:val="22"/>
          </w:rPr>
          <w:t>here</w:t>
        </w:r>
      </w:hyperlink>
      <w:r w:rsidR="001C757D">
        <w:rPr>
          <w:sz w:val="22"/>
        </w:rPr>
        <w:t>.</w:t>
      </w:r>
    </w:p>
    <w:p w14:paraId="2B5E3692" w14:textId="77777777" w:rsidR="00717685" w:rsidRDefault="00717685" w:rsidP="00CD692A">
      <w:pPr>
        <w:pStyle w:val="Heading4"/>
      </w:pPr>
    </w:p>
    <w:p w14:paraId="586052CF" w14:textId="77777777" w:rsidR="008F3EEA" w:rsidRPr="008F3EEA" w:rsidRDefault="008F3EEA" w:rsidP="00CD692A">
      <w:pPr>
        <w:pStyle w:val="Heading4"/>
      </w:pPr>
      <w:bookmarkStart w:id="12" w:name="_Toc530059519"/>
      <w:r>
        <w:t xml:space="preserve">Difference between LVGs and </w:t>
      </w:r>
      <w:r w:rsidR="0069024A">
        <w:t xml:space="preserve">low value </w:t>
      </w:r>
      <w:r>
        <w:t>Performance-based Payments</w:t>
      </w:r>
      <w:r w:rsidR="00CD692A">
        <w:rPr>
          <w:rStyle w:val="FootnoteReference"/>
        </w:rPr>
        <w:footnoteReference w:id="7"/>
      </w:r>
      <w:bookmarkEnd w:id="12"/>
    </w:p>
    <w:p w14:paraId="0255ABE4" w14:textId="39ABFBA3" w:rsidR="008F3EEA" w:rsidRPr="008F3EEA" w:rsidRDefault="0069024A" w:rsidP="003D0F9A">
      <w:pPr>
        <w:pStyle w:val="ListParagraph"/>
        <w:numPr>
          <w:ilvl w:val="0"/>
          <w:numId w:val="19"/>
        </w:numPr>
        <w:spacing w:before="120"/>
        <w:contextualSpacing w:val="0"/>
        <w:jc w:val="both"/>
        <w:rPr>
          <w:sz w:val="22"/>
        </w:rPr>
      </w:pPr>
      <w:r>
        <w:rPr>
          <w:sz w:val="22"/>
        </w:rPr>
        <w:t>Performance-based payments are a type of Responsible Party agreement and are used to deliver project activities and/or outputs</w:t>
      </w:r>
      <w:r w:rsidR="007B5246">
        <w:rPr>
          <w:sz w:val="22"/>
        </w:rPr>
        <w:t xml:space="preserve"> that are defined </w:t>
      </w:r>
      <w:r w:rsidR="002A2D2C">
        <w:rPr>
          <w:sz w:val="22"/>
        </w:rPr>
        <w:t xml:space="preserve">in advance </w:t>
      </w:r>
      <w:r w:rsidR="007B5246">
        <w:rPr>
          <w:sz w:val="22"/>
        </w:rPr>
        <w:t>and are pre-funded by the Responsible Party</w:t>
      </w:r>
      <w:r>
        <w:rPr>
          <w:sz w:val="22"/>
        </w:rPr>
        <w:t xml:space="preserve">. </w:t>
      </w:r>
      <w:r w:rsidR="007B5246">
        <w:rPr>
          <w:sz w:val="22"/>
        </w:rPr>
        <w:t>As such the</w:t>
      </w:r>
      <w:r w:rsidR="00717685">
        <w:rPr>
          <w:sz w:val="22"/>
        </w:rPr>
        <w:t xml:space="preserve"> differences between LVGs and Responsible Parties as described in the paragraph</w:t>
      </w:r>
      <w:r w:rsidR="001315ED">
        <w:rPr>
          <w:sz w:val="22"/>
        </w:rPr>
        <w:t>s</w:t>
      </w:r>
      <w:r w:rsidR="00717685">
        <w:rPr>
          <w:sz w:val="22"/>
        </w:rPr>
        <w:t xml:space="preserve"> above also apply to Performance-Based Payment agreements. Further, i</w:t>
      </w:r>
      <w:r w:rsidR="008F3EEA" w:rsidRPr="008F3EEA">
        <w:rPr>
          <w:sz w:val="22"/>
        </w:rPr>
        <w:t xml:space="preserve">n the case of performance-based </w:t>
      </w:r>
      <w:r w:rsidR="00CD692A">
        <w:rPr>
          <w:sz w:val="22"/>
        </w:rPr>
        <w:t>payments</w:t>
      </w:r>
      <w:r>
        <w:rPr>
          <w:sz w:val="22"/>
        </w:rPr>
        <w:t>,</w:t>
      </w:r>
      <w:r w:rsidR="008F3EEA" w:rsidRPr="008F3EEA">
        <w:rPr>
          <w:sz w:val="22"/>
        </w:rPr>
        <w:t xml:space="preserve"> funds are not transferred </w:t>
      </w:r>
      <w:r w:rsidR="00722D5C" w:rsidRPr="00722D5C">
        <w:rPr>
          <w:sz w:val="22"/>
        </w:rPr>
        <w:t>in advance</w:t>
      </w:r>
      <w:r w:rsidR="008F3EEA" w:rsidRPr="008F3EEA">
        <w:rPr>
          <w:sz w:val="22"/>
        </w:rPr>
        <w:t xml:space="preserve">, as is typically the case with </w:t>
      </w:r>
      <w:r w:rsidR="00CD692A">
        <w:rPr>
          <w:sz w:val="22"/>
        </w:rPr>
        <w:t>LVGs</w:t>
      </w:r>
      <w:r w:rsidR="008F3EEA" w:rsidRPr="008F3EEA">
        <w:rPr>
          <w:sz w:val="22"/>
        </w:rPr>
        <w:t xml:space="preserve">, but </w:t>
      </w:r>
      <w:r w:rsidR="00722D5C" w:rsidRPr="00722D5C">
        <w:rPr>
          <w:sz w:val="22"/>
        </w:rPr>
        <w:t>only after</w:t>
      </w:r>
      <w:r w:rsidR="008F3EEA" w:rsidRPr="008F3EEA">
        <w:rPr>
          <w:sz w:val="22"/>
        </w:rPr>
        <w:t xml:space="preserve"> specific performance conditions have been achieved and validated. </w:t>
      </w:r>
      <w:r>
        <w:rPr>
          <w:sz w:val="22"/>
        </w:rPr>
        <w:t xml:space="preserve"> </w:t>
      </w:r>
      <w:r w:rsidR="00DB3BA3">
        <w:rPr>
          <w:sz w:val="22"/>
        </w:rPr>
        <w:t xml:space="preserve">See policy on </w:t>
      </w:r>
      <w:hyperlink r:id="rId16" w:history="1">
        <w:r w:rsidR="00DB3BA3" w:rsidRPr="00DB3BA3">
          <w:rPr>
            <w:rStyle w:val="Hyperlink"/>
            <w:sz w:val="22"/>
          </w:rPr>
          <w:t>Performance Based Payments</w:t>
        </w:r>
      </w:hyperlink>
      <w:r w:rsidR="00DB3BA3">
        <w:rPr>
          <w:sz w:val="22"/>
        </w:rPr>
        <w:t>.</w:t>
      </w:r>
    </w:p>
    <w:p w14:paraId="2BAFF164" w14:textId="77777777" w:rsidR="00C17982" w:rsidRPr="00F74191" w:rsidRDefault="00C17982" w:rsidP="00221AF1">
      <w:pPr>
        <w:rPr>
          <w:b/>
          <w:sz w:val="22"/>
        </w:rPr>
      </w:pPr>
    </w:p>
    <w:p w14:paraId="17CC5F93" w14:textId="77777777" w:rsidR="00D60158" w:rsidRPr="00F74191" w:rsidRDefault="00D94872" w:rsidP="005A0D3C">
      <w:pPr>
        <w:pStyle w:val="Heading2"/>
      </w:pPr>
      <w:bookmarkStart w:id="13" w:name="_Toc530059520"/>
      <w:r w:rsidRPr="00F74191">
        <w:t>Planning for the use of grants</w:t>
      </w:r>
      <w:bookmarkEnd w:id="13"/>
    </w:p>
    <w:p w14:paraId="167B5782" w14:textId="7384E766" w:rsidR="00B97A2B" w:rsidRDefault="00B8073D" w:rsidP="003D0F9A">
      <w:pPr>
        <w:pStyle w:val="ListParagraph"/>
        <w:numPr>
          <w:ilvl w:val="0"/>
          <w:numId w:val="19"/>
        </w:numPr>
        <w:spacing w:before="120"/>
        <w:contextualSpacing w:val="0"/>
        <w:jc w:val="both"/>
        <w:rPr>
          <w:sz w:val="22"/>
        </w:rPr>
      </w:pPr>
      <w:r>
        <w:rPr>
          <w:sz w:val="22"/>
        </w:rPr>
        <w:t xml:space="preserve">The following section </w:t>
      </w:r>
      <w:r w:rsidR="00F932B5">
        <w:rPr>
          <w:sz w:val="22"/>
        </w:rPr>
        <w:t xml:space="preserve">presents necessary steps the project designer or manager needs to consider before a grant can be awarded. </w:t>
      </w:r>
      <w:r w:rsidR="00B97A2B">
        <w:rPr>
          <w:sz w:val="22"/>
        </w:rPr>
        <w:t xml:space="preserve">Since the selection of a grantee is a programmatic decision, these considerations typically tie back to the </w:t>
      </w:r>
      <w:hyperlink r:id="rId17" w:history="1">
        <w:r w:rsidR="00B97A2B" w:rsidRPr="00DF664D">
          <w:rPr>
            <w:rStyle w:val="Hyperlink"/>
            <w:sz w:val="22"/>
          </w:rPr>
          <w:t>project design and the theory of change</w:t>
        </w:r>
      </w:hyperlink>
      <w:r w:rsidR="00B97A2B">
        <w:rPr>
          <w:sz w:val="22"/>
        </w:rPr>
        <w:t xml:space="preserve"> underlying the development project.</w:t>
      </w:r>
    </w:p>
    <w:p w14:paraId="14D8C62F" w14:textId="4CDEC1D2" w:rsidR="007B5FAE" w:rsidRDefault="00000000" w:rsidP="003D0F9A">
      <w:pPr>
        <w:pStyle w:val="ListParagraph"/>
        <w:numPr>
          <w:ilvl w:val="0"/>
          <w:numId w:val="19"/>
        </w:numPr>
        <w:spacing w:before="120"/>
        <w:contextualSpacing w:val="0"/>
        <w:jc w:val="both"/>
        <w:rPr>
          <w:sz w:val="22"/>
        </w:rPr>
      </w:pPr>
      <w:hyperlink r:id="rId18" w:history="1">
        <w:r w:rsidR="00826E52" w:rsidRPr="00826E52">
          <w:rPr>
            <w:rStyle w:val="Hyperlink"/>
            <w:sz w:val="22"/>
          </w:rPr>
          <w:t>Social and environmental standards</w:t>
        </w:r>
      </w:hyperlink>
      <w:r w:rsidR="00826E52">
        <w:rPr>
          <w:sz w:val="22"/>
        </w:rPr>
        <w:t xml:space="preserve"> </w:t>
      </w:r>
      <w:r w:rsidR="002F2095">
        <w:rPr>
          <w:sz w:val="22"/>
        </w:rPr>
        <w:t xml:space="preserve">play </w:t>
      </w:r>
      <w:r w:rsidR="00826E52">
        <w:rPr>
          <w:sz w:val="22"/>
        </w:rPr>
        <w:t xml:space="preserve">a particularly important role when planning for the use of grants </w:t>
      </w:r>
      <w:r w:rsidR="004228D4">
        <w:rPr>
          <w:sz w:val="22"/>
        </w:rPr>
        <w:t xml:space="preserve">to ensure meaningful stakeholder engagement and that social and environmental risks are identified, avoided (where possible) and managed. </w:t>
      </w:r>
      <w:r w:rsidR="004A2A97">
        <w:rPr>
          <w:sz w:val="22"/>
        </w:rPr>
        <w:t xml:space="preserve">This includes </w:t>
      </w:r>
      <w:hyperlink r:id="rId19" w:history="1">
        <w:r w:rsidR="004A2A97" w:rsidRPr="00AF0C0A">
          <w:rPr>
            <w:rStyle w:val="Hyperlink"/>
            <w:sz w:val="22"/>
          </w:rPr>
          <w:t>UNDP’s Accountability Mechanism</w:t>
        </w:r>
      </w:hyperlink>
      <w:r w:rsidR="004A2A97">
        <w:rPr>
          <w:sz w:val="22"/>
        </w:rPr>
        <w:t xml:space="preserve"> which provides an important tool to receive and respond to concerns of potential or actual harm from project-affected people.  The overall </w:t>
      </w:r>
      <w:hyperlink r:id="rId20" w:history="1">
        <w:r w:rsidR="004A2A97" w:rsidRPr="00265743">
          <w:rPr>
            <w:rStyle w:val="Hyperlink"/>
            <w:sz w:val="22"/>
          </w:rPr>
          <w:t>Social and Environmental Screening Procedure (SESP</w:t>
        </w:r>
      </w:hyperlink>
      <w:r w:rsidR="004A2A97" w:rsidRPr="00265743">
        <w:rPr>
          <w:sz w:val="22"/>
        </w:rPr>
        <w:t>)</w:t>
      </w:r>
      <w:r w:rsidR="004A2A97">
        <w:rPr>
          <w:sz w:val="22"/>
        </w:rPr>
        <w:t xml:space="preserve"> of the relevant project should be reviewed to determine potential social and environmental risks and required mitigation </w:t>
      </w:r>
      <w:r w:rsidR="006D0DC4">
        <w:rPr>
          <w:sz w:val="22"/>
        </w:rPr>
        <w:t xml:space="preserve">measures </w:t>
      </w:r>
      <w:r w:rsidR="004A2A97">
        <w:rPr>
          <w:sz w:val="22"/>
        </w:rPr>
        <w:t>related to activities that will be implemented by the grantee.</w:t>
      </w:r>
    </w:p>
    <w:p w14:paraId="5B37B624" w14:textId="67365FB1" w:rsidR="00D01060" w:rsidRDefault="00D01060" w:rsidP="005C0256">
      <w:pPr>
        <w:pStyle w:val="Heading4"/>
      </w:pPr>
    </w:p>
    <w:p w14:paraId="03535E58" w14:textId="04586C36" w:rsidR="00CE1A54" w:rsidRPr="009E517A" w:rsidRDefault="00CE1A54" w:rsidP="005C0256">
      <w:pPr>
        <w:pStyle w:val="Heading4"/>
      </w:pPr>
      <w:bookmarkStart w:id="14" w:name="_Toc530059521"/>
      <w:r w:rsidRPr="009E517A">
        <w:t>Grant eligibility</w:t>
      </w:r>
      <w:bookmarkEnd w:id="14"/>
    </w:p>
    <w:p w14:paraId="5D408A3F" w14:textId="30E8B052" w:rsidR="00CD33F2" w:rsidRPr="00CD33F2" w:rsidRDefault="00CD33F2" w:rsidP="003D0F9A">
      <w:pPr>
        <w:pStyle w:val="ListParagraph"/>
        <w:numPr>
          <w:ilvl w:val="0"/>
          <w:numId w:val="19"/>
        </w:numPr>
        <w:spacing w:before="120"/>
        <w:contextualSpacing w:val="0"/>
        <w:jc w:val="both"/>
        <w:rPr>
          <w:sz w:val="22"/>
        </w:rPr>
      </w:pPr>
      <w:r w:rsidRPr="00CD33F2">
        <w:rPr>
          <w:sz w:val="22"/>
        </w:rPr>
        <w:t xml:space="preserve">LVGs can be awarded to civil society and (national or international) non-governmental organizations, including </w:t>
      </w:r>
      <w:r w:rsidR="001315ED">
        <w:rPr>
          <w:sz w:val="22"/>
        </w:rPr>
        <w:t xml:space="preserve">non-governmental </w:t>
      </w:r>
      <w:r w:rsidRPr="00CD33F2">
        <w:rPr>
          <w:sz w:val="22"/>
        </w:rPr>
        <w:t xml:space="preserve">academic or educational institutions. Grant recipients either represent beneficiaries of the project or can be beneficiaries themselves. An example for the establishment of eligibility can be found </w:t>
      </w:r>
      <w:hyperlink r:id="rId21" w:history="1">
        <w:r w:rsidRPr="00CD33F2">
          <w:rPr>
            <w:rStyle w:val="Hyperlink"/>
            <w:sz w:val="22"/>
          </w:rPr>
          <w:t>here</w:t>
        </w:r>
      </w:hyperlink>
      <w:r w:rsidRPr="00CD33F2">
        <w:rPr>
          <w:sz w:val="22"/>
        </w:rPr>
        <w:t>.</w:t>
      </w:r>
    </w:p>
    <w:p w14:paraId="30571296" w14:textId="73F17F44" w:rsidR="00C541C9" w:rsidRPr="00CE1A54" w:rsidRDefault="00CD33F2" w:rsidP="003D0F9A">
      <w:pPr>
        <w:pStyle w:val="ListParagraph"/>
        <w:numPr>
          <w:ilvl w:val="0"/>
          <w:numId w:val="19"/>
        </w:numPr>
        <w:spacing w:before="120"/>
        <w:contextualSpacing w:val="0"/>
        <w:jc w:val="both"/>
        <w:rPr>
          <w:sz w:val="22"/>
        </w:rPr>
      </w:pPr>
      <w:r>
        <w:rPr>
          <w:sz w:val="22"/>
        </w:rPr>
        <w:t>P</w:t>
      </w:r>
      <w:r w:rsidR="00F40887">
        <w:rPr>
          <w:sz w:val="22"/>
        </w:rPr>
        <w:t>rivate sector and commercial entities</w:t>
      </w:r>
      <w:r w:rsidR="0028336A">
        <w:rPr>
          <w:sz w:val="22"/>
        </w:rPr>
        <w:t>,</w:t>
      </w:r>
      <w:r w:rsidR="00F40887">
        <w:rPr>
          <w:sz w:val="22"/>
        </w:rPr>
        <w:t xml:space="preserve"> </w:t>
      </w:r>
      <w:r w:rsidR="0028336A">
        <w:rPr>
          <w:sz w:val="22"/>
        </w:rPr>
        <w:t xml:space="preserve">and governmental organizations (e.g. regional governments, municipalities, etc.) </w:t>
      </w:r>
      <w:r w:rsidR="00F40887">
        <w:rPr>
          <w:sz w:val="22"/>
        </w:rPr>
        <w:t xml:space="preserve">are currently not eligible to receive </w:t>
      </w:r>
      <w:r w:rsidR="0028336A">
        <w:rPr>
          <w:sz w:val="22"/>
        </w:rPr>
        <w:t>LVGs</w:t>
      </w:r>
      <w:r w:rsidR="00F40887">
        <w:rPr>
          <w:sz w:val="22"/>
        </w:rPr>
        <w:t>.</w:t>
      </w:r>
    </w:p>
    <w:p w14:paraId="7E082BDC" w14:textId="77777777" w:rsidR="00CE1A54" w:rsidRDefault="00CE1A54" w:rsidP="00CE1A54">
      <w:pPr>
        <w:jc w:val="both"/>
        <w:rPr>
          <w:sz w:val="22"/>
        </w:rPr>
      </w:pPr>
    </w:p>
    <w:p w14:paraId="1A878239" w14:textId="77777777" w:rsidR="000F7DB0" w:rsidRDefault="000F7DB0" w:rsidP="005C0256">
      <w:pPr>
        <w:pStyle w:val="Heading4"/>
      </w:pPr>
      <w:bookmarkStart w:id="15" w:name="_Toc530059522"/>
      <w:r>
        <w:t>Grant threshold</w:t>
      </w:r>
      <w:bookmarkEnd w:id="15"/>
    </w:p>
    <w:p w14:paraId="5B9B7C61" w14:textId="7A5B0BD5" w:rsidR="003F0FE1" w:rsidRPr="00E94A68" w:rsidRDefault="002C3BBE" w:rsidP="003D0F9A">
      <w:pPr>
        <w:pStyle w:val="ListParagraph"/>
        <w:numPr>
          <w:ilvl w:val="0"/>
          <w:numId w:val="19"/>
        </w:numPr>
        <w:spacing w:before="120"/>
        <w:contextualSpacing w:val="0"/>
        <w:jc w:val="both"/>
        <w:rPr>
          <w:sz w:val="22"/>
        </w:rPr>
      </w:pPr>
      <w:r>
        <w:rPr>
          <w:sz w:val="22"/>
        </w:rPr>
        <w:t>F</w:t>
      </w:r>
      <w:r w:rsidR="003F0FE1" w:rsidRPr="00E94A68">
        <w:rPr>
          <w:sz w:val="22"/>
        </w:rPr>
        <w:t>unding</w:t>
      </w:r>
      <w:r>
        <w:rPr>
          <w:sz w:val="22"/>
        </w:rPr>
        <w:t xml:space="preserve"> provided to each </w:t>
      </w:r>
      <w:r w:rsidR="003F0FE1" w:rsidRPr="00E94A68">
        <w:rPr>
          <w:sz w:val="22"/>
        </w:rPr>
        <w:t>grant recipient</w:t>
      </w:r>
      <w:r>
        <w:rPr>
          <w:sz w:val="22"/>
        </w:rPr>
        <w:t xml:space="preserve"> cannot</w:t>
      </w:r>
      <w:r w:rsidR="003F0FE1" w:rsidRPr="00E94A68">
        <w:rPr>
          <w:sz w:val="22"/>
        </w:rPr>
        <w:t xml:space="preserve"> </w:t>
      </w:r>
      <w:r>
        <w:rPr>
          <w:sz w:val="22"/>
        </w:rPr>
        <w:t xml:space="preserve">exceed </w:t>
      </w:r>
      <w:r w:rsidR="003F0FE1" w:rsidRPr="00E94A68">
        <w:rPr>
          <w:sz w:val="22"/>
        </w:rPr>
        <w:t xml:space="preserve">$150,000 per grant and $300,000 on a cumulative basis within the same </w:t>
      </w:r>
      <w:r w:rsidR="00DC7C16">
        <w:rPr>
          <w:sz w:val="22"/>
        </w:rPr>
        <w:t>programme</w:t>
      </w:r>
      <w:r w:rsidR="00DC7C16" w:rsidRPr="00E94A68">
        <w:rPr>
          <w:sz w:val="22"/>
        </w:rPr>
        <w:t xml:space="preserve"> </w:t>
      </w:r>
      <w:r w:rsidR="003F0FE1" w:rsidRPr="00E94A68">
        <w:rPr>
          <w:sz w:val="22"/>
        </w:rPr>
        <w:t>period.</w:t>
      </w:r>
      <w:r w:rsidR="00265743">
        <w:rPr>
          <w:rStyle w:val="FootnoteReference"/>
          <w:sz w:val="22"/>
        </w:rPr>
        <w:footnoteReference w:id="8"/>
      </w:r>
      <w:r w:rsidR="003F0FE1" w:rsidRPr="00E94A68">
        <w:rPr>
          <w:sz w:val="22"/>
        </w:rPr>
        <w:t xml:space="preserve"> To receive multiple grants, the grant recipient must have produced the results agreed to in the prior grant agreement, and a new </w:t>
      </w:r>
      <w:r w:rsidR="003F0FE1" w:rsidRPr="00E94A68">
        <w:rPr>
          <w:sz w:val="22"/>
        </w:rPr>
        <w:lastRenderedPageBreak/>
        <w:t xml:space="preserve">grant agreement must be approved by the project board or selection committee. The same entity could receive separate grants under different projects with a cumulative ceiling of </w:t>
      </w:r>
      <w:r w:rsidR="003F0FE1" w:rsidRPr="001F3EF4">
        <w:rPr>
          <w:sz w:val="22"/>
        </w:rPr>
        <w:t>$300,000</w:t>
      </w:r>
      <w:r w:rsidR="00596133" w:rsidRPr="001F3EF4">
        <w:rPr>
          <w:sz w:val="22"/>
        </w:rPr>
        <w:t xml:space="preserve"> in the programme period</w:t>
      </w:r>
      <w:r w:rsidR="003F0FE1" w:rsidRPr="001F3EF4">
        <w:rPr>
          <w:sz w:val="22"/>
        </w:rPr>
        <w:t>.</w:t>
      </w:r>
      <w:r w:rsidR="00AD6BB1">
        <w:rPr>
          <w:sz w:val="22"/>
        </w:rPr>
        <w:t xml:space="preserve"> The UNDP business unit is responsible for reviewing proposed grant </w:t>
      </w:r>
      <w:r w:rsidR="00305BAA">
        <w:rPr>
          <w:sz w:val="22"/>
        </w:rPr>
        <w:t>awards</w:t>
      </w:r>
      <w:r w:rsidR="00AD6BB1">
        <w:rPr>
          <w:sz w:val="22"/>
        </w:rPr>
        <w:t xml:space="preserve"> under UNDP projects and confirming that the amount falls under the grant threshold amounts allowable per programme period.</w:t>
      </w:r>
    </w:p>
    <w:p w14:paraId="76FF6D80" w14:textId="5112056B" w:rsidR="000F7DB0" w:rsidRPr="00E94A68" w:rsidRDefault="00DB3BA3" w:rsidP="003D0F9A">
      <w:pPr>
        <w:pStyle w:val="ListParagraph"/>
        <w:numPr>
          <w:ilvl w:val="0"/>
          <w:numId w:val="19"/>
        </w:numPr>
        <w:spacing w:before="120"/>
        <w:contextualSpacing w:val="0"/>
        <w:jc w:val="both"/>
        <w:rPr>
          <w:sz w:val="22"/>
        </w:rPr>
      </w:pPr>
      <w:r>
        <w:rPr>
          <w:sz w:val="22"/>
        </w:rPr>
        <w:t>I</w:t>
      </w:r>
      <w:r w:rsidR="006B0112">
        <w:rPr>
          <w:sz w:val="22"/>
        </w:rPr>
        <w:t>f</w:t>
      </w:r>
      <w:r w:rsidR="006B1C14" w:rsidRPr="00E94A68">
        <w:rPr>
          <w:sz w:val="22"/>
        </w:rPr>
        <w:t xml:space="preserve"> </w:t>
      </w:r>
      <w:r w:rsidR="001556E5" w:rsidRPr="00E94A68">
        <w:rPr>
          <w:sz w:val="22"/>
        </w:rPr>
        <w:t>a responsible party oversees implementation of the grant project on behalf of the implementing partner</w:t>
      </w:r>
      <w:r w:rsidR="006B1C14">
        <w:rPr>
          <w:sz w:val="22"/>
        </w:rPr>
        <w:t xml:space="preserve"> </w:t>
      </w:r>
      <w:r w:rsidR="00C51172">
        <w:rPr>
          <w:sz w:val="22"/>
        </w:rPr>
        <w:t xml:space="preserve">originally </w:t>
      </w:r>
      <w:r w:rsidR="006B1C14">
        <w:rPr>
          <w:sz w:val="22"/>
        </w:rPr>
        <w:t>selected by UNDP</w:t>
      </w:r>
      <w:r>
        <w:rPr>
          <w:sz w:val="22"/>
        </w:rPr>
        <w:t xml:space="preserve"> under on-granting (see below)</w:t>
      </w:r>
      <w:r w:rsidR="001556E5" w:rsidRPr="00E94A68">
        <w:rPr>
          <w:sz w:val="22"/>
        </w:rPr>
        <w:t xml:space="preserve">, funding provided by it to any individual grant recipient shall not exceed $60,000 per individual grant and $120,000 on a cumulative basis within the same </w:t>
      </w:r>
      <w:r w:rsidR="006B1C14">
        <w:rPr>
          <w:sz w:val="22"/>
        </w:rPr>
        <w:t xml:space="preserve">programme </w:t>
      </w:r>
      <w:r w:rsidR="001556E5" w:rsidRPr="00E94A68">
        <w:rPr>
          <w:sz w:val="22"/>
        </w:rPr>
        <w:t xml:space="preserve">period. </w:t>
      </w:r>
      <w:r w:rsidR="003F0FE1" w:rsidRPr="00E94A68">
        <w:rPr>
          <w:sz w:val="22"/>
        </w:rPr>
        <w:t xml:space="preserve"> </w:t>
      </w:r>
    </w:p>
    <w:p w14:paraId="4018C6A7" w14:textId="77777777" w:rsidR="003F0FE1" w:rsidRPr="003F0FE1" w:rsidRDefault="003F0FE1" w:rsidP="003F0FE1">
      <w:pPr>
        <w:pStyle w:val="ListParagraph"/>
        <w:jc w:val="both"/>
        <w:rPr>
          <w:sz w:val="22"/>
        </w:rPr>
      </w:pPr>
    </w:p>
    <w:p w14:paraId="1189D7F3" w14:textId="77777777" w:rsidR="005C0256" w:rsidRPr="00F9789B" w:rsidRDefault="005C0256" w:rsidP="005C0256">
      <w:pPr>
        <w:pStyle w:val="Heading4"/>
      </w:pPr>
      <w:bookmarkStart w:id="16" w:name="_Toc530059523"/>
      <w:r w:rsidRPr="00F9789B">
        <w:t>Governance issues</w:t>
      </w:r>
      <w:r>
        <w:t xml:space="preserve"> specific to LVGs</w:t>
      </w:r>
      <w:bookmarkEnd w:id="16"/>
    </w:p>
    <w:p w14:paraId="702E529A" w14:textId="5385059F" w:rsidR="005C0256" w:rsidRDefault="005C0256" w:rsidP="003D0F9A">
      <w:pPr>
        <w:pStyle w:val="ListParagraph"/>
        <w:numPr>
          <w:ilvl w:val="0"/>
          <w:numId w:val="19"/>
        </w:numPr>
        <w:spacing w:before="120"/>
        <w:contextualSpacing w:val="0"/>
        <w:jc w:val="both"/>
        <w:rPr>
          <w:sz w:val="22"/>
        </w:rPr>
      </w:pPr>
      <w:r>
        <w:rPr>
          <w:sz w:val="22"/>
        </w:rPr>
        <w:t xml:space="preserve">For the use of individual grants, existing project governance </w:t>
      </w:r>
      <w:r w:rsidR="001315ED">
        <w:rPr>
          <w:sz w:val="22"/>
        </w:rPr>
        <w:t>mechanisms (i.e., project boards/steering committees) are</w:t>
      </w:r>
      <w:r>
        <w:rPr>
          <w:sz w:val="22"/>
        </w:rPr>
        <w:t xml:space="preserve"> usually sufficient to define grant selection criteria, award grants, and monitor the achievement of results</w:t>
      </w:r>
      <w:r w:rsidR="006B42E8">
        <w:rPr>
          <w:sz w:val="22"/>
        </w:rPr>
        <w:t xml:space="preserve">, although donor or other requirements </w:t>
      </w:r>
      <w:r w:rsidR="00B9609A">
        <w:rPr>
          <w:sz w:val="22"/>
        </w:rPr>
        <w:t xml:space="preserve">may necessitate that a separate </w:t>
      </w:r>
      <w:r w:rsidR="006B42E8">
        <w:rPr>
          <w:sz w:val="22"/>
        </w:rPr>
        <w:t xml:space="preserve">selection committee </w:t>
      </w:r>
      <w:r w:rsidR="00B9609A">
        <w:rPr>
          <w:sz w:val="22"/>
        </w:rPr>
        <w:t>be constituted to conduct the grant selection</w:t>
      </w:r>
      <w:r w:rsidR="00B46061">
        <w:rPr>
          <w:sz w:val="22"/>
        </w:rPr>
        <w:t xml:space="preserve"> (see paragraph 3</w:t>
      </w:r>
      <w:r w:rsidR="001315ED">
        <w:rPr>
          <w:sz w:val="22"/>
        </w:rPr>
        <w:t>8</w:t>
      </w:r>
      <w:r w:rsidR="00B46061">
        <w:rPr>
          <w:sz w:val="22"/>
        </w:rPr>
        <w:t>)</w:t>
      </w:r>
      <w:r>
        <w:rPr>
          <w:sz w:val="22"/>
        </w:rPr>
        <w:t xml:space="preserve">. </w:t>
      </w:r>
      <w:r w:rsidR="00722D5C">
        <w:rPr>
          <w:sz w:val="22"/>
        </w:rPr>
        <w:t>D</w:t>
      </w:r>
      <w:r w:rsidR="00284F04">
        <w:rPr>
          <w:sz w:val="22"/>
        </w:rPr>
        <w:t xml:space="preserve">epending on the number of grants to be awarded, the governance and oversight of grant-making processes can be more time-consuming and provisions should be made for such cases as part of the project design.  </w:t>
      </w:r>
      <w:r w:rsidRPr="005C0256">
        <w:rPr>
          <w:sz w:val="22"/>
        </w:rPr>
        <w:t>I</w:t>
      </w:r>
      <w:r w:rsidRPr="005C0256">
        <w:rPr>
          <w:iCs/>
          <w:sz w:val="22"/>
        </w:rPr>
        <w:t>f the project document makes no other provisions, a grant is awarded based on a review by the project board.</w:t>
      </w:r>
    </w:p>
    <w:p w14:paraId="3C23C92B" w14:textId="7C92E009" w:rsidR="005C0256" w:rsidRDefault="005C0256" w:rsidP="003D0F9A">
      <w:pPr>
        <w:pStyle w:val="ListParagraph"/>
        <w:numPr>
          <w:ilvl w:val="0"/>
          <w:numId w:val="19"/>
        </w:numPr>
        <w:spacing w:before="120"/>
        <w:contextualSpacing w:val="0"/>
        <w:jc w:val="both"/>
        <w:rPr>
          <w:sz w:val="22"/>
        </w:rPr>
      </w:pPr>
      <w:r>
        <w:rPr>
          <w:sz w:val="22"/>
        </w:rPr>
        <w:t xml:space="preserve">Since LVGs are often used to engage with groups typically excluded from the development process, attention must be paid that the </w:t>
      </w:r>
      <w:r w:rsidRPr="00635AE6">
        <w:rPr>
          <w:sz w:val="22"/>
          <w:u w:val="single"/>
        </w:rPr>
        <w:t xml:space="preserve">composition of </w:t>
      </w:r>
      <w:r w:rsidR="003429D4">
        <w:rPr>
          <w:sz w:val="22"/>
          <w:u w:val="single"/>
        </w:rPr>
        <w:t xml:space="preserve">a </w:t>
      </w:r>
      <w:r w:rsidRPr="00635AE6">
        <w:rPr>
          <w:sz w:val="22"/>
          <w:u w:val="single"/>
        </w:rPr>
        <w:t>project governance</w:t>
      </w:r>
      <w:r>
        <w:rPr>
          <w:sz w:val="22"/>
        </w:rPr>
        <w:t xml:space="preserve"> </w:t>
      </w:r>
      <w:r w:rsidR="003429D4">
        <w:rPr>
          <w:sz w:val="22"/>
        </w:rPr>
        <w:t xml:space="preserve">structure </w:t>
      </w:r>
      <w:r>
        <w:rPr>
          <w:sz w:val="22"/>
        </w:rPr>
        <w:t>does not run counter to the intentions</w:t>
      </w:r>
      <w:r w:rsidR="00A363DC">
        <w:rPr>
          <w:sz w:val="22"/>
        </w:rPr>
        <w:t xml:space="preserve"> of</w:t>
      </w:r>
      <w:r>
        <w:rPr>
          <w:sz w:val="22"/>
        </w:rPr>
        <w:t xml:space="preserve"> using grants. For instance, the presence of law enforcement or absence of women and minorities in the project board is likely to impact what groups will come forward with grant proposals (e.g. in the case of an HIV/AIDS project, high-risk groups like sex workers and sexual minorities might be discouraged from submitting grant proposals). Hence, legitimacy </w:t>
      </w:r>
      <w:r w:rsidR="003429D4">
        <w:rPr>
          <w:sz w:val="22"/>
        </w:rPr>
        <w:t xml:space="preserve">and neutrality </w:t>
      </w:r>
      <w:r>
        <w:rPr>
          <w:sz w:val="22"/>
        </w:rPr>
        <w:t>of the project governance</w:t>
      </w:r>
      <w:r w:rsidR="003429D4">
        <w:rPr>
          <w:sz w:val="22"/>
        </w:rPr>
        <w:t xml:space="preserve"> structure</w:t>
      </w:r>
      <w:r>
        <w:rPr>
          <w:sz w:val="22"/>
        </w:rPr>
        <w:t xml:space="preserve"> in the eyes of </w:t>
      </w:r>
      <w:r w:rsidR="003429D4">
        <w:rPr>
          <w:sz w:val="22"/>
        </w:rPr>
        <w:t xml:space="preserve">potential </w:t>
      </w:r>
      <w:r>
        <w:rPr>
          <w:sz w:val="22"/>
        </w:rPr>
        <w:t>beneficiaries is a crucial aspect in the work with traditionally excluded groups.</w:t>
      </w:r>
    </w:p>
    <w:p w14:paraId="43E94DC3" w14:textId="77777777" w:rsidR="005C0256" w:rsidRDefault="005C0256" w:rsidP="003D0F9A">
      <w:pPr>
        <w:pStyle w:val="ListParagraph"/>
        <w:numPr>
          <w:ilvl w:val="0"/>
          <w:numId w:val="19"/>
        </w:numPr>
        <w:spacing w:before="120"/>
        <w:contextualSpacing w:val="0"/>
        <w:jc w:val="both"/>
        <w:rPr>
          <w:sz w:val="22"/>
        </w:rPr>
      </w:pPr>
      <w:r>
        <w:rPr>
          <w:sz w:val="22"/>
        </w:rPr>
        <w:t xml:space="preserve">In some </w:t>
      </w:r>
      <w:r w:rsidR="009A1ED8">
        <w:rPr>
          <w:sz w:val="22"/>
        </w:rPr>
        <w:t>instances,</w:t>
      </w:r>
      <w:r>
        <w:rPr>
          <w:sz w:val="22"/>
        </w:rPr>
        <w:t xml:space="preserve"> a separate project </w:t>
      </w:r>
      <w:r w:rsidR="009A1ED8">
        <w:rPr>
          <w:sz w:val="22"/>
        </w:rPr>
        <w:t>body</w:t>
      </w:r>
      <w:r>
        <w:rPr>
          <w:sz w:val="22"/>
        </w:rPr>
        <w:t xml:space="preserve">, such as a </w:t>
      </w:r>
      <w:r w:rsidRPr="00635AE6">
        <w:rPr>
          <w:sz w:val="22"/>
          <w:u w:val="single"/>
        </w:rPr>
        <w:t>grant selection committee</w:t>
      </w:r>
      <w:r>
        <w:rPr>
          <w:sz w:val="22"/>
        </w:rPr>
        <w:t xml:space="preserve">, is created. Aside from the issues of legitimacy mentioned above, a dedicated grant selection committee can be useful when the review and selection of grants requires specific technical expertise or knowledge (e.g. indigenous language) or would be too cumbersome for the project board </w:t>
      </w:r>
      <w:r w:rsidR="003429D4">
        <w:rPr>
          <w:sz w:val="22"/>
        </w:rPr>
        <w:t xml:space="preserve">to handle </w:t>
      </w:r>
      <w:r>
        <w:rPr>
          <w:sz w:val="22"/>
        </w:rPr>
        <w:t xml:space="preserve">due to the volume </w:t>
      </w:r>
      <w:r w:rsidR="003429D4">
        <w:rPr>
          <w:sz w:val="22"/>
        </w:rPr>
        <w:t xml:space="preserve">or timing </w:t>
      </w:r>
      <w:r>
        <w:rPr>
          <w:sz w:val="22"/>
        </w:rPr>
        <w:t xml:space="preserve">of grant proposals. </w:t>
      </w:r>
    </w:p>
    <w:p w14:paraId="68591531" w14:textId="316122FB" w:rsidR="005C0256" w:rsidRDefault="005C0256" w:rsidP="003D0F9A">
      <w:pPr>
        <w:pStyle w:val="ListParagraph"/>
        <w:numPr>
          <w:ilvl w:val="0"/>
          <w:numId w:val="19"/>
        </w:numPr>
        <w:spacing w:before="120"/>
        <w:contextualSpacing w:val="0"/>
        <w:jc w:val="both"/>
        <w:rPr>
          <w:sz w:val="22"/>
        </w:rPr>
      </w:pPr>
      <w:r w:rsidRPr="00635AE6">
        <w:rPr>
          <w:sz w:val="22"/>
          <w:u w:val="single"/>
        </w:rPr>
        <w:t>Conflicts of interest</w:t>
      </w:r>
      <w:r w:rsidRPr="00635AE6">
        <w:rPr>
          <w:sz w:val="22"/>
        </w:rPr>
        <w:t xml:space="preserve"> </w:t>
      </w:r>
      <w:r>
        <w:rPr>
          <w:sz w:val="22"/>
        </w:rPr>
        <w:t xml:space="preserve">during the grant selection can arise with individual members of the project board or grant selection committee in some instances. </w:t>
      </w:r>
      <w:r w:rsidRPr="005C0256">
        <w:rPr>
          <w:iCs/>
          <w:sz w:val="22"/>
        </w:rPr>
        <w:t>Members of the selection committee or project board and their affiliated institutions are not eligible to receive grants.</w:t>
      </w:r>
      <w:r>
        <w:rPr>
          <w:sz w:val="22"/>
        </w:rPr>
        <w:t xml:space="preserve"> The possibility of sustained conflicts of interest can also be a trigger to create a separate grant selection committee with membership different from the project board. </w:t>
      </w:r>
    </w:p>
    <w:p w14:paraId="3C8EF375" w14:textId="7375D207" w:rsidR="005C0256" w:rsidRPr="009A1ED8" w:rsidRDefault="005C0256" w:rsidP="003D0F9A">
      <w:pPr>
        <w:pStyle w:val="ListParagraph"/>
        <w:numPr>
          <w:ilvl w:val="0"/>
          <w:numId w:val="19"/>
        </w:numPr>
        <w:spacing w:before="120"/>
        <w:contextualSpacing w:val="0"/>
        <w:jc w:val="both"/>
        <w:rPr>
          <w:sz w:val="22"/>
        </w:rPr>
      </w:pPr>
      <w:r w:rsidRPr="009A1ED8">
        <w:rPr>
          <w:sz w:val="22"/>
          <w:u w:val="single"/>
        </w:rPr>
        <w:t>Transparency</w:t>
      </w:r>
      <w:r w:rsidRPr="009A1ED8">
        <w:rPr>
          <w:sz w:val="22"/>
        </w:rPr>
        <w:t xml:space="preserve"> of the governance process is important throughout, but </w:t>
      </w:r>
      <w:r w:rsidR="00EC47FB">
        <w:rPr>
          <w:sz w:val="22"/>
        </w:rPr>
        <w:t>it is particularly important</w:t>
      </w:r>
      <w:r w:rsidRPr="009A1ED8">
        <w:rPr>
          <w:sz w:val="22"/>
        </w:rPr>
        <w:t xml:space="preserve"> for the grant selection process for </w:t>
      </w:r>
      <w:r w:rsidR="004A2A97">
        <w:rPr>
          <w:sz w:val="22"/>
        </w:rPr>
        <w:t>three</w:t>
      </w:r>
      <w:r w:rsidR="004A2A97" w:rsidRPr="009A1ED8">
        <w:rPr>
          <w:sz w:val="22"/>
        </w:rPr>
        <w:t xml:space="preserve"> </w:t>
      </w:r>
      <w:r w:rsidRPr="009A1ED8">
        <w:rPr>
          <w:sz w:val="22"/>
        </w:rPr>
        <w:t xml:space="preserve">reasons: </w:t>
      </w:r>
    </w:p>
    <w:p w14:paraId="531EB69B" w14:textId="30A2591E" w:rsidR="005C0256" w:rsidRPr="009A1ED8" w:rsidRDefault="005C0256" w:rsidP="00E532E6">
      <w:pPr>
        <w:pStyle w:val="ListParagraph"/>
        <w:numPr>
          <w:ilvl w:val="1"/>
          <w:numId w:val="11"/>
        </w:numPr>
        <w:jc w:val="both"/>
        <w:rPr>
          <w:sz w:val="22"/>
        </w:rPr>
      </w:pPr>
      <w:r w:rsidRPr="009A1ED8">
        <w:rPr>
          <w:sz w:val="22"/>
        </w:rPr>
        <w:t xml:space="preserve">LVGs typically involve </w:t>
      </w:r>
      <w:r w:rsidR="009A1ED8">
        <w:rPr>
          <w:sz w:val="22"/>
        </w:rPr>
        <w:t xml:space="preserve">a wide spectrum of </w:t>
      </w:r>
      <w:r w:rsidRPr="009A1ED8">
        <w:rPr>
          <w:sz w:val="22"/>
        </w:rPr>
        <w:t xml:space="preserve">beneficiaries as outlined in paragraph 16, and hence information on </w:t>
      </w:r>
      <w:r w:rsidR="002A66F6">
        <w:rPr>
          <w:sz w:val="22"/>
        </w:rPr>
        <w:t>which</w:t>
      </w:r>
      <w:r w:rsidRPr="009A1ED8">
        <w:rPr>
          <w:sz w:val="22"/>
        </w:rPr>
        <w:t xml:space="preserve"> entity</w:t>
      </w:r>
      <w:r w:rsidR="002A66F6">
        <w:rPr>
          <w:sz w:val="22"/>
        </w:rPr>
        <w:t xml:space="preserve"> was awarded a grant </w:t>
      </w:r>
      <w:r w:rsidR="004A2A97">
        <w:rPr>
          <w:sz w:val="22"/>
        </w:rPr>
        <w:t xml:space="preserve">and the activities proposed </w:t>
      </w:r>
      <w:r w:rsidR="002A66F6">
        <w:rPr>
          <w:sz w:val="22"/>
        </w:rPr>
        <w:t xml:space="preserve">allows the communities or groups to hold the grant recipient </w:t>
      </w:r>
      <w:r w:rsidR="002A66F6" w:rsidRPr="002A66F6">
        <w:rPr>
          <w:sz w:val="22"/>
          <w:u w:val="single"/>
        </w:rPr>
        <w:t>accountable for results</w:t>
      </w:r>
      <w:r w:rsidR="004A2A97">
        <w:rPr>
          <w:sz w:val="22"/>
          <w:u w:val="single"/>
        </w:rPr>
        <w:t xml:space="preserve"> and risks</w:t>
      </w:r>
      <w:r w:rsidR="002A66F6">
        <w:rPr>
          <w:sz w:val="22"/>
        </w:rPr>
        <w:t xml:space="preserve"> that are expected to benefit </w:t>
      </w:r>
      <w:r w:rsidR="004A2A97">
        <w:rPr>
          <w:sz w:val="22"/>
        </w:rPr>
        <w:t xml:space="preserve">or affect </w:t>
      </w:r>
      <w:r w:rsidR="002A66F6">
        <w:rPr>
          <w:sz w:val="22"/>
        </w:rPr>
        <w:t xml:space="preserve">them. </w:t>
      </w:r>
    </w:p>
    <w:p w14:paraId="5C502FC0" w14:textId="1C5002B1" w:rsidR="005C0256" w:rsidRPr="009A1ED8" w:rsidRDefault="002A66F6" w:rsidP="00E532E6">
      <w:pPr>
        <w:pStyle w:val="ListParagraph"/>
        <w:numPr>
          <w:ilvl w:val="1"/>
          <w:numId w:val="11"/>
        </w:numPr>
        <w:jc w:val="both"/>
        <w:rPr>
          <w:sz w:val="22"/>
        </w:rPr>
      </w:pPr>
      <w:r>
        <w:rPr>
          <w:sz w:val="22"/>
        </w:rPr>
        <w:t>T</w:t>
      </w:r>
      <w:r w:rsidR="005C0256" w:rsidRPr="009A1ED8">
        <w:rPr>
          <w:sz w:val="22"/>
        </w:rPr>
        <w:t xml:space="preserve">he success of LVGs often depends on broad </w:t>
      </w:r>
      <w:r w:rsidR="005C0256" w:rsidRPr="002A66F6">
        <w:rPr>
          <w:sz w:val="22"/>
          <w:u w:val="single"/>
        </w:rPr>
        <w:t>collaboration of stakeholder</w:t>
      </w:r>
      <w:r w:rsidR="008D6DB1">
        <w:rPr>
          <w:sz w:val="22"/>
          <w:u w:val="single"/>
        </w:rPr>
        <w:t>s</w:t>
      </w:r>
      <w:r>
        <w:rPr>
          <w:sz w:val="22"/>
        </w:rPr>
        <w:t xml:space="preserve">, and in some cases </w:t>
      </w:r>
      <w:r w:rsidR="007A67B0">
        <w:rPr>
          <w:sz w:val="22"/>
        </w:rPr>
        <w:t>un</w:t>
      </w:r>
      <w:r>
        <w:rPr>
          <w:sz w:val="22"/>
        </w:rPr>
        <w:t>successful grant applicants can play an important function in supporting</w:t>
      </w:r>
      <w:r w:rsidR="005C0256" w:rsidRPr="009A1ED8">
        <w:rPr>
          <w:sz w:val="22"/>
        </w:rPr>
        <w:t xml:space="preserve"> </w:t>
      </w:r>
      <w:r>
        <w:rPr>
          <w:sz w:val="22"/>
        </w:rPr>
        <w:t>a selected grantee. In this regard grants differ significantly from other engagement methods such as procurement.</w:t>
      </w:r>
    </w:p>
    <w:p w14:paraId="0B44B19E" w14:textId="4E3ECA10" w:rsidR="005C0256" w:rsidRDefault="005C0256" w:rsidP="00E532E6">
      <w:pPr>
        <w:pStyle w:val="ListParagraph"/>
        <w:numPr>
          <w:ilvl w:val="1"/>
          <w:numId w:val="11"/>
        </w:numPr>
        <w:jc w:val="both"/>
        <w:rPr>
          <w:sz w:val="22"/>
        </w:rPr>
      </w:pPr>
      <w:r w:rsidRPr="002A66F6">
        <w:rPr>
          <w:sz w:val="22"/>
          <w:u w:val="single"/>
        </w:rPr>
        <w:t xml:space="preserve">Fraud detection and </w:t>
      </w:r>
      <w:r w:rsidR="002A66F6" w:rsidRPr="002A66F6">
        <w:rPr>
          <w:sz w:val="22"/>
          <w:u w:val="single"/>
        </w:rPr>
        <w:t xml:space="preserve">corruption </w:t>
      </w:r>
      <w:r w:rsidRPr="002A66F6">
        <w:rPr>
          <w:sz w:val="22"/>
          <w:u w:val="single"/>
        </w:rPr>
        <w:t>prevention</w:t>
      </w:r>
      <w:r w:rsidRPr="009A1ED8">
        <w:rPr>
          <w:sz w:val="22"/>
        </w:rPr>
        <w:t xml:space="preserve"> are a concern with LVG. Grants by their nature render many of the typical safeguard</w:t>
      </w:r>
      <w:r w:rsidR="008B37FE">
        <w:rPr>
          <w:sz w:val="22"/>
        </w:rPr>
        <w:t>s</w:t>
      </w:r>
      <w:r w:rsidRPr="009A1ED8">
        <w:rPr>
          <w:sz w:val="22"/>
        </w:rPr>
        <w:t xml:space="preserve"> against fraud and corruption inapplicable (e.g. easier legal registration of NGOs, less government oversight, and </w:t>
      </w:r>
      <w:r w:rsidRPr="009A1ED8">
        <w:rPr>
          <w:sz w:val="22"/>
        </w:rPr>
        <w:lastRenderedPageBreak/>
        <w:t xml:space="preserve">limited or no public reporting requirements). A transparent governance process can be the best safeguard against fraud and corruption since it allows the members of the group receiving a grant to hold their organization </w:t>
      </w:r>
      <w:r w:rsidR="00871D30">
        <w:rPr>
          <w:sz w:val="22"/>
        </w:rPr>
        <w:t>responsible</w:t>
      </w:r>
      <w:r w:rsidRPr="009A1ED8">
        <w:rPr>
          <w:sz w:val="22"/>
        </w:rPr>
        <w:t xml:space="preserve"> for its use. The inclusion of target beneficiaries in the grant selection</w:t>
      </w:r>
      <w:r w:rsidR="003429D4">
        <w:rPr>
          <w:sz w:val="22"/>
        </w:rPr>
        <w:t xml:space="preserve"> process</w:t>
      </w:r>
      <w:r w:rsidRPr="009A1ED8">
        <w:rPr>
          <w:sz w:val="22"/>
        </w:rPr>
        <w:t xml:space="preserve"> can help reveal illegitimate </w:t>
      </w:r>
      <w:r w:rsidR="00871D30">
        <w:rPr>
          <w:sz w:val="22"/>
        </w:rPr>
        <w:t>entities</w:t>
      </w:r>
      <w:r w:rsidRPr="009A1ED8">
        <w:rPr>
          <w:sz w:val="22"/>
        </w:rPr>
        <w:t xml:space="preserve"> </w:t>
      </w:r>
      <w:r>
        <w:rPr>
          <w:sz w:val="22"/>
        </w:rPr>
        <w:t>only created for the purpose of receiving funding without any long-term strategic backing by the community</w:t>
      </w:r>
      <w:r w:rsidR="00871D30">
        <w:rPr>
          <w:sz w:val="22"/>
        </w:rPr>
        <w:t xml:space="preserve"> they claim to represent</w:t>
      </w:r>
      <w:r>
        <w:rPr>
          <w:sz w:val="22"/>
        </w:rPr>
        <w:t xml:space="preserve">. </w:t>
      </w:r>
    </w:p>
    <w:p w14:paraId="655EBE35" w14:textId="77777777" w:rsidR="005C0256" w:rsidRDefault="005C0256" w:rsidP="005C0256">
      <w:pPr>
        <w:jc w:val="both"/>
        <w:rPr>
          <w:sz w:val="22"/>
        </w:rPr>
      </w:pPr>
    </w:p>
    <w:p w14:paraId="7EB3DFDA" w14:textId="77777777" w:rsidR="002570F5" w:rsidRDefault="002570F5" w:rsidP="002570F5">
      <w:pPr>
        <w:pStyle w:val="Heading4"/>
      </w:pPr>
      <w:bookmarkStart w:id="17" w:name="_Toc530059524"/>
      <w:r>
        <w:t xml:space="preserve">Grant </w:t>
      </w:r>
      <w:r w:rsidR="006C6F58">
        <w:t>selection criteria</w:t>
      </w:r>
      <w:bookmarkEnd w:id="17"/>
    </w:p>
    <w:p w14:paraId="0B2F04C9" w14:textId="77777777" w:rsidR="00D94A6D" w:rsidRDefault="002570F5" w:rsidP="003D0F9A">
      <w:pPr>
        <w:pStyle w:val="ListParagraph"/>
        <w:numPr>
          <w:ilvl w:val="0"/>
          <w:numId w:val="19"/>
        </w:numPr>
        <w:spacing w:before="120"/>
        <w:contextualSpacing w:val="0"/>
        <w:jc w:val="both"/>
        <w:rPr>
          <w:sz w:val="22"/>
        </w:rPr>
      </w:pPr>
      <w:r>
        <w:rPr>
          <w:sz w:val="22"/>
        </w:rPr>
        <w:t xml:space="preserve">The first step in issuing grants is the definition of </w:t>
      </w:r>
      <w:r w:rsidRPr="006C6F58">
        <w:rPr>
          <w:sz w:val="22"/>
        </w:rPr>
        <w:t>selection criteria</w:t>
      </w:r>
      <w:r>
        <w:rPr>
          <w:sz w:val="22"/>
        </w:rPr>
        <w:t>. These are programmatic considerations that are closely linked to the project document, and in some cases can even be mandated by the funding source.</w:t>
      </w:r>
      <w:r w:rsidR="00D94A6D">
        <w:rPr>
          <w:sz w:val="22"/>
        </w:rPr>
        <w:t xml:space="preserve"> </w:t>
      </w:r>
    </w:p>
    <w:p w14:paraId="61CA8755" w14:textId="5A5B9B9C" w:rsidR="008C3F2C" w:rsidRDefault="00D94A6D" w:rsidP="003D0F9A">
      <w:pPr>
        <w:pStyle w:val="ListParagraph"/>
        <w:numPr>
          <w:ilvl w:val="0"/>
          <w:numId w:val="19"/>
        </w:numPr>
        <w:spacing w:before="120"/>
        <w:contextualSpacing w:val="0"/>
        <w:jc w:val="both"/>
        <w:rPr>
          <w:sz w:val="22"/>
        </w:rPr>
      </w:pPr>
      <w:r>
        <w:rPr>
          <w:sz w:val="22"/>
        </w:rPr>
        <w:t>The selection of grants differs significantly from other selection processes</w:t>
      </w:r>
      <w:r w:rsidR="00967506">
        <w:rPr>
          <w:sz w:val="22"/>
        </w:rPr>
        <w:t xml:space="preserve">. For instance, procurement processes are intended to </w:t>
      </w:r>
      <w:r w:rsidR="00B60685">
        <w:rPr>
          <w:sz w:val="22"/>
        </w:rPr>
        <w:t>foster objectivity</w:t>
      </w:r>
      <w:r w:rsidR="00967506">
        <w:rPr>
          <w:sz w:val="22"/>
        </w:rPr>
        <w:t xml:space="preserve"> and the optimization of resources. </w:t>
      </w:r>
      <w:r w:rsidR="00B60685">
        <w:rPr>
          <w:sz w:val="22"/>
        </w:rPr>
        <w:t>Selecting g</w:t>
      </w:r>
      <w:r w:rsidR="00967506">
        <w:rPr>
          <w:sz w:val="22"/>
        </w:rPr>
        <w:t>rants, on the other hand, require</w:t>
      </w:r>
      <w:r w:rsidR="00B60685">
        <w:rPr>
          <w:sz w:val="22"/>
        </w:rPr>
        <w:t xml:space="preserve">s subjective judgment since </w:t>
      </w:r>
      <w:r w:rsidR="00381584">
        <w:rPr>
          <w:sz w:val="22"/>
        </w:rPr>
        <w:t xml:space="preserve">programmatic considerations are </w:t>
      </w:r>
      <w:r w:rsidR="000557ED">
        <w:rPr>
          <w:sz w:val="22"/>
        </w:rPr>
        <w:t xml:space="preserve">the </w:t>
      </w:r>
      <w:r w:rsidR="00381584">
        <w:rPr>
          <w:sz w:val="22"/>
        </w:rPr>
        <w:t xml:space="preserve">primary drivers. </w:t>
      </w:r>
      <w:r w:rsidR="008C3F2C">
        <w:rPr>
          <w:sz w:val="22"/>
        </w:rPr>
        <w:t>Grant selection often considers aspects, e.g. ethnicity, religion, or gender, that would be explicitly prohibited in other selection processes.</w:t>
      </w:r>
      <w:r w:rsidR="00967506">
        <w:rPr>
          <w:sz w:val="22"/>
        </w:rPr>
        <w:t xml:space="preserve"> </w:t>
      </w:r>
      <w:r w:rsidR="000557ED">
        <w:rPr>
          <w:sz w:val="22"/>
        </w:rPr>
        <w:t>Meanwhile</w:t>
      </w:r>
      <w:r w:rsidR="008C3F2C">
        <w:rPr>
          <w:sz w:val="22"/>
        </w:rPr>
        <w:t>, issues of feasibility, reputation of the entity, or cost-effectiveness are typically of less importance since grants tend to have an experimental nature.</w:t>
      </w:r>
    </w:p>
    <w:p w14:paraId="4B263406" w14:textId="2D50BABD" w:rsidR="000557ED" w:rsidRDefault="008C3F2C" w:rsidP="003D0F9A">
      <w:pPr>
        <w:pStyle w:val="ListParagraph"/>
        <w:numPr>
          <w:ilvl w:val="0"/>
          <w:numId w:val="19"/>
        </w:numPr>
        <w:spacing w:before="120"/>
        <w:contextualSpacing w:val="0"/>
        <w:jc w:val="both"/>
        <w:rPr>
          <w:sz w:val="22"/>
        </w:rPr>
      </w:pPr>
      <w:r>
        <w:rPr>
          <w:sz w:val="22"/>
        </w:rPr>
        <w:t xml:space="preserve">Given the capacity limitations of many typical beneficiaries, the IP or RP responsible for managing a grant programme is often called upon to support potential grantees in the formulation and finalization of the grant proposal. For this </w:t>
      </w:r>
      <w:r w:rsidR="000557ED">
        <w:rPr>
          <w:sz w:val="22"/>
        </w:rPr>
        <w:t>reason,</w:t>
      </w:r>
      <w:r>
        <w:rPr>
          <w:sz w:val="22"/>
        </w:rPr>
        <w:t xml:space="preserve"> formal selection criteria often play a minor role because they tend to measure the quality of the support received, not the quality of the grant submission itself. </w:t>
      </w:r>
      <w:r w:rsidR="00E569B0">
        <w:rPr>
          <w:sz w:val="22"/>
        </w:rPr>
        <w:t>The definition of minimum criteria is often counter-productive since they represent “barriers-</w:t>
      </w:r>
      <w:r w:rsidR="00464715">
        <w:rPr>
          <w:sz w:val="22"/>
        </w:rPr>
        <w:t>to</w:t>
      </w:r>
      <w:r w:rsidR="00E569B0">
        <w:rPr>
          <w:sz w:val="22"/>
        </w:rPr>
        <w:t>-entry” for the very groups grant programmes are intended to support.</w:t>
      </w:r>
    </w:p>
    <w:p w14:paraId="6E06C62B" w14:textId="26C3212F" w:rsidR="000557ED" w:rsidRDefault="000557ED" w:rsidP="003D0F9A">
      <w:pPr>
        <w:pStyle w:val="ListParagraph"/>
        <w:numPr>
          <w:ilvl w:val="0"/>
          <w:numId w:val="19"/>
        </w:numPr>
        <w:spacing w:before="120"/>
        <w:contextualSpacing w:val="0"/>
        <w:jc w:val="both"/>
        <w:rPr>
          <w:sz w:val="22"/>
        </w:rPr>
      </w:pPr>
      <w:r>
        <w:rPr>
          <w:sz w:val="22"/>
        </w:rPr>
        <w:t>Having said that, selection criteria play a central role in any successful grant programme and require careful consideration. Particularly in cases where the number of grant applications is expected to exceed the resources for grants, the selection criteria must be suitable to rank grant proposals and/or to</w:t>
      </w:r>
      <w:r w:rsidR="000375DE">
        <w:rPr>
          <w:sz w:val="22"/>
        </w:rPr>
        <w:t xml:space="preserve"> restrict the space for approving grant proposals that do not meet the minimum quality standards</w:t>
      </w:r>
      <w:r>
        <w:rPr>
          <w:sz w:val="22"/>
        </w:rPr>
        <w:t xml:space="preserve">. </w:t>
      </w:r>
      <w:r w:rsidR="00070B2A">
        <w:rPr>
          <w:sz w:val="22"/>
        </w:rPr>
        <w:t>Selection criteria may include issues such as feasibility of the proposal, credibility of the partner, and consideration of risks. W</w:t>
      </w:r>
      <w:r>
        <w:rPr>
          <w:sz w:val="22"/>
        </w:rPr>
        <w:t>hile subjective considerations are important, selection criteria cannot be arbitrary and must be defensible vis-a-vis stakeholders.</w:t>
      </w:r>
    </w:p>
    <w:p w14:paraId="6ABCD589" w14:textId="42A6CA46" w:rsidR="00D94A6D" w:rsidRDefault="000557ED" w:rsidP="003D0F9A">
      <w:pPr>
        <w:pStyle w:val="ListParagraph"/>
        <w:numPr>
          <w:ilvl w:val="0"/>
          <w:numId w:val="19"/>
        </w:numPr>
        <w:spacing w:before="120"/>
        <w:contextualSpacing w:val="0"/>
        <w:jc w:val="both"/>
        <w:rPr>
          <w:sz w:val="22"/>
        </w:rPr>
      </w:pPr>
      <w:r>
        <w:rPr>
          <w:sz w:val="22"/>
        </w:rPr>
        <w:t xml:space="preserve">A </w:t>
      </w:r>
      <w:r w:rsidR="00F60516">
        <w:rPr>
          <w:sz w:val="22"/>
        </w:rPr>
        <w:t xml:space="preserve">good </w:t>
      </w:r>
      <w:r>
        <w:rPr>
          <w:sz w:val="22"/>
        </w:rPr>
        <w:t>practice is the design of a grant evaluation matrix that awards points in up to five categories (i.e. up to 20 points each for a total of up to 100 point</w:t>
      </w:r>
      <w:r w:rsidR="00F60516">
        <w:rPr>
          <w:sz w:val="22"/>
        </w:rPr>
        <w:t>s</w:t>
      </w:r>
      <w:r>
        <w:rPr>
          <w:sz w:val="22"/>
        </w:rPr>
        <w:t xml:space="preserve"> per proposal), depending on their relative importance in line with the programmatic considerations contained in the </w:t>
      </w:r>
      <w:r w:rsidR="00031538">
        <w:rPr>
          <w:sz w:val="22"/>
        </w:rPr>
        <w:t>p</w:t>
      </w:r>
      <w:r w:rsidR="008516B8">
        <w:rPr>
          <w:sz w:val="22"/>
        </w:rPr>
        <w:t xml:space="preserve">roject </w:t>
      </w:r>
      <w:r w:rsidR="00443A26">
        <w:rPr>
          <w:sz w:val="22"/>
        </w:rPr>
        <w:t>proposal</w:t>
      </w:r>
      <w:r w:rsidR="008516B8">
        <w:rPr>
          <w:sz w:val="22"/>
        </w:rPr>
        <w:t>.</w:t>
      </w:r>
    </w:p>
    <w:p w14:paraId="559F9DEA" w14:textId="7C267754" w:rsidR="002570F5" w:rsidRDefault="002570F5" w:rsidP="003D0F9A">
      <w:pPr>
        <w:pStyle w:val="ListParagraph"/>
        <w:numPr>
          <w:ilvl w:val="0"/>
          <w:numId w:val="19"/>
        </w:numPr>
        <w:spacing w:before="120"/>
        <w:contextualSpacing w:val="0"/>
        <w:jc w:val="both"/>
        <w:rPr>
          <w:sz w:val="22"/>
        </w:rPr>
      </w:pPr>
      <w:r>
        <w:rPr>
          <w:sz w:val="22"/>
        </w:rPr>
        <w:t xml:space="preserve"> </w:t>
      </w:r>
      <w:r w:rsidR="000C1E4E">
        <w:rPr>
          <w:sz w:val="22"/>
        </w:rPr>
        <w:t>Selection criteria can be grouped into the following types:</w:t>
      </w:r>
    </w:p>
    <w:p w14:paraId="6779ED40" w14:textId="6801BC47" w:rsidR="004D2F95" w:rsidRPr="00031538" w:rsidRDefault="00001550" w:rsidP="00031538">
      <w:pPr>
        <w:pStyle w:val="ListParagraph"/>
        <w:numPr>
          <w:ilvl w:val="1"/>
          <w:numId w:val="12"/>
        </w:numPr>
        <w:jc w:val="both"/>
        <w:rPr>
          <w:sz w:val="22"/>
        </w:rPr>
      </w:pPr>
      <w:r w:rsidRPr="004E203B">
        <w:rPr>
          <w:sz w:val="22"/>
          <w:u w:val="single"/>
        </w:rPr>
        <w:t>Purpose</w:t>
      </w:r>
      <w:r w:rsidR="000C1E4E" w:rsidRPr="004E203B">
        <w:rPr>
          <w:sz w:val="22"/>
        </w:rPr>
        <w:t xml:space="preserve">: </w:t>
      </w:r>
      <w:r w:rsidR="00F42EBF" w:rsidRPr="004E203B">
        <w:rPr>
          <w:sz w:val="22"/>
        </w:rPr>
        <w:t xml:space="preserve">In most cases grants are expected to </w:t>
      </w:r>
      <w:r w:rsidR="009F3411" w:rsidRPr="004E203B">
        <w:rPr>
          <w:sz w:val="22"/>
        </w:rPr>
        <w:t>be provided for a defined purpose</w:t>
      </w:r>
      <w:r w:rsidR="003429D4" w:rsidRPr="004E203B">
        <w:rPr>
          <w:sz w:val="22"/>
        </w:rPr>
        <w:t xml:space="preserve"> </w:t>
      </w:r>
      <w:r w:rsidR="00F42EBF" w:rsidRPr="004E203B">
        <w:rPr>
          <w:sz w:val="22"/>
        </w:rPr>
        <w:t xml:space="preserve">(e.g. </w:t>
      </w:r>
      <w:r w:rsidR="003429D4" w:rsidRPr="004E203B">
        <w:rPr>
          <w:sz w:val="22"/>
        </w:rPr>
        <w:t xml:space="preserve">promoting energy access or </w:t>
      </w:r>
      <w:r w:rsidR="00F42EBF" w:rsidRPr="004E203B">
        <w:rPr>
          <w:sz w:val="22"/>
        </w:rPr>
        <w:t xml:space="preserve">climate </w:t>
      </w:r>
      <w:r w:rsidR="003429D4" w:rsidRPr="004E203B">
        <w:rPr>
          <w:sz w:val="22"/>
        </w:rPr>
        <w:t xml:space="preserve">change </w:t>
      </w:r>
      <w:r w:rsidR="009F3411" w:rsidRPr="004E203B">
        <w:rPr>
          <w:sz w:val="22"/>
        </w:rPr>
        <w:t>adaptation solutions</w:t>
      </w:r>
      <w:r w:rsidR="00F42EBF" w:rsidRPr="004E203B">
        <w:rPr>
          <w:sz w:val="22"/>
        </w:rPr>
        <w:t>). Depending on the size of the development project and the availability of grant funding, one or multiple</w:t>
      </w:r>
      <w:r w:rsidR="00442FCE">
        <w:rPr>
          <w:sz w:val="22"/>
        </w:rPr>
        <w:t xml:space="preserve"> </w:t>
      </w:r>
      <w:r w:rsidR="009F3411" w:rsidRPr="00031538">
        <w:rPr>
          <w:sz w:val="22"/>
        </w:rPr>
        <w:t xml:space="preserve">purposes </w:t>
      </w:r>
      <w:r w:rsidR="00F42EBF" w:rsidRPr="00031538">
        <w:rPr>
          <w:sz w:val="22"/>
        </w:rPr>
        <w:t xml:space="preserve">can be targeted that are defined in a wider or narrower sense. </w:t>
      </w:r>
      <w:r w:rsidR="004D2F95" w:rsidRPr="00031538">
        <w:rPr>
          <w:sz w:val="22"/>
        </w:rPr>
        <w:t xml:space="preserve">Some projects aspire to achieve greater impact by combining a portfolio of grants under one </w:t>
      </w:r>
      <w:r w:rsidR="009F3411" w:rsidRPr="00031538">
        <w:rPr>
          <w:sz w:val="22"/>
        </w:rPr>
        <w:t>purpose</w:t>
      </w:r>
      <w:r w:rsidR="004D2F95" w:rsidRPr="00031538">
        <w:rPr>
          <w:sz w:val="22"/>
        </w:rPr>
        <w:t xml:space="preserve">. The idea is that the different grants become mutually supportive in a programmatic way, so that even comparatively small interventions </w:t>
      </w:r>
      <w:r w:rsidR="00C6746A" w:rsidRPr="00031538">
        <w:rPr>
          <w:sz w:val="22"/>
        </w:rPr>
        <w:t xml:space="preserve">focused on a common topic </w:t>
      </w:r>
      <w:r w:rsidR="004D2F95" w:rsidRPr="00031538">
        <w:rPr>
          <w:sz w:val="22"/>
        </w:rPr>
        <w:t>can have a disproportional impact.</w:t>
      </w:r>
      <w:r w:rsidR="00C6746A" w:rsidRPr="00031538">
        <w:rPr>
          <w:sz w:val="22"/>
        </w:rPr>
        <w:t xml:space="preserve"> </w:t>
      </w:r>
    </w:p>
    <w:p w14:paraId="4B8FA8E2" w14:textId="45BA71FC" w:rsidR="00C6746A" w:rsidRDefault="00C6746A" w:rsidP="00E532E6">
      <w:pPr>
        <w:pStyle w:val="ListParagraph"/>
        <w:numPr>
          <w:ilvl w:val="1"/>
          <w:numId w:val="12"/>
        </w:numPr>
        <w:jc w:val="both"/>
        <w:rPr>
          <w:sz w:val="22"/>
        </w:rPr>
      </w:pPr>
      <w:r>
        <w:rPr>
          <w:sz w:val="22"/>
          <w:u w:val="single"/>
        </w:rPr>
        <w:t>Method</w:t>
      </w:r>
      <w:r w:rsidRPr="00C6746A">
        <w:rPr>
          <w:sz w:val="22"/>
        </w:rPr>
        <w:t>:</w:t>
      </w:r>
      <w:r>
        <w:rPr>
          <w:sz w:val="22"/>
        </w:rPr>
        <w:t xml:space="preserve"> </w:t>
      </w:r>
      <w:r w:rsidR="0004217F">
        <w:rPr>
          <w:sz w:val="22"/>
        </w:rPr>
        <w:t>In some cases</w:t>
      </w:r>
      <w:r w:rsidR="00A85F6E">
        <w:rPr>
          <w:sz w:val="22"/>
        </w:rPr>
        <w:t>,</w:t>
      </w:r>
      <w:r w:rsidR="0004217F">
        <w:rPr>
          <w:sz w:val="22"/>
        </w:rPr>
        <w:t xml:space="preserve"> grants are expected to use certain methods or approaches to be considered eligible. For instance, a certain type of community engagement in its design and management or </w:t>
      </w:r>
      <w:r w:rsidR="00F52F3B">
        <w:rPr>
          <w:sz w:val="22"/>
        </w:rPr>
        <w:t>the use of specific tools.</w:t>
      </w:r>
      <w:r w:rsidR="00943D96">
        <w:rPr>
          <w:sz w:val="22"/>
        </w:rPr>
        <w:t xml:space="preserve"> Pr</w:t>
      </w:r>
      <w:r w:rsidR="00E3688D">
        <w:rPr>
          <w:sz w:val="22"/>
        </w:rPr>
        <w:t>e</w:t>
      </w:r>
      <w:r w:rsidR="00943D96">
        <w:rPr>
          <w:sz w:val="22"/>
        </w:rPr>
        <w:t>scribing a specific method can be useful when the objective of the project is to test out the feasibility of an approach</w:t>
      </w:r>
      <w:r w:rsidR="007E3A5A">
        <w:rPr>
          <w:sz w:val="22"/>
        </w:rPr>
        <w:t xml:space="preserve"> </w:t>
      </w:r>
      <w:r w:rsidR="007E3A5A">
        <w:rPr>
          <w:sz w:val="22"/>
        </w:rPr>
        <w:lastRenderedPageBreak/>
        <w:t>using small investments (e.g. like randomized trials).</w:t>
      </w:r>
      <w:r w:rsidR="00E3688D">
        <w:rPr>
          <w:sz w:val="22"/>
        </w:rPr>
        <w:t xml:space="preserve"> When prescribing a specific method, careful consideration </w:t>
      </w:r>
      <w:r w:rsidR="0023330A">
        <w:rPr>
          <w:sz w:val="22"/>
        </w:rPr>
        <w:t>should</w:t>
      </w:r>
      <w:r w:rsidR="00E3688D">
        <w:rPr>
          <w:sz w:val="22"/>
        </w:rPr>
        <w:t xml:space="preserve"> be given to the incentives and capacities of potential beneficiaries to actually use the method </w:t>
      </w:r>
      <w:r w:rsidR="00F93E3B">
        <w:rPr>
          <w:sz w:val="22"/>
        </w:rPr>
        <w:t>as part of</w:t>
      </w:r>
      <w:r w:rsidR="00E3688D">
        <w:rPr>
          <w:sz w:val="22"/>
        </w:rPr>
        <w:t xml:space="preserve"> their grant proposals.</w:t>
      </w:r>
    </w:p>
    <w:p w14:paraId="614ED0DF" w14:textId="77777777" w:rsidR="008E1B24" w:rsidRDefault="00123A8E" w:rsidP="00E532E6">
      <w:pPr>
        <w:pStyle w:val="ListParagraph"/>
        <w:numPr>
          <w:ilvl w:val="1"/>
          <w:numId w:val="12"/>
        </w:numPr>
        <w:jc w:val="both"/>
        <w:rPr>
          <w:sz w:val="22"/>
        </w:rPr>
      </w:pPr>
      <w:r w:rsidRPr="00123A8E">
        <w:rPr>
          <w:sz w:val="22"/>
          <w:u w:val="single"/>
        </w:rPr>
        <w:t>Identity</w:t>
      </w:r>
      <w:r>
        <w:rPr>
          <w:sz w:val="22"/>
        </w:rPr>
        <w:t>: In line with LNOB and the considerations mentioned in paragraph 1</w:t>
      </w:r>
      <w:r w:rsidR="00AA67C8">
        <w:rPr>
          <w:sz w:val="22"/>
        </w:rPr>
        <w:t>6</w:t>
      </w:r>
      <w:r>
        <w:rPr>
          <w:sz w:val="22"/>
        </w:rPr>
        <w:t xml:space="preserve">, it can be important to define eligibility in terms of the identity or composition of the entity submitting a grant proposal (e.g. women’s groups). </w:t>
      </w:r>
      <w:r w:rsidR="009F7F86">
        <w:rPr>
          <w:sz w:val="22"/>
        </w:rPr>
        <w:t>Issues of identity can relate to formal aspects, such as being legally registered</w:t>
      </w:r>
      <w:r w:rsidR="0019607A">
        <w:rPr>
          <w:sz w:val="22"/>
        </w:rPr>
        <w:t>, having a specific status if that is necessary in the country context</w:t>
      </w:r>
      <w:r w:rsidR="00924537">
        <w:rPr>
          <w:sz w:val="22"/>
        </w:rPr>
        <w:t>, or not having received a grant before</w:t>
      </w:r>
      <w:r w:rsidR="0019607A">
        <w:rPr>
          <w:sz w:val="22"/>
        </w:rPr>
        <w:t>.</w:t>
      </w:r>
      <w:r w:rsidR="004C71A8">
        <w:rPr>
          <w:sz w:val="22"/>
        </w:rPr>
        <w:t xml:space="preserve"> However, careful attention should be given that selection criteria focusing on identity do not undermine the inclusiveness of the process. </w:t>
      </w:r>
    </w:p>
    <w:p w14:paraId="4D952B26" w14:textId="77777777" w:rsidR="00CD01CF" w:rsidRPr="00E4340E" w:rsidRDefault="00CD01CF" w:rsidP="00CD01CF">
      <w:pPr>
        <w:pStyle w:val="ListParagraph"/>
        <w:numPr>
          <w:ilvl w:val="1"/>
          <w:numId w:val="12"/>
        </w:numPr>
        <w:jc w:val="both"/>
        <w:rPr>
          <w:sz w:val="22"/>
        </w:rPr>
      </w:pPr>
      <w:r w:rsidRPr="00B25D97">
        <w:rPr>
          <w:sz w:val="22"/>
          <w:u w:val="single"/>
        </w:rPr>
        <w:t>Capacity</w:t>
      </w:r>
      <w:r w:rsidRPr="008E1B24">
        <w:rPr>
          <w:sz w:val="22"/>
        </w:rPr>
        <w:t>:</w:t>
      </w:r>
      <w:r>
        <w:rPr>
          <w:rStyle w:val="FootnoteReference"/>
          <w:sz w:val="22"/>
        </w:rPr>
        <w:footnoteReference w:id="9"/>
      </w:r>
      <w:r>
        <w:rPr>
          <w:sz w:val="22"/>
        </w:rPr>
        <w:t xml:space="preserve"> Unlike other engagement methods, grants do not assume or require that eligible entities can prove capacity to implement their grant ideas </w:t>
      </w:r>
      <w:r w:rsidRPr="009F7F86">
        <w:rPr>
          <w:i/>
          <w:sz w:val="22"/>
        </w:rPr>
        <w:t>a priori</w:t>
      </w:r>
      <w:r>
        <w:rPr>
          <w:sz w:val="22"/>
        </w:rPr>
        <w:t xml:space="preserve"> since the grant itself is often intended to strengthen or build up capacity. So, capacity considerations of grantees tend to follow two paths: (i) a certain minimum threshold of capacity, which is often tied to the entities ability to credibly reach and interact with beneficiaries or stakeholders; (ii) a maximum ceiling on the age or budget the entity </w:t>
      </w:r>
      <w:r w:rsidRPr="00B17E5C">
        <w:rPr>
          <w:sz w:val="22"/>
        </w:rPr>
        <w:t xml:space="preserve">already has, which can be important if the objective is to support new or emerging </w:t>
      </w:r>
      <w:r w:rsidRPr="00E4340E">
        <w:rPr>
          <w:sz w:val="22"/>
        </w:rPr>
        <w:t xml:space="preserve">entities that help diversify a sector. </w:t>
      </w:r>
    </w:p>
    <w:p w14:paraId="2456A963" w14:textId="4584018E" w:rsidR="00DA5F92" w:rsidRPr="00E4340E" w:rsidRDefault="004B4D5B" w:rsidP="00E532E6">
      <w:pPr>
        <w:pStyle w:val="ListParagraph"/>
        <w:numPr>
          <w:ilvl w:val="1"/>
          <w:numId w:val="12"/>
        </w:numPr>
        <w:jc w:val="both"/>
        <w:rPr>
          <w:sz w:val="22"/>
        </w:rPr>
      </w:pPr>
      <w:r w:rsidRPr="00E4340E">
        <w:rPr>
          <w:sz w:val="22"/>
          <w:u w:val="single"/>
        </w:rPr>
        <w:t>Submission Requirements</w:t>
      </w:r>
      <w:r w:rsidR="00DA5F92" w:rsidRPr="00E4340E">
        <w:rPr>
          <w:sz w:val="22"/>
        </w:rPr>
        <w:t xml:space="preserve">: </w:t>
      </w:r>
      <w:r w:rsidR="002F02DD" w:rsidRPr="00E4340E">
        <w:rPr>
          <w:sz w:val="22"/>
        </w:rPr>
        <w:t xml:space="preserve">Ideas for grants are presented in the form of a </w:t>
      </w:r>
      <w:r w:rsidR="002F02DD" w:rsidRPr="00C25698">
        <w:rPr>
          <w:sz w:val="22"/>
        </w:rPr>
        <w:t>grant proposal</w:t>
      </w:r>
      <w:r w:rsidR="00B943C3" w:rsidRPr="00C25698">
        <w:rPr>
          <w:sz w:val="22"/>
        </w:rPr>
        <w:t xml:space="preserve"> </w:t>
      </w:r>
      <w:r w:rsidR="00B943C3">
        <w:rPr>
          <w:sz w:val="22"/>
        </w:rPr>
        <w:t>(see suggested template as annexed to the grant agreement template)</w:t>
      </w:r>
      <w:r w:rsidR="002F02DD" w:rsidRPr="00E4340E">
        <w:rPr>
          <w:sz w:val="22"/>
        </w:rPr>
        <w:t>. The grant proposal defines how the idea needs to be presented including any requirements with regards to budget</w:t>
      </w:r>
      <w:r w:rsidR="00221DB7" w:rsidRPr="00E4340E">
        <w:rPr>
          <w:sz w:val="22"/>
        </w:rPr>
        <w:t xml:space="preserve">, </w:t>
      </w:r>
      <w:r w:rsidR="0061300E" w:rsidRPr="00E4340E">
        <w:rPr>
          <w:sz w:val="22"/>
        </w:rPr>
        <w:t>disbursement</w:t>
      </w:r>
      <w:r w:rsidR="00221DB7" w:rsidRPr="00E4340E">
        <w:rPr>
          <w:sz w:val="22"/>
        </w:rPr>
        <w:t xml:space="preserve"> schedule,</w:t>
      </w:r>
      <w:r w:rsidR="002F02DD" w:rsidRPr="00E4340E">
        <w:rPr>
          <w:sz w:val="22"/>
        </w:rPr>
        <w:t xml:space="preserve"> </w:t>
      </w:r>
      <w:r w:rsidR="008C0971" w:rsidRPr="00E4340E">
        <w:rPr>
          <w:sz w:val="22"/>
        </w:rPr>
        <w:t xml:space="preserve">reporting, </w:t>
      </w:r>
      <w:r w:rsidR="00870B44" w:rsidRPr="00E4340E">
        <w:rPr>
          <w:sz w:val="22"/>
        </w:rPr>
        <w:t xml:space="preserve">duration, </w:t>
      </w:r>
      <w:r w:rsidR="002F02DD" w:rsidRPr="00E4340E">
        <w:rPr>
          <w:sz w:val="22"/>
        </w:rPr>
        <w:t xml:space="preserve">and other formal criteria. </w:t>
      </w:r>
      <w:r w:rsidR="00294924" w:rsidRPr="00E4340E">
        <w:rPr>
          <w:sz w:val="22"/>
        </w:rPr>
        <w:t xml:space="preserve">While formal </w:t>
      </w:r>
      <w:r w:rsidRPr="00E4340E">
        <w:rPr>
          <w:sz w:val="22"/>
        </w:rPr>
        <w:t>submission requirements</w:t>
      </w:r>
      <w:r w:rsidR="00294924" w:rsidRPr="00E4340E">
        <w:rPr>
          <w:sz w:val="22"/>
        </w:rPr>
        <w:t xml:space="preserve"> are necessary, it is in UNDP’s interest to ensure that good grant ideas are not excluded simply due to formalistic shortcoming</w:t>
      </w:r>
      <w:r w:rsidR="00221DB7" w:rsidRPr="00E4340E">
        <w:rPr>
          <w:sz w:val="22"/>
        </w:rPr>
        <w:t>, as explained below</w:t>
      </w:r>
      <w:r w:rsidR="00294924" w:rsidRPr="00E4340E">
        <w:rPr>
          <w:sz w:val="22"/>
        </w:rPr>
        <w:t xml:space="preserve">.   </w:t>
      </w:r>
    </w:p>
    <w:p w14:paraId="2BAD1122" w14:textId="3C75B7B4" w:rsidR="002570F5" w:rsidRDefault="00CF2F5C" w:rsidP="003D0F9A">
      <w:pPr>
        <w:pStyle w:val="ListParagraph"/>
        <w:numPr>
          <w:ilvl w:val="0"/>
          <w:numId w:val="19"/>
        </w:numPr>
        <w:spacing w:before="120"/>
        <w:contextualSpacing w:val="0"/>
        <w:jc w:val="both"/>
        <w:rPr>
          <w:sz w:val="22"/>
        </w:rPr>
      </w:pPr>
      <w:r w:rsidRPr="00E4340E">
        <w:rPr>
          <w:sz w:val="22"/>
        </w:rPr>
        <w:t>The final set of selection criteria must be signed off by the project boar</w:t>
      </w:r>
      <w:r w:rsidR="008516B8">
        <w:rPr>
          <w:sz w:val="22"/>
        </w:rPr>
        <w:t>d</w:t>
      </w:r>
      <w:r w:rsidRPr="00E4340E">
        <w:rPr>
          <w:sz w:val="22"/>
        </w:rPr>
        <w:t xml:space="preserve"> or selection committee. </w:t>
      </w:r>
      <w:r w:rsidR="004B4D5B" w:rsidRPr="00E4340E">
        <w:rPr>
          <w:sz w:val="22"/>
        </w:rPr>
        <w:t>G</w:t>
      </w:r>
      <w:r w:rsidR="007B0E39" w:rsidRPr="00E4340E">
        <w:rPr>
          <w:sz w:val="22"/>
        </w:rPr>
        <w:t>rant selecti</w:t>
      </w:r>
      <w:r w:rsidR="007B0E39">
        <w:rPr>
          <w:sz w:val="22"/>
        </w:rPr>
        <w:t xml:space="preserve">on criteria </w:t>
      </w:r>
      <w:r w:rsidR="004B4D5B">
        <w:rPr>
          <w:sz w:val="22"/>
        </w:rPr>
        <w:t xml:space="preserve">are either stated in </w:t>
      </w:r>
      <w:r w:rsidR="007B0E39">
        <w:rPr>
          <w:sz w:val="22"/>
        </w:rPr>
        <w:t>the project document</w:t>
      </w:r>
      <w:r w:rsidR="004B4D5B">
        <w:rPr>
          <w:sz w:val="22"/>
        </w:rPr>
        <w:t xml:space="preserve"> or established by the </w:t>
      </w:r>
      <w:r w:rsidR="009B783D">
        <w:rPr>
          <w:sz w:val="22"/>
        </w:rPr>
        <w:t>project board</w:t>
      </w:r>
      <w:r w:rsidR="00940BA7">
        <w:rPr>
          <w:sz w:val="22"/>
        </w:rPr>
        <w:t xml:space="preserve"> </w:t>
      </w:r>
      <w:r w:rsidR="004B4D5B">
        <w:rPr>
          <w:sz w:val="22"/>
        </w:rPr>
        <w:t>and included in grant solicitation documents</w:t>
      </w:r>
      <w:r w:rsidR="00874BD8">
        <w:rPr>
          <w:sz w:val="22"/>
        </w:rPr>
        <w:t xml:space="preserve"> and/or outreach to encourage CSOs to apply for a grant</w:t>
      </w:r>
      <w:r w:rsidR="004B4D5B">
        <w:rPr>
          <w:sz w:val="22"/>
        </w:rPr>
        <w:t xml:space="preserve">. </w:t>
      </w:r>
      <w:r>
        <w:rPr>
          <w:sz w:val="22"/>
        </w:rPr>
        <w:t xml:space="preserve">For large grant projects, several distinct rounds of grant solicitation can </w:t>
      </w:r>
      <w:r w:rsidR="0011252D">
        <w:rPr>
          <w:sz w:val="22"/>
        </w:rPr>
        <w:t xml:space="preserve">be </w:t>
      </w:r>
      <w:r>
        <w:rPr>
          <w:sz w:val="22"/>
        </w:rPr>
        <w:t xml:space="preserve">conducted, with each round using a specific set of selection criteria. Using this approach can help the project governance in reaching agreement on selection criteria. </w:t>
      </w:r>
    </w:p>
    <w:p w14:paraId="29771AD9" w14:textId="7D29708E" w:rsidR="00870B44" w:rsidRDefault="00E27722" w:rsidP="003D0F9A">
      <w:pPr>
        <w:pStyle w:val="ListParagraph"/>
        <w:numPr>
          <w:ilvl w:val="0"/>
          <w:numId w:val="19"/>
        </w:numPr>
        <w:spacing w:before="120"/>
        <w:contextualSpacing w:val="0"/>
        <w:jc w:val="both"/>
        <w:rPr>
          <w:sz w:val="22"/>
        </w:rPr>
      </w:pPr>
      <w:r>
        <w:rPr>
          <w:sz w:val="22"/>
        </w:rPr>
        <w:t xml:space="preserve">Grants </w:t>
      </w:r>
      <w:r w:rsidR="006C6F58">
        <w:rPr>
          <w:sz w:val="22"/>
        </w:rPr>
        <w:t>should deliver their benefit during the lifetime of the project funding them.</w:t>
      </w:r>
      <w:r w:rsidR="006C6F58" w:rsidRPr="006C6F58">
        <w:rPr>
          <w:sz w:val="22"/>
        </w:rPr>
        <w:t xml:space="preserve"> </w:t>
      </w:r>
      <w:r w:rsidR="006C6F58">
        <w:rPr>
          <w:sz w:val="22"/>
        </w:rPr>
        <w:t>However, t</w:t>
      </w:r>
      <w:r w:rsidR="00870B44">
        <w:rPr>
          <w:sz w:val="22"/>
        </w:rPr>
        <w:t xml:space="preserve">he anticipated duration of grants can </w:t>
      </w:r>
      <w:r w:rsidR="00B27E21">
        <w:rPr>
          <w:sz w:val="22"/>
        </w:rPr>
        <w:t xml:space="preserve">be tricky </w:t>
      </w:r>
      <w:r w:rsidR="006C6F58">
        <w:rPr>
          <w:sz w:val="22"/>
        </w:rPr>
        <w:t>for many reasons, not least the fact that UNDP typically has a long-term interest in grantees. What is important, however, is that grant</w:t>
      </w:r>
      <w:r w:rsidR="00312B4C">
        <w:rPr>
          <w:sz w:val="22"/>
        </w:rPr>
        <w:t>ees</w:t>
      </w:r>
      <w:r w:rsidR="006C6F58">
        <w:rPr>
          <w:sz w:val="22"/>
        </w:rPr>
        <w:t xml:space="preserve"> report </w:t>
      </w:r>
      <w:r w:rsidR="001F0687">
        <w:rPr>
          <w:sz w:val="22"/>
        </w:rPr>
        <w:t xml:space="preserve">their </w:t>
      </w:r>
      <w:r w:rsidR="006C6F58">
        <w:rPr>
          <w:sz w:val="22"/>
        </w:rPr>
        <w:t>results or achievements</w:t>
      </w:r>
      <w:r w:rsidR="008B58B0">
        <w:rPr>
          <w:sz w:val="22"/>
        </w:rPr>
        <w:t>,</w:t>
      </w:r>
      <w:r w:rsidR="006C6F58">
        <w:rPr>
          <w:sz w:val="22"/>
        </w:rPr>
        <w:t xml:space="preserve"> receive their full grant amount</w:t>
      </w:r>
      <w:r w:rsidR="008B58B0">
        <w:rPr>
          <w:sz w:val="22"/>
        </w:rPr>
        <w:t>, and provide financial reporting</w:t>
      </w:r>
      <w:r w:rsidR="006C6F58">
        <w:rPr>
          <w:sz w:val="22"/>
        </w:rPr>
        <w:t xml:space="preserve"> before the development project is operationally closed. </w:t>
      </w:r>
      <w:r w:rsidR="001F0687">
        <w:rPr>
          <w:sz w:val="22"/>
        </w:rPr>
        <w:t>Within these parameters, Business Units can manage grant duration flexibly.</w:t>
      </w:r>
    </w:p>
    <w:p w14:paraId="594DB3F9" w14:textId="77777777" w:rsidR="00546AF8" w:rsidRDefault="00546AF8" w:rsidP="006C6F58">
      <w:pPr>
        <w:pStyle w:val="Heading4"/>
        <w:rPr>
          <w:sz w:val="22"/>
        </w:rPr>
      </w:pPr>
    </w:p>
    <w:p w14:paraId="14FE39B1" w14:textId="77777777" w:rsidR="006C6F58" w:rsidRPr="006C6F58" w:rsidRDefault="006C6F58" w:rsidP="006C6F58">
      <w:pPr>
        <w:pStyle w:val="Heading4"/>
        <w:rPr>
          <w:sz w:val="22"/>
        </w:rPr>
      </w:pPr>
      <w:bookmarkStart w:id="18" w:name="_Toc530059525"/>
      <w:r>
        <w:rPr>
          <w:sz w:val="22"/>
        </w:rPr>
        <w:t xml:space="preserve">Grant </w:t>
      </w:r>
      <w:r>
        <w:t>solicitation process</w:t>
      </w:r>
      <w:bookmarkEnd w:id="18"/>
    </w:p>
    <w:p w14:paraId="77F7F3CB" w14:textId="0D911827" w:rsidR="003C3CA6" w:rsidRDefault="007673DE" w:rsidP="003D0F9A">
      <w:pPr>
        <w:pStyle w:val="ListParagraph"/>
        <w:numPr>
          <w:ilvl w:val="0"/>
          <w:numId w:val="19"/>
        </w:numPr>
        <w:spacing w:before="120"/>
        <w:contextualSpacing w:val="0"/>
        <w:jc w:val="both"/>
        <w:rPr>
          <w:sz w:val="22"/>
        </w:rPr>
      </w:pPr>
      <w:r>
        <w:rPr>
          <w:sz w:val="22"/>
        </w:rPr>
        <w:t>Once the selection criteria have been approved</w:t>
      </w:r>
      <w:r w:rsidR="004B4D5B">
        <w:rPr>
          <w:sz w:val="22"/>
        </w:rPr>
        <w:t xml:space="preserve"> by the LPAC </w:t>
      </w:r>
      <w:r w:rsidR="00940BA7">
        <w:rPr>
          <w:sz w:val="22"/>
        </w:rPr>
        <w:t xml:space="preserve">or </w:t>
      </w:r>
      <w:r w:rsidR="004B4D5B">
        <w:rPr>
          <w:sz w:val="22"/>
        </w:rPr>
        <w:t xml:space="preserve">project </w:t>
      </w:r>
      <w:r w:rsidR="00962A81">
        <w:rPr>
          <w:sz w:val="22"/>
        </w:rPr>
        <w:t>board</w:t>
      </w:r>
      <w:r>
        <w:rPr>
          <w:sz w:val="22"/>
        </w:rPr>
        <w:t xml:space="preserve">, the </w:t>
      </w:r>
      <w:r w:rsidRPr="00546AF8">
        <w:rPr>
          <w:sz w:val="22"/>
        </w:rPr>
        <w:t>grant solicitation</w:t>
      </w:r>
      <w:r>
        <w:rPr>
          <w:sz w:val="22"/>
        </w:rPr>
        <w:t xml:space="preserve"> process can commence. </w:t>
      </w:r>
      <w:r w:rsidR="003C3CA6" w:rsidRPr="00F74191">
        <w:rPr>
          <w:sz w:val="22"/>
        </w:rPr>
        <w:t>Through a grant solicitation mechanism</w:t>
      </w:r>
      <w:r w:rsidR="00B943C3">
        <w:rPr>
          <w:sz w:val="22"/>
        </w:rPr>
        <w:t xml:space="preserve"> such as an open advertisement or outreach to all eligible organizations</w:t>
      </w:r>
      <w:r w:rsidR="003C3CA6" w:rsidRPr="00F74191">
        <w:rPr>
          <w:sz w:val="22"/>
        </w:rPr>
        <w:t>, many possible development solutions can be quickly generated with direct ownership of the grant proposals by the grantees.</w:t>
      </w:r>
    </w:p>
    <w:p w14:paraId="7E50B14C" w14:textId="39CFF2EB" w:rsidR="003C5EFB" w:rsidRDefault="007673DE" w:rsidP="003D0F9A">
      <w:pPr>
        <w:pStyle w:val="ListParagraph"/>
        <w:numPr>
          <w:ilvl w:val="0"/>
          <w:numId w:val="19"/>
        </w:numPr>
        <w:spacing w:before="120"/>
        <w:contextualSpacing w:val="0"/>
        <w:jc w:val="both"/>
        <w:rPr>
          <w:sz w:val="22"/>
        </w:rPr>
      </w:pPr>
      <w:r>
        <w:rPr>
          <w:sz w:val="22"/>
        </w:rPr>
        <w:t xml:space="preserve">How potential grantees are made aware of a possible funding opportunity depends on </w:t>
      </w:r>
      <w:r w:rsidR="00C205D7">
        <w:rPr>
          <w:sz w:val="22"/>
        </w:rPr>
        <w:t>several</w:t>
      </w:r>
      <w:r>
        <w:rPr>
          <w:sz w:val="22"/>
        </w:rPr>
        <w:t xml:space="preserve"> </w:t>
      </w:r>
      <w:r w:rsidR="00C205D7">
        <w:rPr>
          <w:sz w:val="22"/>
        </w:rPr>
        <w:t>factors</w:t>
      </w:r>
      <w:r>
        <w:rPr>
          <w:sz w:val="22"/>
        </w:rPr>
        <w:t>, but key above all is transpare</w:t>
      </w:r>
      <w:r w:rsidR="001C757D">
        <w:rPr>
          <w:sz w:val="22"/>
        </w:rPr>
        <w:t>ncy</w:t>
      </w:r>
      <w:r>
        <w:rPr>
          <w:sz w:val="22"/>
        </w:rPr>
        <w:t xml:space="preserve">. </w:t>
      </w:r>
      <w:r w:rsidR="00F267E3" w:rsidRPr="00F267E3">
        <w:rPr>
          <w:sz w:val="22"/>
        </w:rPr>
        <w:t xml:space="preserve">In the interest of transparency and accountability, the grant </w:t>
      </w:r>
      <w:r w:rsidR="005803CF">
        <w:rPr>
          <w:sz w:val="22"/>
        </w:rPr>
        <w:t xml:space="preserve">scope and requirements, proposal format, </w:t>
      </w:r>
      <w:r w:rsidR="00F267E3" w:rsidRPr="00F267E3">
        <w:rPr>
          <w:sz w:val="22"/>
        </w:rPr>
        <w:t>selection criteria and the award of all grants must be made public by UNDP</w:t>
      </w:r>
      <w:r w:rsidR="001C757D">
        <w:rPr>
          <w:sz w:val="22"/>
        </w:rPr>
        <w:t>, the IP,</w:t>
      </w:r>
      <w:r w:rsidR="00F267E3" w:rsidRPr="00F267E3">
        <w:rPr>
          <w:sz w:val="22"/>
        </w:rPr>
        <w:t xml:space="preserve"> or the selection committee in an appropriate fashion. </w:t>
      </w:r>
      <w:r w:rsidR="00C205D7">
        <w:rPr>
          <w:sz w:val="22"/>
        </w:rPr>
        <w:t>The two most immediate issues for consideration are language and medium used for solicitation.</w:t>
      </w:r>
      <w:r w:rsidR="00D24861">
        <w:rPr>
          <w:sz w:val="22"/>
        </w:rPr>
        <w:t xml:space="preserve"> </w:t>
      </w:r>
      <w:r w:rsidR="00A47784">
        <w:rPr>
          <w:sz w:val="22"/>
        </w:rPr>
        <w:t>T</w:t>
      </w:r>
      <w:r w:rsidR="00D24861">
        <w:rPr>
          <w:sz w:val="22"/>
        </w:rPr>
        <w:t xml:space="preserve">o reach populations left behind in the development process, </w:t>
      </w:r>
      <w:r w:rsidR="003C5EFB">
        <w:rPr>
          <w:sz w:val="22"/>
        </w:rPr>
        <w:t xml:space="preserve">a very tailored </w:t>
      </w:r>
      <w:r w:rsidR="003C5EFB">
        <w:rPr>
          <w:sz w:val="22"/>
        </w:rPr>
        <w:lastRenderedPageBreak/>
        <w:t>approach is often required, particularly since the process of grant solicitation might not be familiar to many stakeholders.</w:t>
      </w:r>
    </w:p>
    <w:p w14:paraId="78AEA8DE" w14:textId="72528989" w:rsidR="00155ED1" w:rsidRDefault="00E5037F" w:rsidP="003D0F9A">
      <w:pPr>
        <w:numPr>
          <w:ilvl w:val="0"/>
          <w:numId w:val="19"/>
        </w:numPr>
        <w:spacing w:before="120"/>
        <w:jc w:val="both"/>
        <w:rPr>
          <w:sz w:val="22"/>
        </w:rPr>
      </w:pPr>
      <w:r>
        <w:rPr>
          <w:sz w:val="22"/>
        </w:rPr>
        <w:t>In many instances</w:t>
      </w:r>
      <w:r w:rsidR="00E40B61">
        <w:rPr>
          <w:sz w:val="22"/>
        </w:rPr>
        <w:t xml:space="preserve"> it might not be sufficient to simply make potential </w:t>
      </w:r>
      <w:r w:rsidR="00051734">
        <w:rPr>
          <w:sz w:val="22"/>
        </w:rPr>
        <w:t>grantees aware of</w:t>
      </w:r>
      <w:r w:rsidR="00094CF2">
        <w:rPr>
          <w:sz w:val="22"/>
        </w:rPr>
        <w:t xml:space="preserve"> a </w:t>
      </w:r>
      <w:r w:rsidR="00094CF2" w:rsidRPr="003C3CA6">
        <w:rPr>
          <w:sz w:val="22"/>
        </w:rPr>
        <w:t>funding opportunity, and much more direct support is needed for them to be able to conceptualize and write a grant proposal.</w:t>
      </w:r>
      <w:r w:rsidRPr="003C3CA6">
        <w:rPr>
          <w:sz w:val="22"/>
        </w:rPr>
        <w:t xml:space="preserve"> </w:t>
      </w:r>
      <w:r w:rsidR="00155ED1">
        <w:rPr>
          <w:sz w:val="22"/>
        </w:rPr>
        <w:t xml:space="preserve">Active encouragement is often needed to persuade potential grantees that they can be successful in implementing a grant. </w:t>
      </w:r>
    </w:p>
    <w:p w14:paraId="5F913B04" w14:textId="2E6D2BA3" w:rsidR="00AA0DC4" w:rsidRPr="003C3CA6" w:rsidRDefault="00084E1A" w:rsidP="003D0F9A">
      <w:pPr>
        <w:numPr>
          <w:ilvl w:val="0"/>
          <w:numId w:val="19"/>
        </w:numPr>
        <w:spacing w:before="120"/>
        <w:jc w:val="both"/>
        <w:rPr>
          <w:sz w:val="22"/>
        </w:rPr>
      </w:pPr>
      <w:r w:rsidRPr="003C3CA6">
        <w:rPr>
          <w:sz w:val="22"/>
        </w:rPr>
        <w:t>One way to help potential grantees familiarize themselves with the</w:t>
      </w:r>
      <w:r w:rsidR="004B4D5B">
        <w:rPr>
          <w:sz w:val="22"/>
        </w:rPr>
        <w:t xml:space="preserve"> proposal requirements and</w:t>
      </w:r>
      <w:r w:rsidRPr="003C3CA6">
        <w:rPr>
          <w:sz w:val="22"/>
        </w:rPr>
        <w:t xml:space="preserve"> selection criteria, particularly also the formal aspects of grant proposals, can be writing workshops</w:t>
      </w:r>
      <w:r w:rsidR="00F41D33" w:rsidRPr="003C3CA6">
        <w:rPr>
          <w:sz w:val="22"/>
        </w:rPr>
        <w:t xml:space="preserve"> to which interested groups are invited</w:t>
      </w:r>
      <w:r w:rsidRPr="003C3CA6">
        <w:rPr>
          <w:sz w:val="22"/>
        </w:rPr>
        <w:t>.</w:t>
      </w:r>
      <w:r w:rsidR="00F41D33" w:rsidRPr="003C3CA6">
        <w:rPr>
          <w:sz w:val="22"/>
        </w:rPr>
        <w:t xml:space="preserve"> </w:t>
      </w:r>
      <w:r w:rsidR="00EF5912" w:rsidRPr="003C3CA6">
        <w:rPr>
          <w:sz w:val="22"/>
        </w:rPr>
        <w:t xml:space="preserve">In fact, finding and training individuals of specific target groups in writing grant proposals can be a valuable grant </w:t>
      </w:r>
      <w:r w:rsidR="00656CE1">
        <w:rPr>
          <w:sz w:val="22"/>
        </w:rPr>
        <w:t xml:space="preserve">purpose </w:t>
      </w:r>
      <w:r w:rsidR="00EF5912" w:rsidRPr="003C3CA6">
        <w:rPr>
          <w:sz w:val="22"/>
        </w:rPr>
        <w:t>in its own right.</w:t>
      </w:r>
      <w:r w:rsidR="00740BFE">
        <w:rPr>
          <w:sz w:val="22"/>
        </w:rPr>
        <w:t xml:space="preserve"> It can be helpful for a grant programme to design its own grant submission template</w:t>
      </w:r>
      <w:r w:rsidR="0007722D">
        <w:rPr>
          <w:rStyle w:val="FootnoteReference"/>
          <w:sz w:val="22"/>
        </w:rPr>
        <w:footnoteReference w:id="10"/>
      </w:r>
      <w:r w:rsidR="00153B48" w:rsidRPr="00153B48">
        <w:rPr>
          <w:sz w:val="22"/>
        </w:rPr>
        <w:t xml:space="preserve"> </w:t>
      </w:r>
      <w:r w:rsidR="00153B48">
        <w:rPr>
          <w:sz w:val="22"/>
        </w:rPr>
        <w:t xml:space="preserve">tailored to the specific </w:t>
      </w:r>
      <w:r w:rsidR="00962A81">
        <w:rPr>
          <w:sz w:val="22"/>
        </w:rPr>
        <w:t>p</w:t>
      </w:r>
      <w:r w:rsidR="00153B48">
        <w:rPr>
          <w:sz w:val="22"/>
        </w:rPr>
        <w:t>ro</w:t>
      </w:r>
      <w:r w:rsidR="00962A81">
        <w:rPr>
          <w:sz w:val="22"/>
        </w:rPr>
        <w:t>ject document</w:t>
      </w:r>
      <w:r w:rsidR="00740BFE">
        <w:rPr>
          <w:sz w:val="22"/>
        </w:rPr>
        <w:t xml:space="preserve"> to ensure that critical programmatic </w:t>
      </w:r>
      <w:r w:rsidR="00153B48">
        <w:rPr>
          <w:sz w:val="22"/>
        </w:rPr>
        <w:t>information</w:t>
      </w:r>
      <w:r w:rsidR="00740BFE">
        <w:rPr>
          <w:sz w:val="22"/>
        </w:rPr>
        <w:t xml:space="preserve"> is presented by the grant applicants.</w:t>
      </w:r>
    </w:p>
    <w:p w14:paraId="6191F7B8" w14:textId="62527D58" w:rsidR="00E5037F" w:rsidRDefault="00AA0DC4" w:rsidP="003D0F9A">
      <w:pPr>
        <w:pStyle w:val="ListParagraph"/>
        <w:numPr>
          <w:ilvl w:val="0"/>
          <w:numId w:val="19"/>
        </w:numPr>
        <w:spacing w:before="120"/>
        <w:contextualSpacing w:val="0"/>
        <w:jc w:val="both"/>
        <w:rPr>
          <w:sz w:val="22"/>
        </w:rPr>
      </w:pPr>
      <w:r>
        <w:rPr>
          <w:sz w:val="22"/>
        </w:rPr>
        <w:t xml:space="preserve">In most cases grant solicitation processes are time bound and grant proposals are expected by a specific deadline; however, some project might accept </w:t>
      </w:r>
      <w:r w:rsidR="007A4EA1">
        <w:rPr>
          <w:sz w:val="22"/>
        </w:rPr>
        <w:t xml:space="preserve">grant proposals on a continuous basis, particularly in cases that require </w:t>
      </w:r>
      <w:r w:rsidR="007D0924">
        <w:rPr>
          <w:sz w:val="22"/>
        </w:rPr>
        <w:t>closer support for potential grantees.</w:t>
      </w:r>
      <w:r w:rsidR="00870B44">
        <w:rPr>
          <w:sz w:val="22"/>
        </w:rPr>
        <w:t xml:space="preserve"> </w:t>
      </w:r>
      <w:r w:rsidR="00DB414A">
        <w:rPr>
          <w:sz w:val="22"/>
        </w:rPr>
        <w:t xml:space="preserve">An example of a solicitation process can be found </w:t>
      </w:r>
      <w:hyperlink r:id="rId22" w:history="1">
        <w:r w:rsidR="00DB414A" w:rsidRPr="00DB414A">
          <w:rPr>
            <w:rStyle w:val="Hyperlink"/>
            <w:sz w:val="22"/>
          </w:rPr>
          <w:t>here</w:t>
        </w:r>
      </w:hyperlink>
      <w:r w:rsidR="00DB414A">
        <w:rPr>
          <w:sz w:val="22"/>
        </w:rPr>
        <w:t>.</w:t>
      </w:r>
    </w:p>
    <w:p w14:paraId="37D943EE" w14:textId="77777777" w:rsidR="0052787A" w:rsidRDefault="0052787A" w:rsidP="0052787A">
      <w:pPr>
        <w:pStyle w:val="Heading4"/>
      </w:pPr>
    </w:p>
    <w:p w14:paraId="250FE57E" w14:textId="77777777" w:rsidR="00C5524E" w:rsidRPr="0052787A" w:rsidRDefault="0052787A" w:rsidP="0052787A">
      <w:pPr>
        <w:pStyle w:val="Heading4"/>
      </w:pPr>
      <w:bookmarkStart w:id="19" w:name="_Toc530059526"/>
      <w:r>
        <w:t>Grant selection process</w:t>
      </w:r>
      <w:bookmarkEnd w:id="19"/>
      <w:r w:rsidR="003C5EFB" w:rsidRPr="0052787A">
        <w:t xml:space="preserve"> </w:t>
      </w:r>
    </w:p>
    <w:p w14:paraId="6DE3D90E" w14:textId="5588B726" w:rsidR="00D01060" w:rsidRPr="00D01060" w:rsidRDefault="00D01060" w:rsidP="003D0F9A">
      <w:pPr>
        <w:pStyle w:val="ListParagraph"/>
        <w:numPr>
          <w:ilvl w:val="0"/>
          <w:numId w:val="19"/>
        </w:numPr>
        <w:spacing w:before="120"/>
        <w:contextualSpacing w:val="0"/>
        <w:jc w:val="both"/>
        <w:rPr>
          <w:sz w:val="22"/>
        </w:rPr>
      </w:pPr>
      <w:r>
        <w:rPr>
          <w:sz w:val="22"/>
        </w:rPr>
        <w:t>Entities</w:t>
      </w:r>
      <w:r w:rsidRPr="00D01060">
        <w:rPr>
          <w:sz w:val="22"/>
        </w:rPr>
        <w:t xml:space="preserve"> </w:t>
      </w:r>
      <w:r>
        <w:rPr>
          <w:sz w:val="22"/>
        </w:rPr>
        <w:t xml:space="preserve">eligible </w:t>
      </w:r>
      <w:r w:rsidRPr="00D01060">
        <w:rPr>
          <w:sz w:val="22"/>
        </w:rPr>
        <w:t>as low-value grant recipients are selected under programming modalities described in th</w:t>
      </w:r>
      <w:r>
        <w:rPr>
          <w:sz w:val="22"/>
        </w:rPr>
        <w:t>e POPP</w:t>
      </w:r>
      <w:r w:rsidRPr="00D01060">
        <w:rPr>
          <w:sz w:val="22"/>
        </w:rPr>
        <w:t xml:space="preserve"> and identified in a signed project document or project board decisions. </w:t>
      </w:r>
    </w:p>
    <w:p w14:paraId="590AD676" w14:textId="207E730D" w:rsidR="0052787A" w:rsidRDefault="0052787A" w:rsidP="003D0F9A">
      <w:pPr>
        <w:pStyle w:val="ListParagraph"/>
        <w:numPr>
          <w:ilvl w:val="0"/>
          <w:numId w:val="19"/>
        </w:numPr>
        <w:spacing w:before="120"/>
        <w:contextualSpacing w:val="0"/>
        <w:jc w:val="both"/>
        <w:rPr>
          <w:sz w:val="22"/>
        </w:rPr>
      </w:pPr>
      <w:r>
        <w:rPr>
          <w:sz w:val="22"/>
        </w:rPr>
        <w:t>Depending on decisions of the project board or selection committee, once the deadline has passed, each individual grant proposal is assessed with regards to its eligibility in line with the published selection criteria.</w:t>
      </w:r>
    </w:p>
    <w:p w14:paraId="0FD247C2" w14:textId="77777777" w:rsidR="0024605A" w:rsidRDefault="0024605A" w:rsidP="003D0F9A">
      <w:pPr>
        <w:pStyle w:val="ListParagraph"/>
        <w:numPr>
          <w:ilvl w:val="0"/>
          <w:numId w:val="19"/>
        </w:numPr>
        <w:spacing w:before="120"/>
        <w:contextualSpacing w:val="0"/>
        <w:jc w:val="both"/>
        <w:rPr>
          <w:sz w:val="22"/>
        </w:rPr>
      </w:pPr>
      <w:r>
        <w:rPr>
          <w:sz w:val="22"/>
        </w:rPr>
        <w:t>The assessment of grant proposals can be done in two ways:</w:t>
      </w:r>
    </w:p>
    <w:p w14:paraId="11179D9E" w14:textId="72E95400" w:rsidR="004950FE" w:rsidRPr="00007DA1" w:rsidRDefault="00007DA1" w:rsidP="00007DA1">
      <w:pPr>
        <w:ind w:left="1260" w:hanging="180"/>
        <w:jc w:val="both"/>
        <w:rPr>
          <w:sz w:val="22"/>
        </w:rPr>
      </w:pPr>
      <w:r>
        <w:rPr>
          <w:sz w:val="22"/>
          <w:u w:val="single"/>
        </w:rPr>
        <w:t xml:space="preserve">a) </w:t>
      </w:r>
      <w:r w:rsidR="004950FE" w:rsidRPr="00007DA1">
        <w:rPr>
          <w:sz w:val="22"/>
          <w:u w:val="single"/>
        </w:rPr>
        <w:t>Pre-screening</w:t>
      </w:r>
      <w:r w:rsidR="004950FE" w:rsidRPr="00007DA1">
        <w:rPr>
          <w:sz w:val="22"/>
        </w:rPr>
        <w:t xml:space="preserve">: In cases where the selection criteria are very technical and complex or when the volume of received grant proposals is very high, it can be advisable to pre-screen grant proposals. The pre-screening is done by </w:t>
      </w:r>
      <w:r w:rsidR="00E2309D" w:rsidRPr="00007DA1">
        <w:rPr>
          <w:sz w:val="22"/>
        </w:rPr>
        <w:t xml:space="preserve">one or more individuals designated by the project board or selection committee; typically </w:t>
      </w:r>
      <w:r w:rsidR="001C757D" w:rsidRPr="00007DA1">
        <w:rPr>
          <w:sz w:val="22"/>
        </w:rPr>
        <w:t xml:space="preserve">including </w:t>
      </w:r>
      <w:r w:rsidR="00E2309D" w:rsidRPr="00007DA1">
        <w:rPr>
          <w:sz w:val="22"/>
        </w:rPr>
        <w:t>the project manager or a project coordinator.</w:t>
      </w:r>
      <w:r w:rsidR="00DD4AA9" w:rsidRPr="00007DA1">
        <w:rPr>
          <w:sz w:val="22"/>
        </w:rPr>
        <w:t xml:space="preserve"> </w:t>
      </w:r>
      <w:r w:rsidR="00F36D75" w:rsidRPr="00007DA1">
        <w:rPr>
          <w:sz w:val="22"/>
        </w:rPr>
        <w:t>In some instances</w:t>
      </w:r>
      <w:r w:rsidR="00713F10" w:rsidRPr="00007DA1">
        <w:rPr>
          <w:sz w:val="22"/>
        </w:rPr>
        <w:t>,</w:t>
      </w:r>
      <w:r w:rsidR="00F36D75" w:rsidRPr="00007DA1">
        <w:rPr>
          <w:sz w:val="22"/>
        </w:rPr>
        <w:t xml:space="preserve"> it might be necessary for the individual(s) conducting the pre-screening to summarize/translate/format proposals so that all members of the project board or selection committee can meaningfully review the grant proposals. </w:t>
      </w:r>
      <w:r w:rsidR="00DD4AA9" w:rsidRPr="00007DA1">
        <w:rPr>
          <w:sz w:val="22"/>
        </w:rPr>
        <w:t>Following the pre-screening</w:t>
      </w:r>
      <w:r w:rsidR="00B47B02" w:rsidRPr="00007DA1">
        <w:rPr>
          <w:sz w:val="22"/>
        </w:rPr>
        <w:t>,</w:t>
      </w:r>
      <w:r w:rsidR="00DD4AA9" w:rsidRPr="00007DA1">
        <w:rPr>
          <w:sz w:val="22"/>
        </w:rPr>
        <w:t xml:space="preserve"> the project board or selection committee receives the screened </w:t>
      </w:r>
      <w:r w:rsidR="00F26550" w:rsidRPr="00007DA1">
        <w:rPr>
          <w:sz w:val="22"/>
        </w:rPr>
        <w:t>proposals in full and a list of other received proposals that did not pass the pre-screening</w:t>
      </w:r>
      <w:r w:rsidR="001C757D" w:rsidRPr="00007DA1">
        <w:rPr>
          <w:sz w:val="22"/>
        </w:rPr>
        <w:t xml:space="preserve"> for the final appraisal/decision</w:t>
      </w:r>
      <w:r w:rsidR="00F26550" w:rsidRPr="00007DA1">
        <w:rPr>
          <w:sz w:val="22"/>
        </w:rPr>
        <w:t>.</w:t>
      </w:r>
    </w:p>
    <w:p w14:paraId="52067C75" w14:textId="60C1BB4C" w:rsidR="003565F3" w:rsidRDefault="00007DA1" w:rsidP="00007DA1">
      <w:pPr>
        <w:pStyle w:val="ListParagraph"/>
        <w:ind w:left="1260" w:hanging="180"/>
        <w:jc w:val="both"/>
        <w:rPr>
          <w:sz w:val="22"/>
        </w:rPr>
      </w:pPr>
      <w:r>
        <w:rPr>
          <w:sz w:val="22"/>
          <w:u w:val="single"/>
        </w:rPr>
        <w:t xml:space="preserve">b) </w:t>
      </w:r>
      <w:r w:rsidR="007803E0" w:rsidRPr="007803E0">
        <w:rPr>
          <w:sz w:val="22"/>
          <w:u w:val="single"/>
        </w:rPr>
        <w:t>Full review</w:t>
      </w:r>
      <w:r w:rsidR="007803E0">
        <w:rPr>
          <w:sz w:val="22"/>
        </w:rPr>
        <w:t>: Depending on the level of engagement of the members of the project board or selection committee, they might decide to review all received proposals</w:t>
      </w:r>
      <w:r w:rsidR="000D7969">
        <w:rPr>
          <w:sz w:val="22"/>
        </w:rPr>
        <w:t xml:space="preserve"> directly</w:t>
      </w:r>
      <w:r w:rsidR="007803E0">
        <w:rPr>
          <w:sz w:val="22"/>
        </w:rPr>
        <w:t>.</w:t>
      </w:r>
    </w:p>
    <w:p w14:paraId="61A0B9C8" w14:textId="57C8C6D0" w:rsidR="00740BFE" w:rsidRDefault="00740BFE" w:rsidP="003D0F9A">
      <w:pPr>
        <w:pStyle w:val="ListParagraph"/>
        <w:numPr>
          <w:ilvl w:val="0"/>
          <w:numId w:val="19"/>
        </w:numPr>
        <w:spacing w:before="120"/>
        <w:contextualSpacing w:val="0"/>
        <w:jc w:val="both"/>
        <w:rPr>
          <w:sz w:val="22"/>
        </w:rPr>
      </w:pPr>
      <w:r>
        <w:rPr>
          <w:sz w:val="22"/>
        </w:rPr>
        <w:t xml:space="preserve">The actual grant selection process ranks proposals in line with the selection criteria. In case a point system for each </w:t>
      </w:r>
      <w:r w:rsidR="00C44708">
        <w:rPr>
          <w:sz w:val="22"/>
        </w:rPr>
        <w:t>criterion</w:t>
      </w:r>
      <w:r>
        <w:rPr>
          <w:sz w:val="22"/>
        </w:rPr>
        <w:t xml:space="preserve"> was adopted, each grant proposal is</w:t>
      </w:r>
      <w:r w:rsidR="00C44708">
        <w:rPr>
          <w:sz w:val="22"/>
        </w:rPr>
        <w:t xml:space="preserve"> awarded the requisite points and then ranked in descending order until available resources for grants are utilized.</w:t>
      </w:r>
      <w:r>
        <w:rPr>
          <w:sz w:val="22"/>
        </w:rPr>
        <w:t xml:space="preserve"> </w:t>
      </w:r>
    </w:p>
    <w:p w14:paraId="5DE167F9" w14:textId="021102B0" w:rsidR="006A7C49" w:rsidRDefault="00DF41A3" w:rsidP="003D0F9A">
      <w:pPr>
        <w:pStyle w:val="ListParagraph"/>
        <w:numPr>
          <w:ilvl w:val="0"/>
          <w:numId w:val="19"/>
        </w:numPr>
        <w:spacing w:before="120"/>
        <w:contextualSpacing w:val="0"/>
        <w:jc w:val="both"/>
        <w:rPr>
          <w:sz w:val="22"/>
        </w:rPr>
      </w:pPr>
      <w:r w:rsidRPr="00DF41A3">
        <w:rPr>
          <w:sz w:val="22"/>
        </w:rPr>
        <w:t xml:space="preserve">The </w:t>
      </w:r>
      <w:r>
        <w:rPr>
          <w:sz w:val="22"/>
        </w:rPr>
        <w:t>frequency of grant selection depends on the availability of grant funding</w:t>
      </w:r>
      <w:r w:rsidR="006A7C49">
        <w:rPr>
          <w:sz w:val="22"/>
        </w:rPr>
        <w:t>, the complexity of the solicitation process,</w:t>
      </w:r>
      <w:r>
        <w:rPr>
          <w:sz w:val="22"/>
        </w:rPr>
        <w:t xml:space="preserve"> and</w:t>
      </w:r>
      <w:r w:rsidR="006A7C49">
        <w:rPr>
          <w:sz w:val="22"/>
        </w:rPr>
        <w:t xml:space="preserve"> the availability of the project board or selection committee members.</w:t>
      </w:r>
      <w:r>
        <w:rPr>
          <w:sz w:val="22"/>
        </w:rPr>
        <w:t xml:space="preserve"> </w:t>
      </w:r>
    </w:p>
    <w:p w14:paraId="2B5EA2A3" w14:textId="11399092" w:rsidR="00902D9D" w:rsidRDefault="00902D9D" w:rsidP="003D0F9A">
      <w:pPr>
        <w:pStyle w:val="ListParagraph"/>
        <w:numPr>
          <w:ilvl w:val="0"/>
          <w:numId w:val="19"/>
        </w:numPr>
        <w:spacing w:before="120"/>
        <w:contextualSpacing w:val="0"/>
        <w:jc w:val="both"/>
        <w:rPr>
          <w:sz w:val="22"/>
        </w:rPr>
      </w:pPr>
      <w:r>
        <w:rPr>
          <w:sz w:val="22"/>
        </w:rPr>
        <w:t>In exceptional cases</w:t>
      </w:r>
      <w:r w:rsidR="00B47B02">
        <w:rPr>
          <w:sz w:val="22"/>
        </w:rPr>
        <w:t>,</w:t>
      </w:r>
      <w:r>
        <w:rPr>
          <w:sz w:val="22"/>
        </w:rPr>
        <w:t xml:space="preserve"> a grantee can be selected without a preceding solicitation process on an </w:t>
      </w:r>
      <w:r w:rsidRPr="00462278">
        <w:rPr>
          <w:sz w:val="22"/>
          <w:u w:val="single"/>
        </w:rPr>
        <w:t>ad-hoc basis</w:t>
      </w:r>
      <w:r>
        <w:rPr>
          <w:sz w:val="22"/>
        </w:rPr>
        <w:t xml:space="preserve">. </w:t>
      </w:r>
      <w:r w:rsidR="004D1C87">
        <w:rPr>
          <w:sz w:val="22"/>
        </w:rPr>
        <w:t>This is the case either, when only one entity enjoys a specific status or legitima</w:t>
      </w:r>
      <w:r w:rsidR="00462278">
        <w:rPr>
          <w:sz w:val="22"/>
        </w:rPr>
        <w:t>cy to represent stakeholders (</w:t>
      </w:r>
      <w:r w:rsidR="004D1C87">
        <w:rPr>
          <w:sz w:val="22"/>
        </w:rPr>
        <w:t>e.</w:t>
      </w:r>
      <w:r w:rsidR="00462278">
        <w:rPr>
          <w:sz w:val="22"/>
        </w:rPr>
        <w:t>g.</w:t>
      </w:r>
      <w:r w:rsidR="004D1C87">
        <w:rPr>
          <w:sz w:val="22"/>
        </w:rPr>
        <w:t xml:space="preserve"> recognized trade union) or </w:t>
      </w:r>
      <w:r w:rsidR="00E9382D">
        <w:rPr>
          <w:sz w:val="22"/>
        </w:rPr>
        <w:t xml:space="preserve">when the grant in question itself </w:t>
      </w:r>
      <w:r w:rsidR="00E9382D">
        <w:rPr>
          <w:sz w:val="22"/>
        </w:rPr>
        <w:lastRenderedPageBreak/>
        <w:t xml:space="preserve">serves the preparation or </w:t>
      </w:r>
      <w:r w:rsidR="00462278">
        <w:rPr>
          <w:sz w:val="22"/>
        </w:rPr>
        <w:t>conduct of the grant-making process</w:t>
      </w:r>
      <w:r>
        <w:rPr>
          <w:sz w:val="22"/>
        </w:rPr>
        <w:t xml:space="preserve"> </w:t>
      </w:r>
      <w:r w:rsidR="00462278">
        <w:rPr>
          <w:sz w:val="22"/>
        </w:rPr>
        <w:t>in line with the project document (e.g. grant writing workshop).</w:t>
      </w:r>
      <w:r w:rsidR="001C757D">
        <w:rPr>
          <w:sz w:val="22"/>
        </w:rPr>
        <w:t xml:space="preserve"> Ad-hoc award of a grant must be documented </w:t>
      </w:r>
      <w:r w:rsidR="003D1BA8">
        <w:rPr>
          <w:sz w:val="22"/>
        </w:rPr>
        <w:t xml:space="preserve">in </w:t>
      </w:r>
      <w:r w:rsidR="001C757D">
        <w:rPr>
          <w:sz w:val="22"/>
        </w:rPr>
        <w:t>the</w:t>
      </w:r>
      <w:r w:rsidR="003D1BA8">
        <w:rPr>
          <w:sz w:val="22"/>
        </w:rPr>
        <w:t xml:space="preserve"> project document or project board</w:t>
      </w:r>
      <w:r w:rsidR="00141845">
        <w:rPr>
          <w:sz w:val="22"/>
        </w:rPr>
        <w:t>.</w:t>
      </w:r>
    </w:p>
    <w:p w14:paraId="43FA8215" w14:textId="0148700B" w:rsidR="00E62BB5" w:rsidRDefault="00546AF8" w:rsidP="003D0F9A">
      <w:pPr>
        <w:pStyle w:val="ListParagraph"/>
        <w:numPr>
          <w:ilvl w:val="0"/>
          <w:numId w:val="19"/>
        </w:numPr>
        <w:spacing w:before="120"/>
        <w:contextualSpacing w:val="0"/>
        <w:jc w:val="both"/>
      </w:pPr>
      <w:r>
        <w:rPr>
          <w:sz w:val="22"/>
        </w:rPr>
        <w:t>The result of the grant selection process, i.e. which entity is receiving a grant and which proposals were rejected</w:t>
      </w:r>
      <w:r w:rsidR="00E13BC4">
        <w:rPr>
          <w:sz w:val="22"/>
        </w:rPr>
        <w:t xml:space="preserve">, must be published, usually in the same way the solicitation process was handled. </w:t>
      </w:r>
      <w:r w:rsidR="003D1BA8">
        <w:rPr>
          <w:sz w:val="22"/>
        </w:rPr>
        <w:t>T</w:t>
      </w:r>
      <w:r w:rsidR="00E13BC4">
        <w:rPr>
          <w:sz w:val="22"/>
        </w:rPr>
        <w:t xml:space="preserve">he publication of the selection process serves a larger transparency and accountability purpose but can </w:t>
      </w:r>
      <w:r w:rsidR="00856227">
        <w:rPr>
          <w:sz w:val="22"/>
        </w:rPr>
        <w:t xml:space="preserve">also </w:t>
      </w:r>
      <w:r w:rsidR="00E13BC4">
        <w:rPr>
          <w:sz w:val="22"/>
        </w:rPr>
        <w:t>trigger collaboration among entities who were successful and those who were not. Hence, at least for the winning grant proposals it is important to make available the title of the grant, the name of the entity, and the contact information of the person signing the grant in an appropriate fashion.</w:t>
      </w:r>
    </w:p>
    <w:p w14:paraId="7C5D4A2C" w14:textId="77777777" w:rsidR="002540A6" w:rsidRPr="00F74191" w:rsidRDefault="002540A6" w:rsidP="00D60158">
      <w:pPr>
        <w:jc w:val="both"/>
        <w:rPr>
          <w:sz w:val="22"/>
        </w:rPr>
      </w:pPr>
    </w:p>
    <w:p w14:paraId="21F3856E" w14:textId="499E53A7" w:rsidR="00F30769" w:rsidRPr="00F74191" w:rsidRDefault="00F30769" w:rsidP="00F30769">
      <w:pPr>
        <w:pStyle w:val="Heading2"/>
      </w:pPr>
      <w:bookmarkStart w:id="20" w:name="_Toc530059527"/>
      <w:r w:rsidRPr="00F74191">
        <w:t xml:space="preserve">Formulating grant </w:t>
      </w:r>
      <w:r w:rsidR="00B943C3">
        <w:t>components</w:t>
      </w:r>
      <w:bookmarkEnd w:id="20"/>
    </w:p>
    <w:p w14:paraId="165281CA" w14:textId="0A76C512" w:rsidR="00F30769" w:rsidRDefault="00A43B41" w:rsidP="003D0F9A">
      <w:pPr>
        <w:pStyle w:val="ListParagraph"/>
        <w:numPr>
          <w:ilvl w:val="0"/>
          <w:numId w:val="19"/>
        </w:numPr>
        <w:spacing w:before="120"/>
        <w:contextualSpacing w:val="0"/>
        <w:jc w:val="both"/>
        <w:rPr>
          <w:sz w:val="22"/>
        </w:rPr>
      </w:pPr>
      <w:r>
        <w:rPr>
          <w:sz w:val="22"/>
        </w:rPr>
        <w:t>Low value g</w:t>
      </w:r>
      <w:r w:rsidR="00114D4F">
        <w:rPr>
          <w:sz w:val="22"/>
        </w:rPr>
        <w:t>rant</w:t>
      </w:r>
      <w:r>
        <w:rPr>
          <w:sz w:val="22"/>
        </w:rPr>
        <w:t xml:space="preserve">s often </w:t>
      </w:r>
      <w:r w:rsidR="00F30769">
        <w:rPr>
          <w:sz w:val="22"/>
        </w:rPr>
        <w:t xml:space="preserve">call for much more direct and sustained engagement of civil society, non-governmental organizations or specific population groups to achieve the intended development result. </w:t>
      </w:r>
      <w:r w:rsidR="00B943C3">
        <w:rPr>
          <w:sz w:val="22"/>
        </w:rPr>
        <w:t xml:space="preserve">LVGs can be included as part of broader </w:t>
      </w:r>
      <w:r w:rsidR="00F30769">
        <w:rPr>
          <w:sz w:val="22"/>
        </w:rPr>
        <w:t>development projects,</w:t>
      </w:r>
      <w:r w:rsidR="00B943C3">
        <w:rPr>
          <w:sz w:val="22"/>
        </w:rPr>
        <w:t xml:space="preserve"> or</w:t>
      </w:r>
      <w:r w:rsidR="00F30769">
        <w:rPr>
          <w:sz w:val="22"/>
        </w:rPr>
        <w:t xml:space="preserve"> the use of LVGs can be the primary, even though rarely the exclusive, course of action. </w:t>
      </w:r>
    </w:p>
    <w:p w14:paraId="09F186D9" w14:textId="78E2886A" w:rsidR="00F30769" w:rsidRDefault="00F30769" w:rsidP="00F30769">
      <w:pPr>
        <w:jc w:val="both"/>
        <w:rPr>
          <w:sz w:val="22"/>
        </w:rPr>
      </w:pPr>
    </w:p>
    <w:p w14:paraId="11CEE184" w14:textId="77777777" w:rsidR="00F30769" w:rsidRPr="005520E8" w:rsidRDefault="00F30769" w:rsidP="00F30769">
      <w:pPr>
        <w:pStyle w:val="Heading4"/>
      </w:pPr>
      <w:bookmarkStart w:id="21" w:name="_Toc530059528"/>
      <w:r w:rsidRPr="005520E8">
        <w:t>Formulating a grant</w:t>
      </w:r>
      <w:r w:rsidR="008F5AEB">
        <w:t xml:space="preserve"> component within a</w:t>
      </w:r>
      <w:r w:rsidRPr="005520E8">
        <w:t xml:space="preserve"> project:</w:t>
      </w:r>
      <w:bookmarkEnd w:id="21"/>
    </w:p>
    <w:p w14:paraId="48AE3EA6" w14:textId="203E9AA8" w:rsidR="00F30769" w:rsidRDefault="001F0687" w:rsidP="003D0F9A">
      <w:pPr>
        <w:pStyle w:val="ListParagraph"/>
        <w:numPr>
          <w:ilvl w:val="0"/>
          <w:numId w:val="19"/>
        </w:numPr>
        <w:spacing w:before="120"/>
        <w:contextualSpacing w:val="0"/>
        <w:jc w:val="both"/>
        <w:rPr>
          <w:sz w:val="22"/>
        </w:rPr>
      </w:pPr>
      <w:r>
        <w:rPr>
          <w:sz w:val="22"/>
        </w:rPr>
        <w:t xml:space="preserve">Grant components can be included in projects under any implementation modality, i.e., NIM, DIM, UN agency implementation and NGO implementation. </w:t>
      </w:r>
      <w:r w:rsidR="00F30769">
        <w:rPr>
          <w:sz w:val="22"/>
        </w:rPr>
        <w:t xml:space="preserve">Grant </w:t>
      </w:r>
      <w:r w:rsidR="008F5AEB">
        <w:rPr>
          <w:sz w:val="22"/>
        </w:rPr>
        <w:t xml:space="preserve">components </w:t>
      </w:r>
      <w:r w:rsidR="00F30769">
        <w:rPr>
          <w:sz w:val="22"/>
        </w:rPr>
        <w:t>fall into two categories:</w:t>
      </w:r>
    </w:p>
    <w:p w14:paraId="5FA63AE6" w14:textId="2D0E2211" w:rsidR="00F30769" w:rsidRPr="00763AC6" w:rsidRDefault="00F30769" w:rsidP="00E532E6">
      <w:pPr>
        <w:pStyle w:val="ListParagraph"/>
        <w:numPr>
          <w:ilvl w:val="1"/>
          <w:numId w:val="7"/>
        </w:numPr>
        <w:jc w:val="both"/>
        <w:rPr>
          <w:sz w:val="22"/>
        </w:rPr>
      </w:pPr>
      <w:r w:rsidRPr="00763AC6">
        <w:rPr>
          <w:sz w:val="22"/>
          <w:u w:val="single"/>
        </w:rPr>
        <w:t>Direct granting</w:t>
      </w:r>
      <w:r>
        <w:rPr>
          <w:sz w:val="22"/>
        </w:rPr>
        <w:t xml:space="preserve">: In these projects </w:t>
      </w:r>
      <w:r w:rsidRPr="00763AC6">
        <w:rPr>
          <w:iCs/>
          <w:sz w:val="22"/>
        </w:rPr>
        <w:t xml:space="preserve">UNDP </w:t>
      </w:r>
      <w:r w:rsidR="00061249">
        <w:rPr>
          <w:iCs/>
          <w:sz w:val="22"/>
        </w:rPr>
        <w:t>is responsible for grant solicitation</w:t>
      </w:r>
      <w:r w:rsidRPr="00763AC6">
        <w:rPr>
          <w:iCs/>
          <w:sz w:val="22"/>
        </w:rPr>
        <w:t xml:space="preserve"> and </w:t>
      </w:r>
      <w:r w:rsidR="00061249" w:rsidRPr="00763AC6">
        <w:rPr>
          <w:iCs/>
          <w:sz w:val="22"/>
        </w:rPr>
        <w:t>signs grant</w:t>
      </w:r>
      <w:r w:rsidRPr="00763AC6">
        <w:rPr>
          <w:iCs/>
          <w:sz w:val="22"/>
        </w:rPr>
        <w:t xml:space="preserve"> agreement</w:t>
      </w:r>
      <w:r w:rsidR="00061249">
        <w:rPr>
          <w:iCs/>
          <w:sz w:val="22"/>
        </w:rPr>
        <w:t>s</w:t>
      </w:r>
      <w:r w:rsidRPr="00763AC6">
        <w:rPr>
          <w:iCs/>
          <w:sz w:val="22"/>
        </w:rPr>
        <w:t xml:space="preserve"> with the recipient </w:t>
      </w:r>
      <w:r w:rsidR="008F5AEB">
        <w:rPr>
          <w:iCs/>
          <w:sz w:val="22"/>
        </w:rPr>
        <w:t>under a direct implementation (DIM) project</w:t>
      </w:r>
      <w:r w:rsidRPr="00763AC6">
        <w:rPr>
          <w:iCs/>
          <w:sz w:val="22"/>
        </w:rPr>
        <w:t xml:space="preserve">, or </w:t>
      </w:r>
      <w:r w:rsidR="00753916">
        <w:rPr>
          <w:iCs/>
          <w:sz w:val="22"/>
        </w:rPr>
        <w:t xml:space="preserve">while </w:t>
      </w:r>
      <w:r w:rsidRPr="00763AC6">
        <w:rPr>
          <w:iCs/>
          <w:sz w:val="22"/>
        </w:rPr>
        <w:t>provid</w:t>
      </w:r>
      <w:r w:rsidR="008F5AEB">
        <w:rPr>
          <w:iCs/>
          <w:sz w:val="22"/>
        </w:rPr>
        <w:t>ing</w:t>
      </w:r>
      <w:r w:rsidRPr="00763AC6">
        <w:rPr>
          <w:iCs/>
          <w:sz w:val="22"/>
        </w:rPr>
        <w:t xml:space="preserve"> </w:t>
      </w:r>
      <w:r>
        <w:rPr>
          <w:iCs/>
          <w:sz w:val="22"/>
        </w:rPr>
        <w:t>country office support services</w:t>
      </w:r>
      <w:r w:rsidR="008F5AEB">
        <w:rPr>
          <w:iCs/>
          <w:sz w:val="22"/>
        </w:rPr>
        <w:t xml:space="preserve"> (COS) under a nationally implemented (NIM) project</w:t>
      </w:r>
      <w:r w:rsidR="0009643B">
        <w:rPr>
          <w:iCs/>
          <w:sz w:val="22"/>
        </w:rPr>
        <w:t>.</w:t>
      </w:r>
      <w:r w:rsidR="008F5AEB">
        <w:rPr>
          <w:iCs/>
          <w:sz w:val="22"/>
        </w:rPr>
        <w:t xml:space="preserve"> </w:t>
      </w:r>
      <w:r>
        <w:rPr>
          <w:iCs/>
          <w:sz w:val="22"/>
        </w:rPr>
        <w:t>UNDP is responsible for all aspects of grant</w:t>
      </w:r>
      <w:r w:rsidR="00061249">
        <w:rPr>
          <w:iCs/>
          <w:sz w:val="22"/>
        </w:rPr>
        <w:t>-</w:t>
      </w:r>
      <w:r>
        <w:rPr>
          <w:iCs/>
          <w:sz w:val="22"/>
        </w:rPr>
        <w:t>ma</w:t>
      </w:r>
      <w:r w:rsidR="00061249">
        <w:rPr>
          <w:iCs/>
          <w:sz w:val="22"/>
        </w:rPr>
        <w:t>king.</w:t>
      </w:r>
      <w:r>
        <w:rPr>
          <w:iCs/>
          <w:sz w:val="22"/>
        </w:rPr>
        <w:t xml:space="preserve"> </w:t>
      </w:r>
    </w:p>
    <w:p w14:paraId="072E662B" w14:textId="28071457" w:rsidR="00984A70" w:rsidRPr="00984A70" w:rsidRDefault="00F30769" w:rsidP="00E532E6">
      <w:pPr>
        <w:pStyle w:val="ListParagraph"/>
        <w:numPr>
          <w:ilvl w:val="1"/>
          <w:numId w:val="7"/>
        </w:numPr>
        <w:jc w:val="both"/>
        <w:rPr>
          <w:iCs/>
          <w:sz w:val="22"/>
        </w:rPr>
      </w:pPr>
      <w:r w:rsidRPr="004A62B3">
        <w:rPr>
          <w:sz w:val="22"/>
          <w:u w:val="single"/>
        </w:rPr>
        <w:t>Indirect granting or “on</w:t>
      </w:r>
      <w:r w:rsidRPr="004A62B3">
        <w:rPr>
          <w:iCs/>
          <w:sz w:val="22"/>
          <w:u w:val="single"/>
        </w:rPr>
        <w:t>-granting”</w:t>
      </w:r>
      <w:r w:rsidRPr="004A62B3">
        <w:rPr>
          <w:iCs/>
          <w:sz w:val="22"/>
        </w:rPr>
        <w:t xml:space="preserve">: </w:t>
      </w:r>
      <w:r w:rsidR="001C69AF">
        <w:rPr>
          <w:iCs/>
          <w:sz w:val="22"/>
        </w:rPr>
        <w:t>A</w:t>
      </w:r>
      <w:r w:rsidR="001C69AF" w:rsidRPr="004A62B3">
        <w:rPr>
          <w:iCs/>
          <w:sz w:val="22"/>
        </w:rPr>
        <w:t xml:space="preserve">n </w:t>
      </w:r>
      <w:r w:rsidRPr="004A62B3">
        <w:rPr>
          <w:iCs/>
          <w:sz w:val="22"/>
        </w:rPr>
        <w:t xml:space="preserve">arrangement where UNDP provides funds to a grant-making institution serving as </w:t>
      </w:r>
      <w:r w:rsidR="00F063A8">
        <w:rPr>
          <w:iCs/>
          <w:sz w:val="22"/>
        </w:rPr>
        <w:t>either an</w:t>
      </w:r>
      <w:r w:rsidRPr="004A62B3">
        <w:rPr>
          <w:iCs/>
          <w:sz w:val="22"/>
        </w:rPr>
        <w:t xml:space="preserve"> implementing partner (under national implementation) or responsible party (under direct implementation or direct country office support services</w:t>
      </w:r>
      <w:r w:rsidR="008F5AEB">
        <w:rPr>
          <w:iCs/>
          <w:sz w:val="22"/>
        </w:rPr>
        <w:t xml:space="preserve"> to NIM</w:t>
      </w:r>
      <w:r w:rsidRPr="004A62B3">
        <w:rPr>
          <w:iCs/>
          <w:sz w:val="22"/>
        </w:rPr>
        <w:t>). The institution then awards grants to recipient(s) following certain specified guidelines and appropriate due diligence</w:t>
      </w:r>
      <w:r w:rsidR="00636FA4">
        <w:rPr>
          <w:iCs/>
          <w:sz w:val="22"/>
        </w:rPr>
        <w:t xml:space="preserve">, including </w:t>
      </w:r>
      <w:r w:rsidR="00F063A8">
        <w:rPr>
          <w:iCs/>
          <w:sz w:val="22"/>
        </w:rPr>
        <w:t>being qualified to perform that role after an</w:t>
      </w:r>
      <w:r w:rsidR="00636FA4">
        <w:rPr>
          <w:iCs/>
          <w:sz w:val="22"/>
        </w:rPr>
        <w:t xml:space="preserve"> assessment of </w:t>
      </w:r>
      <w:r w:rsidR="00F063A8">
        <w:rPr>
          <w:iCs/>
          <w:sz w:val="22"/>
        </w:rPr>
        <w:t xml:space="preserve">their </w:t>
      </w:r>
      <w:r w:rsidR="00636FA4">
        <w:rPr>
          <w:iCs/>
          <w:sz w:val="22"/>
        </w:rPr>
        <w:t>capacity for on-granting</w:t>
      </w:r>
      <w:r w:rsidR="00842FFF">
        <w:rPr>
          <w:iCs/>
          <w:sz w:val="22"/>
        </w:rPr>
        <w:t xml:space="preserve"> by UNDP</w:t>
      </w:r>
      <w:r w:rsidRPr="004A62B3">
        <w:rPr>
          <w:iCs/>
          <w:sz w:val="22"/>
        </w:rPr>
        <w:t>.</w:t>
      </w:r>
      <w:r w:rsidR="004A62B3" w:rsidRPr="004A62B3">
        <w:rPr>
          <w:iCs/>
          <w:sz w:val="22"/>
        </w:rPr>
        <w:t xml:space="preserve"> This is an indirect grant-making process since UNDP and the grantees have no direct relationship</w:t>
      </w:r>
      <w:r w:rsidR="00F063A8">
        <w:rPr>
          <w:iCs/>
          <w:sz w:val="22"/>
        </w:rPr>
        <w:t>; the grant agreement in this case is signed by the grantee and the grant-making institution</w:t>
      </w:r>
      <w:r w:rsidR="004A62B3" w:rsidRPr="004A62B3">
        <w:rPr>
          <w:iCs/>
          <w:sz w:val="22"/>
        </w:rPr>
        <w:t xml:space="preserve">. UNDP’s role can include </w:t>
      </w:r>
      <w:r w:rsidR="00633C88">
        <w:rPr>
          <w:iCs/>
          <w:sz w:val="22"/>
        </w:rPr>
        <w:t xml:space="preserve">providing </w:t>
      </w:r>
      <w:r w:rsidR="00CE1E6E">
        <w:rPr>
          <w:iCs/>
          <w:sz w:val="22"/>
        </w:rPr>
        <w:t xml:space="preserve">technical </w:t>
      </w:r>
      <w:r w:rsidR="004A62B3" w:rsidRPr="004A62B3">
        <w:rPr>
          <w:iCs/>
          <w:sz w:val="22"/>
        </w:rPr>
        <w:t>assistance</w:t>
      </w:r>
      <w:r w:rsidR="00633C88">
        <w:rPr>
          <w:iCs/>
          <w:sz w:val="22"/>
        </w:rPr>
        <w:t xml:space="preserve"> to the </w:t>
      </w:r>
      <w:r w:rsidR="00B02843">
        <w:rPr>
          <w:iCs/>
          <w:sz w:val="22"/>
        </w:rPr>
        <w:t>grant recipient as required</w:t>
      </w:r>
      <w:r w:rsidR="004A62B3" w:rsidRPr="004A62B3">
        <w:rPr>
          <w:iCs/>
          <w:sz w:val="22"/>
        </w:rPr>
        <w:t>.</w:t>
      </w:r>
      <w:r w:rsidR="00354DAC" w:rsidRPr="00354DAC">
        <w:rPr>
          <w:b/>
        </w:rPr>
        <w:t xml:space="preserve"> </w:t>
      </w:r>
    </w:p>
    <w:p w14:paraId="1A124695" w14:textId="1D60C4C3" w:rsidR="004A62B3" w:rsidRPr="002735AC" w:rsidRDefault="00354DAC" w:rsidP="003D0F9A">
      <w:pPr>
        <w:pStyle w:val="ListParagraph"/>
        <w:numPr>
          <w:ilvl w:val="0"/>
          <w:numId w:val="19"/>
        </w:numPr>
        <w:spacing w:before="120"/>
        <w:contextualSpacing w:val="0"/>
        <w:jc w:val="both"/>
        <w:rPr>
          <w:sz w:val="22"/>
        </w:rPr>
      </w:pPr>
      <w:r w:rsidRPr="002735AC">
        <w:rPr>
          <w:sz w:val="22"/>
        </w:rPr>
        <w:t xml:space="preserve">The </w:t>
      </w:r>
      <w:r w:rsidR="00984A70" w:rsidRPr="002735AC">
        <w:rPr>
          <w:sz w:val="22"/>
        </w:rPr>
        <w:t xml:space="preserve">decision of using </w:t>
      </w:r>
      <w:r w:rsidR="00B943C3">
        <w:rPr>
          <w:sz w:val="22"/>
        </w:rPr>
        <w:t>on-</w:t>
      </w:r>
      <w:r w:rsidR="00984A70" w:rsidRPr="002735AC">
        <w:rPr>
          <w:sz w:val="22"/>
        </w:rPr>
        <w:t xml:space="preserve">granting typically </w:t>
      </w:r>
      <w:r w:rsidR="00D23141" w:rsidRPr="002735AC">
        <w:rPr>
          <w:sz w:val="22"/>
        </w:rPr>
        <w:t xml:space="preserve">reflects </w:t>
      </w:r>
      <w:r w:rsidR="001C69AF">
        <w:rPr>
          <w:sz w:val="22"/>
        </w:rPr>
        <w:t>the following</w:t>
      </w:r>
      <w:r w:rsidR="00D23141" w:rsidRPr="002735AC">
        <w:rPr>
          <w:sz w:val="22"/>
        </w:rPr>
        <w:t xml:space="preserve"> consideration</w:t>
      </w:r>
      <w:r w:rsidR="001C69AF">
        <w:rPr>
          <w:sz w:val="22"/>
        </w:rPr>
        <w:t>s</w:t>
      </w:r>
      <w:r w:rsidR="00D23141" w:rsidRPr="002735AC">
        <w:rPr>
          <w:sz w:val="22"/>
        </w:rPr>
        <w:t xml:space="preserve">: </w:t>
      </w:r>
      <w:r w:rsidR="001C69AF">
        <w:rPr>
          <w:sz w:val="22"/>
        </w:rPr>
        <w:t xml:space="preserve">a) </w:t>
      </w:r>
      <w:r w:rsidR="00D23141" w:rsidRPr="002735AC">
        <w:rPr>
          <w:sz w:val="22"/>
        </w:rPr>
        <w:t>a</w:t>
      </w:r>
      <w:r w:rsidR="00984A70" w:rsidRPr="002735AC">
        <w:rPr>
          <w:sz w:val="22"/>
        </w:rPr>
        <w:t>n existing entity already has established contacts with the intended beneficiaries as well as sufficient expertise and infrastructure to manage grant-making</w:t>
      </w:r>
      <w:r w:rsidR="001C69AF">
        <w:rPr>
          <w:sz w:val="22"/>
        </w:rPr>
        <w:t xml:space="preserve">, b)  use of </w:t>
      </w:r>
      <w:r w:rsidR="00351825" w:rsidRPr="002735AC">
        <w:rPr>
          <w:sz w:val="22"/>
        </w:rPr>
        <w:t xml:space="preserve"> an ex</w:t>
      </w:r>
      <w:r w:rsidR="00D23141" w:rsidRPr="002735AC">
        <w:rPr>
          <w:sz w:val="22"/>
        </w:rPr>
        <w:t xml:space="preserve">isting entity </w:t>
      </w:r>
      <w:r w:rsidR="00E94A68" w:rsidRPr="002735AC">
        <w:rPr>
          <w:sz w:val="22"/>
        </w:rPr>
        <w:t>may be</w:t>
      </w:r>
      <w:r w:rsidR="00D23141" w:rsidRPr="002735AC">
        <w:rPr>
          <w:sz w:val="22"/>
        </w:rPr>
        <w:t xml:space="preserve"> more efficient, </w:t>
      </w:r>
      <w:r w:rsidR="001C69AF">
        <w:rPr>
          <w:sz w:val="22"/>
        </w:rPr>
        <w:t xml:space="preserve">c) use of the entity is important for national ownership, d) indirect granting </w:t>
      </w:r>
      <w:r w:rsidR="00D23141" w:rsidRPr="002735AC">
        <w:rPr>
          <w:sz w:val="22"/>
        </w:rPr>
        <w:t>potentially leads to higher impact through the pooling of grant funding</w:t>
      </w:r>
      <w:r w:rsidR="001C69AF">
        <w:rPr>
          <w:sz w:val="22"/>
        </w:rPr>
        <w:t xml:space="preserve"> and strengthening national capacities.</w:t>
      </w:r>
    </w:p>
    <w:p w14:paraId="4A2A7621" w14:textId="77777777" w:rsidR="00F30769" w:rsidRDefault="00F30769" w:rsidP="00D23141">
      <w:pPr>
        <w:pStyle w:val="ListParagraph"/>
        <w:jc w:val="both"/>
        <w:rPr>
          <w:sz w:val="22"/>
        </w:rPr>
      </w:pPr>
    </w:p>
    <w:p w14:paraId="5A02AC13" w14:textId="5DF032DD" w:rsidR="00F30769" w:rsidRPr="00957F0E" w:rsidRDefault="00F30769" w:rsidP="00F30769">
      <w:pPr>
        <w:pStyle w:val="Heading4"/>
      </w:pPr>
      <w:bookmarkStart w:id="22" w:name="_Toc530059529"/>
      <w:r w:rsidRPr="00DB414A">
        <w:t xml:space="preserve">Selection of a Partner for </w:t>
      </w:r>
      <w:r w:rsidR="00C97EFF" w:rsidRPr="00DB414A">
        <w:t>on-granting</w:t>
      </w:r>
      <w:r w:rsidRPr="00DB414A">
        <w:t>:</w:t>
      </w:r>
      <w:bookmarkEnd w:id="22"/>
    </w:p>
    <w:p w14:paraId="3EB9D10C" w14:textId="417B659D" w:rsidR="00F30769" w:rsidRPr="009F17FE" w:rsidRDefault="00F30769" w:rsidP="003D0F9A">
      <w:pPr>
        <w:pStyle w:val="ListParagraph"/>
        <w:numPr>
          <w:ilvl w:val="0"/>
          <w:numId w:val="19"/>
        </w:numPr>
        <w:spacing w:before="120"/>
        <w:contextualSpacing w:val="0"/>
        <w:jc w:val="both"/>
        <w:rPr>
          <w:sz w:val="22"/>
        </w:rPr>
      </w:pPr>
      <w:r w:rsidRPr="001E2EE6">
        <w:rPr>
          <w:sz w:val="22"/>
          <w:szCs w:val="22"/>
        </w:rPr>
        <w:t>In case an entity other than UNDP is considered</w:t>
      </w:r>
      <w:r w:rsidR="00C97EFF">
        <w:rPr>
          <w:sz w:val="22"/>
          <w:szCs w:val="22"/>
        </w:rPr>
        <w:t xml:space="preserve"> to serve an on-granting role</w:t>
      </w:r>
      <w:r w:rsidRPr="001E2EE6">
        <w:rPr>
          <w:sz w:val="22"/>
          <w:szCs w:val="22"/>
        </w:rPr>
        <w:t xml:space="preserve">, then a </w:t>
      </w:r>
      <w:r w:rsidRPr="00851FB2">
        <w:rPr>
          <w:sz w:val="22"/>
          <w:szCs w:val="22"/>
        </w:rPr>
        <w:t>specific capacity assessment</w:t>
      </w:r>
      <w:r w:rsidR="00DB414A" w:rsidRPr="00DB414A">
        <w:rPr>
          <w:rStyle w:val="FootnoteReference"/>
        </w:rPr>
        <w:footnoteReference w:id="11"/>
      </w:r>
      <w:r w:rsidRPr="001E2EE6">
        <w:rPr>
          <w:sz w:val="22"/>
          <w:szCs w:val="22"/>
        </w:rPr>
        <w:t xml:space="preserve"> for on-granting must be conducted. UNDP is responsible for assessing the grant-making institution to ensure it has the programmatic, financial and management capacities and systems </w:t>
      </w:r>
      <w:r w:rsidR="00892E02">
        <w:rPr>
          <w:sz w:val="22"/>
          <w:szCs w:val="22"/>
        </w:rPr>
        <w:t>compatible with UNDP regulations and rules</w:t>
      </w:r>
      <w:r w:rsidR="00892E02" w:rsidRPr="001E2EE6">
        <w:rPr>
          <w:sz w:val="22"/>
          <w:szCs w:val="22"/>
        </w:rPr>
        <w:t xml:space="preserve"> </w:t>
      </w:r>
      <w:r w:rsidRPr="001E2EE6">
        <w:rPr>
          <w:sz w:val="22"/>
          <w:szCs w:val="22"/>
        </w:rPr>
        <w:t xml:space="preserve">to effectively undertake its roles. </w:t>
      </w:r>
      <w:r w:rsidR="002B710D">
        <w:rPr>
          <w:sz w:val="22"/>
          <w:szCs w:val="22"/>
        </w:rPr>
        <w:t>The</w:t>
      </w:r>
      <w:r w:rsidRPr="001E2EE6">
        <w:rPr>
          <w:sz w:val="22"/>
          <w:szCs w:val="22"/>
        </w:rPr>
        <w:t xml:space="preserve"> standard programmatic and financial assessments applied to UNDP’s </w:t>
      </w:r>
      <w:r w:rsidRPr="001E2EE6">
        <w:rPr>
          <w:sz w:val="22"/>
          <w:szCs w:val="22"/>
        </w:rPr>
        <w:lastRenderedPageBreak/>
        <w:t>implementing</w:t>
      </w:r>
      <w:r w:rsidRPr="009F17FE">
        <w:rPr>
          <w:sz w:val="22"/>
        </w:rPr>
        <w:t xml:space="preserve"> partners</w:t>
      </w:r>
      <w:r w:rsidR="004D4B38">
        <w:rPr>
          <w:sz w:val="22"/>
        </w:rPr>
        <w:t xml:space="preserve"> and Responsible Parties</w:t>
      </w:r>
      <w:r w:rsidRPr="009F17FE">
        <w:rPr>
          <w:sz w:val="22"/>
        </w:rPr>
        <w:t xml:space="preserve">, including HACT, </w:t>
      </w:r>
      <w:r w:rsidR="002B710D">
        <w:rPr>
          <w:sz w:val="22"/>
        </w:rPr>
        <w:t xml:space="preserve">also </w:t>
      </w:r>
      <w:r w:rsidR="004D4B38">
        <w:rPr>
          <w:sz w:val="22"/>
        </w:rPr>
        <w:t>apply. T</w:t>
      </w:r>
      <w:r w:rsidRPr="009F17FE">
        <w:rPr>
          <w:sz w:val="22"/>
        </w:rPr>
        <w:t>he assessment for on-granting includes the following areas:</w:t>
      </w:r>
    </w:p>
    <w:p w14:paraId="799592D2" w14:textId="77777777" w:rsidR="00F30769" w:rsidRPr="009F17FE" w:rsidRDefault="00F30769" w:rsidP="00E532E6">
      <w:pPr>
        <w:numPr>
          <w:ilvl w:val="0"/>
          <w:numId w:val="9"/>
        </w:numPr>
        <w:jc w:val="both"/>
        <w:rPr>
          <w:sz w:val="22"/>
        </w:rPr>
      </w:pPr>
      <w:r w:rsidRPr="009F17FE">
        <w:rPr>
          <w:sz w:val="22"/>
        </w:rPr>
        <w:t>Institutional capacity for grant award management, comprising a framework/system for undertaking grant proposal evaluation, due diligence and appropriate governance, and risk management (including composition and terms of reference of the grant award evaluation committee);</w:t>
      </w:r>
    </w:p>
    <w:p w14:paraId="7A2E7DD8" w14:textId="77777777" w:rsidR="00F30769" w:rsidRPr="009F17FE" w:rsidRDefault="00F30769" w:rsidP="00E532E6">
      <w:pPr>
        <w:numPr>
          <w:ilvl w:val="0"/>
          <w:numId w:val="9"/>
        </w:numPr>
        <w:jc w:val="both"/>
        <w:rPr>
          <w:sz w:val="22"/>
        </w:rPr>
      </w:pPr>
      <w:r w:rsidRPr="009F17FE">
        <w:rPr>
          <w:sz w:val="22"/>
        </w:rPr>
        <w:t xml:space="preserve">Financial resources management and systems, including analysis of granting portfolio; </w:t>
      </w:r>
    </w:p>
    <w:p w14:paraId="649EB589" w14:textId="77777777" w:rsidR="00F30769" w:rsidRPr="009F17FE" w:rsidRDefault="00F30769" w:rsidP="00E532E6">
      <w:pPr>
        <w:numPr>
          <w:ilvl w:val="0"/>
          <w:numId w:val="9"/>
        </w:numPr>
        <w:jc w:val="both"/>
        <w:rPr>
          <w:sz w:val="22"/>
        </w:rPr>
      </w:pPr>
      <w:r w:rsidRPr="009F17FE">
        <w:rPr>
          <w:sz w:val="22"/>
        </w:rPr>
        <w:t>Relevant history in managing resources through grant awards;</w:t>
      </w:r>
    </w:p>
    <w:p w14:paraId="37A74287" w14:textId="77777777" w:rsidR="00F30769" w:rsidRPr="009F17FE" w:rsidRDefault="00F30769" w:rsidP="00E532E6">
      <w:pPr>
        <w:numPr>
          <w:ilvl w:val="0"/>
          <w:numId w:val="9"/>
        </w:numPr>
        <w:jc w:val="both"/>
        <w:rPr>
          <w:sz w:val="22"/>
        </w:rPr>
      </w:pPr>
      <w:r w:rsidRPr="009F17FE">
        <w:rPr>
          <w:sz w:val="22"/>
        </w:rPr>
        <w:t>Relevant history in working with small organizations—including past experience in technical assistance and developing other organizations' capacity for social service delivery, competing for grants, managing grants, etc.;</w:t>
      </w:r>
    </w:p>
    <w:p w14:paraId="26B01541" w14:textId="77777777" w:rsidR="00F30769" w:rsidRPr="009F17FE" w:rsidRDefault="00F30769" w:rsidP="00E532E6">
      <w:pPr>
        <w:numPr>
          <w:ilvl w:val="0"/>
          <w:numId w:val="9"/>
        </w:numPr>
        <w:jc w:val="both"/>
        <w:rPr>
          <w:sz w:val="22"/>
        </w:rPr>
      </w:pPr>
      <w:r w:rsidRPr="009F17FE">
        <w:rPr>
          <w:sz w:val="22"/>
        </w:rPr>
        <w:t>Programmatic capacity, including</w:t>
      </w:r>
      <w:r w:rsidR="00C97EFF">
        <w:rPr>
          <w:sz w:val="22"/>
        </w:rPr>
        <w:t xml:space="preserve"> </w:t>
      </w:r>
      <w:r w:rsidRPr="009F17FE">
        <w:rPr>
          <w:sz w:val="22"/>
        </w:rPr>
        <w:t>monitoring and evaluation;</w:t>
      </w:r>
    </w:p>
    <w:p w14:paraId="4C2C1AC8" w14:textId="77777777" w:rsidR="00F30769" w:rsidRPr="009F17FE" w:rsidRDefault="00F30769" w:rsidP="00E532E6">
      <w:pPr>
        <w:numPr>
          <w:ilvl w:val="0"/>
          <w:numId w:val="9"/>
        </w:numPr>
        <w:jc w:val="both"/>
        <w:rPr>
          <w:sz w:val="22"/>
        </w:rPr>
      </w:pPr>
      <w:r w:rsidRPr="009F17FE">
        <w:rPr>
          <w:sz w:val="22"/>
        </w:rPr>
        <w:t>Capacity to assess and manage risk, including safeguarding people and the environment from harm;</w:t>
      </w:r>
    </w:p>
    <w:p w14:paraId="530C3F06" w14:textId="77777777" w:rsidR="00F30769" w:rsidRPr="009F17FE" w:rsidRDefault="00F30769" w:rsidP="00E532E6">
      <w:pPr>
        <w:numPr>
          <w:ilvl w:val="0"/>
          <w:numId w:val="9"/>
        </w:numPr>
        <w:jc w:val="both"/>
        <w:rPr>
          <w:sz w:val="22"/>
        </w:rPr>
      </w:pPr>
      <w:r w:rsidRPr="009F17FE">
        <w:rPr>
          <w:sz w:val="22"/>
        </w:rPr>
        <w:t>Procurement and supply management procedures with clearly defined responsibilities and applicable templates for assessing the eligibility and capabilities of potential grant recipients; and</w:t>
      </w:r>
    </w:p>
    <w:p w14:paraId="17DAB741" w14:textId="6BED6986" w:rsidR="00F30769" w:rsidRPr="009F17FE" w:rsidRDefault="00F30769" w:rsidP="00E532E6">
      <w:pPr>
        <w:numPr>
          <w:ilvl w:val="0"/>
          <w:numId w:val="9"/>
        </w:numPr>
        <w:jc w:val="both"/>
        <w:rPr>
          <w:sz w:val="22"/>
        </w:rPr>
      </w:pPr>
      <w:r w:rsidRPr="009F17FE">
        <w:rPr>
          <w:sz w:val="22"/>
        </w:rPr>
        <w:t>Transparency, including systems and processes to make informa</w:t>
      </w:r>
      <w:r w:rsidR="00141845">
        <w:rPr>
          <w:sz w:val="22"/>
        </w:rPr>
        <w:t>tion on grant recipients public;</w:t>
      </w:r>
    </w:p>
    <w:p w14:paraId="3CB4E592" w14:textId="2D6B40E3" w:rsidR="00F30769" w:rsidRPr="009F17FE" w:rsidRDefault="00F30769" w:rsidP="00E532E6">
      <w:pPr>
        <w:numPr>
          <w:ilvl w:val="0"/>
          <w:numId w:val="9"/>
        </w:numPr>
        <w:jc w:val="both"/>
        <w:rPr>
          <w:sz w:val="22"/>
        </w:rPr>
      </w:pPr>
      <w:r w:rsidRPr="009F17FE">
        <w:rPr>
          <w:sz w:val="22"/>
        </w:rPr>
        <w:t xml:space="preserve">The relevant assessment process and due diligence checklists for an implementing partner to perform on-granting are </w:t>
      </w:r>
      <w:hyperlink r:id="rId23" w:history="1">
        <w:r w:rsidRPr="00216579">
          <w:rPr>
            <w:rStyle w:val="Hyperlink"/>
            <w:sz w:val="22"/>
          </w:rPr>
          <w:t>here</w:t>
        </w:r>
      </w:hyperlink>
      <w:r w:rsidRPr="009F17FE">
        <w:rPr>
          <w:sz w:val="22"/>
        </w:rPr>
        <w:t>.</w:t>
      </w:r>
      <w:r w:rsidR="00DB414A" w:rsidRPr="00DB414A">
        <w:rPr>
          <w:rStyle w:val="FootnoteReference"/>
        </w:rPr>
        <w:footnoteReference w:id="12"/>
      </w:r>
    </w:p>
    <w:p w14:paraId="02D7EB48" w14:textId="4DAED61C" w:rsidR="0098717A" w:rsidRDefault="00F91542" w:rsidP="003D0F9A">
      <w:pPr>
        <w:pStyle w:val="ListParagraph"/>
        <w:numPr>
          <w:ilvl w:val="0"/>
          <w:numId w:val="19"/>
        </w:numPr>
        <w:spacing w:before="120"/>
        <w:contextualSpacing w:val="0"/>
        <w:jc w:val="both"/>
        <w:rPr>
          <w:sz w:val="22"/>
        </w:rPr>
      </w:pPr>
      <w:r>
        <w:rPr>
          <w:sz w:val="22"/>
        </w:rPr>
        <w:t xml:space="preserve">The standard </w:t>
      </w:r>
      <w:r w:rsidRPr="004C7051">
        <w:rPr>
          <w:sz w:val="22"/>
        </w:rPr>
        <w:t>on-granting clauses</w:t>
      </w:r>
      <w:r>
        <w:rPr>
          <w:sz w:val="22"/>
        </w:rPr>
        <w:t xml:space="preserve"> must be </w:t>
      </w:r>
      <w:r w:rsidR="00AE1CA9">
        <w:rPr>
          <w:sz w:val="22"/>
        </w:rPr>
        <w:t xml:space="preserve">added to the project document or Responsible Party Agreement for </w:t>
      </w:r>
      <w:r w:rsidR="00D1709A">
        <w:rPr>
          <w:sz w:val="22"/>
        </w:rPr>
        <w:t>i</w:t>
      </w:r>
      <w:r w:rsidR="00AE1CA9">
        <w:rPr>
          <w:sz w:val="22"/>
        </w:rPr>
        <w:t xml:space="preserve">mplementing </w:t>
      </w:r>
      <w:r w:rsidR="00D1709A">
        <w:rPr>
          <w:sz w:val="22"/>
        </w:rPr>
        <w:t>p</w:t>
      </w:r>
      <w:r w:rsidR="00AE1CA9">
        <w:rPr>
          <w:sz w:val="22"/>
        </w:rPr>
        <w:t xml:space="preserve">artners and </w:t>
      </w:r>
      <w:r w:rsidR="00D1709A">
        <w:rPr>
          <w:sz w:val="22"/>
        </w:rPr>
        <w:t>r</w:t>
      </w:r>
      <w:r w:rsidR="00AE1CA9">
        <w:rPr>
          <w:sz w:val="22"/>
        </w:rPr>
        <w:t xml:space="preserve">esponsible </w:t>
      </w:r>
      <w:r w:rsidR="00D1709A">
        <w:rPr>
          <w:sz w:val="22"/>
        </w:rPr>
        <w:t>p</w:t>
      </w:r>
      <w:r w:rsidR="00AE1CA9">
        <w:rPr>
          <w:sz w:val="22"/>
        </w:rPr>
        <w:t xml:space="preserve">arties respectively who will undertake grant making activities in a UNDP project. </w:t>
      </w:r>
      <w:r w:rsidR="004C7051">
        <w:rPr>
          <w:sz w:val="22"/>
        </w:rPr>
        <w:t xml:space="preserve">On-granting </w:t>
      </w:r>
      <w:hyperlink r:id="rId24" w:history="1">
        <w:r w:rsidR="004C7051" w:rsidRPr="004C7051">
          <w:rPr>
            <w:rStyle w:val="Hyperlink"/>
            <w:sz w:val="22"/>
          </w:rPr>
          <w:t>clauses applicable to a non-UNDP Implementing Partner can be found here</w:t>
        </w:r>
      </w:hyperlink>
      <w:r w:rsidR="004C7051">
        <w:rPr>
          <w:sz w:val="22"/>
        </w:rPr>
        <w:t xml:space="preserve"> and </w:t>
      </w:r>
      <w:hyperlink r:id="rId25" w:history="1">
        <w:r w:rsidR="004C7051" w:rsidRPr="004C7051">
          <w:rPr>
            <w:rStyle w:val="Hyperlink"/>
            <w:sz w:val="22"/>
          </w:rPr>
          <w:t>clauses applicable to a Responsible Party under DIM can be found here</w:t>
        </w:r>
      </w:hyperlink>
      <w:r w:rsidR="004C7051">
        <w:rPr>
          <w:sz w:val="22"/>
        </w:rPr>
        <w:t>.</w:t>
      </w:r>
    </w:p>
    <w:p w14:paraId="3069E972" w14:textId="6F10524F" w:rsidR="00F30769" w:rsidRPr="0098717A" w:rsidRDefault="00F30769" w:rsidP="003D0F9A">
      <w:pPr>
        <w:pStyle w:val="ListParagraph"/>
        <w:numPr>
          <w:ilvl w:val="0"/>
          <w:numId w:val="19"/>
        </w:numPr>
        <w:spacing w:before="120"/>
        <w:contextualSpacing w:val="0"/>
        <w:jc w:val="both"/>
        <w:rPr>
          <w:sz w:val="22"/>
        </w:rPr>
      </w:pPr>
      <w:r w:rsidRPr="0098717A">
        <w:rPr>
          <w:sz w:val="22"/>
        </w:rPr>
        <w:t xml:space="preserve">In case an implementing partner decides to assign a responsible party to perform the on-granting on its behalf, the implementing partner is expected to base selection on </w:t>
      </w:r>
      <w:r w:rsidR="00E560AF">
        <w:rPr>
          <w:sz w:val="22"/>
        </w:rPr>
        <w:t>a similar</w:t>
      </w:r>
      <w:r w:rsidRPr="0098717A">
        <w:rPr>
          <w:sz w:val="22"/>
        </w:rPr>
        <w:t xml:space="preserve"> capacity assessment process and due diligence standards that UNDP used to assess the implementing partner’s on-granting capacities and systems. While the project board (which includes UNDP) will review and recommend a choice for the responsible party, the implementing partner bear</w:t>
      </w:r>
      <w:r w:rsidR="00892E02">
        <w:rPr>
          <w:sz w:val="22"/>
        </w:rPr>
        <w:t>s</w:t>
      </w:r>
      <w:r w:rsidRPr="0098717A">
        <w:rPr>
          <w:sz w:val="22"/>
        </w:rPr>
        <w:t xml:space="preserve"> full accountability for the final decision on selection.</w:t>
      </w:r>
    </w:p>
    <w:p w14:paraId="70BD345F" w14:textId="77777777" w:rsidR="007E5195" w:rsidRPr="00F74191" w:rsidRDefault="007E5195" w:rsidP="00D60158">
      <w:pPr>
        <w:jc w:val="both"/>
        <w:rPr>
          <w:sz w:val="22"/>
        </w:rPr>
      </w:pPr>
    </w:p>
    <w:p w14:paraId="258F25BC" w14:textId="77777777" w:rsidR="00652B36" w:rsidRPr="00F74191" w:rsidRDefault="00652B36" w:rsidP="005A0D3C">
      <w:pPr>
        <w:pStyle w:val="Heading2"/>
      </w:pPr>
      <w:bookmarkStart w:id="23" w:name="_Toc530059530"/>
      <w:r w:rsidRPr="00F74191">
        <w:t>Implementation of grants</w:t>
      </w:r>
      <w:bookmarkEnd w:id="23"/>
    </w:p>
    <w:p w14:paraId="7FA775A2" w14:textId="77777777" w:rsidR="00397E73" w:rsidRDefault="00397E73" w:rsidP="003D0F9A">
      <w:pPr>
        <w:pStyle w:val="ListParagraph"/>
        <w:numPr>
          <w:ilvl w:val="0"/>
          <w:numId w:val="19"/>
        </w:numPr>
        <w:spacing w:before="120"/>
        <w:contextualSpacing w:val="0"/>
        <w:jc w:val="both"/>
        <w:rPr>
          <w:sz w:val="22"/>
        </w:rPr>
      </w:pPr>
      <w:r w:rsidRPr="00397E73">
        <w:rPr>
          <w:sz w:val="22"/>
        </w:rPr>
        <w:t>The im</w:t>
      </w:r>
      <w:r>
        <w:rPr>
          <w:sz w:val="22"/>
        </w:rPr>
        <w:t xml:space="preserve">plementation of grants </w:t>
      </w:r>
      <w:r w:rsidR="00DC4D9D">
        <w:rPr>
          <w:sz w:val="22"/>
        </w:rPr>
        <w:t xml:space="preserve">is part of the </w:t>
      </w:r>
      <w:hyperlink r:id="rId26" w:history="1">
        <w:r w:rsidR="00DC4D9D" w:rsidRPr="00DC4D9D">
          <w:rPr>
            <w:rStyle w:val="Hyperlink"/>
            <w:sz w:val="22"/>
          </w:rPr>
          <w:t>standard development project process</w:t>
        </w:r>
      </w:hyperlink>
      <w:r w:rsidR="00DC4D9D">
        <w:rPr>
          <w:sz w:val="22"/>
        </w:rPr>
        <w:t xml:space="preserve">. The key steps </w:t>
      </w:r>
      <w:r w:rsidR="001E2EE6">
        <w:rPr>
          <w:sz w:val="22"/>
        </w:rPr>
        <w:t>are</w:t>
      </w:r>
      <w:r w:rsidR="00DC4D9D">
        <w:rPr>
          <w:sz w:val="22"/>
        </w:rPr>
        <w:t xml:space="preserve"> the signing of grant agreements, the disbursement of grants, the monitoring of grantees, and the reporting on results.</w:t>
      </w:r>
    </w:p>
    <w:p w14:paraId="5658CDF9" w14:textId="77777777" w:rsidR="002F4D67" w:rsidRPr="002F4D67" w:rsidRDefault="002F4D67" w:rsidP="002F4D67">
      <w:pPr>
        <w:pStyle w:val="ListParagraph"/>
        <w:jc w:val="both"/>
        <w:rPr>
          <w:sz w:val="22"/>
        </w:rPr>
      </w:pPr>
    </w:p>
    <w:p w14:paraId="27E2A8B1" w14:textId="77777777" w:rsidR="009F6800" w:rsidRPr="00E62BB5" w:rsidRDefault="009F6800" w:rsidP="009F6800">
      <w:pPr>
        <w:pStyle w:val="Heading4"/>
      </w:pPr>
      <w:bookmarkStart w:id="24" w:name="_Toc530059531"/>
      <w:r w:rsidRPr="00E62BB5">
        <w:t>Grant agreement</w:t>
      </w:r>
      <w:bookmarkEnd w:id="24"/>
    </w:p>
    <w:p w14:paraId="3D6E62F8" w14:textId="3B6B9FA1" w:rsidR="009F6800" w:rsidRDefault="009F6800" w:rsidP="003D0F9A">
      <w:pPr>
        <w:pStyle w:val="ListParagraph"/>
        <w:numPr>
          <w:ilvl w:val="0"/>
          <w:numId w:val="19"/>
        </w:numPr>
        <w:spacing w:before="120"/>
        <w:contextualSpacing w:val="0"/>
        <w:jc w:val="both"/>
        <w:rPr>
          <w:sz w:val="22"/>
        </w:rPr>
      </w:pPr>
      <w:r>
        <w:rPr>
          <w:sz w:val="22"/>
        </w:rPr>
        <w:t xml:space="preserve">Once the grantees are selected by the project board or selection committee, it is the responsibility of </w:t>
      </w:r>
      <w:r w:rsidR="00C97EFF">
        <w:rPr>
          <w:sz w:val="22"/>
        </w:rPr>
        <w:t xml:space="preserve">UNDP or the institution approved for on-granting </w:t>
      </w:r>
      <w:r>
        <w:rPr>
          <w:sz w:val="22"/>
        </w:rPr>
        <w:t xml:space="preserve">to enter into agreements with the grant recipients. </w:t>
      </w:r>
      <w:r w:rsidR="00C97EFF">
        <w:rPr>
          <w:sz w:val="22"/>
        </w:rPr>
        <w:t xml:space="preserve">For </w:t>
      </w:r>
      <w:r>
        <w:rPr>
          <w:sz w:val="22"/>
        </w:rPr>
        <w:t xml:space="preserve">UNDP, the grant agreement consists of the </w:t>
      </w:r>
      <w:hyperlink r:id="rId27" w:history="1">
        <w:r w:rsidRPr="003834AE">
          <w:rPr>
            <w:rStyle w:val="Hyperlink"/>
            <w:sz w:val="22"/>
          </w:rPr>
          <w:t>standard template</w:t>
        </w:r>
      </w:hyperlink>
      <w:r w:rsidR="003834AE">
        <w:rPr>
          <w:sz w:val="22"/>
        </w:rPr>
        <w:t xml:space="preserve"> </w:t>
      </w:r>
      <w:r>
        <w:rPr>
          <w:sz w:val="22"/>
        </w:rPr>
        <w:t>to which the grant proposal is attached.</w:t>
      </w:r>
    </w:p>
    <w:p w14:paraId="4ED7A7AC" w14:textId="77777777" w:rsidR="009F6800" w:rsidRDefault="009F6800" w:rsidP="003D0F9A">
      <w:pPr>
        <w:pStyle w:val="ListParagraph"/>
        <w:numPr>
          <w:ilvl w:val="0"/>
          <w:numId w:val="19"/>
        </w:numPr>
        <w:spacing w:before="120"/>
        <w:contextualSpacing w:val="0"/>
        <w:jc w:val="both"/>
        <w:rPr>
          <w:sz w:val="22"/>
        </w:rPr>
      </w:pPr>
      <w:r>
        <w:rPr>
          <w:sz w:val="22"/>
        </w:rPr>
        <w:t xml:space="preserve">It is the responsibility of the </w:t>
      </w:r>
      <w:r w:rsidR="00C97EFF">
        <w:rPr>
          <w:sz w:val="22"/>
        </w:rPr>
        <w:t>partner managing the grant component and signing the grant agreements</w:t>
      </w:r>
      <w:r>
        <w:rPr>
          <w:sz w:val="22"/>
        </w:rPr>
        <w:t xml:space="preserve"> to ensure that any financial limits applicable to individual grants and any general eligibility criteria of the grantee are respected for each individual grant. </w:t>
      </w:r>
    </w:p>
    <w:p w14:paraId="42485AAF" w14:textId="77777777" w:rsidR="00977BD8" w:rsidRPr="002F4D67" w:rsidRDefault="00977BD8" w:rsidP="003D0F9A">
      <w:pPr>
        <w:pStyle w:val="ListParagraph"/>
        <w:numPr>
          <w:ilvl w:val="0"/>
          <w:numId w:val="19"/>
        </w:numPr>
        <w:spacing w:before="120"/>
        <w:contextualSpacing w:val="0"/>
        <w:jc w:val="both"/>
        <w:rPr>
          <w:sz w:val="22"/>
        </w:rPr>
      </w:pPr>
      <w:r w:rsidRPr="00977BD8">
        <w:rPr>
          <w:sz w:val="22"/>
        </w:rPr>
        <w:lastRenderedPageBreak/>
        <w:t xml:space="preserve">Since the solution to a development challenge is generated by the grantee, and not UNDP, the </w:t>
      </w:r>
      <w:r w:rsidR="002F4D67" w:rsidRPr="00DC4D9D">
        <w:rPr>
          <w:sz w:val="22"/>
        </w:rPr>
        <w:t>intellectual property for solutions rests with the grant recipient, but through the grant application process, the grantee agrees to give UNDP an irrevocable, unlimited, cost-free license to use the solution in its programmes, and to replicate and disseminate it. The grant recipient retains the right to use the solution for its own commercial benefits.</w:t>
      </w:r>
    </w:p>
    <w:p w14:paraId="6CCBC64F" w14:textId="0F5B1D77" w:rsidR="00DC4D9D" w:rsidRPr="003D30E7" w:rsidRDefault="00DC4D9D" w:rsidP="003D0F9A">
      <w:pPr>
        <w:pStyle w:val="ListParagraph"/>
        <w:numPr>
          <w:ilvl w:val="0"/>
          <w:numId w:val="19"/>
        </w:numPr>
        <w:spacing w:before="120"/>
        <w:contextualSpacing w:val="0"/>
        <w:jc w:val="both"/>
        <w:rPr>
          <w:sz w:val="22"/>
        </w:rPr>
      </w:pPr>
      <w:r>
        <w:rPr>
          <w:sz w:val="22"/>
        </w:rPr>
        <w:t>G</w:t>
      </w:r>
      <w:r w:rsidR="00977BD8" w:rsidRPr="00977BD8">
        <w:rPr>
          <w:sz w:val="22"/>
        </w:rPr>
        <w:t xml:space="preserve">rantees use their </w:t>
      </w:r>
      <w:r w:rsidR="00977BD8" w:rsidRPr="00114D4F">
        <w:rPr>
          <w:rFonts w:cstheme="minorHAnsi"/>
          <w:sz w:val="22"/>
        </w:rPr>
        <w:t xml:space="preserve">own personnel, systems, designs, networks, procedures, and in some instances even their own funds to implement the grant. </w:t>
      </w:r>
      <w:r w:rsidR="007F404A">
        <w:rPr>
          <w:rFonts w:cstheme="minorHAnsi"/>
          <w:sz w:val="22"/>
        </w:rPr>
        <w:t>If provided for in the project document or otherwise agreed between UNDP and the Government</w:t>
      </w:r>
      <w:r w:rsidR="003D30E7">
        <w:rPr>
          <w:rFonts w:cstheme="minorHAnsi"/>
          <w:sz w:val="22"/>
        </w:rPr>
        <w:t>, a</w:t>
      </w:r>
      <w:r w:rsidR="00AA0567" w:rsidRPr="00114D4F">
        <w:rPr>
          <w:rFonts w:cstheme="minorHAnsi"/>
          <w:sz w:val="22"/>
        </w:rPr>
        <w:t xml:space="preserve">ssets </w:t>
      </w:r>
      <w:r w:rsidR="00AA0567" w:rsidRPr="00114D4F">
        <w:rPr>
          <w:rFonts w:cstheme="minorHAnsi"/>
          <w:sz w:val="22"/>
          <w:szCs w:val="22"/>
        </w:rPr>
        <w:t>and equipment</w:t>
      </w:r>
      <w:r w:rsidR="00AA0567" w:rsidRPr="00114D4F">
        <w:rPr>
          <w:rFonts w:cstheme="minorHAnsi"/>
          <w:sz w:val="22"/>
        </w:rPr>
        <w:t xml:space="preserve"> </w:t>
      </w:r>
      <w:r w:rsidR="00CF42E5">
        <w:rPr>
          <w:rFonts w:cstheme="minorHAnsi"/>
          <w:sz w:val="22"/>
        </w:rPr>
        <w:t>purchased</w:t>
      </w:r>
      <w:r w:rsidR="00467EDB">
        <w:rPr>
          <w:rFonts w:cstheme="minorHAnsi"/>
          <w:sz w:val="22"/>
        </w:rPr>
        <w:t xml:space="preserve"> by the Recipient Institution using grant funds</w:t>
      </w:r>
      <w:r w:rsidR="00AA0567" w:rsidRPr="00114D4F">
        <w:rPr>
          <w:rFonts w:cstheme="minorHAnsi"/>
          <w:sz w:val="22"/>
        </w:rPr>
        <w:t xml:space="preserve"> shall be the property of </w:t>
      </w:r>
      <w:r w:rsidR="00CC0D04">
        <w:rPr>
          <w:rFonts w:cstheme="minorHAnsi"/>
          <w:sz w:val="22"/>
        </w:rPr>
        <w:t xml:space="preserve">the </w:t>
      </w:r>
      <w:r w:rsidR="00467EDB">
        <w:rPr>
          <w:rFonts w:cstheme="minorHAnsi"/>
          <w:sz w:val="22"/>
        </w:rPr>
        <w:t>Recipient Institution</w:t>
      </w:r>
      <w:r w:rsidR="00AA0567" w:rsidRPr="00114D4F">
        <w:rPr>
          <w:rFonts w:cstheme="minorHAnsi"/>
          <w:sz w:val="22"/>
        </w:rPr>
        <w:t xml:space="preserve">. </w:t>
      </w:r>
    </w:p>
    <w:p w14:paraId="35861FB8" w14:textId="77777777" w:rsidR="003D30E7" w:rsidRDefault="003D30E7" w:rsidP="003D30E7">
      <w:pPr>
        <w:pStyle w:val="ListParagraph"/>
        <w:spacing w:before="120"/>
        <w:contextualSpacing w:val="0"/>
        <w:jc w:val="both"/>
        <w:rPr>
          <w:sz w:val="22"/>
        </w:rPr>
      </w:pPr>
    </w:p>
    <w:p w14:paraId="39F4C5F0" w14:textId="77777777" w:rsidR="009F6800" w:rsidRPr="003C3CA6" w:rsidRDefault="009F6800" w:rsidP="003C3CA6">
      <w:pPr>
        <w:pStyle w:val="Heading4"/>
      </w:pPr>
      <w:bookmarkStart w:id="25" w:name="_Toc530059532"/>
      <w:r w:rsidRPr="003C3CA6">
        <w:t>Contingent Repayment Clauses in Grant Agreements</w:t>
      </w:r>
      <w:bookmarkEnd w:id="25"/>
    </w:p>
    <w:p w14:paraId="7E5A68D7" w14:textId="36D5683E" w:rsidR="009F6800" w:rsidRPr="00DC4D9D" w:rsidRDefault="009F6800" w:rsidP="003D0F9A">
      <w:pPr>
        <w:pStyle w:val="ListParagraph"/>
        <w:numPr>
          <w:ilvl w:val="0"/>
          <w:numId w:val="19"/>
        </w:numPr>
        <w:spacing w:before="120"/>
        <w:contextualSpacing w:val="0"/>
        <w:jc w:val="both"/>
        <w:rPr>
          <w:sz w:val="22"/>
        </w:rPr>
      </w:pPr>
      <w:r w:rsidRPr="00DC4D9D">
        <w:rPr>
          <w:sz w:val="22"/>
        </w:rPr>
        <w:t xml:space="preserve">In certain instances, financing provided by UNDP under a grant agreement may result in the grant recipient generating additional revenue and/or reducing its costs. In such cases, UNDP uses clauses that enable it to receive payments from a grantee when the grantee generates a revenue stream and/or reduction in costs following receipt of a UNDP grant. The relevant clauses can be found </w:t>
      </w:r>
      <w:hyperlink r:id="rId28" w:history="1">
        <w:r w:rsidRPr="00B07C33">
          <w:rPr>
            <w:rStyle w:val="Hyperlink"/>
            <w:sz w:val="22"/>
          </w:rPr>
          <w:t>here</w:t>
        </w:r>
      </w:hyperlink>
      <w:r w:rsidRPr="00DC4D9D">
        <w:rPr>
          <w:sz w:val="22"/>
        </w:rPr>
        <w:t>.</w:t>
      </w:r>
    </w:p>
    <w:p w14:paraId="6D750C72" w14:textId="3F019081" w:rsidR="009F6800" w:rsidRPr="00DC4D9D" w:rsidRDefault="009F6800" w:rsidP="003D0F9A">
      <w:pPr>
        <w:pStyle w:val="ListParagraph"/>
        <w:numPr>
          <w:ilvl w:val="0"/>
          <w:numId w:val="19"/>
        </w:numPr>
        <w:spacing w:before="120"/>
        <w:contextualSpacing w:val="0"/>
        <w:jc w:val="both"/>
        <w:rPr>
          <w:sz w:val="22"/>
        </w:rPr>
      </w:pPr>
      <w:r w:rsidRPr="00DC4D9D">
        <w:rPr>
          <w:sz w:val="22"/>
        </w:rPr>
        <w:t>The purpose of issuing grants with contingent repayments is to help support the development of products or services that may have revenue-earning potential, the commercialization of a product or service, or the provision of assets or other inputs to a commercialized service that may reduce costs and improve net revenue. Examples include grants issued to prepare media content, which may then earn royalties.</w:t>
      </w:r>
    </w:p>
    <w:p w14:paraId="3E6B537F" w14:textId="79A990CA" w:rsidR="009F6800" w:rsidRPr="00DC4D9D" w:rsidRDefault="009F6800" w:rsidP="003D0F9A">
      <w:pPr>
        <w:pStyle w:val="ListParagraph"/>
        <w:numPr>
          <w:ilvl w:val="0"/>
          <w:numId w:val="19"/>
        </w:numPr>
        <w:spacing w:before="120"/>
        <w:contextualSpacing w:val="0"/>
        <w:jc w:val="both"/>
        <w:rPr>
          <w:sz w:val="22"/>
        </w:rPr>
      </w:pPr>
      <w:r w:rsidRPr="00DC4D9D">
        <w:rPr>
          <w:sz w:val="22"/>
        </w:rPr>
        <w:t>If commercialization is unsuccessful and no revenue is generated</w:t>
      </w:r>
      <w:r w:rsidR="00E93DE2">
        <w:rPr>
          <w:sz w:val="22"/>
        </w:rPr>
        <w:t>,</w:t>
      </w:r>
      <w:r w:rsidRPr="00DC4D9D">
        <w:rPr>
          <w:sz w:val="22"/>
        </w:rPr>
        <w:t xml:space="preserve"> or costs avoided by the grantee, whether due to technological or market failure, no repayment will occur. Thus, UNDP participates with the grant recipient in the risk of the development.</w:t>
      </w:r>
    </w:p>
    <w:p w14:paraId="366F0023" w14:textId="77777777" w:rsidR="009F6800" w:rsidRDefault="009F6800" w:rsidP="009F6800">
      <w:pPr>
        <w:jc w:val="both"/>
        <w:rPr>
          <w:sz w:val="22"/>
        </w:rPr>
      </w:pPr>
    </w:p>
    <w:p w14:paraId="5B64FFC0" w14:textId="77777777" w:rsidR="00D01060" w:rsidRPr="00591E11" w:rsidRDefault="00D01060" w:rsidP="003C3CA6">
      <w:pPr>
        <w:pStyle w:val="Heading4"/>
        <w:rPr>
          <w:rFonts w:asciiTheme="minorHAnsi" w:hAnsiTheme="minorHAnsi" w:cstheme="minorHAnsi"/>
          <w:sz w:val="22"/>
          <w:szCs w:val="22"/>
        </w:rPr>
      </w:pPr>
      <w:bookmarkStart w:id="26" w:name="_Toc530059533"/>
      <w:bookmarkStart w:id="27" w:name="_Hlk530119424"/>
      <w:r w:rsidRPr="00591E11">
        <w:rPr>
          <w:rFonts w:asciiTheme="minorHAnsi" w:hAnsiTheme="minorHAnsi" w:cstheme="minorHAnsi"/>
          <w:sz w:val="22"/>
          <w:szCs w:val="22"/>
        </w:rPr>
        <w:t>Disbursement</w:t>
      </w:r>
      <w:bookmarkEnd w:id="26"/>
    </w:p>
    <w:p w14:paraId="4CB45C10" w14:textId="678A242C" w:rsidR="0061300E" w:rsidRPr="00FB15F9" w:rsidRDefault="0061300E" w:rsidP="003D0F9A">
      <w:pPr>
        <w:pStyle w:val="ListParagraph"/>
        <w:numPr>
          <w:ilvl w:val="0"/>
          <w:numId w:val="19"/>
        </w:numPr>
        <w:spacing w:before="120"/>
        <w:contextualSpacing w:val="0"/>
        <w:jc w:val="both"/>
        <w:rPr>
          <w:rFonts w:cstheme="minorHAnsi"/>
          <w:sz w:val="22"/>
          <w:szCs w:val="22"/>
        </w:rPr>
      </w:pPr>
      <w:r w:rsidRPr="00591E11">
        <w:rPr>
          <w:rFonts w:cstheme="minorHAnsi"/>
          <w:sz w:val="22"/>
          <w:szCs w:val="22"/>
        </w:rPr>
        <w:t xml:space="preserve">In line with the nature of LVGs, the disbursement of the grant amount takes place </w:t>
      </w:r>
      <w:r w:rsidRPr="00591E11">
        <w:rPr>
          <w:rFonts w:cstheme="minorHAnsi"/>
          <w:sz w:val="22"/>
          <w:szCs w:val="22"/>
          <w:u w:val="single"/>
        </w:rPr>
        <w:t>before</w:t>
      </w:r>
      <w:r w:rsidRPr="00591E11">
        <w:rPr>
          <w:rFonts w:cstheme="minorHAnsi"/>
          <w:sz w:val="22"/>
          <w:szCs w:val="22"/>
        </w:rPr>
        <w:t xml:space="preserve"> the results or achievements set out in the grant agreement are obtained. </w:t>
      </w:r>
      <w:r w:rsidR="002F4D67" w:rsidRPr="00FB15F9">
        <w:rPr>
          <w:rFonts w:cstheme="minorHAnsi"/>
          <w:sz w:val="22"/>
          <w:szCs w:val="22"/>
        </w:rPr>
        <w:t xml:space="preserve">The grant agreement includes the amounts to be paid to the grantee and any </w:t>
      </w:r>
      <w:r w:rsidRPr="00FB15F9">
        <w:rPr>
          <w:rFonts w:cstheme="minorHAnsi"/>
          <w:sz w:val="22"/>
          <w:szCs w:val="22"/>
        </w:rPr>
        <w:t>disbursement</w:t>
      </w:r>
      <w:r w:rsidR="002F4D67" w:rsidRPr="00FB15F9">
        <w:rPr>
          <w:rFonts w:cstheme="minorHAnsi"/>
          <w:sz w:val="22"/>
          <w:szCs w:val="22"/>
        </w:rPr>
        <w:t xml:space="preserve"> schedule. LVGs tend to be small (often well below $150,000) and hence can be paid in one or more tranches</w:t>
      </w:r>
      <w:r w:rsidR="00591E11" w:rsidRPr="00FB15F9">
        <w:rPr>
          <w:rFonts w:cstheme="minorHAnsi"/>
          <w:sz w:val="22"/>
          <w:szCs w:val="22"/>
        </w:rPr>
        <w:t xml:space="preserve">. </w:t>
      </w:r>
      <w:r w:rsidR="00591E11" w:rsidRPr="00591E11">
        <w:rPr>
          <w:rFonts w:cstheme="minorHAnsi"/>
          <w:sz w:val="22"/>
          <w:szCs w:val="22"/>
        </w:rPr>
        <w:t xml:space="preserve">Where grants have performance conditions it is preferable that they are broken into phases. </w:t>
      </w:r>
      <w:r w:rsidR="00EA15D4">
        <w:rPr>
          <w:rFonts w:cstheme="minorHAnsi"/>
          <w:sz w:val="22"/>
          <w:szCs w:val="22"/>
        </w:rPr>
        <w:t xml:space="preserve">The </w:t>
      </w:r>
      <w:r w:rsidR="00591E11" w:rsidRPr="00591E11">
        <w:rPr>
          <w:rFonts w:cstheme="minorHAnsi"/>
          <w:sz w:val="22"/>
          <w:szCs w:val="22"/>
        </w:rPr>
        <w:t>CO must have evidence on file to substantiate that performance conditions have been achieved before issuing subsequent phases of the grant.</w:t>
      </w:r>
      <w:r w:rsidR="00591E11" w:rsidRPr="00591E11">
        <w:rPr>
          <w:rStyle w:val="FootnoteReference"/>
          <w:rFonts w:cstheme="minorHAnsi"/>
          <w:sz w:val="22"/>
          <w:szCs w:val="22"/>
        </w:rPr>
        <w:footnoteReference w:id="13"/>
      </w:r>
      <w:r w:rsidR="00591E11" w:rsidRPr="00591E11">
        <w:rPr>
          <w:rFonts w:cstheme="minorHAnsi"/>
          <w:sz w:val="22"/>
          <w:szCs w:val="22"/>
        </w:rPr>
        <w:t xml:space="preserve"> A</w:t>
      </w:r>
      <w:r w:rsidR="00847B89" w:rsidRPr="00591E11">
        <w:rPr>
          <w:rFonts w:cstheme="minorHAnsi"/>
          <w:sz w:val="22"/>
          <w:szCs w:val="22"/>
        </w:rPr>
        <w:t xml:space="preserve"> final installment should be paid only after the completion of all activities, </w:t>
      </w:r>
      <w:r w:rsidR="00780E01" w:rsidRPr="00FB15F9">
        <w:rPr>
          <w:rFonts w:cstheme="minorHAnsi"/>
          <w:sz w:val="22"/>
          <w:szCs w:val="22"/>
        </w:rPr>
        <w:t>submission</w:t>
      </w:r>
      <w:r w:rsidR="00847B89" w:rsidRPr="00FB15F9">
        <w:rPr>
          <w:rFonts w:cstheme="minorHAnsi"/>
          <w:sz w:val="22"/>
          <w:szCs w:val="22"/>
        </w:rPr>
        <w:t xml:space="preserve"> of final narrative and financial </w:t>
      </w:r>
      <w:r w:rsidR="00780E01" w:rsidRPr="00FB15F9">
        <w:rPr>
          <w:rFonts w:cstheme="minorHAnsi"/>
          <w:sz w:val="22"/>
          <w:szCs w:val="22"/>
        </w:rPr>
        <w:t>reports</w:t>
      </w:r>
      <w:r w:rsidR="00847B89" w:rsidRPr="00FB15F9">
        <w:rPr>
          <w:rFonts w:cstheme="minorHAnsi"/>
          <w:sz w:val="22"/>
          <w:szCs w:val="22"/>
        </w:rPr>
        <w:t xml:space="preserve"> and the certification of those reports</w:t>
      </w:r>
      <w:r w:rsidR="002F4D67" w:rsidRPr="00FB15F9">
        <w:rPr>
          <w:rFonts w:cstheme="minorHAnsi"/>
          <w:sz w:val="22"/>
          <w:szCs w:val="22"/>
        </w:rPr>
        <w:t>.</w:t>
      </w:r>
      <w:r w:rsidR="004705F0" w:rsidRPr="00FB15F9">
        <w:rPr>
          <w:rFonts w:cstheme="minorHAnsi"/>
          <w:sz w:val="22"/>
          <w:szCs w:val="22"/>
        </w:rPr>
        <w:t xml:space="preserve"> </w:t>
      </w:r>
    </w:p>
    <w:p w14:paraId="3E3CC08F" w14:textId="2DC95DF8" w:rsidR="0061300E" w:rsidRPr="005B65E3" w:rsidRDefault="00E27722" w:rsidP="003D0F9A">
      <w:pPr>
        <w:pStyle w:val="ListParagraph"/>
        <w:numPr>
          <w:ilvl w:val="0"/>
          <w:numId w:val="19"/>
        </w:numPr>
        <w:spacing w:before="120"/>
        <w:contextualSpacing w:val="0"/>
        <w:jc w:val="both"/>
        <w:rPr>
          <w:rFonts w:cstheme="minorHAnsi"/>
          <w:sz w:val="22"/>
          <w:szCs w:val="22"/>
        </w:rPr>
      </w:pPr>
      <w:r w:rsidRPr="00FB15F9">
        <w:rPr>
          <w:rFonts w:cstheme="minorHAnsi"/>
          <w:sz w:val="22"/>
          <w:szCs w:val="22"/>
        </w:rPr>
        <w:t xml:space="preserve">As mentioned </w:t>
      </w:r>
      <w:r w:rsidR="001F0687" w:rsidRPr="002D4038">
        <w:rPr>
          <w:rFonts w:cstheme="minorHAnsi"/>
          <w:sz w:val="22"/>
          <w:szCs w:val="22"/>
        </w:rPr>
        <w:t>above</w:t>
      </w:r>
      <w:r w:rsidRPr="002D4038">
        <w:rPr>
          <w:rFonts w:cstheme="minorHAnsi"/>
          <w:sz w:val="22"/>
          <w:szCs w:val="22"/>
        </w:rPr>
        <w:t>, the duration of a grant is very individual</w:t>
      </w:r>
      <w:r w:rsidR="0061300E" w:rsidRPr="00E76B7C">
        <w:rPr>
          <w:rFonts w:cstheme="minorHAnsi"/>
          <w:sz w:val="22"/>
          <w:szCs w:val="22"/>
        </w:rPr>
        <w:t xml:space="preserve">. </w:t>
      </w:r>
      <w:bookmarkStart w:id="28" w:name="_Hlk526435760"/>
      <w:r w:rsidR="0061300E" w:rsidRPr="00E76B7C">
        <w:rPr>
          <w:rFonts w:cstheme="minorHAnsi"/>
          <w:sz w:val="22"/>
          <w:szCs w:val="22"/>
        </w:rPr>
        <w:t>In cases where a grant spans more than one year</w:t>
      </w:r>
      <w:bookmarkEnd w:id="28"/>
      <w:r w:rsidR="0061300E" w:rsidRPr="00E76B7C">
        <w:rPr>
          <w:rFonts w:cstheme="minorHAnsi"/>
          <w:sz w:val="22"/>
          <w:szCs w:val="22"/>
        </w:rPr>
        <w:t xml:space="preserve"> it is recommended to stagger disbursements in line with the anticipated cash flow needs of the recipient. Other considerations, such as the </w:t>
      </w:r>
      <w:r w:rsidR="009B106A" w:rsidRPr="00E76B7C">
        <w:rPr>
          <w:rFonts w:cstheme="minorHAnsi"/>
          <w:sz w:val="22"/>
          <w:szCs w:val="22"/>
        </w:rPr>
        <w:t>recip</w:t>
      </w:r>
      <w:r w:rsidR="009B106A" w:rsidRPr="005B65E3">
        <w:rPr>
          <w:rFonts w:cstheme="minorHAnsi"/>
          <w:sz w:val="22"/>
          <w:szCs w:val="22"/>
        </w:rPr>
        <w:t>ient’s</w:t>
      </w:r>
      <w:r w:rsidR="0061300E" w:rsidRPr="005B65E3">
        <w:rPr>
          <w:rFonts w:cstheme="minorHAnsi"/>
          <w:sz w:val="22"/>
          <w:szCs w:val="22"/>
        </w:rPr>
        <w:t xml:space="preserve"> management capacity, can also trigger the need for staggered disbursements. Subsequent disbursements are then conditional on satisfactory reporting on prior disbursements in line with the grant agreement.</w:t>
      </w:r>
    </w:p>
    <w:p w14:paraId="5F4642EA" w14:textId="1DE7D047" w:rsidR="00591E11" w:rsidRPr="00B25D97" w:rsidRDefault="0061300E" w:rsidP="003D0F9A">
      <w:pPr>
        <w:pStyle w:val="ListParagraph"/>
        <w:numPr>
          <w:ilvl w:val="0"/>
          <w:numId w:val="19"/>
        </w:numPr>
        <w:spacing w:before="120"/>
        <w:contextualSpacing w:val="0"/>
        <w:jc w:val="both"/>
        <w:rPr>
          <w:rFonts w:cstheme="minorHAnsi"/>
          <w:sz w:val="22"/>
          <w:szCs w:val="22"/>
        </w:rPr>
      </w:pPr>
      <w:r w:rsidRPr="005B65E3">
        <w:rPr>
          <w:rFonts w:cstheme="minorHAnsi"/>
          <w:sz w:val="22"/>
          <w:szCs w:val="22"/>
        </w:rPr>
        <w:t>The disbursement of funds, including the tra</w:t>
      </w:r>
      <w:r w:rsidRPr="0021347D">
        <w:rPr>
          <w:rFonts w:cstheme="minorHAnsi"/>
          <w:sz w:val="22"/>
          <w:szCs w:val="22"/>
        </w:rPr>
        <w:t>cking of outstanding grant amounts, is the responsibility of the Implementing Partner</w:t>
      </w:r>
      <w:r w:rsidR="00C97EFF" w:rsidRPr="0021347D">
        <w:rPr>
          <w:rFonts w:cstheme="minorHAnsi"/>
          <w:sz w:val="22"/>
          <w:szCs w:val="22"/>
        </w:rPr>
        <w:t xml:space="preserve"> or UNDP under </w:t>
      </w:r>
      <w:r w:rsidR="00141845" w:rsidRPr="00FD3FBD">
        <w:rPr>
          <w:rFonts w:cstheme="minorHAnsi"/>
          <w:sz w:val="22"/>
          <w:szCs w:val="22"/>
        </w:rPr>
        <w:t>DIM</w:t>
      </w:r>
      <w:r w:rsidR="00D1709A" w:rsidRPr="00FD3FBD">
        <w:rPr>
          <w:rFonts w:cstheme="minorHAnsi"/>
          <w:sz w:val="22"/>
          <w:szCs w:val="22"/>
        </w:rPr>
        <w:t xml:space="preserve"> or </w:t>
      </w:r>
      <w:r w:rsidR="00C97EFF" w:rsidRPr="00FD3FBD">
        <w:rPr>
          <w:rFonts w:cstheme="minorHAnsi"/>
          <w:sz w:val="22"/>
          <w:szCs w:val="22"/>
        </w:rPr>
        <w:t>COS</w:t>
      </w:r>
      <w:r w:rsidR="00D1709A" w:rsidRPr="00FD3FBD">
        <w:rPr>
          <w:rFonts w:cstheme="minorHAnsi"/>
          <w:sz w:val="22"/>
          <w:szCs w:val="22"/>
        </w:rPr>
        <w:t xml:space="preserve"> to NIM</w:t>
      </w:r>
      <w:r w:rsidRPr="00FD3FBD">
        <w:rPr>
          <w:rFonts w:cstheme="minorHAnsi"/>
          <w:sz w:val="22"/>
          <w:szCs w:val="22"/>
        </w:rPr>
        <w:t xml:space="preserve">. </w:t>
      </w:r>
      <w:r w:rsidR="00691169" w:rsidRPr="00FD3FBD">
        <w:rPr>
          <w:rFonts w:cstheme="minorHAnsi"/>
          <w:sz w:val="22"/>
          <w:szCs w:val="22"/>
        </w:rPr>
        <w:t>The Implementing Partner is also responsible for suspending disbursements in case a grant recipient is found to be in breach of its oblig</w:t>
      </w:r>
      <w:r w:rsidR="00691169" w:rsidRPr="006B55E2">
        <w:rPr>
          <w:rFonts w:cstheme="minorHAnsi"/>
          <w:sz w:val="22"/>
          <w:szCs w:val="22"/>
        </w:rPr>
        <w:t xml:space="preserve">ations. While this is the responsibility of the </w:t>
      </w:r>
      <w:r w:rsidR="00691169" w:rsidRPr="006B55E2">
        <w:rPr>
          <w:rFonts w:cstheme="minorHAnsi"/>
          <w:sz w:val="22"/>
          <w:szCs w:val="22"/>
        </w:rPr>
        <w:lastRenderedPageBreak/>
        <w:t>Implementing Partner</w:t>
      </w:r>
      <w:r w:rsidR="00A516D3" w:rsidRPr="006B55E2">
        <w:rPr>
          <w:rFonts w:cstheme="minorHAnsi"/>
          <w:sz w:val="22"/>
          <w:szCs w:val="22"/>
        </w:rPr>
        <w:t xml:space="preserve"> or UNDP under </w:t>
      </w:r>
      <w:r w:rsidR="00141845" w:rsidRPr="006B55E2">
        <w:rPr>
          <w:rFonts w:cstheme="minorHAnsi"/>
          <w:sz w:val="22"/>
          <w:szCs w:val="22"/>
        </w:rPr>
        <w:t>DIM</w:t>
      </w:r>
      <w:r w:rsidR="00D1709A" w:rsidRPr="006B55E2">
        <w:rPr>
          <w:rFonts w:cstheme="minorHAnsi"/>
          <w:sz w:val="22"/>
          <w:szCs w:val="22"/>
        </w:rPr>
        <w:t xml:space="preserve"> or </w:t>
      </w:r>
      <w:r w:rsidR="00A516D3" w:rsidRPr="006B55E2">
        <w:rPr>
          <w:rFonts w:cstheme="minorHAnsi"/>
          <w:sz w:val="22"/>
          <w:szCs w:val="22"/>
        </w:rPr>
        <w:t>COS</w:t>
      </w:r>
      <w:r w:rsidR="00D1709A" w:rsidRPr="00EC3A69">
        <w:rPr>
          <w:rFonts w:cstheme="minorHAnsi"/>
          <w:sz w:val="22"/>
          <w:szCs w:val="22"/>
        </w:rPr>
        <w:t xml:space="preserve"> to NIM</w:t>
      </w:r>
      <w:r w:rsidR="00072425" w:rsidRPr="00EC3A69">
        <w:rPr>
          <w:rFonts w:cstheme="minorHAnsi"/>
          <w:sz w:val="22"/>
          <w:szCs w:val="22"/>
        </w:rPr>
        <w:t>,</w:t>
      </w:r>
      <w:r w:rsidR="00691169" w:rsidRPr="0038606F">
        <w:rPr>
          <w:rFonts w:cstheme="minorHAnsi"/>
          <w:sz w:val="22"/>
          <w:szCs w:val="22"/>
        </w:rPr>
        <w:t xml:space="preserve"> by virtue of its function and as signatory of the grant agreement, it is advisable that the project board or selection committee is advised </w:t>
      </w:r>
      <w:r w:rsidR="003722FF" w:rsidRPr="00B25D97">
        <w:rPr>
          <w:rFonts w:cstheme="minorHAnsi"/>
          <w:sz w:val="22"/>
          <w:szCs w:val="22"/>
        </w:rPr>
        <w:t>of any impending suspension or cancellation of a grant agreement.</w:t>
      </w:r>
      <w:r w:rsidRPr="00B25D97">
        <w:rPr>
          <w:rFonts w:cstheme="minorHAnsi"/>
          <w:sz w:val="22"/>
          <w:szCs w:val="22"/>
        </w:rPr>
        <w:t xml:space="preserve"> </w:t>
      </w:r>
      <w:bookmarkStart w:id="29" w:name="_Hlk529974395"/>
    </w:p>
    <w:p w14:paraId="305B1DB7" w14:textId="77777777" w:rsidR="00591E11" w:rsidRPr="00591E11" w:rsidRDefault="00591E11" w:rsidP="003D0F9A">
      <w:pPr>
        <w:pStyle w:val="ListParagraph"/>
        <w:numPr>
          <w:ilvl w:val="0"/>
          <w:numId w:val="19"/>
        </w:numPr>
        <w:spacing w:before="120"/>
        <w:contextualSpacing w:val="0"/>
        <w:jc w:val="both"/>
        <w:rPr>
          <w:rFonts w:cstheme="minorHAnsi"/>
          <w:sz w:val="22"/>
          <w:szCs w:val="22"/>
        </w:rPr>
      </w:pPr>
      <w:r w:rsidRPr="00591E11">
        <w:rPr>
          <w:rFonts w:cstheme="minorHAnsi"/>
          <w:sz w:val="22"/>
          <w:szCs w:val="22"/>
        </w:rPr>
        <w:t>Recording grants differs from recording a Cash Transfer advance (e.g. NIM advance).  Grants are expensed upon cash issuance. Payment of grants does not require creation of an e-requisition or a purchase order (PO) as they do not represent procurement activities. However, to help project managers manage budgets and commitments associated with grants they have been included in the Procurement Catalogues and a requisition or PO may be used. Grants resources are paid to the grantee using an AP voucher which must be supported by appropriate documents that should be kept on file at the CO.</w:t>
      </w:r>
    </w:p>
    <w:p w14:paraId="49BD2217" w14:textId="3AECFAB7" w:rsidR="00591E11" w:rsidRPr="00591E11" w:rsidRDefault="00591E11" w:rsidP="003D0F9A">
      <w:pPr>
        <w:pStyle w:val="ListParagraph"/>
        <w:numPr>
          <w:ilvl w:val="0"/>
          <w:numId w:val="19"/>
        </w:numPr>
        <w:spacing w:before="120"/>
        <w:contextualSpacing w:val="0"/>
        <w:jc w:val="both"/>
        <w:rPr>
          <w:rFonts w:cstheme="minorHAnsi"/>
          <w:sz w:val="22"/>
          <w:szCs w:val="22"/>
        </w:rPr>
      </w:pPr>
      <w:r w:rsidRPr="00591E11">
        <w:rPr>
          <w:rFonts w:cstheme="minorHAnsi"/>
          <w:sz w:val="22"/>
          <w:szCs w:val="22"/>
        </w:rPr>
        <w:t xml:space="preserve">The following account codes should be used by offices when recording grants: </w:t>
      </w:r>
    </w:p>
    <w:p w14:paraId="77D19BDA" w14:textId="19BFD3D7" w:rsidR="00591E11" w:rsidRPr="00591E11" w:rsidRDefault="00591E11" w:rsidP="00591E11">
      <w:pPr>
        <w:numPr>
          <w:ilvl w:val="0"/>
          <w:numId w:val="21"/>
        </w:numPr>
        <w:shd w:val="clear" w:color="auto" w:fill="FFFFFF"/>
        <w:spacing w:after="160" w:line="270" w:lineRule="atLeast"/>
        <w:contextualSpacing/>
        <w:textAlignment w:val="top"/>
        <w:rPr>
          <w:rFonts w:cstheme="minorHAnsi"/>
          <w:sz w:val="22"/>
          <w:szCs w:val="22"/>
        </w:rPr>
      </w:pPr>
      <w:r w:rsidRPr="00591E11">
        <w:rPr>
          <w:rFonts w:cstheme="minorHAnsi"/>
          <w:sz w:val="22"/>
          <w:szCs w:val="22"/>
        </w:rPr>
        <w:t xml:space="preserve">72605 - ‘Grants to </w:t>
      </w:r>
      <w:proofErr w:type="spellStart"/>
      <w:r w:rsidRPr="00591E11">
        <w:rPr>
          <w:rFonts w:cstheme="minorHAnsi"/>
          <w:sz w:val="22"/>
          <w:szCs w:val="22"/>
        </w:rPr>
        <w:t>Instit</w:t>
      </w:r>
      <w:proofErr w:type="spellEnd"/>
      <w:r w:rsidRPr="00591E11">
        <w:rPr>
          <w:rFonts w:cstheme="minorHAnsi"/>
          <w:sz w:val="22"/>
          <w:szCs w:val="22"/>
        </w:rPr>
        <w:t xml:space="preserve"> and other Beneficiaries’ - where grant is for non-credit purposes</w:t>
      </w:r>
    </w:p>
    <w:p w14:paraId="3F54EFAF" w14:textId="69A02574" w:rsidR="00591E11" w:rsidRPr="00591E11" w:rsidRDefault="00591E11" w:rsidP="00591E11">
      <w:pPr>
        <w:numPr>
          <w:ilvl w:val="0"/>
          <w:numId w:val="21"/>
        </w:numPr>
        <w:shd w:val="clear" w:color="auto" w:fill="FFFFFF"/>
        <w:spacing w:after="160" w:line="270" w:lineRule="atLeast"/>
        <w:contextualSpacing/>
        <w:textAlignment w:val="top"/>
        <w:rPr>
          <w:rFonts w:cstheme="minorHAnsi"/>
          <w:sz w:val="22"/>
          <w:szCs w:val="22"/>
        </w:rPr>
      </w:pPr>
      <w:r w:rsidRPr="00591E11">
        <w:rPr>
          <w:rFonts w:cstheme="minorHAnsi"/>
          <w:sz w:val="22"/>
          <w:szCs w:val="22"/>
        </w:rPr>
        <w:t>72610 - ‘Micro Capital Grants Credit’ - where grant relates to credit activities and can be used to capitalize credit funds for “on lending” within financial limits</w:t>
      </w:r>
    </w:p>
    <w:p w14:paraId="387BDF39" w14:textId="39485079" w:rsidR="00591E11" w:rsidRPr="00591E11" w:rsidRDefault="00591E11" w:rsidP="00591E11">
      <w:pPr>
        <w:numPr>
          <w:ilvl w:val="0"/>
          <w:numId w:val="21"/>
        </w:numPr>
        <w:spacing w:after="160" w:line="252" w:lineRule="auto"/>
        <w:contextualSpacing/>
        <w:rPr>
          <w:rFonts w:cstheme="minorHAnsi"/>
          <w:sz w:val="22"/>
          <w:szCs w:val="22"/>
        </w:rPr>
      </w:pPr>
      <w:r w:rsidRPr="00591E11">
        <w:rPr>
          <w:rFonts w:cstheme="minorHAnsi"/>
          <w:sz w:val="22"/>
          <w:szCs w:val="22"/>
        </w:rPr>
        <w:t xml:space="preserve">72615 – ‘Micro Capital Grants Other’ - where grant relates to credit activities and can be used by the recipient to cover the costs of its operations, purchase equipment, hire new staff etc. </w:t>
      </w:r>
    </w:p>
    <w:p w14:paraId="1D478178" w14:textId="654E78CD" w:rsidR="00591E11" w:rsidRPr="00591E11" w:rsidRDefault="00591E11" w:rsidP="00591E11">
      <w:pPr>
        <w:ind w:left="720"/>
        <w:rPr>
          <w:rStyle w:val="Hyperlink"/>
          <w:rFonts w:cstheme="minorHAnsi"/>
          <w:color w:val="auto"/>
          <w:sz w:val="22"/>
          <w:szCs w:val="22"/>
          <w:u w:val="none"/>
        </w:rPr>
      </w:pPr>
      <w:r w:rsidRPr="00591E11">
        <w:rPr>
          <w:rFonts w:cstheme="minorHAnsi"/>
          <w:sz w:val="22"/>
          <w:szCs w:val="22"/>
        </w:rPr>
        <w:t xml:space="preserve">For specific instructions on the budgeting, expensing, and accounting for grants please see the </w:t>
      </w:r>
      <w:hyperlink r:id="rId29" w:history="1">
        <w:r w:rsidRPr="00591E11">
          <w:rPr>
            <w:rStyle w:val="Hyperlink"/>
            <w:rFonts w:cstheme="minorHAnsi"/>
            <w:color w:val="auto"/>
            <w:sz w:val="22"/>
            <w:szCs w:val="22"/>
          </w:rPr>
          <w:t>Financial Resources Management Section</w:t>
        </w:r>
      </w:hyperlink>
      <w:r w:rsidRPr="00591E11">
        <w:rPr>
          <w:rStyle w:val="Hyperlink"/>
          <w:rFonts w:cstheme="minorHAnsi"/>
          <w:color w:val="auto"/>
          <w:sz w:val="22"/>
          <w:szCs w:val="22"/>
        </w:rPr>
        <w:t>.</w:t>
      </w:r>
    </w:p>
    <w:bookmarkEnd w:id="29"/>
    <w:p w14:paraId="31B36EF7" w14:textId="77777777" w:rsidR="00591E11" w:rsidRPr="00591E11" w:rsidRDefault="00591E11" w:rsidP="003D0F9A">
      <w:pPr>
        <w:pStyle w:val="ListParagraph"/>
        <w:numPr>
          <w:ilvl w:val="0"/>
          <w:numId w:val="19"/>
        </w:numPr>
        <w:spacing w:before="120"/>
        <w:contextualSpacing w:val="0"/>
        <w:jc w:val="both"/>
        <w:rPr>
          <w:rFonts w:cstheme="minorHAnsi"/>
          <w:sz w:val="22"/>
          <w:szCs w:val="22"/>
        </w:rPr>
      </w:pPr>
      <w:r w:rsidRPr="00591E11">
        <w:rPr>
          <w:rFonts w:cstheme="minorHAnsi"/>
          <w:sz w:val="22"/>
          <w:szCs w:val="22"/>
        </w:rPr>
        <w:t xml:space="preserve">Typically, UNDP Grants are small in nature and there is no anticipation that resources will be returned.  However, should resources issued as grants be subsequently returned by the grantee to UNDP, accounting for such return of funds should be discussed with your Finance Business Partner as treatment will vary depending on the status of the project and the reasons for the return of funds. </w:t>
      </w:r>
    </w:p>
    <w:p w14:paraId="2981E4CD" w14:textId="10F06560" w:rsidR="00591E11" w:rsidRPr="002D4038" w:rsidRDefault="0042292D" w:rsidP="003D0F9A">
      <w:pPr>
        <w:pStyle w:val="ListParagraph"/>
        <w:numPr>
          <w:ilvl w:val="0"/>
          <w:numId w:val="19"/>
        </w:numPr>
        <w:spacing w:before="120"/>
        <w:contextualSpacing w:val="0"/>
        <w:jc w:val="both"/>
        <w:rPr>
          <w:rFonts w:cstheme="minorHAnsi"/>
          <w:sz w:val="22"/>
          <w:szCs w:val="22"/>
        </w:rPr>
      </w:pPr>
      <w:r w:rsidRPr="00FB15F9">
        <w:rPr>
          <w:rFonts w:cstheme="minorHAnsi"/>
          <w:sz w:val="22"/>
          <w:szCs w:val="22"/>
        </w:rPr>
        <w:t>Typically, grantees will use goods and services locally available to ensure sustainability of the results. In exceptional cases</w:t>
      </w:r>
      <w:r w:rsidR="00C61A75" w:rsidRPr="00FB15F9">
        <w:rPr>
          <w:rFonts w:cstheme="minorHAnsi"/>
          <w:sz w:val="22"/>
          <w:szCs w:val="22"/>
        </w:rPr>
        <w:t xml:space="preserve"> a grantee might require the support of UNDP or the Implementing Partner to obtain certain goods or services as set out in the grant proposal. </w:t>
      </w:r>
      <w:r w:rsidR="002F5A50" w:rsidRPr="00B26FDC">
        <w:rPr>
          <w:rFonts w:cstheme="minorHAnsi"/>
          <w:sz w:val="22"/>
          <w:szCs w:val="22"/>
        </w:rPr>
        <w:t>UNDP or the Implementing Partner can then retain the funding needed and procure the goods or services directly on behalf of the grantee.</w:t>
      </w:r>
    </w:p>
    <w:bookmarkEnd w:id="27"/>
    <w:p w14:paraId="02975AFE" w14:textId="77777777" w:rsidR="0061300E" w:rsidRDefault="0061300E" w:rsidP="0061300E">
      <w:pPr>
        <w:jc w:val="both"/>
        <w:rPr>
          <w:sz w:val="22"/>
        </w:rPr>
      </w:pPr>
    </w:p>
    <w:p w14:paraId="038A78FA" w14:textId="77777777" w:rsidR="0061300E" w:rsidRPr="0061300E" w:rsidRDefault="0061300E" w:rsidP="0061300E">
      <w:pPr>
        <w:pStyle w:val="Heading4"/>
      </w:pPr>
      <w:bookmarkStart w:id="30" w:name="_Toc530059534"/>
      <w:r>
        <w:t>Monitoring</w:t>
      </w:r>
      <w:bookmarkEnd w:id="30"/>
    </w:p>
    <w:p w14:paraId="724FB2DC" w14:textId="70A2CCD6" w:rsidR="00D75689" w:rsidRDefault="004B1B27" w:rsidP="003D0F9A">
      <w:pPr>
        <w:pStyle w:val="ListParagraph"/>
        <w:numPr>
          <w:ilvl w:val="0"/>
          <w:numId w:val="19"/>
        </w:numPr>
        <w:spacing w:before="120"/>
        <w:contextualSpacing w:val="0"/>
        <w:jc w:val="both"/>
        <w:rPr>
          <w:sz w:val="22"/>
        </w:rPr>
      </w:pPr>
      <w:r>
        <w:rPr>
          <w:sz w:val="22"/>
        </w:rPr>
        <w:t>The monitoring of the development project</w:t>
      </w:r>
      <w:r w:rsidR="008516B8">
        <w:rPr>
          <w:sz w:val="22"/>
        </w:rPr>
        <w:t xml:space="preserve"> </w:t>
      </w:r>
      <w:r>
        <w:rPr>
          <w:sz w:val="22"/>
        </w:rPr>
        <w:t xml:space="preserve">must be distinguished from the monitoring of individual grantees. </w:t>
      </w:r>
      <w:hyperlink r:id="rId30" w:history="1">
        <w:r w:rsidR="00D75689" w:rsidRPr="00FE3BAB">
          <w:rPr>
            <w:rStyle w:val="Hyperlink"/>
            <w:sz w:val="22"/>
          </w:rPr>
          <w:t>UNDP’s monitoring policy</w:t>
        </w:r>
      </w:hyperlink>
      <w:r w:rsidR="00D75689">
        <w:rPr>
          <w:sz w:val="22"/>
        </w:rPr>
        <w:t xml:space="preserve"> </w:t>
      </w:r>
      <w:r>
        <w:rPr>
          <w:sz w:val="22"/>
        </w:rPr>
        <w:t>makes it clear that the monitoring</w:t>
      </w:r>
      <w:r w:rsidR="00D75689">
        <w:rPr>
          <w:sz w:val="22"/>
        </w:rPr>
        <w:t xml:space="preserve"> function is the responsibility of project managers, </w:t>
      </w:r>
      <w:r>
        <w:rPr>
          <w:sz w:val="22"/>
        </w:rPr>
        <w:t>and</w:t>
      </w:r>
      <w:r w:rsidR="00D75689">
        <w:rPr>
          <w:sz w:val="22"/>
        </w:rPr>
        <w:t xml:space="preserve"> at the same time assumes a certain objectivity and detachment for monitoring to be credible.</w:t>
      </w:r>
      <w:r w:rsidR="00D75689" w:rsidRPr="00D75689">
        <w:rPr>
          <w:sz w:val="22"/>
        </w:rPr>
        <w:t xml:space="preserve"> </w:t>
      </w:r>
    </w:p>
    <w:p w14:paraId="75808F97" w14:textId="76D88E0F" w:rsidR="004A2A97" w:rsidRPr="00BC4786" w:rsidRDefault="00774194" w:rsidP="003D0F9A">
      <w:pPr>
        <w:pStyle w:val="ListParagraph"/>
        <w:numPr>
          <w:ilvl w:val="0"/>
          <w:numId w:val="19"/>
        </w:numPr>
        <w:spacing w:before="120"/>
        <w:contextualSpacing w:val="0"/>
        <w:jc w:val="both"/>
        <w:rPr>
          <w:sz w:val="22"/>
          <w:szCs w:val="22"/>
        </w:rPr>
      </w:pPr>
      <w:r>
        <w:rPr>
          <w:sz w:val="22"/>
          <w:szCs w:val="22"/>
        </w:rPr>
        <w:t>R</w:t>
      </w:r>
      <w:r w:rsidR="004A2A97" w:rsidRPr="00BC4786">
        <w:rPr>
          <w:sz w:val="22"/>
          <w:szCs w:val="22"/>
        </w:rPr>
        <w:t>isks related to grant should be tracked in project Risk Register and monitored to ensure management measures are being implemented and are effective.</w:t>
      </w:r>
    </w:p>
    <w:p w14:paraId="768DA0EA" w14:textId="060B7F90" w:rsidR="00D75689" w:rsidRDefault="00D75689" w:rsidP="003D0F9A">
      <w:pPr>
        <w:pStyle w:val="ListParagraph"/>
        <w:numPr>
          <w:ilvl w:val="0"/>
          <w:numId w:val="19"/>
        </w:numPr>
        <w:spacing w:before="120"/>
        <w:contextualSpacing w:val="0"/>
        <w:jc w:val="both"/>
        <w:rPr>
          <w:sz w:val="22"/>
        </w:rPr>
      </w:pPr>
      <w:r>
        <w:rPr>
          <w:sz w:val="22"/>
        </w:rPr>
        <w:t xml:space="preserve">For the monitoring of </w:t>
      </w:r>
      <w:r w:rsidR="004B1B27">
        <w:rPr>
          <w:sz w:val="22"/>
        </w:rPr>
        <w:t>a</w:t>
      </w:r>
      <w:r>
        <w:rPr>
          <w:sz w:val="22"/>
        </w:rPr>
        <w:t xml:space="preserve"> development project using grants, </w:t>
      </w:r>
      <w:r w:rsidR="009A0C19">
        <w:rPr>
          <w:sz w:val="22"/>
        </w:rPr>
        <w:t xml:space="preserve">a key consideration is the rational why grants were used in the first place. </w:t>
      </w:r>
      <w:r w:rsidR="004B1B27">
        <w:rPr>
          <w:sz w:val="22"/>
        </w:rPr>
        <w:t>For instance</w:t>
      </w:r>
      <w:r w:rsidR="009A0C19">
        <w:rPr>
          <w:sz w:val="22"/>
        </w:rPr>
        <w:t>, did the use of grants result in new solutions, direct engagement with certain stakeholders, and better uptake of development solutions in line with paragraph 1</w:t>
      </w:r>
      <w:r w:rsidR="009B750E">
        <w:rPr>
          <w:sz w:val="22"/>
        </w:rPr>
        <w:t>0</w:t>
      </w:r>
      <w:r w:rsidR="009A0C19">
        <w:rPr>
          <w:sz w:val="22"/>
        </w:rPr>
        <w:t>. Some development projects even aspire to achieve larger objectives and even global benefits through the achievements across a whole portfolio of projects.</w:t>
      </w:r>
      <w:r w:rsidR="00CF5E7F">
        <w:rPr>
          <w:rStyle w:val="FootnoteReference"/>
          <w:sz w:val="22"/>
        </w:rPr>
        <w:footnoteReference w:id="14"/>
      </w:r>
      <w:r w:rsidR="00DA67A1">
        <w:rPr>
          <w:sz w:val="22"/>
        </w:rPr>
        <w:t xml:space="preserve"> </w:t>
      </w:r>
    </w:p>
    <w:p w14:paraId="32631D6E" w14:textId="77777777" w:rsidR="00D93780" w:rsidRDefault="001A5A5D" w:rsidP="003D0F9A">
      <w:pPr>
        <w:pStyle w:val="ListParagraph"/>
        <w:numPr>
          <w:ilvl w:val="0"/>
          <w:numId w:val="19"/>
        </w:numPr>
        <w:spacing w:before="120"/>
        <w:contextualSpacing w:val="0"/>
        <w:jc w:val="both"/>
        <w:rPr>
          <w:sz w:val="22"/>
        </w:rPr>
      </w:pPr>
      <w:r>
        <w:rPr>
          <w:sz w:val="22"/>
        </w:rPr>
        <w:t>The monitoring of grants</w:t>
      </w:r>
      <w:r w:rsidR="00DA67A1">
        <w:rPr>
          <w:sz w:val="22"/>
        </w:rPr>
        <w:t xml:space="preserve"> themselves is </w:t>
      </w:r>
      <w:r>
        <w:rPr>
          <w:sz w:val="22"/>
        </w:rPr>
        <w:t>characterized by several formal and practical challenges that lie in their very nature</w:t>
      </w:r>
      <w:r w:rsidR="00DA67A1">
        <w:rPr>
          <w:sz w:val="22"/>
        </w:rPr>
        <w:t>:</w:t>
      </w:r>
      <w:r>
        <w:rPr>
          <w:sz w:val="22"/>
        </w:rPr>
        <w:t xml:space="preserve"> </w:t>
      </w:r>
    </w:p>
    <w:p w14:paraId="1F6CD882" w14:textId="6D741C50" w:rsidR="00B70893" w:rsidRPr="00B70893" w:rsidRDefault="00B70893" w:rsidP="00E532E6">
      <w:pPr>
        <w:pStyle w:val="ListParagraph"/>
        <w:numPr>
          <w:ilvl w:val="1"/>
          <w:numId w:val="14"/>
        </w:numPr>
        <w:jc w:val="both"/>
        <w:rPr>
          <w:sz w:val="22"/>
        </w:rPr>
      </w:pPr>
      <w:r w:rsidRPr="00B70893">
        <w:rPr>
          <w:sz w:val="22"/>
        </w:rPr>
        <w:lastRenderedPageBreak/>
        <w:t xml:space="preserve">Since, grants often target populations hard to reach, monitoring of grantees </w:t>
      </w:r>
      <w:r w:rsidR="00AD6923">
        <w:rPr>
          <w:sz w:val="22"/>
        </w:rPr>
        <w:t>may</w:t>
      </w:r>
      <w:r w:rsidRPr="00B70893">
        <w:rPr>
          <w:sz w:val="22"/>
        </w:rPr>
        <w:t xml:space="preserve"> be </w:t>
      </w:r>
      <w:r w:rsidR="00AD6923">
        <w:rPr>
          <w:sz w:val="22"/>
        </w:rPr>
        <w:t>challenging</w:t>
      </w:r>
      <w:r w:rsidRPr="00B70893">
        <w:rPr>
          <w:sz w:val="22"/>
        </w:rPr>
        <w:t xml:space="preserve">. In some instances, real privacy or confidentiality concerns stand in the way of gathering monitoring data. </w:t>
      </w:r>
      <w:r w:rsidR="00162FD2">
        <w:rPr>
          <w:sz w:val="22"/>
        </w:rPr>
        <w:t xml:space="preserve">Unlike responsible parties, grantees often do not </w:t>
      </w:r>
      <w:r w:rsidR="00D93780">
        <w:rPr>
          <w:sz w:val="22"/>
        </w:rPr>
        <w:t xml:space="preserve">have distinguishable office premises. In extreme cases, they might be in remote or inaccessible locations – a fact that frequently contributed to the use of a grant to engage with the </w:t>
      </w:r>
      <w:r w:rsidR="00DA67A1">
        <w:rPr>
          <w:sz w:val="22"/>
        </w:rPr>
        <w:t>populations</w:t>
      </w:r>
      <w:r w:rsidR="00D93780">
        <w:rPr>
          <w:sz w:val="22"/>
        </w:rPr>
        <w:t xml:space="preserve"> in question in the first place.</w:t>
      </w:r>
    </w:p>
    <w:p w14:paraId="2DBABB02" w14:textId="339ABDF4" w:rsidR="00155ED1" w:rsidRDefault="00D93780" w:rsidP="00E532E6">
      <w:pPr>
        <w:pStyle w:val="ListParagraph"/>
        <w:numPr>
          <w:ilvl w:val="1"/>
          <w:numId w:val="14"/>
        </w:numPr>
        <w:jc w:val="both"/>
        <w:rPr>
          <w:sz w:val="22"/>
        </w:rPr>
      </w:pPr>
      <w:r>
        <w:rPr>
          <w:sz w:val="22"/>
        </w:rPr>
        <w:t>The Implementing Partner or UNDP often play</w:t>
      </w:r>
      <w:r w:rsidR="00A516D3">
        <w:rPr>
          <w:sz w:val="22"/>
        </w:rPr>
        <w:t>s</w:t>
      </w:r>
      <w:r>
        <w:rPr>
          <w:sz w:val="22"/>
        </w:rPr>
        <w:t xml:space="preserve"> a much more engaged role in bringing grant proposa</w:t>
      </w:r>
      <w:r w:rsidR="00B3368A">
        <w:rPr>
          <w:sz w:val="22"/>
        </w:rPr>
        <w:t>ls to fruition</w:t>
      </w:r>
      <w:r>
        <w:rPr>
          <w:sz w:val="22"/>
        </w:rPr>
        <w:t xml:space="preserve">. </w:t>
      </w:r>
      <w:r w:rsidR="00155ED1">
        <w:rPr>
          <w:sz w:val="22"/>
        </w:rPr>
        <w:t>As the experience of existing grant projects shows, monitoring includes a significant amount of troubleshooting on behalf of the grantees, including bringing them together with other development stakeholders to solve problems. In cases where grantees ha</w:t>
      </w:r>
      <w:r w:rsidR="00A516D3">
        <w:rPr>
          <w:sz w:val="22"/>
        </w:rPr>
        <w:t>ve</w:t>
      </w:r>
      <w:r w:rsidR="00155ED1">
        <w:rPr>
          <w:sz w:val="22"/>
        </w:rPr>
        <w:t xml:space="preserve"> to be encouraged and persuaded to take the risk of submitting and implementing a grant, monitoring tends to be more collaborative and supportive compared to other engagement types with responsible parties. </w:t>
      </w:r>
    </w:p>
    <w:p w14:paraId="6FA51603" w14:textId="77777777" w:rsidR="00D93780" w:rsidRDefault="00155ED1" w:rsidP="00E532E6">
      <w:pPr>
        <w:pStyle w:val="ListParagraph"/>
        <w:numPr>
          <w:ilvl w:val="1"/>
          <w:numId w:val="14"/>
        </w:numPr>
        <w:jc w:val="both"/>
        <w:rPr>
          <w:sz w:val="22"/>
        </w:rPr>
      </w:pPr>
      <w:r>
        <w:rPr>
          <w:sz w:val="22"/>
        </w:rPr>
        <w:t>S</w:t>
      </w:r>
      <w:r w:rsidR="00D93780">
        <w:rPr>
          <w:sz w:val="22"/>
        </w:rPr>
        <w:t xml:space="preserve">ince the entity receiving the grant is legally the beneficiary, it is largely up to them to determine if the expected benefit </w:t>
      </w:r>
      <w:r>
        <w:rPr>
          <w:sz w:val="22"/>
        </w:rPr>
        <w:t>was received. So</w:t>
      </w:r>
      <w:r w:rsidR="00DA67A1">
        <w:rPr>
          <w:sz w:val="22"/>
        </w:rPr>
        <w:t>,</w:t>
      </w:r>
      <w:r>
        <w:rPr>
          <w:sz w:val="22"/>
        </w:rPr>
        <w:t xml:space="preserve"> </w:t>
      </w:r>
      <w:r w:rsidR="00DA67A1">
        <w:rPr>
          <w:sz w:val="22"/>
        </w:rPr>
        <w:t>o</w:t>
      </w:r>
      <w:r>
        <w:rPr>
          <w:sz w:val="22"/>
        </w:rPr>
        <w:t>btaining an independent assessment of progress can be hard for UNDP or the Implementing Partner, as the grantee itself is often the best-placed information source.</w:t>
      </w:r>
    </w:p>
    <w:p w14:paraId="2B4A6C93" w14:textId="77777777" w:rsidR="00A26CDC" w:rsidRDefault="00EB143B" w:rsidP="003D0F9A">
      <w:pPr>
        <w:pStyle w:val="ListParagraph"/>
        <w:numPr>
          <w:ilvl w:val="0"/>
          <w:numId w:val="19"/>
        </w:numPr>
        <w:spacing w:before="120"/>
        <w:contextualSpacing w:val="0"/>
        <w:jc w:val="both"/>
        <w:rPr>
          <w:sz w:val="22"/>
        </w:rPr>
      </w:pPr>
      <w:r>
        <w:rPr>
          <w:sz w:val="22"/>
        </w:rPr>
        <w:t xml:space="preserve">These challenges notwithstanding, the central aspect of monitoring grants </w:t>
      </w:r>
      <w:r w:rsidR="00E532E6">
        <w:rPr>
          <w:sz w:val="22"/>
        </w:rPr>
        <w:t xml:space="preserve">is to get grantees used to documenting their experiences and working methods. Since capacity development is a significant </w:t>
      </w:r>
      <w:r w:rsidR="00A516D3">
        <w:rPr>
          <w:sz w:val="22"/>
        </w:rPr>
        <w:t xml:space="preserve">purpose </w:t>
      </w:r>
      <w:r w:rsidR="00E532E6">
        <w:rPr>
          <w:sz w:val="22"/>
        </w:rPr>
        <w:t>of grants, monitoring should help familiarize grantees with basic tenants of project management that will better equip them to manage their own affairs.</w:t>
      </w:r>
    </w:p>
    <w:p w14:paraId="61340410" w14:textId="77777777" w:rsidR="00B57323" w:rsidRDefault="001B7FE9" w:rsidP="003D0F9A">
      <w:pPr>
        <w:pStyle w:val="ListParagraph"/>
        <w:numPr>
          <w:ilvl w:val="0"/>
          <w:numId w:val="19"/>
        </w:numPr>
        <w:spacing w:before="120"/>
        <w:contextualSpacing w:val="0"/>
        <w:jc w:val="both"/>
        <w:rPr>
          <w:sz w:val="22"/>
        </w:rPr>
      </w:pPr>
      <w:r>
        <w:rPr>
          <w:sz w:val="22"/>
        </w:rPr>
        <w:t>The grant agreement can be amended</w:t>
      </w:r>
      <w:r w:rsidR="00B010DB">
        <w:rPr>
          <w:sz w:val="22"/>
        </w:rPr>
        <w:t xml:space="preserve"> in line with the project document</w:t>
      </w:r>
      <w:r w:rsidR="00C920AF">
        <w:rPr>
          <w:sz w:val="22"/>
        </w:rPr>
        <w:t>, which typically specifies what type of amendments are possible</w:t>
      </w:r>
      <w:r>
        <w:rPr>
          <w:sz w:val="22"/>
        </w:rPr>
        <w:t>.</w:t>
      </w:r>
      <w:r w:rsidR="00C920AF">
        <w:rPr>
          <w:sz w:val="22"/>
        </w:rPr>
        <w:t xml:space="preserve"> </w:t>
      </w:r>
      <w:r w:rsidR="006B67F4">
        <w:rPr>
          <w:sz w:val="22"/>
        </w:rPr>
        <w:t xml:space="preserve">The project board or selection committee retains control </w:t>
      </w:r>
      <w:r w:rsidR="007D0D63">
        <w:rPr>
          <w:sz w:val="22"/>
        </w:rPr>
        <w:t xml:space="preserve">over </w:t>
      </w:r>
      <w:r w:rsidR="008437AC">
        <w:rPr>
          <w:sz w:val="22"/>
        </w:rPr>
        <w:t>grant amendments, particularly any additional fund allocations. However, simple no-cost extensions of the timeline can be delegated to the Implementing Partner.</w:t>
      </w:r>
      <w:r w:rsidR="00B010DB">
        <w:rPr>
          <w:sz w:val="22"/>
        </w:rPr>
        <w:t xml:space="preserve"> </w:t>
      </w:r>
    </w:p>
    <w:p w14:paraId="238CD0A7" w14:textId="77777777" w:rsidR="001B7FE9" w:rsidRDefault="00B57323" w:rsidP="003D0F9A">
      <w:pPr>
        <w:pStyle w:val="ListParagraph"/>
        <w:numPr>
          <w:ilvl w:val="0"/>
          <w:numId w:val="19"/>
        </w:numPr>
        <w:spacing w:before="120"/>
        <w:contextualSpacing w:val="0"/>
        <w:jc w:val="both"/>
        <w:rPr>
          <w:sz w:val="22"/>
        </w:rPr>
      </w:pPr>
      <w:r>
        <w:rPr>
          <w:sz w:val="22"/>
        </w:rPr>
        <w:t>The Implementing Partner is also responsible for referring to the project board or selection committee any issues that would warrant the cancellation of a grant</w:t>
      </w:r>
      <w:r w:rsidRPr="00B57323">
        <w:rPr>
          <w:sz w:val="22"/>
        </w:rPr>
        <w:t xml:space="preserve"> </w:t>
      </w:r>
      <w:r>
        <w:rPr>
          <w:sz w:val="22"/>
        </w:rPr>
        <w:t>or</w:t>
      </w:r>
      <w:r w:rsidRPr="00B57323">
        <w:rPr>
          <w:sz w:val="22"/>
        </w:rPr>
        <w:t xml:space="preserve"> </w:t>
      </w:r>
      <w:r>
        <w:rPr>
          <w:sz w:val="22"/>
        </w:rPr>
        <w:t xml:space="preserve">suspension of further </w:t>
      </w:r>
      <w:r w:rsidR="009E3574">
        <w:rPr>
          <w:sz w:val="22"/>
        </w:rPr>
        <w:t>disbursements</w:t>
      </w:r>
      <w:r>
        <w:rPr>
          <w:sz w:val="22"/>
        </w:rPr>
        <w:t xml:space="preserve">. </w:t>
      </w:r>
      <w:r w:rsidR="001B7FE9">
        <w:rPr>
          <w:sz w:val="22"/>
        </w:rPr>
        <w:t xml:space="preserve"> </w:t>
      </w:r>
    </w:p>
    <w:p w14:paraId="6C2D4D4A" w14:textId="77777777" w:rsidR="00E532E6" w:rsidRPr="00E532E6" w:rsidRDefault="00E532E6" w:rsidP="00E532E6">
      <w:pPr>
        <w:pStyle w:val="ListParagraph"/>
        <w:jc w:val="both"/>
        <w:rPr>
          <w:sz w:val="22"/>
        </w:rPr>
      </w:pPr>
    </w:p>
    <w:p w14:paraId="20FAF9AF" w14:textId="77777777" w:rsidR="003C3CA6" w:rsidRPr="00F74191" w:rsidRDefault="00A26CDC" w:rsidP="003C3CA6">
      <w:pPr>
        <w:pStyle w:val="Heading4"/>
      </w:pPr>
      <w:bookmarkStart w:id="31" w:name="_Toc530059535"/>
      <w:r>
        <w:t>Reporting</w:t>
      </w:r>
      <w:bookmarkEnd w:id="31"/>
      <w:r w:rsidR="003C3CA6" w:rsidRPr="00856227">
        <w:rPr>
          <w:color w:val="4472C4" w:themeColor="accent1"/>
        </w:rPr>
        <w:t xml:space="preserve"> </w:t>
      </w:r>
    </w:p>
    <w:p w14:paraId="57497455" w14:textId="1239AAA2" w:rsidR="00DA0B1B" w:rsidRPr="00206F70" w:rsidRDefault="00B11655" w:rsidP="00206F70">
      <w:pPr>
        <w:pStyle w:val="ListParagraph"/>
        <w:numPr>
          <w:ilvl w:val="0"/>
          <w:numId w:val="22"/>
        </w:numPr>
        <w:spacing w:before="120"/>
        <w:contextualSpacing w:val="0"/>
        <w:jc w:val="both"/>
        <w:rPr>
          <w:sz w:val="22"/>
        </w:rPr>
      </w:pPr>
      <w:r>
        <w:rPr>
          <w:sz w:val="22"/>
        </w:rPr>
        <w:t>T</w:t>
      </w:r>
      <w:r w:rsidR="00DC4D9D" w:rsidRPr="00977BD8">
        <w:rPr>
          <w:sz w:val="22"/>
        </w:rPr>
        <w:t xml:space="preserve">he grantee is responsible for substantive and financial reporting on the utilization of the grant as defined in the </w:t>
      </w:r>
      <w:r w:rsidR="0047141D">
        <w:rPr>
          <w:sz w:val="22"/>
        </w:rPr>
        <w:t>grant agreement</w:t>
      </w:r>
      <w:r w:rsidR="00DC4D9D" w:rsidRPr="00977BD8">
        <w:rPr>
          <w:sz w:val="22"/>
        </w:rPr>
        <w:t xml:space="preserve">. </w:t>
      </w:r>
      <w:r w:rsidR="000D763C">
        <w:rPr>
          <w:sz w:val="22"/>
        </w:rPr>
        <w:t xml:space="preserve">As mentioned above, </w:t>
      </w:r>
      <w:r w:rsidR="002B3DE9">
        <w:rPr>
          <w:sz w:val="22"/>
        </w:rPr>
        <w:t xml:space="preserve">in practice reporting is often a much more collaborative undertaking, particularly in cases where the project requires specific data to be reported in a harmonized or uniform way so it can be aggregated. </w:t>
      </w:r>
      <w:r w:rsidR="00206F70">
        <w:rPr>
          <w:sz w:val="22"/>
        </w:rPr>
        <w:t xml:space="preserve">Appropriate evidence that the activities reported were completed should be attached to the report, such as photographs, boarding pass copies, meeting minutes, sign in sheets, etc.  </w:t>
      </w:r>
    </w:p>
    <w:p w14:paraId="0FA60F68" w14:textId="3D1C3509" w:rsidR="00B37CDD" w:rsidRPr="00442FCE" w:rsidRDefault="00442FCE" w:rsidP="00206F70">
      <w:pPr>
        <w:pStyle w:val="ListParagraph"/>
        <w:numPr>
          <w:ilvl w:val="0"/>
          <w:numId w:val="22"/>
        </w:numPr>
        <w:spacing w:before="120"/>
        <w:contextualSpacing w:val="0"/>
        <w:jc w:val="both"/>
        <w:rPr>
          <w:rFonts w:cstheme="minorHAnsi"/>
          <w:sz w:val="22"/>
          <w:szCs w:val="22"/>
        </w:rPr>
      </w:pPr>
      <w:r>
        <w:rPr>
          <w:sz w:val="22"/>
        </w:rPr>
        <w:t xml:space="preserve">Grantees must provide </w:t>
      </w:r>
      <w:r w:rsidR="00EA03DE">
        <w:rPr>
          <w:sz w:val="22"/>
        </w:rPr>
        <w:t>performance</w:t>
      </w:r>
      <w:r>
        <w:rPr>
          <w:sz w:val="22"/>
        </w:rPr>
        <w:t xml:space="preserve"> reporting to UNDP, or the Implementing Partner in the case of on-granting</w:t>
      </w:r>
      <w:r w:rsidR="00B40AD5">
        <w:rPr>
          <w:sz w:val="22"/>
        </w:rPr>
        <w:t>, at least 30 days before the expected release of the next tranche</w:t>
      </w:r>
      <w:r>
        <w:rPr>
          <w:sz w:val="22"/>
        </w:rPr>
        <w:t xml:space="preserve">. </w:t>
      </w:r>
      <w:r w:rsidR="008D7062" w:rsidRPr="008D7062">
        <w:rPr>
          <w:sz w:val="22"/>
        </w:rPr>
        <w:t>In cases where a grant spans more than one year</w:t>
      </w:r>
      <w:r w:rsidR="008D7062">
        <w:rPr>
          <w:sz w:val="22"/>
        </w:rPr>
        <w:t>,</w:t>
      </w:r>
      <w:r w:rsidR="008D7062" w:rsidRPr="008D7062">
        <w:rPr>
          <w:sz w:val="22"/>
        </w:rPr>
        <w:t xml:space="preserve"> </w:t>
      </w:r>
      <w:r w:rsidR="008D7062">
        <w:rPr>
          <w:sz w:val="22"/>
        </w:rPr>
        <w:t xml:space="preserve">the </w:t>
      </w:r>
      <w:r w:rsidR="008D7062" w:rsidRPr="008D7062">
        <w:rPr>
          <w:sz w:val="22"/>
        </w:rPr>
        <w:t>grant recipient must provide annual reports</w:t>
      </w:r>
      <w:r w:rsidR="00343D73">
        <w:rPr>
          <w:sz w:val="22"/>
        </w:rPr>
        <w:t xml:space="preserve"> until activities have been completed</w:t>
      </w:r>
      <w:r w:rsidR="008D7062" w:rsidRPr="008D7062">
        <w:rPr>
          <w:sz w:val="22"/>
        </w:rPr>
        <w:t>.</w:t>
      </w:r>
      <w:r w:rsidR="008D7062">
        <w:rPr>
          <w:sz w:val="22"/>
        </w:rPr>
        <w:t xml:space="preserve"> </w:t>
      </w:r>
      <w:r w:rsidR="00720ED8">
        <w:rPr>
          <w:sz w:val="22"/>
        </w:rPr>
        <w:t>At the end of the grant period</w:t>
      </w:r>
      <w:r w:rsidR="009E3574">
        <w:rPr>
          <w:sz w:val="22"/>
        </w:rPr>
        <w:t xml:space="preserve">, the grant recipient is required to submit a final </w:t>
      </w:r>
      <w:r w:rsidR="009E3574" w:rsidRPr="00442FCE">
        <w:rPr>
          <w:rFonts w:cstheme="minorHAnsi"/>
          <w:sz w:val="22"/>
          <w:szCs w:val="22"/>
        </w:rPr>
        <w:t xml:space="preserve">substantive </w:t>
      </w:r>
      <w:r w:rsidR="00B37CDD" w:rsidRPr="00442FCE">
        <w:rPr>
          <w:rFonts w:cstheme="minorHAnsi"/>
          <w:sz w:val="22"/>
          <w:szCs w:val="22"/>
        </w:rPr>
        <w:t xml:space="preserve">and financial </w:t>
      </w:r>
      <w:r w:rsidR="00EA03DE">
        <w:rPr>
          <w:rFonts w:cstheme="minorHAnsi"/>
          <w:sz w:val="22"/>
          <w:szCs w:val="22"/>
        </w:rPr>
        <w:t>report, which shall include certification by the Recipient Institution’s representative with institutional responsibility for financial reporting, including the certification date.</w:t>
      </w:r>
      <w:r w:rsidRPr="00442FCE">
        <w:rPr>
          <w:rFonts w:cstheme="minorHAnsi"/>
          <w:sz w:val="22"/>
          <w:szCs w:val="22"/>
        </w:rPr>
        <w:t xml:space="preserve"> </w:t>
      </w:r>
      <w:r w:rsidR="005803CF">
        <w:rPr>
          <w:rFonts w:cstheme="minorHAnsi"/>
          <w:sz w:val="22"/>
          <w:szCs w:val="22"/>
        </w:rPr>
        <w:t>Projects with grant components</w:t>
      </w:r>
      <w:r w:rsidR="009E3574" w:rsidRPr="00442FCE">
        <w:rPr>
          <w:rFonts w:cstheme="minorHAnsi"/>
          <w:sz w:val="22"/>
          <w:szCs w:val="22"/>
        </w:rPr>
        <w:t xml:space="preserve"> </w:t>
      </w:r>
      <w:r w:rsidR="00B37CDD" w:rsidRPr="00442FCE">
        <w:rPr>
          <w:rFonts w:cstheme="minorHAnsi"/>
          <w:sz w:val="22"/>
          <w:szCs w:val="22"/>
        </w:rPr>
        <w:t>are subje</w:t>
      </w:r>
      <w:r w:rsidR="009E3574" w:rsidRPr="00442FCE">
        <w:rPr>
          <w:rFonts w:cstheme="minorHAnsi"/>
          <w:sz w:val="22"/>
          <w:szCs w:val="22"/>
        </w:rPr>
        <w:t>ct to UNDP’s audit requirements</w:t>
      </w:r>
      <w:r>
        <w:rPr>
          <w:rFonts w:cstheme="minorHAnsi"/>
          <w:sz w:val="22"/>
          <w:szCs w:val="22"/>
        </w:rPr>
        <w:t>, such as DIM audits or audits of the Implementing partner in the case of on-granting</w:t>
      </w:r>
      <w:r w:rsidR="009E3574" w:rsidRPr="00442FCE">
        <w:rPr>
          <w:rFonts w:cstheme="minorHAnsi"/>
          <w:sz w:val="22"/>
          <w:szCs w:val="22"/>
        </w:rPr>
        <w:t>.</w:t>
      </w:r>
      <w:r w:rsidR="00EA03DE">
        <w:rPr>
          <w:rFonts w:cstheme="minorHAnsi"/>
          <w:sz w:val="22"/>
          <w:szCs w:val="22"/>
        </w:rPr>
        <w:t xml:space="preserve"> </w:t>
      </w:r>
    </w:p>
    <w:p w14:paraId="3B1DDC59" w14:textId="77777777" w:rsidR="00652B36" w:rsidRPr="00F74191" w:rsidRDefault="00652B36" w:rsidP="00D60158">
      <w:pPr>
        <w:jc w:val="both"/>
        <w:rPr>
          <w:b/>
          <w:sz w:val="22"/>
        </w:rPr>
      </w:pPr>
    </w:p>
    <w:p w14:paraId="039B0C4A" w14:textId="77777777" w:rsidR="0070106C" w:rsidRDefault="004F5A36" w:rsidP="0070106C">
      <w:pPr>
        <w:pStyle w:val="Heading2"/>
      </w:pPr>
      <w:bookmarkStart w:id="32" w:name="_Toc530059536"/>
      <w:r>
        <w:lastRenderedPageBreak/>
        <w:t>Annex</w:t>
      </w:r>
      <w:r w:rsidR="0070106C">
        <w:t>:</w:t>
      </w:r>
      <w:bookmarkEnd w:id="32"/>
    </w:p>
    <w:p w14:paraId="6E333112" w14:textId="77777777" w:rsidR="004F5A36" w:rsidRDefault="004F5A36" w:rsidP="004F5A36">
      <w:pPr>
        <w:pStyle w:val="Heading4"/>
      </w:pPr>
      <w:bookmarkStart w:id="33" w:name="_Toc530059537"/>
      <w:r>
        <w:t>Glossary</w:t>
      </w:r>
      <w:bookmarkEnd w:id="33"/>
    </w:p>
    <w:tbl>
      <w:tblPr>
        <w:tblStyle w:val="TableGrid"/>
        <w:tblW w:w="0" w:type="auto"/>
        <w:tblLook w:val="04A0" w:firstRow="1" w:lastRow="0" w:firstColumn="1" w:lastColumn="0" w:noHBand="0" w:noVBand="1"/>
      </w:tblPr>
      <w:tblGrid>
        <w:gridCol w:w="3251"/>
        <w:gridCol w:w="5805"/>
      </w:tblGrid>
      <w:tr w:rsidR="00E70569" w:rsidRPr="004F5A36" w14:paraId="389C8844" w14:textId="77777777" w:rsidTr="00001550">
        <w:tc>
          <w:tcPr>
            <w:tcW w:w="3251" w:type="dxa"/>
          </w:tcPr>
          <w:p w14:paraId="3CEE769A" w14:textId="77777777" w:rsidR="00E70569" w:rsidRDefault="00E70569" w:rsidP="00001550">
            <w:pPr>
              <w:rPr>
                <w:sz w:val="20"/>
                <w:szCs w:val="20"/>
              </w:rPr>
            </w:pPr>
            <w:r>
              <w:rPr>
                <w:sz w:val="20"/>
                <w:szCs w:val="20"/>
              </w:rPr>
              <w:t>Direct granting</w:t>
            </w:r>
          </w:p>
        </w:tc>
        <w:tc>
          <w:tcPr>
            <w:tcW w:w="5805" w:type="dxa"/>
          </w:tcPr>
          <w:p w14:paraId="2348BD8D" w14:textId="77777777" w:rsidR="00E70569" w:rsidRDefault="00E70569" w:rsidP="00E70569">
            <w:pPr>
              <w:rPr>
                <w:sz w:val="20"/>
                <w:szCs w:val="20"/>
              </w:rPr>
            </w:pPr>
            <w:r>
              <w:rPr>
                <w:sz w:val="20"/>
                <w:szCs w:val="20"/>
              </w:rPr>
              <w:t>Grant projects in which UNDP is responsible for the grant solicitation process and signs grant agreements irrespective of the implementation modality of the project</w:t>
            </w:r>
          </w:p>
        </w:tc>
      </w:tr>
      <w:tr w:rsidR="00D01060" w:rsidRPr="004F5A36" w14:paraId="0300B4B1" w14:textId="77777777" w:rsidTr="00001550">
        <w:tc>
          <w:tcPr>
            <w:tcW w:w="3251" w:type="dxa"/>
          </w:tcPr>
          <w:p w14:paraId="68245B76" w14:textId="77777777" w:rsidR="00D01060" w:rsidRDefault="00D01060" w:rsidP="00001550">
            <w:pPr>
              <w:rPr>
                <w:sz w:val="20"/>
                <w:szCs w:val="20"/>
              </w:rPr>
            </w:pPr>
            <w:r>
              <w:rPr>
                <w:sz w:val="20"/>
                <w:szCs w:val="20"/>
              </w:rPr>
              <w:t>Disbursement</w:t>
            </w:r>
          </w:p>
        </w:tc>
        <w:tc>
          <w:tcPr>
            <w:tcW w:w="5805" w:type="dxa"/>
          </w:tcPr>
          <w:p w14:paraId="55D5B800" w14:textId="77777777" w:rsidR="00D01060" w:rsidRDefault="00D01060" w:rsidP="00001550">
            <w:pPr>
              <w:rPr>
                <w:sz w:val="20"/>
                <w:szCs w:val="20"/>
              </w:rPr>
            </w:pPr>
            <w:r>
              <w:rPr>
                <w:sz w:val="20"/>
                <w:szCs w:val="20"/>
              </w:rPr>
              <w:t>The payment of the grant amount to the grant recipient in line with the grant agreement</w:t>
            </w:r>
          </w:p>
        </w:tc>
      </w:tr>
      <w:tr w:rsidR="00E70569" w:rsidRPr="004F5A36" w14:paraId="15A9AB83" w14:textId="77777777" w:rsidTr="00001550">
        <w:tc>
          <w:tcPr>
            <w:tcW w:w="3251" w:type="dxa"/>
          </w:tcPr>
          <w:p w14:paraId="4D2091DD" w14:textId="77777777" w:rsidR="00E70569" w:rsidRDefault="00E70569" w:rsidP="00001550">
            <w:pPr>
              <w:rPr>
                <w:sz w:val="20"/>
                <w:szCs w:val="20"/>
              </w:rPr>
            </w:pPr>
            <w:r>
              <w:rPr>
                <w:sz w:val="20"/>
                <w:szCs w:val="20"/>
              </w:rPr>
              <w:t>Grant</w:t>
            </w:r>
          </w:p>
        </w:tc>
        <w:tc>
          <w:tcPr>
            <w:tcW w:w="5805" w:type="dxa"/>
          </w:tcPr>
          <w:p w14:paraId="7588A187" w14:textId="515D788F" w:rsidR="00E70569" w:rsidRDefault="00E70569" w:rsidP="00E70569">
            <w:pPr>
              <w:rPr>
                <w:sz w:val="20"/>
                <w:szCs w:val="20"/>
              </w:rPr>
            </w:pPr>
            <w:r>
              <w:rPr>
                <w:sz w:val="20"/>
                <w:szCs w:val="20"/>
              </w:rPr>
              <w:t>C</w:t>
            </w:r>
            <w:r w:rsidRPr="00E70569">
              <w:rPr>
                <w:sz w:val="20"/>
                <w:szCs w:val="20"/>
              </w:rPr>
              <w:t xml:space="preserve">ash </w:t>
            </w:r>
            <w:r w:rsidR="00605729" w:rsidRPr="00605729">
              <w:rPr>
                <w:sz w:val="20"/>
                <w:szCs w:val="20"/>
              </w:rPr>
              <w:t xml:space="preserve">awards – selected via programmatic decisions – to civil society partners </w:t>
            </w:r>
            <w:r w:rsidR="00C33CF7">
              <w:rPr>
                <w:sz w:val="20"/>
                <w:szCs w:val="20"/>
              </w:rPr>
              <w:t>to</w:t>
            </w:r>
            <w:r w:rsidR="00605729" w:rsidRPr="00605729">
              <w:rPr>
                <w:sz w:val="20"/>
                <w:szCs w:val="20"/>
              </w:rPr>
              <w:t xml:space="preserve"> </w:t>
            </w:r>
            <w:r w:rsidRPr="00E70569">
              <w:rPr>
                <w:sz w:val="20"/>
                <w:szCs w:val="20"/>
              </w:rPr>
              <w:t>generat</w:t>
            </w:r>
            <w:r w:rsidR="00C33CF7">
              <w:rPr>
                <w:sz w:val="20"/>
                <w:szCs w:val="20"/>
              </w:rPr>
              <w:t>e</w:t>
            </w:r>
            <w:r w:rsidRPr="00E70569">
              <w:rPr>
                <w:sz w:val="20"/>
                <w:szCs w:val="20"/>
              </w:rPr>
              <w:t xml:space="preserve"> and solicit development solutions for which no repayment is </w:t>
            </w:r>
            <w:r w:rsidR="00605729">
              <w:rPr>
                <w:sz w:val="20"/>
                <w:szCs w:val="20"/>
              </w:rPr>
              <w:t xml:space="preserve">typically </w:t>
            </w:r>
            <w:r w:rsidRPr="00E70569">
              <w:rPr>
                <w:sz w:val="20"/>
                <w:szCs w:val="20"/>
              </w:rPr>
              <w:t>required.</w:t>
            </w:r>
          </w:p>
        </w:tc>
      </w:tr>
      <w:tr w:rsidR="004F5A36" w:rsidRPr="004F5A36" w14:paraId="67F53440" w14:textId="77777777" w:rsidTr="00001550">
        <w:tc>
          <w:tcPr>
            <w:tcW w:w="3251" w:type="dxa"/>
          </w:tcPr>
          <w:p w14:paraId="2925709F" w14:textId="77777777" w:rsidR="004F5A36" w:rsidRPr="004F5A36" w:rsidRDefault="004F5A36" w:rsidP="00001550">
            <w:pPr>
              <w:rPr>
                <w:sz w:val="20"/>
                <w:szCs w:val="20"/>
              </w:rPr>
            </w:pPr>
            <w:r>
              <w:rPr>
                <w:sz w:val="20"/>
                <w:szCs w:val="20"/>
              </w:rPr>
              <w:t>Grant agreement</w:t>
            </w:r>
          </w:p>
        </w:tc>
        <w:tc>
          <w:tcPr>
            <w:tcW w:w="5805" w:type="dxa"/>
          </w:tcPr>
          <w:p w14:paraId="1C5E47CD" w14:textId="656FDA39" w:rsidR="004F5A36" w:rsidRPr="004F5A36" w:rsidRDefault="004F5A36" w:rsidP="00001550">
            <w:pPr>
              <w:rPr>
                <w:sz w:val="20"/>
                <w:szCs w:val="20"/>
              </w:rPr>
            </w:pPr>
            <w:r>
              <w:rPr>
                <w:sz w:val="20"/>
                <w:szCs w:val="20"/>
              </w:rPr>
              <w:t>The legal document typically signed between the Implementing Partner</w:t>
            </w:r>
            <w:r w:rsidR="00ED2800">
              <w:rPr>
                <w:sz w:val="20"/>
                <w:szCs w:val="20"/>
              </w:rPr>
              <w:t>/Responsible Party</w:t>
            </w:r>
            <w:r>
              <w:rPr>
                <w:sz w:val="20"/>
                <w:szCs w:val="20"/>
              </w:rPr>
              <w:t xml:space="preserve"> and </w:t>
            </w:r>
            <w:r w:rsidR="00B03D95">
              <w:rPr>
                <w:sz w:val="20"/>
                <w:szCs w:val="20"/>
              </w:rPr>
              <w:t>the grant recipient to which the grant proposal is attached</w:t>
            </w:r>
          </w:p>
        </w:tc>
      </w:tr>
      <w:tr w:rsidR="004F5A36" w:rsidRPr="004F5A36" w14:paraId="2872DF0C" w14:textId="77777777" w:rsidTr="004F5A36">
        <w:tc>
          <w:tcPr>
            <w:tcW w:w="3251" w:type="dxa"/>
          </w:tcPr>
          <w:p w14:paraId="44E25E9B" w14:textId="77777777" w:rsidR="004F5A36" w:rsidRPr="004F5A36" w:rsidRDefault="004F5A36" w:rsidP="004F5A36">
            <w:pPr>
              <w:rPr>
                <w:sz w:val="20"/>
                <w:szCs w:val="20"/>
              </w:rPr>
            </w:pPr>
            <w:r w:rsidRPr="004F5A36">
              <w:rPr>
                <w:sz w:val="20"/>
                <w:szCs w:val="20"/>
              </w:rPr>
              <w:t xml:space="preserve">Grant </w:t>
            </w:r>
            <w:r>
              <w:rPr>
                <w:sz w:val="20"/>
                <w:szCs w:val="20"/>
              </w:rPr>
              <w:t xml:space="preserve">allocation or </w:t>
            </w:r>
            <w:r w:rsidRPr="004F5A36">
              <w:rPr>
                <w:sz w:val="20"/>
                <w:szCs w:val="20"/>
              </w:rPr>
              <w:t xml:space="preserve">funding </w:t>
            </w:r>
          </w:p>
        </w:tc>
        <w:tc>
          <w:tcPr>
            <w:tcW w:w="5805" w:type="dxa"/>
          </w:tcPr>
          <w:p w14:paraId="3B54349B" w14:textId="77777777" w:rsidR="004F5A36" w:rsidRPr="004F5A36" w:rsidRDefault="004F5A36" w:rsidP="004F5A36">
            <w:pPr>
              <w:rPr>
                <w:sz w:val="20"/>
                <w:szCs w:val="20"/>
              </w:rPr>
            </w:pPr>
            <w:r w:rsidRPr="004F5A36">
              <w:rPr>
                <w:sz w:val="20"/>
                <w:szCs w:val="20"/>
              </w:rPr>
              <w:t xml:space="preserve">The total </w:t>
            </w:r>
            <w:r>
              <w:rPr>
                <w:sz w:val="20"/>
                <w:szCs w:val="20"/>
              </w:rPr>
              <w:t>amount of money available under a development project for grants provided, typically provided by a donor</w:t>
            </w:r>
          </w:p>
        </w:tc>
      </w:tr>
      <w:tr w:rsidR="004F5A36" w:rsidRPr="004F5A36" w14:paraId="70BED06A" w14:textId="77777777" w:rsidTr="004F5A36">
        <w:tc>
          <w:tcPr>
            <w:tcW w:w="3251" w:type="dxa"/>
          </w:tcPr>
          <w:p w14:paraId="59E3A6CD" w14:textId="77777777" w:rsidR="004F5A36" w:rsidRPr="004F5A36" w:rsidRDefault="004F5A36" w:rsidP="004F5A36">
            <w:pPr>
              <w:rPr>
                <w:sz w:val="20"/>
                <w:szCs w:val="20"/>
              </w:rPr>
            </w:pPr>
            <w:r>
              <w:rPr>
                <w:sz w:val="20"/>
                <w:szCs w:val="20"/>
              </w:rPr>
              <w:t>Grant amount</w:t>
            </w:r>
          </w:p>
        </w:tc>
        <w:tc>
          <w:tcPr>
            <w:tcW w:w="5805" w:type="dxa"/>
          </w:tcPr>
          <w:p w14:paraId="0D82DF57" w14:textId="77777777" w:rsidR="004F5A36" w:rsidRPr="004F5A36" w:rsidRDefault="004F5A36" w:rsidP="004F5A36">
            <w:pPr>
              <w:rPr>
                <w:sz w:val="20"/>
                <w:szCs w:val="20"/>
              </w:rPr>
            </w:pPr>
            <w:r>
              <w:rPr>
                <w:sz w:val="20"/>
                <w:szCs w:val="20"/>
              </w:rPr>
              <w:t>The amount requested for a specific grant that is subject to certain limitations</w:t>
            </w:r>
          </w:p>
        </w:tc>
      </w:tr>
      <w:tr w:rsidR="004F5A36" w:rsidRPr="004F5A36" w14:paraId="2C42B037" w14:textId="77777777" w:rsidTr="004F5A36">
        <w:tc>
          <w:tcPr>
            <w:tcW w:w="3251" w:type="dxa"/>
          </w:tcPr>
          <w:p w14:paraId="634E5B1B" w14:textId="77777777" w:rsidR="004F5A36" w:rsidRPr="004F5A36" w:rsidRDefault="004F5A36" w:rsidP="004F5A36">
            <w:pPr>
              <w:rPr>
                <w:sz w:val="20"/>
                <w:szCs w:val="20"/>
              </w:rPr>
            </w:pPr>
            <w:r>
              <w:rPr>
                <w:sz w:val="20"/>
                <w:szCs w:val="20"/>
              </w:rPr>
              <w:t>Grantee or grant recipient</w:t>
            </w:r>
          </w:p>
        </w:tc>
        <w:tc>
          <w:tcPr>
            <w:tcW w:w="5805" w:type="dxa"/>
          </w:tcPr>
          <w:p w14:paraId="500A0A87" w14:textId="78C7A826" w:rsidR="004F5A36" w:rsidRPr="004F5A36" w:rsidRDefault="004F5A36" w:rsidP="00B03D95">
            <w:pPr>
              <w:rPr>
                <w:sz w:val="20"/>
                <w:szCs w:val="20"/>
              </w:rPr>
            </w:pPr>
            <w:r>
              <w:rPr>
                <w:sz w:val="20"/>
                <w:szCs w:val="20"/>
              </w:rPr>
              <w:t>The entity the Implementing Partner</w:t>
            </w:r>
            <w:r w:rsidR="00ED2800">
              <w:rPr>
                <w:sz w:val="20"/>
                <w:szCs w:val="20"/>
              </w:rPr>
              <w:t xml:space="preserve"> or Responsible Party</w:t>
            </w:r>
            <w:r>
              <w:rPr>
                <w:sz w:val="20"/>
                <w:szCs w:val="20"/>
              </w:rPr>
              <w:t xml:space="preserve"> signs the grant agreement with that legally is considered the final beneficiary of the grant</w:t>
            </w:r>
          </w:p>
        </w:tc>
      </w:tr>
      <w:tr w:rsidR="00B03D95" w:rsidRPr="004F5A36" w14:paraId="01197BF9" w14:textId="77777777" w:rsidTr="004F5A36">
        <w:tc>
          <w:tcPr>
            <w:tcW w:w="3251" w:type="dxa"/>
          </w:tcPr>
          <w:p w14:paraId="156EF949" w14:textId="77777777" w:rsidR="00B03D95" w:rsidRDefault="00B03D95" w:rsidP="004F5A36">
            <w:pPr>
              <w:rPr>
                <w:sz w:val="20"/>
                <w:szCs w:val="20"/>
              </w:rPr>
            </w:pPr>
            <w:r>
              <w:rPr>
                <w:sz w:val="20"/>
                <w:szCs w:val="20"/>
              </w:rPr>
              <w:t>Grant proposal</w:t>
            </w:r>
          </w:p>
        </w:tc>
        <w:tc>
          <w:tcPr>
            <w:tcW w:w="5805" w:type="dxa"/>
          </w:tcPr>
          <w:p w14:paraId="5D5E2E0C" w14:textId="77777777" w:rsidR="00B03D95" w:rsidRDefault="00B03D95" w:rsidP="004F5A36">
            <w:pPr>
              <w:rPr>
                <w:sz w:val="20"/>
                <w:szCs w:val="20"/>
              </w:rPr>
            </w:pPr>
            <w:r>
              <w:rPr>
                <w:sz w:val="20"/>
                <w:szCs w:val="20"/>
              </w:rPr>
              <w:t>The document prepared by an interested entity in response to a grant solicitation process</w:t>
            </w:r>
          </w:p>
        </w:tc>
      </w:tr>
      <w:tr w:rsidR="00B03D95" w:rsidRPr="004F5A36" w14:paraId="0421C20A" w14:textId="77777777" w:rsidTr="004F5A36">
        <w:tc>
          <w:tcPr>
            <w:tcW w:w="3251" w:type="dxa"/>
          </w:tcPr>
          <w:p w14:paraId="49B5AB5D" w14:textId="77777777" w:rsidR="00B03D95" w:rsidRDefault="00B03D95" w:rsidP="004F5A36">
            <w:pPr>
              <w:rPr>
                <w:sz w:val="20"/>
                <w:szCs w:val="20"/>
              </w:rPr>
            </w:pPr>
            <w:r>
              <w:rPr>
                <w:sz w:val="20"/>
                <w:szCs w:val="20"/>
              </w:rPr>
              <w:t xml:space="preserve">Grant project </w:t>
            </w:r>
          </w:p>
        </w:tc>
        <w:tc>
          <w:tcPr>
            <w:tcW w:w="5805" w:type="dxa"/>
          </w:tcPr>
          <w:p w14:paraId="597BF98F" w14:textId="77777777" w:rsidR="00E70569" w:rsidRDefault="00B03D95" w:rsidP="00B03D95">
            <w:pPr>
              <w:rPr>
                <w:sz w:val="20"/>
                <w:szCs w:val="20"/>
              </w:rPr>
            </w:pPr>
            <w:r>
              <w:rPr>
                <w:sz w:val="20"/>
                <w:szCs w:val="20"/>
              </w:rPr>
              <w:t xml:space="preserve">A development project that as part of its design contains specific provisions on grant-making in the project document </w:t>
            </w:r>
          </w:p>
        </w:tc>
      </w:tr>
      <w:tr w:rsidR="00E70569" w:rsidRPr="004F5A36" w14:paraId="3FAFA9BD" w14:textId="77777777" w:rsidTr="004F5A36">
        <w:tc>
          <w:tcPr>
            <w:tcW w:w="3251" w:type="dxa"/>
          </w:tcPr>
          <w:p w14:paraId="1E1D9A01" w14:textId="77777777" w:rsidR="00E70569" w:rsidRDefault="00061249" w:rsidP="00061249">
            <w:pPr>
              <w:rPr>
                <w:sz w:val="20"/>
                <w:szCs w:val="20"/>
              </w:rPr>
            </w:pPr>
            <w:r>
              <w:rPr>
                <w:sz w:val="20"/>
                <w:szCs w:val="20"/>
              </w:rPr>
              <w:t xml:space="preserve">Indirect granting </w:t>
            </w:r>
            <w:r w:rsidR="00A52326">
              <w:rPr>
                <w:sz w:val="20"/>
                <w:szCs w:val="20"/>
              </w:rPr>
              <w:t>(or</w:t>
            </w:r>
            <w:r>
              <w:rPr>
                <w:sz w:val="20"/>
                <w:szCs w:val="20"/>
              </w:rPr>
              <w:t xml:space="preserve"> on-granting</w:t>
            </w:r>
            <w:r w:rsidR="00A52326">
              <w:rPr>
                <w:sz w:val="20"/>
                <w:szCs w:val="20"/>
              </w:rPr>
              <w:t>)</w:t>
            </w:r>
          </w:p>
        </w:tc>
        <w:tc>
          <w:tcPr>
            <w:tcW w:w="5805" w:type="dxa"/>
          </w:tcPr>
          <w:p w14:paraId="70A9DDD2" w14:textId="77777777" w:rsidR="00E70569" w:rsidRDefault="00A52326" w:rsidP="00B03D95">
            <w:pPr>
              <w:rPr>
                <w:sz w:val="20"/>
                <w:szCs w:val="20"/>
              </w:rPr>
            </w:pPr>
            <w:r>
              <w:rPr>
                <w:sz w:val="20"/>
                <w:szCs w:val="20"/>
              </w:rPr>
              <w:t>Grant projects in which an entity other than UNDP is responsible for the grant solicitation process and signs grant agreements irrespective of the implementation modality of the project</w:t>
            </w:r>
          </w:p>
        </w:tc>
      </w:tr>
    </w:tbl>
    <w:p w14:paraId="510F9997" w14:textId="77777777" w:rsidR="004F5A36" w:rsidRPr="004F5A36" w:rsidRDefault="004F5A36" w:rsidP="004F5A36">
      <w:pPr>
        <w:rPr>
          <w:sz w:val="20"/>
          <w:szCs w:val="20"/>
        </w:rPr>
      </w:pPr>
    </w:p>
    <w:p w14:paraId="5E841F34" w14:textId="77777777" w:rsidR="0070106C" w:rsidRPr="00F74191" w:rsidRDefault="0070106C" w:rsidP="0070106C">
      <w:pPr>
        <w:jc w:val="both"/>
        <w:rPr>
          <w:sz w:val="22"/>
        </w:rPr>
      </w:pPr>
    </w:p>
    <w:p w14:paraId="65D8E8FF" w14:textId="4D422412" w:rsidR="00652B36" w:rsidRDefault="0059425D" w:rsidP="004F5A36">
      <w:pPr>
        <w:pStyle w:val="Heading4"/>
      </w:pPr>
      <w:bookmarkStart w:id="34" w:name="_Toc530059538"/>
      <w:r>
        <w:t>Options</w:t>
      </w:r>
      <w:r w:rsidRPr="00F74191">
        <w:t xml:space="preserve"> </w:t>
      </w:r>
      <w:r w:rsidR="00652B36" w:rsidRPr="00F74191">
        <w:t>Used by UNDP to Provide Low-Value Grants</w:t>
      </w:r>
      <w:bookmarkEnd w:id="34"/>
    </w:p>
    <w:p w14:paraId="4D6F740D" w14:textId="6BC9C57C" w:rsidR="009C3BFB" w:rsidRPr="009C3BFB" w:rsidRDefault="009C3BFB" w:rsidP="003D0F9A">
      <w:pPr>
        <w:spacing w:before="120"/>
        <w:jc w:val="both"/>
        <w:rPr>
          <w:sz w:val="22"/>
        </w:rPr>
      </w:pPr>
      <w:r w:rsidRPr="009C3BFB">
        <w:rPr>
          <w:sz w:val="22"/>
        </w:rPr>
        <w:t>The following table</w:t>
      </w:r>
      <w:r w:rsidR="009C250B">
        <w:rPr>
          <w:sz w:val="22"/>
        </w:rPr>
        <w:t>s</w:t>
      </w:r>
      <w:r w:rsidRPr="009C3BFB">
        <w:rPr>
          <w:sz w:val="22"/>
        </w:rPr>
        <w:t xml:space="preserve"> summarizes the legal instruments used by UNDP to provide low-value grants. For grants provided by partners other than UNDP, the relevant legal instrument of the partner institution will be used, which must be in a form that has been deemed acceptable to UNDP as part of the partner’s grant-making capacity assessment process. </w:t>
      </w:r>
    </w:p>
    <w:p w14:paraId="1D7AA448" w14:textId="77777777" w:rsidR="00A73745" w:rsidRPr="00F74191" w:rsidRDefault="00A73745" w:rsidP="00A73745">
      <w:pPr>
        <w:rPr>
          <w:b/>
        </w:rPr>
      </w:pPr>
    </w:p>
    <w:tbl>
      <w:tblPr>
        <w:tblStyle w:val="TableGrid"/>
        <w:tblW w:w="9056" w:type="dxa"/>
        <w:jc w:val="center"/>
        <w:tblLook w:val="04A0" w:firstRow="1" w:lastRow="0" w:firstColumn="1" w:lastColumn="0" w:noHBand="0" w:noVBand="1"/>
      </w:tblPr>
      <w:tblGrid>
        <w:gridCol w:w="1323"/>
        <w:gridCol w:w="1797"/>
        <w:gridCol w:w="1959"/>
        <w:gridCol w:w="2060"/>
        <w:gridCol w:w="1917"/>
      </w:tblGrid>
      <w:tr w:rsidR="008516B8" w:rsidRPr="00F74191" w14:paraId="1C9F9772" w14:textId="77777777" w:rsidTr="00305BAA">
        <w:trPr>
          <w:jc w:val="center"/>
        </w:trPr>
        <w:tc>
          <w:tcPr>
            <w:tcW w:w="1323" w:type="dxa"/>
            <w:vMerge w:val="restart"/>
          </w:tcPr>
          <w:p w14:paraId="764B2AD3" w14:textId="77777777" w:rsidR="008516B8" w:rsidRDefault="008516B8" w:rsidP="00305BAA">
            <w:pPr>
              <w:rPr>
                <w:b/>
                <w:sz w:val="18"/>
                <w:szCs w:val="20"/>
              </w:rPr>
            </w:pPr>
          </w:p>
          <w:p w14:paraId="3CB6D325" w14:textId="77777777" w:rsidR="008516B8" w:rsidRDefault="008516B8" w:rsidP="00305BAA">
            <w:pPr>
              <w:rPr>
                <w:b/>
                <w:sz w:val="18"/>
                <w:szCs w:val="20"/>
              </w:rPr>
            </w:pPr>
          </w:p>
          <w:p w14:paraId="4CCEFAE6" w14:textId="77777777" w:rsidR="008516B8" w:rsidRPr="00F74191" w:rsidRDefault="008516B8" w:rsidP="00305BAA">
            <w:pPr>
              <w:rPr>
                <w:sz w:val="22"/>
              </w:rPr>
            </w:pPr>
            <w:r w:rsidRPr="00F74191">
              <w:rPr>
                <w:b/>
                <w:sz w:val="18"/>
                <w:szCs w:val="20"/>
              </w:rPr>
              <w:t>Low-value grant</w:t>
            </w:r>
          </w:p>
        </w:tc>
        <w:tc>
          <w:tcPr>
            <w:tcW w:w="1797" w:type="dxa"/>
          </w:tcPr>
          <w:p w14:paraId="3B7C15D5" w14:textId="77777777" w:rsidR="008516B8" w:rsidRPr="00F74191" w:rsidRDefault="008516B8" w:rsidP="00305BAA">
            <w:pPr>
              <w:rPr>
                <w:b/>
                <w:sz w:val="22"/>
              </w:rPr>
            </w:pPr>
            <w:r w:rsidRPr="00F74191">
              <w:rPr>
                <w:b/>
                <w:sz w:val="22"/>
              </w:rPr>
              <w:t>Grantee</w:t>
            </w:r>
          </w:p>
        </w:tc>
        <w:tc>
          <w:tcPr>
            <w:tcW w:w="1959" w:type="dxa"/>
          </w:tcPr>
          <w:p w14:paraId="225E62C6" w14:textId="77777777" w:rsidR="008516B8" w:rsidRPr="00F74191" w:rsidRDefault="008516B8" w:rsidP="00305BAA">
            <w:pPr>
              <w:rPr>
                <w:b/>
                <w:sz w:val="22"/>
              </w:rPr>
            </w:pPr>
            <w:r w:rsidRPr="00F74191">
              <w:rPr>
                <w:b/>
                <w:sz w:val="22"/>
              </w:rPr>
              <w:t>Agreement</w:t>
            </w:r>
          </w:p>
        </w:tc>
        <w:tc>
          <w:tcPr>
            <w:tcW w:w="2060" w:type="dxa"/>
          </w:tcPr>
          <w:p w14:paraId="1A0009F8" w14:textId="77777777" w:rsidR="008516B8" w:rsidRPr="00F74191" w:rsidRDefault="008516B8" w:rsidP="00305BAA">
            <w:pPr>
              <w:rPr>
                <w:b/>
                <w:sz w:val="22"/>
              </w:rPr>
            </w:pPr>
            <w:r>
              <w:rPr>
                <w:b/>
                <w:sz w:val="22"/>
              </w:rPr>
              <w:t>Selection process</w:t>
            </w:r>
          </w:p>
        </w:tc>
        <w:tc>
          <w:tcPr>
            <w:tcW w:w="1917" w:type="dxa"/>
          </w:tcPr>
          <w:p w14:paraId="0E8B1FE0" w14:textId="77777777" w:rsidR="008516B8" w:rsidRPr="001F0010" w:rsidRDefault="008516B8" w:rsidP="00305BAA">
            <w:pPr>
              <w:pStyle w:val="Heading4"/>
              <w:rPr>
                <w:b/>
                <w:i w:val="0"/>
                <w:sz w:val="22"/>
                <w:szCs w:val="22"/>
              </w:rPr>
            </w:pPr>
            <w:bookmarkStart w:id="35" w:name="_Toc530059539"/>
            <w:r w:rsidRPr="001F0010">
              <w:rPr>
                <w:b/>
                <w:i w:val="0"/>
                <w:sz w:val="22"/>
                <w:szCs w:val="22"/>
              </w:rPr>
              <w:t>Grant threshold</w:t>
            </w:r>
            <w:bookmarkEnd w:id="35"/>
          </w:p>
          <w:p w14:paraId="0A52915F" w14:textId="77777777" w:rsidR="008516B8" w:rsidRDefault="008516B8" w:rsidP="00305BAA">
            <w:pPr>
              <w:rPr>
                <w:b/>
                <w:sz w:val="22"/>
              </w:rPr>
            </w:pPr>
          </w:p>
        </w:tc>
      </w:tr>
      <w:tr w:rsidR="008516B8" w:rsidRPr="00F74191" w14:paraId="615A1907" w14:textId="77777777" w:rsidTr="00305BAA">
        <w:trPr>
          <w:jc w:val="center"/>
        </w:trPr>
        <w:tc>
          <w:tcPr>
            <w:tcW w:w="1323" w:type="dxa"/>
            <w:vMerge/>
          </w:tcPr>
          <w:p w14:paraId="3181B127" w14:textId="77777777" w:rsidR="008516B8" w:rsidRPr="00F74191" w:rsidRDefault="008516B8" w:rsidP="00305BAA">
            <w:pPr>
              <w:rPr>
                <w:b/>
                <w:sz w:val="18"/>
                <w:szCs w:val="20"/>
              </w:rPr>
            </w:pPr>
          </w:p>
        </w:tc>
        <w:tc>
          <w:tcPr>
            <w:tcW w:w="1797" w:type="dxa"/>
          </w:tcPr>
          <w:p w14:paraId="5775FC9C" w14:textId="77777777" w:rsidR="008516B8" w:rsidRPr="00F74191" w:rsidRDefault="008516B8" w:rsidP="00305BAA">
            <w:pPr>
              <w:rPr>
                <w:sz w:val="18"/>
                <w:szCs w:val="20"/>
              </w:rPr>
            </w:pPr>
            <w:r w:rsidRPr="00F74191">
              <w:rPr>
                <w:rFonts w:cstheme="minorHAnsi"/>
                <w:b/>
                <w:sz w:val="18"/>
                <w:szCs w:val="20"/>
              </w:rPr>
              <w:t>For grant recipient</w:t>
            </w:r>
            <w:r w:rsidRPr="00F74191">
              <w:rPr>
                <w:rFonts w:cstheme="minorHAnsi"/>
                <w:sz w:val="18"/>
                <w:szCs w:val="20"/>
              </w:rPr>
              <w:t xml:space="preserve"> (civil society or non-governmental organization, academia)</w:t>
            </w:r>
          </w:p>
        </w:tc>
        <w:tc>
          <w:tcPr>
            <w:tcW w:w="1959" w:type="dxa"/>
          </w:tcPr>
          <w:p w14:paraId="6468C589" w14:textId="3C4C43A2" w:rsidR="008516B8" w:rsidRPr="00F74191" w:rsidRDefault="001F0010" w:rsidP="00305BAA">
            <w:pPr>
              <w:rPr>
                <w:sz w:val="18"/>
                <w:szCs w:val="20"/>
              </w:rPr>
            </w:pPr>
            <w:r>
              <w:rPr>
                <w:sz w:val="18"/>
                <w:szCs w:val="20"/>
              </w:rPr>
              <w:t xml:space="preserve">Low value </w:t>
            </w:r>
            <w:r w:rsidR="008516B8" w:rsidRPr="00F74191">
              <w:rPr>
                <w:sz w:val="18"/>
                <w:szCs w:val="20"/>
              </w:rPr>
              <w:t>grant agreement</w:t>
            </w:r>
            <w:r w:rsidR="005F3692">
              <w:rPr>
                <w:sz w:val="18"/>
                <w:szCs w:val="20"/>
              </w:rPr>
              <w:t>*</w:t>
            </w:r>
          </w:p>
          <w:p w14:paraId="226F02F2" w14:textId="77777777" w:rsidR="008516B8" w:rsidRPr="00F74191" w:rsidRDefault="008516B8" w:rsidP="00305BAA">
            <w:pPr>
              <w:rPr>
                <w:sz w:val="18"/>
                <w:szCs w:val="20"/>
              </w:rPr>
            </w:pPr>
          </w:p>
        </w:tc>
        <w:tc>
          <w:tcPr>
            <w:tcW w:w="2060" w:type="dxa"/>
          </w:tcPr>
          <w:p w14:paraId="3E686186" w14:textId="036F6F28" w:rsidR="008516B8" w:rsidRPr="00A1296D" w:rsidRDefault="008516B8" w:rsidP="001F0010">
            <w:pPr>
              <w:rPr>
                <w:sz w:val="18"/>
                <w:szCs w:val="20"/>
              </w:rPr>
            </w:pPr>
            <w:r w:rsidRPr="00A1296D">
              <w:rPr>
                <w:sz w:val="18"/>
                <w:szCs w:val="20"/>
              </w:rPr>
              <w:t>Following</w:t>
            </w:r>
            <w:r>
              <w:rPr>
                <w:sz w:val="18"/>
                <w:szCs w:val="20"/>
              </w:rPr>
              <w:t xml:space="preserve"> Grant solicitation process based on </w:t>
            </w:r>
            <w:r w:rsidR="001F0010">
              <w:rPr>
                <w:sz w:val="18"/>
                <w:szCs w:val="20"/>
              </w:rPr>
              <w:t>s</w:t>
            </w:r>
            <w:r w:rsidRPr="00A1296D">
              <w:rPr>
                <w:sz w:val="18"/>
                <w:szCs w:val="20"/>
              </w:rPr>
              <w:t>elect</w:t>
            </w:r>
            <w:r w:rsidR="001F0010">
              <w:rPr>
                <w:sz w:val="18"/>
                <w:szCs w:val="20"/>
              </w:rPr>
              <w:t>ion</w:t>
            </w:r>
            <w:r w:rsidRPr="00A1296D">
              <w:rPr>
                <w:sz w:val="18"/>
                <w:szCs w:val="20"/>
              </w:rPr>
              <w:t xml:space="preserve"> criteria</w:t>
            </w:r>
            <w:r w:rsidR="001F0010">
              <w:rPr>
                <w:sz w:val="18"/>
                <w:szCs w:val="20"/>
              </w:rPr>
              <w:t xml:space="preserve"> and</w:t>
            </w:r>
          </w:p>
          <w:p w14:paraId="457224DA" w14:textId="77777777" w:rsidR="008516B8" w:rsidRPr="00A1296D" w:rsidRDefault="008516B8" w:rsidP="00305BAA">
            <w:pPr>
              <w:jc w:val="both"/>
              <w:rPr>
                <w:sz w:val="18"/>
                <w:szCs w:val="20"/>
              </w:rPr>
            </w:pPr>
            <w:r>
              <w:rPr>
                <w:sz w:val="18"/>
                <w:szCs w:val="20"/>
              </w:rPr>
              <w:t>Assessment of p</w:t>
            </w:r>
            <w:r w:rsidRPr="00A1296D">
              <w:rPr>
                <w:sz w:val="18"/>
                <w:szCs w:val="20"/>
              </w:rPr>
              <w:t>roposal submitted by Grantee</w:t>
            </w:r>
          </w:p>
        </w:tc>
        <w:tc>
          <w:tcPr>
            <w:tcW w:w="1917" w:type="dxa"/>
          </w:tcPr>
          <w:p w14:paraId="46FC8A80" w14:textId="58F88C7E" w:rsidR="008516B8" w:rsidRPr="00F74191" w:rsidRDefault="001F0010" w:rsidP="00305BAA">
            <w:pPr>
              <w:rPr>
                <w:sz w:val="18"/>
                <w:szCs w:val="20"/>
              </w:rPr>
            </w:pPr>
            <w:r>
              <w:rPr>
                <w:sz w:val="18"/>
                <w:szCs w:val="20"/>
              </w:rPr>
              <w:t>$</w:t>
            </w:r>
            <w:r w:rsidR="008516B8" w:rsidRPr="00A1296D">
              <w:rPr>
                <w:sz w:val="18"/>
                <w:szCs w:val="20"/>
              </w:rPr>
              <w:t>150,000 per grant and $300,000 on a cumulative basis within the same programme period</w:t>
            </w:r>
          </w:p>
        </w:tc>
      </w:tr>
    </w:tbl>
    <w:p w14:paraId="703BAC42" w14:textId="77777777" w:rsidR="005F3692" w:rsidRDefault="005F3692" w:rsidP="005F3692">
      <w:pPr>
        <w:rPr>
          <w:b/>
        </w:rPr>
      </w:pPr>
      <w:r>
        <w:rPr>
          <w:b/>
        </w:rPr>
        <w:t>*</w:t>
      </w:r>
      <w:r w:rsidRPr="00EA7A9C">
        <w:rPr>
          <w:b/>
          <w:sz w:val="16"/>
          <w:szCs w:val="16"/>
        </w:rPr>
        <w:t xml:space="preserve"> </w:t>
      </w:r>
      <w:r w:rsidRPr="00700222">
        <w:rPr>
          <w:b/>
          <w:sz w:val="16"/>
          <w:szCs w:val="16"/>
        </w:rPr>
        <w:t xml:space="preserve">Full HACT Assessment required if </w:t>
      </w:r>
      <w:r>
        <w:rPr>
          <w:b/>
          <w:sz w:val="16"/>
          <w:szCs w:val="16"/>
        </w:rPr>
        <w:t xml:space="preserve">the </w:t>
      </w:r>
      <w:r w:rsidRPr="00700222">
        <w:rPr>
          <w:b/>
          <w:sz w:val="16"/>
          <w:szCs w:val="16"/>
        </w:rPr>
        <w:t>value of LVG plus other funds received from UNDP exceed $300,000</w:t>
      </w:r>
      <w:r>
        <w:rPr>
          <w:b/>
          <w:sz w:val="16"/>
          <w:szCs w:val="16"/>
        </w:rPr>
        <w:t xml:space="preserve"> per programme cycle</w:t>
      </w:r>
    </w:p>
    <w:p w14:paraId="2D5A2AB6" w14:textId="77777777" w:rsidR="00EA7A9C" w:rsidRDefault="00EA7A9C" w:rsidP="008516B8">
      <w:pPr>
        <w:rPr>
          <w:b/>
        </w:rPr>
      </w:pPr>
    </w:p>
    <w:tbl>
      <w:tblPr>
        <w:tblStyle w:val="TableGrid"/>
        <w:tblW w:w="9056" w:type="dxa"/>
        <w:jc w:val="center"/>
        <w:tblLook w:val="04A0" w:firstRow="1" w:lastRow="0" w:firstColumn="1" w:lastColumn="0" w:noHBand="0" w:noVBand="1"/>
      </w:tblPr>
      <w:tblGrid>
        <w:gridCol w:w="985"/>
        <w:gridCol w:w="1890"/>
        <w:gridCol w:w="2070"/>
        <w:gridCol w:w="1080"/>
        <w:gridCol w:w="1440"/>
        <w:gridCol w:w="1591"/>
      </w:tblGrid>
      <w:tr w:rsidR="008516B8" w:rsidRPr="00F74191" w14:paraId="298DA7F5" w14:textId="77777777" w:rsidTr="003D0F9A">
        <w:trPr>
          <w:jc w:val="center"/>
        </w:trPr>
        <w:tc>
          <w:tcPr>
            <w:tcW w:w="985" w:type="dxa"/>
            <w:vMerge w:val="restart"/>
          </w:tcPr>
          <w:p w14:paraId="2DDCA876" w14:textId="77777777" w:rsidR="008516B8" w:rsidRDefault="008516B8" w:rsidP="00305BAA">
            <w:pPr>
              <w:rPr>
                <w:b/>
                <w:sz w:val="18"/>
                <w:szCs w:val="20"/>
              </w:rPr>
            </w:pPr>
          </w:p>
          <w:p w14:paraId="05378A7E" w14:textId="77777777" w:rsidR="008516B8" w:rsidRDefault="008516B8" w:rsidP="00305BAA">
            <w:pPr>
              <w:rPr>
                <w:b/>
                <w:sz w:val="18"/>
                <w:szCs w:val="20"/>
              </w:rPr>
            </w:pPr>
          </w:p>
          <w:p w14:paraId="3EC8AC29" w14:textId="77777777" w:rsidR="008516B8" w:rsidRDefault="008516B8" w:rsidP="00305BAA">
            <w:pPr>
              <w:rPr>
                <w:b/>
                <w:sz w:val="18"/>
                <w:szCs w:val="20"/>
              </w:rPr>
            </w:pPr>
          </w:p>
          <w:p w14:paraId="33817710" w14:textId="77777777" w:rsidR="008516B8" w:rsidRDefault="008516B8" w:rsidP="00305BAA">
            <w:pPr>
              <w:rPr>
                <w:b/>
                <w:sz w:val="18"/>
                <w:szCs w:val="20"/>
              </w:rPr>
            </w:pPr>
          </w:p>
          <w:p w14:paraId="08C1764F" w14:textId="77777777" w:rsidR="008516B8" w:rsidRDefault="008516B8" w:rsidP="00305BAA">
            <w:pPr>
              <w:rPr>
                <w:b/>
                <w:sz w:val="18"/>
                <w:szCs w:val="20"/>
              </w:rPr>
            </w:pPr>
          </w:p>
          <w:p w14:paraId="00E471D8" w14:textId="77777777" w:rsidR="008516B8" w:rsidRDefault="008516B8" w:rsidP="00305BAA">
            <w:pPr>
              <w:rPr>
                <w:b/>
                <w:sz w:val="18"/>
                <w:szCs w:val="20"/>
              </w:rPr>
            </w:pPr>
          </w:p>
          <w:p w14:paraId="6D9BC93F" w14:textId="77777777" w:rsidR="008516B8" w:rsidRDefault="008516B8" w:rsidP="00305BAA">
            <w:pPr>
              <w:rPr>
                <w:b/>
                <w:sz w:val="18"/>
                <w:szCs w:val="20"/>
              </w:rPr>
            </w:pPr>
          </w:p>
          <w:p w14:paraId="0C8472F2" w14:textId="77777777" w:rsidR="008516B8" w:rsidRPr="00F74191" w:rsidRDefault="008516B8" w:rsidP="00305BAA">
            <w:pPr>
              <w:rPr>
                <w:sz w:val="22"/>
              </w:rPr>
            </w:pPr>
            <w:r w:rsidRPr="00F74191">
              <w:rPr>
                <w:b/>
                <w:sz w:val="18"/>
                <w:szCs w:val="20"/>
              </w:rPr>
              <w:t>On-granting</w:t>
            </w:r>
          </w:p>
        </w:tc>
        <w:tc>
          <w:tcPr>
            <w:tcW w:w="1890" w:type="dxa"/>
          </w:tcPr>
          <w:p w14:paraId="503A6789" w14:textId="5E957907" w:rsidR="008516B8" w:rsidRPr="00F74191" w:rsidRDefault="001F0010" w:rsidP="00305BAA">
            <w:pPr>
              <w:rPr>
                <w:b/>
                <w:sz w:val="22"/>
              </w:rPr>
            </w:pPr>
            <w:r>
              <w:rPr>
                <w:b/>
                <w:sz w:val="22"/>
              </w:rPr>
              <w:t>IP/RP</w:t>
            </w:r>
          </w:p>
        </w:tc>
        <w:tc>
          <w:tcPr>
            <w:tcW w:w="2070" w:type="dxa"/>
          </w:tcPr>
          <w:p w14:paraId="6BA2C065" w14:textId="77777777" w:rsidR="008516B8" w:rsidRPr="00F74191" w:rsidRDefault="008516B8" w:rsidP="00305BAA">
            <w:pPr>
              <w:rPr>
                <w:b/>
                <w:sz w:val="22"/>
              </w:rPr>
            </w:pPr>
            <w:r w:rsidRPr="00F74191">
              <w:rPr>
                <w:b/>
                <w:sz w:val="22"/>
              </w:rPr>
              <w:t>Agreement</w:t>
            </w:r>
          </w:p>
        </w:tc>
        <w:tc>
          <w:tcPr>
            <w:tcW w:w="1080" w:type="dxa"/>
          </w:tcPr>
          <w:p w14:paraId="5DBBC36C" w14:textId="77777777" w:rsidR="008516B8" w:rsidRPr="00F74191" w:rsidRDefault="008516B8" w:rsidP="00305BAA">
            <w:pPr>
              <w:rPr>
                <w:b/>
                <w:sz w:val="22"/>
              </w:rPr>
            </w:pPr>
            <w:r>
              <w:rPr>
                <w:b/>
                <w:sz w:val="22"/>
              </w:rPr>
              <w:t>Grantee</w:t>
            </w:r>
          </w:p>
        </w:tc>
        <w:tc>
          <w:tcPr>
            <w:tcW w:w="1440" w:type="dxa"/>
          </w:tcPr>
          <w:p w14:paraId="0744F342" w14:textId="77777777" w:rsidR="008516B8" w:rsidRPr="00F74191" w:rsidRDefault="008516B8" w:rsidP="00305BAA">
            <w:pPr>
              <w:rPr>
                <w:b/>
                <w:sz w:val="22"/>
              </w:rPr>
            </w:pPr>
            <w:r>
              <w:rPr>
                <w:b/>
                <w:sz w:val="22"/>
              </w:rPr>
              <w:t>Selection process</w:t>
            </w:r>
          </w:p>
        </w:tc>
        <w:tc>
          <w:tcPr>
            <w:tcW w:w="1591" w:type="dxa"/>
          </w:tcPr>
          <w:p w14:paraId="7B34E977" w14:textId="77777777" w:rsidR="008516B8" w:rsidRPr="001F0010" w:rsidRDefault="008516B8" w:rsidP="00305BAA">
            <w:pPr>
              <w:pStyle w:val="Heading4"/>
              <w:rPr>
                <w:rFonts w:asciiTheme="minorHAnsi" w:hAnsiTheme="minorHAnsi" w:cstheme="minorHAnsi"/>
                <w:b/>
                <w:i w:val="0"/>
                <w:sz w:val="22"/>
                <w:szCs w:val="22"/>
              </w:rPr>
            </w:pPr>
            <w:bookmarkStart w:id="36" w:name="_Toc530059540"/>
            <w:r w:rsidRPr="001F0010">
              <w:rPr>
                <w:rFonts w:asciiTheme="minorHAnsi" w:hAnsiTheme="minorHAnsi" w:cstheme="minorHAnsi"/>
                <w:b/>
                <w:i w:val="0"/>
                <w:sz w:val="22"/>
                <w:szCs w:val="22"/>
              </w:rPr>
              <w:t>On-Grant threshold</w:t>
            </w:r>
            <w:bookmarkEnd w:id="36"/>
          </w:p>
          <w:p w14:paraId="37ED66CD" w14:textId="77777777" w:rsidR="008516B8" w:rsidRDefault="008516B8" w:rsidP="00305BAA">
            <w:pPr>
              <w:rPr>
                <w:b/>
                <w:sz w:val="22"/>
              </w:rPr>
            </w:pPr>
          </w:p>
        </w:tc>
      </w:tr>
      <w:tr w:rsidR="008516B8" w:rsidRPr="00F74191" w14:paraId="773793CD" w14:textId="77777777" w:rsidTr="003D0F9A">
        <w:trPr>
          <w:jc w:val="center"/>
        </w:trPr>
        <w:tc>
          <w:tcPr>
            <w:tcW w:w="985" w:type="dxa"/>
            <w:vMerge/>
          </w:tcPr>
          <w:p w14:paraId="3A71218B" w14:textId="77777777" w:rsidR="008516B8" w:rsidRPr="00F74191" w:rsidRDefault="008516B8" w:rsidP="00305BAA">
            <w:pPr>
              <w:rPr>
                <w:b/>
                <w:sz w:val="18"/>
                <w:szCs w:val="20"/>
              </w:rPr>
            </w:pPr>
          </w:p>
        </w:tc>
        <w:tc>
          <w:tcPr>
            <w:tcW w:w="1890" w:type="dxa"/>
          </w:tcPr>
          <w:p w14:paraId="2120AC89" w14:textId="15E52F18" w:rsidR="008516B8" w:rsidRPr="00F74191" w:rsidRDefault="008516B8" w:rsidP="00305BAA">
            <w:pPr>
              <w:rPr>
                <w:sz w:val="18"/>
                <w:szCs w:val="20"/>
              </w:rPr>
            </w:pPr>
            <w:r>
              <w:rPr>
                <w:rFonts w:cstheme="minorHAnsi"/>
                <w:sz w:val="18"/>
                <w:szCs w:val="20"/>
              </w:rPr>
              <w:t>G</w:t>
            </w:r>
            <w:r w:rsidRPr="00F74191">
              <w:rPr>
                <w:rFonts w:cstheme="minorHAnsi"/>
                <w:sz w:val="18"/>
                <w:szCs w:val="20"/>
              </w:rPr>
              <w:t xml:space="preserve">overnment ministry/institution or </w:t>
            </w:r>
            <w:r w:rsidR="003D0F9A">
              <w:rPr>
                <w:rFonts w:cstheme="minorHAnsi"/>
                <w:sz w:val="18"/>
                <w:szCs w:val="20"/>
              </w:rPr>
              <w:t>i</w:t>
            </w:r>
            <w:r w:rsidRPr="00F74191">
              <w:rPr>
                <w:rFonts w:cstheme="minorHAnsi"/>
                <w:sz w:val="18"/>
                <w:szCs w:val="20"/>
              </w:rPr>
              <w:t xml:space="preserve">ntergovernmental organization as the </w:t>
            </w:r>
            <w:r w:rsidRPr="00F74191">
              <w:rPr>
                <w:rFonts w:cstheme="minorHAnsi"/>
                <w:b/>
                <w:sz w:val="18"/>
                <w:szCs w:val="20"/>
              </w:rPr>
              <w:t>grant-making institution</w:t>
            </w:r>
          </w:p>
        </w:tc>
        <w:tc>
          <w:tcPr>
            <w:tcW w:w="2070" w:type="dxa"/>
          </w:tcPr>
          <w:p w14:paraId="7D87D1D7" w14:textId="36549E44" w:rsidR="008516B8" w:rsidRDefault="008516B8" w:rsidP="00305BAA">
            <w:pPr>
              <w:rPr>
                <w:sz w:val="18"/>
                <w:szCs w:val="20"/>
              </w:rPr>
            </w:pPr>
            <w:r w:rsidRPr="00F74191">
              <w:rPr>
                <w:sz w:val="18"/>
                <w:szCs w:val="20"/>
              </w:rPr>
              <w:t xml:space="preserve">Full HACT and assessment for on-granting; on-granting clauses added to </w:t>
            </w:r>
            <w:r w:rsidR="001F0010">
              <w:rPr>
                <w:sz w:val="18"/>
                <w:szCs w:val="20"/>
              </w:rPr>
              <w:t xml:space="preserve">project document for IP, or </w:t>
            </w:r>
            <w:r w:rsidRPr="00F74191">
              <w:rPr>
                <w:sz w:val="18"/>
                <w:szCs w:val="20"/>
              </w:rPr>
              <w:t>standard letter of agreement</w:t>
            </w:r>
            <w:r w:rsidR="001F0010">
              <w:rPr>
                <w:sz w:val="18"/>
                <w:szCs w:val="20"/>
              </w:rPr>
              <w:t xml:space="preserve"> for RP</w:t>
            </w:r>
          </w:p>
          <w:p w14:paraId="5E8A2FA5" w14:textId="77777777" w:rsidR="008516B8" w:rsidRDefault="008516B8" w:rsidP="00305BAA">
            <w:pPr>
              <w:rPr>
                <w:sz w:val="18"/>
                <w:szCs w:val="20"/>
              </w:rPr>
            </w:pPr>
          </w:p>
          <w:p w14:paraId="7652C799" w14:textId="77777777" w:rsidR="008516B8" w:rsidRPr="00F74191" w:rsidRDefault="008516B8" w:rsidP="00305BAA">
            <w:pPr>
              <w:rPr>
                <w:sz w:val="18"/>
                <w:szCs w:val="20"/>
              </w:rPr>
            </w:pPr>
          </w:p>
        </w:tc>
        <w:tc>
          <w:tcPr>
            <w:tcW w:w="1080" w:type="dxa"/>
          </w:tcPr>
          <w:p w14:paraId="60C01FAF" w14:textId="77777777" w:rsidR="008516B8" w:rsidRPr="00F74191" w:rsidRDefault="008516B8" w:rsidP="00305BAA">
            <w:pPr>
              <w:rPr>
                <w:sz w:val="18"/>
                <w:szCs w:val="20"/>
              </w:rPr>
            </w:pPr>
            <w:r>
              <w:rPr>
                <w:sz w:val="18"/>
                <w:szCs w:val="20"/>
              </w:rPr>
              <w:lastRenderedPageBreak/>
              <w:t>CSO/NGO</w:t>
            </w:r>
          </w:p>
        </w:tc>
        <w:tc>
          <w:tcPr>
            <w:tcW w:w="1440" w:type="dxa"/>
            <w:vMerge w:val="restart"/>
          </w:tcPr>
          <w:p w14:paraId="458C5404" w14:textId="19A63EE5" w:rsidR="008516B8" w:rsidRDefault="008516B8" w:rsidP="00305BAA">
            <w:pPr>
              <w:rPr>
                <w:sz w:val="18"/>
                <w:szCs w:val="20"/>
              </w:rPr>
            </w:pPr>
            <w:r w:rsidRPr="00A1296D">
              <w:rPr>
                <w:sz w:val="18"/>
                <w:szCs w:val="20"/>
              </w:rPr>
              <w:t>UNDP assess</w:t>
            </w:r>
            <w:r w:rsidR="00B138FD">
              <w:rPr>
                <w:sz w:val="18"/>
                <w:szCs w:val="20"/>
              </w:rPr>
              <w:t>es</w:t>
            </w:r>
            <w:r w:rsidRPr="00A1296D">
              <w:rPr>
                <w:sz w:val="18"/>
                <w:szCs w:val="20"/>
              </w:rPr>
              <w:t xml:space="preserve"> the capacity of IP for on-granting </w:t>
            </w:r>
          </w:p>
          <w:p w14:paraId="337FF652" w14:textId="77777777" w:rsidR="008516B8" w:rsidRDefault="008516B8" w:rsidP="00305BAA">
            <w:pPr>
              <w:rPr>
                <w:sz w:val="18"/>
                <w:szCs w:val="20"/>
              </w:rPr>
            </w:pPr>
          </w:p>
          <w:p w14:paraId="4F196B99" w14:textId="2750DE32" w:rsidR="008516B8" w:rsidRDefault="008516B8" w:rsidP="00305BAA">
            <w:pPr>
              <w:rPr>
                <w:sz w:val="18"/>
                <w:szCs w:val="20"/>
              </w:rPr>
            </w:pPr>
            <w:r>
              <w:rPr>
                <w:sz w:val="18"/>
                <w:szCs w:val="20"/>
              </w:rPr>
              <w:t xml:space="preserve">Due diligence by the IP for </w:t>
            </w:r>
            <w:r w:rsidR="001F0010">
              <w:rPr>
                <w:sz w:val="18"/>
                <w:szCs w:val="20"/>
              </w:rPr>
              <w:t>any</w:t>
            </w:r>
            <w:r>
              <w:rPr>
                <w:sz w:val="18"/>
                <w:szCs w:val="20"/>
              </w:rPr>
              <w:t xml:space="preserve"> </w:t>
            </w:r>
            <w:r>
              <w:rPr>
                <w:sz w:val="18"/>
                <w:szCs w:val="20"/>
              </w:rPr>
              <w:lastRenderedPageBreak/>
              <w:t>on-granting institutions</w:t>
            </w:r>
          </w:p>
          <w:p w14:paraId="1D41B52F" w14:textId="77777777" w:rsidR="008516B8" w:rsidRDefault="008516B8" w:rsidP="00305BAA">
            <w:pPr>
              <w:rPr>
                <w:sz w:val="18"/>
                <w:szCs w:val="20"/>
              </w:rPr>
            </w:pPr>
          </w:p>
          <w:p w14:paraId="7CD0956D" w14:textId="22BD0911" w:rsidR="008516B8" w:rsidRPr="00F74191" w:rsidRDefault="008516B8" w:rsidP="00305BAA">
            <w:pPr>
              <w:rPr>
                <w:sz w:val="18"/>
                <w:szCs w:val="20"/>
              </w:rPr>
            </w:pPr>
          </w:p>
        </w:tc>
        <w:tc>
          <w:tcPr>
            <w:tcW w:w="1591" w:type="dxa"/>
            <w:vMerge w:val="restart"/>
          </w:tcPr>
          <w:p w14:paraId="3FB2BE10" w14:textId="77777777" w:rsidR="00420FE6" w:rsidRDefault="00420FE6" w:rsidP="00305BAA">
            <w:pPr>
              <w:rPr>
                <w:sz w:val="18"/>
                <w:szCs w:val="20"/>
              </w:rPr>
            </w:pPr>
            <w:r>
              <w:rPr>
                <w:sz w:val="18"/>
                <w:szCs w:val="20"/>
              </w:rPr>
              <w:lastRenderedPageBreak/>
              <w:t>$</w:t>
            </w:r>
            <w:r w:rsidRPr="00A1296D">
              <w:rPr>
                <w:sz w:val="18"/>
                <w:szCs w:val="20"/>
              </w:rPr>
              <w:t>150,000 per grant and $300,000 on a cumulative basis within the same programme period</w:t>
            </w:r>
            <w:r>
              <w:rPr>
                <w:sz w:val="18"/>
                <w:szCs w:val="20"/>
              </w:rPr>
              <w:t xml:space="preserve"> </w:t>
            </w:r>
          </w:p>
          <w:p w14:paraId="70BAB169" w14:textId="77777777" w:rsidR="00420FE6" w:rsidRDefault="00420FE6" w:rsidP="00305BAA">
            <w:pPr>
              <w:rPr>
                <w:sz w:val="18"/>
                <w:szCs w:val="20"/>
              </w:rPr>
            </w:pPr>
          </w:p>
          <w:p w14:paraId="69017021" w14:textId="4B1B996C" w:rsidR="008516B8" w:rsidRDefault="00420FE6" w:rsidP="00305BAA">
            <w:pPr>
              <w:rPr>
                <w:sz w:val="18"/>
                <w:szCs w:val="20"/>
              </w:rPr>
            </w:pPr>
            <w:r>
              <w:rPr>
                <w:sz w:val="18"/>
                <w:szCs w:val="20"/>
              </w:rPr>
              <w:t xml:space="preserve">If an Implementing Partner </w:t>
            </w:r>
            <w:r w:rsidR="0032687C">
              <w:rPr>
                <w:sz w:val="18"/>
                <w:szCs w:val="20"/>
              </w:rPr>
              <w:t xml:space="preserve">selects another </w:t>
            </w:r>
            <w:r w:rsidR="00902584">
              <w:rPr>
                <w:sz w:val="18"/>
                <w:szCs w:val="20"/>
              </w:rPr>
              <w:t xml:space="preserve">institution to be a </w:t>
            </w:r>
            <w:r w:rsidR="0032687C">
              <w:rPr>
                <w:sz w:val="18"/>
                <w:szCs w:val="20"/>
              </w:rPr>
              <w:t xml:space="preserve">Responsible Party to </w:t>
            </w:r>
            <w:r w:rsidR="00F329BA">
              <w:rPr>
                <w:sz w:val="18"/>
                <w:szCs w:val="20"/>
              </w:rPr>
              <w:t>administer</w:t>
            </w:r>
            <w:r w:rsidR="00902584">
              <w:rPr>
                <w:sz w:val="18"/>
                <w:szCs w:val="20"/>
              </w:rPr>
              <w:t xml:space="preserve"> the grants, the value sh</w:t>
            </w:r>
            <w:r w:rsidR="008516B8" w:rsidRPr="00A1296D">
              <w:rPr>
                <w:sz w:val="18"/>
                <w:szCs w:val="20"/>
              </w:rPr>
              <w:t>all not exceed $60,000 per individual grant and $120,000 on a cumulative basis within the same programme period</w:t>
            </w:r>
            <w:r w:rsidR="00902584">
              <w:rPr>
                <w:sz w:val="18"/>
                <w:szCs w:val="20"/>
              </w:rPr>
              <w:t>.</w:t>
            </w:r>
          </w:p>
        </w:tc>
      </w:tr>
      <w:tr w:rsidR="008516B8" w:rsidRPr="00F74191" w14:paraId="03186F15" w14:textId="77777777" w:rsidTr="003D0F9A">
        <w:trPr>
          <w:jc w:val="center"/>
        </w:trPr>
        <w:tc>
          <w:tcPr>
            <w:tcW w:w="985" w:type="dxa"/>
            <w:vMerge/>
          </w:tcPr>
          <w:p w14:paraId="2A2E1C4E" w14:textId="77777777" w:rsidR="008516B8" w:rsidRPr="00F74191" w:rsidRDefault="008516B8" w:rsidP="00305BAA">
            <w:pPr>
              <w:rPr>
                <w:sz w:val="18"/>
                <w:szCs w:val="20"/>
              </w:rPr>
            </w:pPr>
          </w:p>
        </w:tc>
        <w:tc>
          <w:tcPr>
            <w:tcW w:w="1890" w:type="dxa"/>
          </w:tcPr>
          <w:p w14:paraId="4600A77D" w14:textId="77777777" w:rsidR="008516B8" w:rsidRPr="00F74191" w:rsidRDefault="008516B8" w:rsidP="00305BAA">
            <w:pPr>
              <w:rPr>
                <w:sz w:val="18"/>
                <w:szCs w:val="20"/>
              </w:rPr>
            </w:pPr>
            <w:r w:rsidRPr="00F74191">
              <w:rPr>
                <w:rFonts w:cstheme="minorHAnsi"/>
                <w:sz w:val="18"/>
                <w:szCs w:val="20"/>
              </w:rPr>
              <w:t>UN agency</w:t>
            </w:r>
            <w:r w:rsidRPr="00F74191">
              <w:rPr>
                <w:rFonts w:cstheme="minorHAnsi"/>
                <w:b/>
                <w:sz w:val="18"/>
                <w:szCs w:val="20"/>
              </w:rPr>
              <w:t xml:space="preserve"> </w:t>
            </w:r>
            <w:r w:rsidRPr="00B3368A">
              <w:rPr>
                <w:rFonts w:cstheme="minorHAnsi"/>
                <w:sz w:val="18"/>
                <w:szCs w:val="20"/>
              </w:rPr>
              <w:t xml:space="preserve">or IGOs </w:t>
            </w:r>
            <w:r w:rsidRPr="00F74191">
              <w:rPr>
                <w:rFonts w:cstheme="minorHAnsi"/>
                <w:sz w:val="18"/>
                <w:szCs w:val="20"/>
              </w:rPr>
              <w:t>as the</w:t>
            </w:r>
            <w:r w:rsidRPr="00F74191">
              <w:rPr>
                <w:rFonts w:cstheme="minorHAnsi"/>
                <w:b/>
                <w:sz w:val="18"/>
                <w:szCs w:val="20"/>
              </w:rPr>
              <w:t xml:space="preserve"> grant-making institution</w:t>
            </w:r>
          </w:p>
        </w:tc>
        <w:tc>
          <w:tcPr>
            <w:tcW w:w="2070" w:type="dxa"/>
          </w:tcPr>
          <w:p w14:paraId="2226475F" w14:textId="77777777" w:rsidR="008516B8" w:rsidRPr="00F74191" w:rsidRDefault="008516B8" w:rsidP="00305BAA">
            <w:pPr>
              <w:rPr>
                <w:sz w:val="18"/>
                <w:szCs w:val="20"/>
              </w:rPr>
            </w:pPr>
            <w:r w:rsidRPr="00F74191">
              <w:rPr>
                <w:sz w:val="18"/>
                <w:szCs w:val="20"/>
              </w:rPr>
              <w:t>Assessment for on-granting; on-granting clauses added to UN agency to UN Agency agreement</w:t>
            </w:r>
          </w:p>
        </w:tc>
        <w:tc>
          <w:tcPr>
            <w:tcW w:w="1080" w:type="dxa"/>
          </w:tcPr>
          <w:p w14:paraId="318CBCA3" w14:textId="77777777" w:rsidR="008516B8" w:rsidRPr="00F74191" w:rsidRDefault="008516B8" w:rsidP="00305BAA">
            <w:pPr>
              <w:rPr>
                <w:sz w:val="18"/>
                <w:szCs w:val="20"/>
              </w:rPr>
            </w:pPr>
            <w:r>
              <w:rPr>
                <w:sz w:val="18"/>
                <w:szCs w:val="20"/>
              </w:rPr>
              <w:t>CSO/NGO</w:t>
            </w:r>
          </w:p>
        </w:tc>
        <w:tc>
          <w:tcPr>
            <w:tcW w:w="1440" w:type="dxa"/>
            <w:vMerge/>
          </w:tcPr>
          <w:p w14:paraId="7F2D8ABC" w14:textId="77777777" w:rsidR="008516B8" w:rsidRPr="00F74191" w:rsidRDefault="008516B8" w:rsidP="00305BAA">
            <w:pPr>
              <w:rPr>
                <w:sz w:val="18"/>
                <w:szCs w:val="20"/>
              </w:rPr>
            </w:pPr>
          </w:p>
        </w:tc>
        <w:tc>
          <w:tcPr>
            <w:tcW w:w="1591" w:type="dxa"/>
            <w:vMerge/>
          </w:tcPr>
          <w:p w14:paraId="1130401E" w14:textId="77777777" w:rsidR="008516B8" w:rsidRPr="00F74191" w:rsidRDefault="008516B8" w:rsidP="00305BAA">
            <w:pPr>
              <w:rPr>
                <w:sz w:val="18"/>
                <w:szCs w:val="20"/>
              </w:rPr>
            </w:pPr>
          </w:p>
        </w:tc>
      </w:tr>
      <w:tr w:rsidR="008516B8" w:rsidRPr="00F74191" w14:paraId="26346756" w14:textId="77777777" w:rsidTr="003D0F9A">
        <w:trPr>
          <w:jc w:val="center"/>
        </w:trPr>
        <w:tc>
          <w:tcPr>
            <w:tcW w:w="985" w:type="dxa"/>
            <w:vMerge/>
          </w:tcPr>
          <w:p w14:paraId="5B6A243C" w14:textId="77777777" w:rsidR="008516B8" w:rsidRPr="00F74191" w:rsidRDefault="008516B8" w:rsidP="00305BAA">
            <w:pPr>
              <w:rPr>
                <w:sz w:val="18"/>
                <w:szCs w:val="20"/>
              </w:rPr>
            </w:pPr>
          </w:p>
        </w:tc>
        <w:tc>
          <w:tcPr>
            <w:tcW w:w="1890" w:type="dxa"/>
          </w:tcPr>
          <w:p w14:paraId="11FD0711" w14:textId="77777777" w:rsidR="008516B8" w:rsidRPr="00F74191" w:rsidRDefault="008516B8" w:rsidP="00305BAA">
            <w:pPr>
              <w:rPr>
                <w:sz w:val="18"/>
                <w:szCs w:val="20"/>
              </w:rPr>
            </w:pPr>
            <w:r>
              <w:rPr>
                <w:rFonts w:cstheme="minorHAnsi"/>
                <w:sz w:val="18"/>
                <w:szCs w:val="20"/>
              </w:rPr>
              <w:t>C</w:t>
            </w:r>
            <w:r w:rsidRPr="00F74191">
              <w:rPr>
                <w:rFonts w:cstheme="minorHAnsi"/>
                <w:sz w:val="18"/>
                <w:szCs w:val="20"/>
              </w:rPr>
              <w:t xml:space="preserve">ivil society organizations (including NGOs, academia, public-private entity) as the </w:t>
            </w:r>
            <w:r w:rsidRPr="00F74191">
              <w:rPr>
                <w:rFonts w:cstheme="minorHAnsi"/>
                <w:b/>
                <w:sz w:val="18"/>
                <w:szCs w:val="20"/>
              </w:rPr>
              <w:t>grant-making institution</w:t>
            </w:r>
          </w:p>
        </w:tc>
        <w:tc>
          <w:tcPr>
            <w:tcW w:w="2070" w:type="dxa"/>
          </w:tcPr>
          <w:p w14:paraId="3304C58F" w14:textId="77777777" w:rsidR="008516B8" w:rsidRPr="00F74191" w:rsidRDefault="008516B8" w:rsidP="00305BAA">
            <w:pPr>
              <w:rPr>
                <w:sz w:val="18"/>
                <w:szCs w:val="20"/>
              </w:rPr>
            </w:pPr>
            <w:r w:rsidRPr="00F74191">
              <w:rPr>
                <w:sz w:val="18"/>
                <w:szCs w:val="20"/>
              </w:rPr>
              <w:t>Full HACT and assessment for on-granting; on-granting clauses added to:</w:t>
            </w:r>
          </w:p>
          <w:p w14:paraId="62430875" w14:textId="0BBEBBE6" w:rsidR="001F0010" w:rsidRDefault="001F0010" w:rsidP="00305BAA">
            <w:pPr>
              <w:pStyle w:val="ListParagraph"/>
              <w:numPr>
                <w:ilvl w:val="0"/>
                <w:numId w:val="5"/>
              </w:numPr>
              <w:ind w:left="252" w:hanging="180"/>
              <w:rPr>
                <w:sz w:val="18"/>
                <w:szCs w:val="20"/>
              </w:rPr>
            </w:pPr>
            <w:r>
              <w:rPr>
                <w:sz w:val="18"/>
                <w:szCs w:val="20"/>
              </w:rPr>
              <w:t>PCA for Implementing Partners</w:t>
            </w:r>
          </w:p>
          <w:p w14:paraId="591BC322" w14:textId="6748787C" w:rsidR="008516B8" w:rsidRPr="00F74191" w:rsidRDefault="008516B8" w:rsidP="00305BAA">
            <w:pPr>
              <w:pStyle w:val="ListParagraph"/>
              <w:numPr>
                <w:ilvl w:val="0"/>
                <w:numId w:val="5"/>
              </w:numPr>
              <w:ind w:left="252" w:hanging="180"/>
              <w:rPr>
                <w:sz w:val="18"/>
                <w:szCs w:val="20"/>
              </w:rPr>
            </w:pPr>
            <w:r w:rsidRPr="00F74191">
              <w:rPr>
                <w:sz w:val="18"/>
                <w:szCs w:val="20"/>
              </w:rPr>
              <w:t>Responsible party agreement for collaborative advantage</w:t>
            </w:r>
          </w:p>
          <w:p w14:paraId="1919D46F" w14:textId="77777777" w:rsidR="008516B8" w:rsidRPr="00F74191" w:rsidRDefault="008516B8" w:rsidP="00305BAA">
            <w:pPr>
              <w:pStyle w:val="ListParagraph"/>
              <w:numPr>
                <w:ilvl w:val="0"/>
                <w:numId w:val="5"/>
              </w:numPr>
              <w:ind w:left="252" w:hanging="180"/>
              <w:rPr>
                <w:sz w:val="18"/>
                <w:szCs w:val="20"/>
              </w:rPr>
            </w:pPr>
            <w:r w:rsidRPr="00F74191">
              <w:rPr>
                <w:sz w:val="18"/>
                <w:szCs w:val="20"/>
              </w:rPr>
              <w:t>For competitive selection: model contract for professional services</w:t>
            </w:r>
          </w:p>
          <w:p w14:paraId="0EF75B14" w14:textId="77777777" w:rsidR="008516B8" w:rsidRPr="00F74191" w:rsidRDefault="008516B8" w:rsidP="00305BAA">
            <w:pPr>
              <w:rPr>
                <w:sz w:val="18"/>
                <w:szCs w:val="20"/>
              </w:rPr>
            </w:pPr>
            <w:r w:rsidRPr="00F74191">
              <w:rPr>
                <w:sz w:val="18"/>
                <w:szCs w:val="20"/>
              </w:rPr>
              <w:t xml:space="preserve">For </w:t>
            </w:r>
            <w:r w:rsidRPr="00F74191">
              <w:rPr>
                <w:rFonts w:cs="Arial"/>
                <w:sz w:val="18"/>
                <w:szCs w:val="20"/>
              </w:rPr>
              <w:t>country-based pooled fund</w:t>
            </w:r>
            <w:r w:rsidRPr="00F74191">
              <w:rPr>
                <w:sz w:val="18"/>
                <w:szCs w:val="20"/>
              </w:rPr>
              <w:t>: standard responsible party agreement for CBPFs</w:t>
            </w:r>
          </w:p>
        </w:tc>
        <w:tc>
          <w:tcPr>
            <w:tcW w:w="1080" w:type="dxa"/>
          </w:tcPr>
          <w:p w14:paraId="426DBCF2" w14:textId="77777777" w:rsidR="008516B8" w:rsidRPr="00F74191" w:rsidRDefault="008516B8" w:rsidP="00305BAA">
            <w:pPr>
              <w:rPr>
                <w:sz w:val="18"/>
                <w:szCs w:val="20"/>
              </w:rPr>
            </w:pPr>
            <w:r>
              <w:rPr>
                <w:sz w:val="18"/>
                <w:szCs w:val="20"/>
              </w:rPr>
              <w:t>CSO/NGO</w:t>
            </w:r>
          </w:p>
        </w:tc>
        <w:tc>
          <w:tcPr>
            <w:tcW w:w="1440" w:type="dxa"/>
            <w:vMerge/>
          </w:tcPr>
          <w:p w14:paraId="06F66FFA" w14:textId="77777777" w:rsidR="008516B8" w:rsidRPr="00F74191" w:rsidRDefault="008516B8" w:rsidP="00305BAA">
            <w:pPr>
              <w:rPr>
                <w:sz w:val="18"/>
                <w:szCs w:val="20"/>
              </w:rPr>
            </w:pPr>
          </w:p>
        </w:tc>
        <w:tc>
          <w:tcPr>
            <w:tcW w:w="1591" w:type="dxa"/>
            <w:vMerge/>
          </w:tcPr>
          <w:p w14:paraId="3732780D" w14:textId="77777777" w:rsidR="008516B8" w:rsidRPr="00F74191" w:rsidRDefault="008516B8" w:rsidP="00305BAA">
            <w:pPr>
              <w:rPr>
                <w:sz w:val="18"/>
                <w:szCs w:val="20"/>
              </w:rPr>
            </w:pPr>
          </w:p>
        </w:tc>
      </w:tr>
    </w:tbl>
    <w:p w14:paraId="04FD0F8A" w14:textId="77777777" w:rsidR="00A73745" w:rsidRPr="00F74191" w:rsidRDefault="00A73745" w:rsidP="00A73745">
      <w:pPr>
        <w:rPr>
          <w:b/>
        </w:rPr>
      </w:pPr>
    </w:p>
    <w:sectPr w:rsidR="00A73745" w:rsidRPr="00F74191" w:rsidSect="00072E39">
      <w:footerReference w:type="even" r:id="rId31"/>
      <w:footerReference w:type="default" r:id="rId3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4A08" w14:textId="77777777" w:rsidR="00A034FA" w:rsidRDefault="00A034FA" w:rsidP="009D2367">
      <w:r>
        <w:separator/>
      </w:r>
    </w:p>
  </w:endnote>
  <w:endnote w:type="continuationSeparator" w:id="0">
    <w:p w14:paraId="10A262AE" w14:textId="77777777" w:rsidR="00A034FA" w:rsidRDefault="00A034FA" w:rsidP="009D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38F0" w14:textId="77777777" w:rsidR="00FB15F9" w:rsidRDefault="00FB15F9" w:rsidP="00072C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1AFFF8" w14:textId="77777777" w:rsidR="00FB15F9" w:rsidRDefault="00FB1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5E93" w14:textId="77777777" w:rsidR="00FB15F9" w:rsidRDefault="00FB15F9" w:rsidP="00072CC4">
    <w:pPr>
      <w:pStyle w:val="Footer"/>
      <w:framePr w:wrap="none" w:vAnchor="text" w:hAnchor="margin" w:xAlign="center" w:y="1"/>
      <w:rPr>
        <w:rStyle w:val="PageNumber"/>
      </w:rPr>
    </w:pPr>
    <w:r w:rsidRPr="004A3744">
      <w:rPr>
        <w:rStyle w:val="PageNumber"/>
        <w:sz w:val="20"/>
      </w:rPr>
      <w:fldChar w:fldCharType="begin"/>
    </w:r>
    <w:r w:rsidRPr="004A3744">
      <w:rPr>
        <w:rStyle w:val="PageNumber"/>
        <w:sz w:val="20"/>
      </w:rPr>
      <w:instrText xml:space="preserve">PAGE  </w:instrText>
    </w:r>
    <w:r w:rsidRPr="004A3744">
      <w:rPr>
        <w:rStyle w:val="PageNumber"/>
        <w:sz w:val="20"/>
      </w:rPr>
      <w:fldChar w:fldCharType="separate"/>
    </w:r>
    <w:r w:rsidR="008D3395">
      <w:rPr>
        <w:rStyle w:val="PageNumber"/>
        <w:noProof/>
        <w:sz w:val="20"/>
      </w:rPr>
      <w:t>1</w:t>
    </w:r>
    <w:r w:rsidRPr="004A3744">
      <w:rPr>
        <w:rStyle w:val="PageNumber"/>
        <w:sz w:val="20"/>
      </w:rPr>
      <w:fldChar w:fldCharType="end"/>
    </w:r>
  </w:p>
  <w:p w14:paraId="02D2ECDF" w14:textId="299A87A7" w:rsidR="00FB15F9" w:rsidRPr="004A3744" w:rsidRDefault="00FB15F9">
    <w:pPr>
      <w:pStyle w:val="Footer"/>
      <w:rPr>
        <w:sz w:val="20"/>
      </w:rPr>
    </w:pPr>
    <w:r w:rsidRPr="004A3744">
      <w:rPr>
        <w:sz w:val="20"/>
      </w:rPr>
      <w:tab/>
    </w:r>
    <w:r>
      <w:rPr>
        <w:sz w:val="20"/>
      </w:rPr>
      <w:tab/>
    </w:r>
    <w:r w:rsidR="003834AE">
      <w:rPr>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21BB" w14:textId="77777777" w:rsidR="00A034FA" w:rsidRDefault="00A034FA" w:rsidP="009D2367">
      <w:r>
        <w:separator/>
      </w:r>
    </w:p>
  </w:footnote>
  <w:footnote w:type="continuationSeparator" w:id="0">
    <w:p w14:paraId="034834BA" w14:textId="77777777" w:rsidR="00A034FA" w:rsidRDefault="00A034FA" w:rsidP="009D2367">
      <w:r>
        <w:continuationSeparator/>
      </w:r>
    </w:p>
  </w:footnote>
  <w:footnote w:id="1">
    <w:p w14:paraId="18230E15" w14:textId="087548E6" w:rsidR="00FB15F9" w:rsidRPr="00481DBD" w:rsidRDefault="00FB15F9">
      <w:pPr>
        <w:pStyle w:val="FootnoteText"/>
        <w:rPr>
          <w:sz w:val="20"/>
          <w:szCs w:val="20"/>
        </w:rPr>
      </w:pPr>
      <w:r w:rsidRPr="00481DBD">
        <w:rPr>
          <w:rStyle w:val="FootnoteReference"/>
          <w:sz w:val="20"/>
          <w:szCs w:val="20"/>
        </w:rPr>
        <w:footnoteRef/>
      </w:r>
      <w:r w:rsidRPr="00481DBD">
        <w:rPr>
          <w:sz w:val="20"/>
          <w:szCs w:val="20"/>
        </w:rPr>
        <w:t xml:space="preserve"> The guidance covers both, direct granting by UNDP and “on-granting” by another entity. </w:t>
      </w:r>
    </w:p>
  </w:footnote>
  <w:footnote w:id="2">
    <w:p w14:paraId="50042EC5" w14:textId="5D6D0BF7" w:rsidR="00FB15F9" w:rsidRPr="008434E6" w:rsidRDefault="00FB15F9" w:rsidP="00D60479">
      <w:pPr>
        <w:pStyle w:val="FootnoteText"/>
        <w:rPr>
          <w:sz w:val="20"/>
          <w:szCs w:val="20"/>
        </w:rPr>
      </w:pPr>
      <w:r w:rsidRPr="008434E6">
        <w:rPr>
          <w:rStyle w:val="FootnoteReference"/>
          <w:sz w:val="20"/>
          <w:szCs w:val="20"/>
        </w:rPr>
        <w:footnoteRef/>
      </w:r>
      <w:r w:rsidRPr="008434E6">
        <w:rPr>
          <w:sz w:val="20"/>
          <w:szCs w:val="20"/>
        </w:rPr>
        <w:t xml:space="preserve"> However, a repayment can be allowed</w:t>
      </w:r>
      <w:r>
        <w:rPr>
          <w:sz w:val="20"/>
          <w:szCs w:val="20"/>
        </w:rPr>
        <w:t>. In such a case,</w:t>
      </w:r>
      <w:r w:rsidRPr="008434E6">
        <w:rPr>
          <w:sz w:val="20"/>
          <w:szCs w:val="20"/>
        </w:rPr>
        <w:t xml:space="preserve"> </w:t>
      </w:r>
      <w:r>
        <w:rPr>
          <w:sz w:val="20"/>
          <w:szCs w:val="20"/>
        </w:rPr>
        <w:t xml:space="preserve">contingent </w:t>
      </w:r>
      <w:r w:rsidRPr="008434E6">
        <w:rPr>
          <w:sz w:val="20"/>
          <w:szCs w:val="20"/>
        </w:rPr>
        <w:t xml:space="preserve">repayment clauses </w:t>
      </w:r>
      <w:r>
        <w:rPr>
          <w:sz w:val="20"/>
          <w:szCs w:val="20"/>
        </w:rPr>
        <w:t>must be</w:t>
      </w:r>
      <w:r w:rsidRPr="008434E6">
        <w:rPr>
          <w:sz w:val="20"/>
          <w:szCs w:val="20"/>
        </w:rPr>
        <w:t xml:space="preserve"> added </w:t>
      </w:r>
      <w:r>
        <w:rPr>
          <w:sz w:val="20"/>
          <w:szCs w:val="20"/>
        </w:rPr>
        <w:t xml:space="preserve">to the agreement </w:t>
      </w:r>
      <w:r w:rsidRPr="008434E6">
        <w:rPr>
          <w:sz w:val="20"/>
          <w:szCs w:val="20"/>
        </w:rPr>
        <w:t>as explained below</w:t>
      </w:r>
      <w:r>
        <w:rPr>
          <w:sz w:val="20"/>
          <w:szCs w:val="20"/>
        </w:rPr>
        <w:t xml:space="preserve"> in Section D</w:t>
      </w:r>
      <w:r w:rsidRPr="008434E6">
        <w:rPr>
          <w:sz w:val="20"/>
          <w:szCs w:val="20"/>
        </w:rPr>
        <w:t>.</w:t>
      </w:r>
    </w:p>
  </w:footnote>
  <w:footnote w:id="3">
    <w:p w14:paraId="4B83152E" w14:textId="13B69164" w:rsidR="00FB15F9" w:rsidRDefault="00FB15F9">
      <w:pPr>
        <w:pStyle w:val="FootnoteText"/>
      </w:pPr>
      <w:r w:rsidRPr="0015365B">
        <w:rPr>
          <w:rStyle w:val="FootnoteReference"/>
          <w:sz w:val="20"/>
          <w:szCs w:val="20"/>
        </w:rPr>
        <w:footnoteRef/>
      </w:r>
      <w:r>
        <w:t xml:space="preserve"> </w:t>
      </w:r>
      <w:r w:rsidRPr="004D7CCB">
        <w:rPr>
          <w:sz w:val="20"/>
          <w:szCs w:val="20"/>
        </w:rPr>
        <w:t>See ‘Definition</w:t>
      </w:r>
      <w:r w:rsidRPr="00D02D5E">
        <w:t xml:space="preserve"> </w:t>
      </w:r>
      <w:r w:rsidRPr="00D02D5E">
        <w:rPr>
          <w:sz w:val="20"/>
          <w:szCs w:val="20"/>
        </w:rPr>
        <w:t>of grant recipients</w:t>
      </w:r>
      <w:r>
        <w:rPr>
          <w:sz w:val="20"/>
          <w:szCs w:val="20"/>
        </w:rPr>
        <w:t>’ in para 14.</w:t>
      </w:r>
    </w:p>
  </w:footnote>
  <w:footnote w:id="4">
    <w:p w14:paraId="7ED068D6" w14:textId="77777777" w:rsidR="00FB15F9" w:rsidRPr="003B2053" w:rsidRDefault="00FB15F9">
      <w:pPr>
        <w:pStyle w:val="FootnoteText"/>
        <w:rPr>
          <w:sz w:val="20"/>
          <w:szCs w:val="20"/>
        </w:rPr>
      </w:pPr>
      <w:r w:rsidRPr="003B2053">
        <w:rPr>
          <w:rStyle w:val="FootnoteReference"/>
          <w:sz w:val="20"/>
          <w:szCs w:val="20"/>
        </w:rPr>
        <w:footnoteRef/>
      </w:r>
      <w:r w:rsidRPr="003B2053">
        <w:rPr>
          <w:sz w:val="20"/>
          <w:szCs w:val="20"/>
        </w:rPr>
        <w:t xml:space="preserve"> Please note that</w:t>
      </w:r>
      <w:r>
        <w:rPr>
          <w:sz w:val="20"/>
          <w:szCs w:val="20"/>
        </w:rPr>
        <w:t xml:space="preserve"> catalyzing experimentation for private sector activities is not covered under the LVG policy but rather ‘Innovation Challenges’ – see para. 25.</w:t>
      </w:r>
    </w:p>
  </w:footnote>
  <w:footnote w:id="5">
    <w:p w14:paraId="1C52E5DC" w14:textId="77777777" w:rsidR="00FB15F9" w:rsidRPr="005902B3" w:rsidRDefault="00FB15F9" w:rsidP="00A531CE">
      <w:pPr>
        <w:pStyle w:val="FootnoteText"/>
        <w:rPr>
          <w:sz w:val="20"/>
          <w:szCs w:val="20"/>
        </w:rPr>
      </w:pPr>
      <w:r w:rsidRPr="005902B3">
        <w:rPr>
          <w:rStyle w:val="FootnoteReference"/>
          <w:sz w:val="20"/>
          <w:szCs w:val="20"/>
        </w:rPr>
        <w:footnoteRef/>
      </w:r>
      <w:r w:rsidRPr="005902B3">
        <w:rPr>
          <w:sz w:val="20"/>
          <w:szCs w:val="20"/>
        </w:rPr>
        <w:t xml:space="preserve"> In some instances, i.e. monopolies, there is no marketplace, but the point remains valid.</w:t>
      </w:r>
    </w:p>
  </w:footnote>
  <w:footnote w:id="6">
    <w:p w14:paraId="3348F62D" w14:textId="77777777" w:rsidR="00FB15F9" w:rsidRPr="005902B3" w:rsidRDefault="00FB15F9" w:rsidP="00A531CE">
      <w:pPr>
        <w:pStyle w:val="FootnoteText"/>
        <w:rPr>
          <w:sz w:val="20"/>
          <w:szCs w:val="20"/>
        </w:rPr>
      </w:pPr>
      <w:r w:rsidRPr="005902B3">
        <w:rPr>
          <w:rStyle w:val="FootnoteReference"/>
          <w:sz w:val="20"/>
          <w:szCs w:val="20"/>
        </w:rPr>
        <w:footnoteRef/>
      </w:r>
      <w:r w:rsidRPr="005902B3">
        <w:rPr>
          <w:sz w:val="20"/>
          <w:szCs w:val="20"/>
        </w:rPr>
        <w:t xml:space="preserve"> The product lifecycle includes guarantee and service periods.  </w:t>
      </w:r>
    </w:p>
  </w:footnote>
  <w:footnote w:id="7">
    <w:p w14:paraId="0179315A" w14:textId="4AEC871C" w:rsidR="00FB15F9" w:rsidRPr="00CD692A" w:rsidRDefault="00FB15F9">
      <w:pPr>
        <w:pStyle w:val="FootnoteText"/>
        <w:rPr>
          <w:sz w:val="20"/>
          <w:szCs w:val="20"/>
        </w:rPr>
      </w:pPr>
      <w:r w:rsidRPr="00CA0B1F">
        <w:rPr>
          <w:rStyle w:val="FootnoteReference"/>
          <w:sz w:val="20"/>
          <w:szCs w:val="20"/>
        </w:rPr>
        <w:footnoteRef/>
      </w:r>
      <w:r w:rsidRPr="00CA0B1F">
        <w:rPr>
          <w:sz w:val="20"/>
          <w:szCs w:val="20"/>
        </w:rPr>
        <w:t xml:space="preserve"> </w:t>
      </w:r>
      <w:r w:rsidR="00CA0B1F">
        <w:rPr>
          <w:sz w:val="20"/>
          <w:szCs w:val="20"/>
        </w:rPr>
        <w:t>See Performance Based Payment Operational Guidance</w:t>
      </w:r>
    </w:p>
  </w:footnote>
  <w:footnote w:id="8">
    <w:p w14:paraId="7A731EB3" w14:textId="09E6E616" w:rsidR="00FB15F9" w:rsidRPr="00265743" w:rsidRDefault="00FB15F9">
      <w:pPr>
        <w:pStyle w:val="FootnoteText"/>
        <w:rPr>
          <w:sz w:val="20"/>
          <w:szCs w:val="20"/>
        </w:rPr>
      </w:pPr>
      <w:r w:rsidRPr="00265743">
        <w:rPr>
          <w:rStyle w:val="FootnoteReference"/>
          <w:sz w:val="20"/>
          <w:szCs w:val="20"/>
        </w:rPr>
        <w:footnoteRef/>
      </w:r>
      <w:r w:rsidRPr="00265743">
        <w:rPr>
          <w:sz w:val="20"/>
          <w:szCs w:val="20"/>
        </w:rPr>
        <w:t xml:space="preserve"> These limits apply to funding originating from UNDP and are not inclusive of any co-financing the grantee might have raised independently.</w:t>
      </w:r>
    </w:p>
  </w:footnote>
  <w:footnote w:id="9">
    <w:p w14:paraId="2C4C1173" w14:textId="038D31F0" w:rsidR="00FB15F9" w:rsidRPr="00E4340E" w:rsidRDefault="00FB15F9" w:rsidP="00CD01CF">
      <w:pPr>
        <w:pStyle w:val="FootnoteText"/>
        <w:rPr>
          <w:sz w:val="20"/>
          <w:szCs w:val="20"/>
        </w:rPr>
      </w:pPr>
      <w:r w:rsidRPr="00E4340E">
        <w:rPr>
          <w:rStyle w:val="FootnoteReference"/>
          <w:sz w:val="20"/>
          <w:szCs w:val="20"/>
        </w:rPr>
        <w:footnoteRef/>
      </w:r>
      <w:r w:rsidRPr="00E4340E">
        <w:rPr>
          <w:sz w:val="20"/>
          <w:szCs w:val="20"/>
        </w:rPr>
        <w:t xml:space="preserve"> </w:t>
      </w:r>
      <w:r w:rsidR="002B710D">
        <w:rPr>
          <w:sz w:val="20"/>
          <w:szCs w:val="20"/>
        </w:rPr>
        <w:t xml:space="preserve">See the </w:t>
      </w:r>
      <w:hyperlink r:id="rId1" w:history="1">
        <w:r w:rsidR="002B710D" w:rsidRPr="002B710D">
          <w:rPr>
            <w:rStyle w:val="Hyperlink"/>
            <w:sz w:val="20"/>
            <w:szCs w:val="20"/>
          </w:rPr>
          <w:t>Partner Capacity Assessment Tool</w:t>
        </w:r>
      </w:hyperlink>
    </w:p>
  </w:footnote>
  <w:footnote w:id="10">
    <w:p w14:paraId="20A64727" w14:textId="21B2FDE0" w:rsidR="00FB15F9" w:rsidRPr="0007722D" w:rsidRDefault="00FB15F9">
      <w:pPr>
        <w:pStyle w:val="FootnoteText"/>
        <w:rPr>
          <w:sz w:val="20"/>
          <w:szCs w:val="20"/>
        </w:rPr>
      </w:pPr>
      <w:r w:rsidRPr="0007722D">
        <w:rPr>
          <w:rStyle w:val="FootnoteReference"/>
          <w:sz w:val="20"/>
          <w:szCs w:val="20"/>
        </w:rPr>
        <w:footnoteRef/>
      </w:r>
      <w:r w:rsidRPr="0007722D">
        <w:rPr>
          <w:sz w:val="20"/>
          <w:szCs w:val="20"/>
        </w:rPr>
        <w:t xml:space="preserve"> Example of an SGP project </w:t>
      </w:r>
      <w:r>
        <w:rPr>
          <w:sz w:val="20"/>
          <w:szCs w:val="20"/>
        </w:rPr>
        <w:t xml:space="preserve">proposal </w:t>
      </w:r>
      <w:r w:rsidRPr="0007722D">
        <w:rPr>
          <w:sz w:val="20"/>
          <w:szCs w:val="20"/>
        </w:rPr>
        <w:t xml:space="preserve">template </w:t>
      </w:r>
      <w:hyperlink r:id="rId2" w:history="1">
        <w:r w:rsidRPr="0007722D">
          <w:rPr>
            <w:rStyle w:val="Hyperlink"/>
            <w:sz w:val="20"/>
            <w:szCs w:val="20"/>
          </w:rPr>
          <w:t>here</w:t>
        </w:r>
      </w:hyperlink>
    </w:p>
  </w:footnote>
  <w:footnote w:id="11">
    <w:p w14:paraId="34633CC9" w14:textId="47847C66" w:rsidR="00FB15F9" w:rsidRPr="00DB414A" w:rsidRDefault="00FB15F9" w:rsidP="00DB414A">
      <w:pPr>
        <w:pStyle w:val="FootnoteText"/>
        <w:rPr>
          <w:sz w:val="20"/>
          <w:szCs w:val="20"/>
        </w:rPr>
      </w:pPr>
      <w:r w:rsidRPr="00DB414A">
        <w:rPr>
          <w:rStyle w:val="FootnoteReference"/>
          <w:sz w:val="20"/>
          <w:szCs w:val="20"/>
        </w:rPr>
        <w:footnoteRef/>
      </w:r>
      <w:r w:rsidRPr="00DB414A">
        <w:rPr>
          <w:sz w:val="20"/>
          <w:szCs w:val="20"/>
        </w:rPr>
        <w:t xml:space="preserve"> </w:t>
      </w:r>
      <w:r w:rsidR="00851FB2">
        <w:rPr>
          <w:sz w:val="20"/>
          <w:szCs w:val="20"/>
        </w:rPr>
        <w:t xml:space="preserve">See the </w:t>
      </w:r>
      <w:hyperlink r:id="rId3" w:history="1">
        <w:r w:rsidR="00851FB2" w:rsidRPr="00AB10A0">
          <w:rPr>
            <w:rStyle w:val="Hyperlink"/>
            <w:sz w:val="20"/>
            <w:szCs w:val="20"/>
          </w:rPr>
          <w:t>Partner Capacity Assessment Tool</w:t>
        </w:r>
      </w:hyperlink>
    </w:p>
  </w:footnote>
  <w:footnote w:id="12">
    <w:p w14:paraId="286C4F44" w14:textId="0A2CBA11" w:rsidR="00FB15F9" w:rsidRPr="00DB414A" w:rsidRDefault="00FB15F9" w:rsidP="00DB414A">
      <w:pPr>
        <w:pStyle w:val="FootnoteText"/>
        <w:rPr>
          <w:sz w:val="20"/>
          <w:szCs w:val="20"/>
        </w:rPr>
      </w:pPr>
      <w:r w:rsidRPr="00DB414A">
        <w:rPr>
          <w:rStyle w:val="FootnoteReference"/>
          <w:sz w:val="20"/>
          <w:szCs w:val="20"/>
        </w:rPr>
        <w:footnoteRef/>
      </w:r>
      <w:r w:rsidRPr="00DB414A">
        <w:rPr>
          <w:sz w:val="20"/>
          <w:szCs w:val="20"/>
        </w:rPr>
        <w:t xml:space="preserve"> </w:t>
      </w:r>
      <w:r w:rsidR="00216579">
        <w:rPr>
          <w:sz w:val="20"/>
          <w:szCs w:val="20"/>
        </w:rPr>
        <w:t xml:space="preserve">See the </w:t>
      </w:r>
      <w:hyperlink r:id="rId4" w:history="1">
        <w:r w:rsidR="00216579" w:rsidRPr="00216579">
          <w:rPr>
            <w:rStyle w:val="Hyperlink"/>
            <w:sz w:val="20"/>
            <w:szCs w:val="20"/>
          </w:rPr>
          <w:t>Partner Capacity Assessment Tool</w:t>
        </w:r>
      </w:hyperlink>
    </w:p>
  </w:footnote>
  <w:footnote w:id="13">
    <w:p w14:paraId="3F290F9E" w14:textId="77777777" w:rsidR="00FB15F9" w:rsidRPr="007B1289" w:rsidRDefault="00FB15F9" w:rsidP="00591E11">
      <w:pPr>
        <w:pStyle w:val="FootnoteText"/>
        <w:rPr>
          <w:sz w:val="20"/>
          <w:szCs w:val="20"/>
        </w:rPr>
      </w:pPr>
      <w:r w:rsidRPr="007B1289">
        <w:rPr>
          <w:rStyle w:val="FootnoteReference"/>
          <w:sz w:val="20"/>
          <w:szCs w:val="20"/>
        </w:rPr>
        <w:footnoteRef/>
      </w:r>
      <w:r w:rsidRPr="007B1289">
        <w:rPr>
          <w:sz w:val="20"/>
          <w:szCs w:val="20"/>
        </w:rPr>
        <w:t xml:space="preserve"> </w:t>
      </w:r>
      <w:r>
        <w:rPr>
          <w:sz w:val="20"/>
          <w:szCs w:val="20"/>
        </w:rPr>
        <w:t>U</w:t>
      </w:r>
      <w:r w:rsidRPr="007B1289">
        <w:rPr>
          <w:rFonts w:cs="Segoe UI"/>
          <w:sz w:val="20"/>
          <w:szCs w:val="20"/>
        </w:rPr>
        <w:t>nder the GEF Small Grants Programme</w:t>
      </w:r>
      <w:r>
        <w:rPr>
          <w:rFonts w:cs="Segoe UI"/>
          <w:sz w:val="20"/>
          <w:szCs w:val="20"/>
        </w:rPr>
        <w:t>, for example,</w:t>
      </w:r>
      <w:r w:rsidRPr="007B1289">
        <w:rPr>
          <w:rFonts w:cs="Segoe UI"/>
          <w:sz w:val="20"/>
          <w:szCs w:val="20"/>
        </w:rPr>
        <w:t xml:space="preserve"> in no case should the first disbursement be more than 50% of the total project grant amount (except when justified and prior approval from UNOPS has been received).</w:t>
      </w:r>
    </w:p>
  </w:footnote>
  <w:footnote w:id="14">
    <w:p w14:paraId="10369794" w14:textId="77777777" w:rsidR="00FB15F9" w:rsidRPr="00CF5E7F" w:rsidRDefault="00FB15F9">
      <w:pPr>
        <w:pStyle w:val="FootnoteText"/>
        <w:rPr>
          <w:sz w:val="20"/>
          <w:szCs w:val="20"/>
        </w:rPr>
      </w:pPr>
      <w:r w:rsidRPr="00CF5E7F">
        <w:rPr>
          <w:rStyle w:val="FootnoteReference"/>
          <w:sz w:val="20"/>
          <w:szCs w:val="20"/>
        </w:rPr>
        <w:footnoteRef/>
      </w:r>
      <w:r w:rsidRPr="00CF5E7F">
        <w:rPr>
          <w:sz w:val="20"/>
          <w:szCs w:val="20"/>
        </w:rPr>
        <w:t xml:space="preserve"> The </w:t>
      </w:r>
      <w:hyperlink r:id="rId5" w:history="1">
        <w:r w:rsidRPr="00C63932">
          <w:rPr>
            <w:rStyle w:val="Hyperlink"/>
            <w:sz w:val="20"/>
            <w:szCs w:val="20"/>
          </w:rPr>
          <w:t>Small Grant Programme project document</w:t>
        </w:r>
      </w:hyperlink>
      <w:r w:rsidRPr="00CF5E7F">
        <w:rPr>
          <w:sz w:val="20"/>
          <w:szCs w:val="20"/>
        </w:rPr>
        <w:t xml:space="preserve"> explicitly references global benefits achieved through the grant portfolio.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27B"/>
    <w:multiLevelType w:val="hybridMultilevel"/>
    <w:tmpl w:val="F88802C2"/>
    <w:lvl w:ilvl="0" w:tplc="2CB0C87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C297B"/>
    <w:multiLevelType w:val="hybridMultilevel"/>
    <w:tmpl w:val="E0D83F76"/>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3320D"/>
    <w:multiLevelType w:val="hybridMultilevel"/>
    <w:tmpl w:val="E0D83F76"/>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C0E80"/>
    <w:multiLevelType w:val="hybridMultilevel"/>
    <w:tmpl w:val="CA5CCDD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118D9"/>
    <w:multiLevelType w:val="hybridMultilevel"/>
    <w:tmpl w:val="CA5CCDD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12453"/>
    <w:multiLevelType w:val="hybridMultilevel"/>
    <w:tmpl w:val="71EA7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45CE2"/>
    <w:multiLevelType w:val="hybridMultilevel"/>
    <w:tmpl w:val="CF6843B0"/>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072EE"/>
    <w:multiLevelType w:val="hybridMultilevel"/>
    <w:tmpl w:val="91B2000A"/>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727DB2"/>
    <w:multiLevelType w:val="hybridMultilevel"/>
    <w:tmpl w:val="E0D83F76"/>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B20525"/>
    <w:multiLevelType w:val="hybridMultilevel"/>
    <w:tmpl w:val="CF6843B0"/>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BA1EC8"/>
    <w:multiLevelType w:val="hybridMultilevel"/>
    <w:tmpl w:val="829ADAE4"/>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36E1E"/>
    <w:multiLevelType w:val="hybridMultilevel"/>
    <w:tmpl w:val="73FE33F6"/>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75C9A"/>
    <w:multiLevelType w:val="hybridMultilevel"/>
    <w:tmpl w:val="AB5A508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3" w15:restartNumberingAfterBreak="0">
    <w:nsid w:val="48DB4F6E"/>
    <w:multiLevelType w:val="hybridMultilevel"/>
    <w:tmpl w:val="F2A8E2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493F3986"/>
    <w:multiLevelType w:val="hybridMultilevel"/>
    <w:tmpl w:val="92E4D2B6"/>
    <w:lvl w:ilvl="0" w:tplc="4A9CC67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E49C9"/>
    <w:multiLevelType w:val="hybridMultilevel"/>
    <w:tmpl w:val="63FE7C1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B92D1D"/>
    <w:multiLevelType w:val="hybridMultilevel"/>
    <w:tmpl w:val="2512AA7C"/>
    <w:lvl w:ilvl="0" w:tplc="3ADA2B62">
      <w:start w:val="1"/>
      <w:numFmt w:val="decimal"/>
      <w:lvlText w:val="%1."/>
      <w:lvlJc w:val="left"/>
      <w:pPr>
        <w:ind w:left="720" w:hanging="360"/>
      </w:pPr>
      <w:rPr>
        <w:rFonts w:ascii="Calibri" w:eastAsia="Times New Roman"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1004E"/>
    <w:multiLevelType w:val="hybridMultilevel"/>
    <w:tmpl w:val="CDBE6D0E"/>
    <w:lvl w:ilvl="0" w:tplc="3D5C448A">
      <w:start w:val="1"/>
      <w:numFmt w:val="lowerLetter"/>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0B535E"/>
    <w:multiLevelType w:val="hybridMultilevel"/>
    <w:tmpl w:val="0896AB66"/>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A5F2E"/>
    <w:multiLevelType w:val="hybridMultilevel"/>
    <w:tmpl w:val="85BCF4E0"/>
    <w:lvl w:ilvl="0" w:tplc="0809000F">
      <w:start w:val="1"/>
      <w:numFmt w:val="decimal"/>
      <w:lvlText w:val="%1."/>
      <w:lvlJc w:val="left"/>
      <w:pPr>
        <w:ind w:left="63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B87654"/>
    <w:multiLevelType w:val="hybridMultilevel"/>
    <w:tmpl w:val="D00285C8"/>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C55C59"/>
    <w:multiLevelType w:val="hybridMultilevel"/>
    <w:tmpl w:val="4B322D86"/>
    <w:lvl w:ilvl="0" w:tplc="F28433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047846">
    <w:abstractNumId w:val="0"/>
  </w:num>
  <w:num w:numId="2" w16cid:durableId="21327483">
    <w:abstractNumId w:val="17"/>
  </w:num>
  <w:num w:numId="3" w16cid:durableId="1626160154">
    <w:abstractNumId w:val="2"/>
  </w:num>
  <w:num w:numId="4" w16cid:durableId="1072235970">
    <w:abstractNumId w:val="5"/>
  </w:num>
  <w:num w:numId="5" w16cid:durableId="658071574">
    <w:abstractNumId w:val="13"/>
  </w:num>
  <w:num w:numId="6" w16cid:durableId="666593382">
    <w:abstractNumId w:val="10"/>
  </w:num>
  <w:num w:numId="7" w16cid:durableId="1043868230">
    <w:abstractNumId w:val="7"/>
  </w:num>
  <w:num w:numId="8" w16cid:durableId="414323026">
    <w:abstractNumId w:val="14"/>
  </w:num>
  <w:num w:numId="9" w16cid:durableId="2012170973">
    <w:abstractNumId w:val="11"/>
  </w:num>
  <w:num w:numId="10" w16cid:durableId="1698390240">
    <w:abstractNumId w:val="18"/>
  </w:num>
  <w:num w:numId="11" w16cid:durableId="1980766676">
    <w:abstractNumId w:val="15"/>
  </w:num>
  <w:num w:numId="12" w16cid:durableId="309099970">
    <w:abstractNumId w:val="20"/>
  </w:num>
  <w:num w:numId="13" w16cid:durableId="140000373">
    <w:abstractNumId w:val="6"/>
  </w:num>
  <w:num w:numId="14" w16cid:durableId="1850828820">
    <w:abstractNumId w:val="9"/>
  </w:num>
  <w:num w:numId="15" w16cid:durableId="1524438905">
    <w:abstractNumId w:val="21"/>
  </w:num>
  <w:num w:numId="16" w16cid:durableId="508570905">
    <w:abstractNumId w:val="8"/>
  </w:num>
  <w:num w:numId="17" w16cid:durableId="646473293">
    <w:abstractNumId w:val="16"/>
  </w:num>
  <w:num w:numId="18" w16cid:durableId="661010089">
    <w:abstractNumId w:val="1"/>
  </w:num>
  <w:num w:numId="19" w16cid:durableId="1641687132">
    <w:abstractNumId w:val="3"/>
  </w:num>
  <w:num w:numId="20" w16cid:durableId="877551210">
    <w:abstractNumId w:val="19"/>
  </w:num>
  <w:num w:numId="21" w16cid:durableId="423963045">
    <w:abstractNumId w:val="12"/>
  </w:num>
  <w:num w:numId="22" w16cid:durableId="149063373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80"/>
    <w:rsid w:val="00000F76"/>
    <w:rsid w:val="00001550"/>
    <w:rsid w:val="00003A9E"/>
    <w:rsid w:val="000046BD"/>
    <w:rsid w:val="00004A1A"/>
    <w:rsid w:val="00005826"/>
    <w:rsid w:val="00006690"/>
    <w:rsid w:val="00007851"/>
    <w:rsid w:val="00007DA1"/>
    <w:rsid w:val="00011401"/>
    <w:rsid w:val="0001250B"/>
    <w:rsid w:val="0001312C"/>
    <w:rsid w:val="000164EA"/>
    <w:rsid w:val="00027346"/>
    <w:rsid w:val="000273B0"/>
    <w:rsid w:val="00030206"/>
    <w:rsid w:val="00031538"/>
    <w:rsid w:val="00032E84"/>
    <w:rsid w:val="00035C6C"/>
    <w:rsid w:val="000375DE"/>
    <w:rsid w:val="00040543"/>
    <w:rsid w:val="0004217F"/>
    <w:rsid w:val="00042C0C"/>
    <w:rsid w:val="00043A3B"/>
    <w:rsid w:val="0004488B"/>
    <w:rsid w:val="000512DC"/>
    <w:rsid w:val="00051734"/>
    <w:rsid w:val="000531A4"/>
    <w:rsid w:val="000557ED"/>
    <w:rsid w:val="000579FA"/>
    <w:rsid w:val="00061249"/>
    <w:rsid w:val="00062680"/>
    <w:rsid w:val="00062A1D"/>
    <w:rsid w:val="00065473"/>
    <w:rsid w:val="00065C79"/>
    <w:rsid w:val="000660D1"/>
    <w:rsid w:val="00067177"/>
    <w:rsid w:val="00070B2A"/>
    <w:rsid w:val="00072425"/>
    <w:rsid w:val="00072CC4"/>
    <w:rsid w:val="00072E39"/>
    <w:rsid w:val="00074651"/>
    <w:rsid w:val="000752B1"/>
    <w:rsid w:val="000758BE"/>
    <w:rsid w:val="00075CA7"/>
    <w:rsid w:val="00076810"/>
    <w:rsid w:val="0007704C"/>
    <w:rsid w:val="0007722D"/>
    <w:rsid w:val="00084E1A"/>
    <w:rsid w:val="00085F72"/>
    <w:rsid w:val="00087B7F"/>
    <w:rsid w:val="000905F2"/>
    <w:rsid w:val="00091836"/>
    <w:rsid w:val="000923F3"/>
    <w:rsid w:val="000936A5"/>
    <w:rsid w:val="000945A8"/>
    <w:rsid w:val="00094CF2"/>
    <w:rsid w:val="00096045"/>
    <w:rsid w:val="0009643B"/>
    <w:rsid w:val="0009678E"/>
    <w:rsid w:val="000969F8"/>
    <w:rsid w:val="000A58F6"/>
    <w:rsid w:val="000A714F"/>
    <w:rsid w:val="000A7FFA"/>
    <w:rsid w:val="000B3843"/>
    <w:rsid w:val="000B4522"/>
    <w:rsid w:val="000B695B"/>
    <w:rsid w:val="000B6EFE"/>
    <w:rsid w:val="000C13C4"/>
    <w:rsid w:val="000C1E4E"/>
    <w:rsid w:val="000C2E1C"/>
    <w:rsid w:val="000C3CBD"/>
    <w:rsid w:val="000C4B1D"/>
    <w:rsid w:val="000C6054"/>
    <w:rsid w:val="000C75A1"/>
    <w:rsid w:val="000D14D8"/>
    <w:rsid w:val="000D1970"/>
    <w:rsid w:val="000D2755"/>
    <w:rsid w:val="000D3490"/>
    <w:rsid w:val="000D409D"/>
    <w:rsid w:val="000D4746"/>
    <w:rsid w:val="000D763C"/>
    <w:rsid w:val="000D7969"/>
    <w:rsid w:val="000E013F"/>
    <w:rsid w:val="000F023C"/>
    <w:rsid w:val="000F346D"/>
    <w:rsid w:val="000F5B76"/>
    <w:rsid w:val="000F6162"/>
    <w:rsid w:val="000F72BB"/>
    <w:rsid w:val="000F7DB0"/>
    <w:rsid w:val="00105296"/>
    <w:rsid w:val="0011252D"/>
    <w:rsid w:val="00114D4F"/>
    <w:rsid w:val="0011544F"/>
    <w:rsid w:val="00115B73"/>
    <w:rsid w:val="0012060E"/>
    <w:rsid w:val="00121D95"/>
    <w:rsid w:val="001233A7"/>
    <w:rsid w:val="00123A8E"/>
    <w:rsid w:val="00124A64"/>
    <w:rsid w:val="00125172"/>
    <w:rsid w:val="00127150"/>
    <w:rsid w:val="001315ED"/>
    <w:rsid w:val="001335D1"/>
    <w:rsid w:val="00133CDC"/>
    <w:rsid w:val="001352B6"/>
    <w:rsid w:val="00135F4B"/>
    <w:rsid w:val="00141845"/>
    <w:rsid w:val="001431F3"/>
    <w:rsid w:val="00143304"/>
    <w:rsid w:val="00143C4E"/>
    <w:rsid w:val="00150ADD"/>
    <w:rsid w:val="0015365B"/>
    <w:rsid w:val="00153B48"/>
    <w:rsid w:val="001556E5"/>
    <w:rsid w:val="00155ED1"/>
    <w:rsid w:val="00156F6C"/>
    <w:rsid w:val="001575FB"/>
    <w:rsid w:val="00161403"/>
    <w:rsid w:val="00161C61"/>
    <w:rsid w:val="00162FD2"/>
    <w:rsid w:val="00162FF3"/>
    <w:rsid w:val="001631E7"/>
    <w:rsid w:val="00165229"/>
    <w:rsid w:val="00170BF9"/>
    <w:rsid w:val="00170C6A"/>
    <w:rsid w:val="00171A86"/>
    <w:rsid w:val="001728E4"/>
    <w:rsid w:val="001731B3"/>
    <w:rsid w:val="001821CD"/>
    <w:rsid w:val="00182CA7"/>
    <w:rsid w:val="00182E12"/>
    <w:rsid w:val="001877D1"/>
    <w:rsid w:val="00191C72"/>
    <w:rsid w:val="0019607A"/>
    <w:rsid w:val="001A11AE"/>
    <w:rsid w:val="001A5A5D"/>
    <w:rsid w:val="001B115C"/>
    <w:rsid w:val="001B6694"/>
    <w:rsid w:val="001B7FE9"/>
    <w:rsid w:val="001C1B42"/>
    <w:rsid w:val="001C2538"/>
    <w:rsid w:val="001C2DC9"/>
    <w:rsid w:val="001C3867"/>
    <w:rsid w:val="001C38DB"/>
    <w:rsid w:val="001C5DE5"/>
    <w:rsid w:val="001C6359"/>
    <w:rsid w:val="001C69AF"/>
    <w:rsid w:val="001C757D"/>
    <w:rsid w:val="001C7AEF"/>
    <w:rsid w:val="001D157A"/>
    <w:rsid w:val="001D1F97"/>
    <w:rsid w:val="001D38A0"/>
    <w:rsid w:val="001D3CDE"/>
    <w:rsid w:val="001D40A0"/>
    <w:rsid w:val="001D6750"/>
    <w:rsid w:val="001D74A4"/>
    <w:rsid w:val="001E195B"/>
    <w:rsid w:val="001E2EE6"/>
    <w:rsid w:val="001E4C79"/>
    <w:rsid w:val="001E512D"/>
    <w:rsid w:val="001E528C"/>
    <w:rsid w:val="001F0010"/>
    <w:rsid w:val="001F0687"/>
    <w:rsid w:val="001F0A02"/>
    <w:rsid w:val="001F0A5C"/>
    <w:rsid w:val="001F3EF4"/>
    <w:rsid w:val="001F40B5"/>
    <w:rsid w:val="001F467C"/>
    <w:rsid w:val="001F7589"/>
    <w:rsid w:val="002005D3"/>
    <w:rsid w:val="00202C4F"/>
    <w:rsid w:val="002030EB"/>
    <w:rsid w:val="0020326C"/>
    <w:rsid w:val="00206F70"/>
    <w:rsid w:val="0021025A"/>
    <w:rsid w:val="00211CC3"/>
    <w:rsid w:val="00212B3A"/>
    <w:rsid w:val="00212BEB"/>
    <w:rsid w:val="0021302E"/>
    <w:rsid w:val="0021347D"/>
    <w:rsid w:val="00216579"/>
    <w:rsid w:val="002202C1"/>
    <w:rsid w:val="00220E9D"/>
    <w:rsid w:val="00221AF1"/>
    <w:rsid w:val="00221DB7"/>
    <w:rsid w:val="00222F40"/>
    <w:rsid w:val="002235E4"/>
    <w:rsid w:val="002260A0"/>
    <w:rsid w:val="0022627B"/>
    <w:rsid w:val="00226F75"/>
    <w:rsid w:val="00227080"/>
    <w:rsid w:val="00227CF9"/>
    <w:rsid w:val="002308C5"/>
    <w:rsid w:val="00230D54"/>
    <w:rsid w:val="00231F1D"/>
    <w:rsid w:val="00232756"/>
    <w:rsid w:val="0023330A"/>
    <w:rsid w:val="00235054"/>
    <w:rsid w:val="00242C05"/>
    <w:rsid w:val="0024605A"/>
    <w:rsid w:val="00246DA0"/>
    <w:rsid w:val="00246F3F"/>
    <w:rsid w:val="0024741F"/>
    <w:rsid w:val="00250725"/>
    <w:rsid w:val="002515D4"/>
    <w:rsid w:val="002529F9"/>
    <w:rsid w:val="002540A6"/>
    <w:rsid w:val="00255476"/>
    <w:rsid w:val="00256529"/>
    <w:rsid w:val="002570F5"/>
    <w:rsid w:val="0025799F"/>
    <w:rsid w:val="00261444"/>
    <w:rsid w:val="00262A2E"/>
    <w:rsid w:val="00262AA6"/>
    <w:rsid w:val="00262DC9"/>
    <w:rsid w:val="00264765"/>
    <w:rsid w:val="00265743"/>
    <w:rsid w:val="00265C01"/>
    <w:rsid w:val="0026628F"/>
    <w:rsid w:val="00266F1F"/>
    <w:rsid w:val="002701C8"/>
    <w:rsid w:val="002710A6"/>
    <w:rsid w:val="002719D0"/>
    <w:rsid w:val="00272679"/>
    <w:rsid w:val="002735AC"/>
    <w:rsid w:val="00273BF3"/>
    <w:rsid w:val="00275B4F"/>
    <w:rsid w:val="00276848"/>
    <w:rsid w:val="00276AAB"/>
    <w:rsid w:val="00276DBF"/>
    <w:rsid w:val="00277C71"/>
    <w:rsid w:val="0028336A"/>
    <w:rsid w:val="00284C02"/>
    <w:rsid w:val="00284F04"/>
    <w:rsid w:val="0029077E"/>
    <w:rsid w:val="00294924"/>
    <w:rsid w:val="00295D66"/>
    <w:rsid w:val="002964BF"/>
    <w:rsid w:val="0029688C"/>
    <w:rsid w:val="00296DF0"/>
    <w:rsid w:val="00297569"/>
    <w:rsid w:val="002A0707"/>
    <w:rsid w:val="002A138A"/>
    <w:rsid w:val="002A1B5A"/>
    <w:rsid w:val="002A2D2C"/>
    <w:rsid w:val="002A38B0"/>
    <w:rsid w:val="002A66F6"/>
    <w:rsid w:val="002B30D3"/>
    <w:rsid w:val="002B3DE9"/>
    <w:rsid w:val="002B3F32"/>
    <w:rsid w:val="002B710D"/>
    <w:rsid w:val="002B7C66"/>
    <w:rsid w:val="002C2651"/>
    <w:rsid w:val="002C3BBE"/>
    <w:rsid w:val="002C5C64"/>
    <w:rsid w:val="002D03D8"/>
    <w:rsid w:val="002D4038"/>
    <w:rsid w:val="002D6723"/>
    <w:rsid w:val="002D6957"/>
    <w:rsid w:val="002D766C"/>
    <w:rsid w:val="002E3E6F"/>
    <w:rsid w:val="002E4273"/>
    <w:rsid w:val="002E6690"/>
    <w:rsid w:val="002E67A5"/>
    <w:rsid w:val="002F02DD"/>
    <w:rsid w:val="002F131F"/>
    <w:rsid w:val="002F2095"/>
    <w:rsid w:val="002F25C6"/>
    <w:rsid w:val="002F44B4"/>
    <w:rsid w:val="002F4D67"/>
    <w:rsid w:val="002F51C7"/>
    <w:rsid w:val="002F5A50"/>
    <w:rsid w:val="002F68B4"/>
    <w:rsid w:val="003022E8"/>
    <w:rsid w:val="00305BAA"/>
    <w:rsid w:val="0030793C"/>
    <w:rsid w:val="00307DC7"/>
    <w:rsid w:val="00312271"/>
    <w:rsid w:val="003128DE"/>
    <w:rsid w:val="00312B4C"/>
    <w:rsid w:val="00316857"/>
    <w:rsid w:val="0032240F"/>
    <w:rsid w:val="003257AC"/>
    <w:rsid w:val="0032687C"/>
    <w:rsid w:val="003310BE"/>
    <w:rsid w:val="00331C69"/>
    <w:rsid w:val="00332700"/>
    <w:rsid w:val="0034277C"/>
    <w:rsid w:val="003429D4"/>
    <w:rsid w:val="00343D73"/>
    <w:rsid w:val="00345F6C"/>
    <w:rsid w:val="00346471"/>
    <w:rsid w:val="0034654C"/>
    <w:rsid w:val="00350639"/>
    <w:rsid w:val="00351825"/>
    <w:rsid w:val="00351A53"/>
    <w:rsid w:val="00352BFD"/>
    <w:rsid w:val="00353C17"/>
    <w:rsid w:val="0035420D"/>
    <w:rsid w:val="00354DAC"/>
    <w:rsid w:val="0035549F"/>
    <w:rsid w:val="003565F3"/>
    <w:rsid w:val="003603CB"/>
    <w:rsid w:val="00362A5E"/>
    <w:rsid w:val="00364A2C"/>
    <w:rsid w:val="00364CB8"/>
    <w:rsid w:val="003707F6"/>
    <w:rsid w:val="003722FF"/>
    <w:rsid w:val="0037265F"/>
    <w:rsid w:val="00373F5C"/>
    <w:rsid w:val="00376CC2"/>
    <w:rsid w:val="00380B64"/>
    <w:rsid w:val="00381584"/>
    <w:rsid w:val="003817FE"/>
    <w:rsid w:val="00382646"/>
    <w:rsid w:val="003834AE"/>
    <w:rsid w:val="0038606F"/>
    <w:rsid w:val="0039158B"/>
    <w:rsid w:val="003918FD"/>
    <w:rsid w:val="0039376B"/>
    <w:rsid w:val="00393D29"/>
    <w:rsid w:val="00396A16"/>
    <w:rsid w:val="00397E73"/>
    <w:rsid w:val="003A34AA"/>
    <w:rsid w:val="003A3E6E"/>
    <w:rsid w:val="003A5A53"/>
    <w:rsid w:val="003A6DBF"/>
    <w:rsid w:val="003A79C1"/>
    <w:rsid w:val="003B2053"/>
    <w:rsid w:val="003B3C7F"/>
    <w:rsid w:val="003B542B"/>
    <w:rsid w:val="003B54F8"/>
    <w:rsid w:val="003B58A0"/>
    <w:rsid w:val="003B639F"/>
    <w:rsid w:val="003B7FCA"/>
    <w:rsid w:val="003C3300"/>
    <w:rsid w:val="003C3CA6"/>
    <w:rsid w:val="003C5EFB"/>
    <w:rsid w:val="003C6296"/>
    <w:rsid w:val="003C6D8A"/>
    <w:rsid w:val="003D0F9A"/>
    <w:rsid w:val="003D1B28"/>
    <w:rsid w:val="003D1BA8"/>
    <w:rsid w:val="003D30E7"/>
    <w:rsid w:val="003D7C05"/>
    <w:rsid w:val="003E0149"/>
    <w:rsid w:val="003E1D6E"/>
    <w:rsid w:val="003E363D"/>
    <w:rsid w:val="003E558B"/>
    <w:rsid w:val="003F08EA"/>
    <w:rsid w:val="003F0D42"/>
    <w:rsid w:val="003F0FE1"/>
    <w:rsid w:val="003F115A"/>
    <w:rsid w:val="00404547"/>
    <w:rsid w:val="00406936"/>
    <w:rsid w:val="00406FA3"/>
    <w:rsid w:val="00407063"/>
    <w:rsid w:val="004123F1"/>
    <w:rsid w:val="00414433"/>
    <w:rsid w:val="004162C5"/>
    <w:rsid w:val="004202B1"/>
    <w:rsid w:val="00420F2F"/>
    <w:rsid w:val="00420FE6"/>
    <w:rsid w:val="004220EB"/>
    <w:rsid w:val="00422636"/>
    <w:rsid w:val="004228D4"/>
    <w:rsid w:val="0042292D"/>
    <w:rsid w:val="004234BD"/>
    <w:rsid w:val="004249D5"/>
    <w:rsid w:val="00424B0C"/>
    <w:rsid w:val="004309B6"/>
    <w:rsid w:val="00431F97"/>
    <w:rsid w:val="00436228"/>
    <w:rsid w:val="004424D9"/>
    <w:rsid w:val="00442FCE"/>
    <w:rsid w:val="004436FC"/>
    <w:rsid w:val="00443A26"/>
    <w:rsid w:val="004457E3"/>
    <w:rsid w:val="00451E40"/>
    <w:rsid w:val="0045209C"/>
    <w:rsid w:val="004531BC"/>
    <w:rsid w:val="00461674"/>
    <w:rsid w:val="00462278"/>
    <w:rsid w:val="00464715"/>
    <w:rsid w:val="00464EDC"/>
    <w:rsid w:val="0046608D"/>
    <w:rsid w:val="00467EAA"/>
    <w:rsid w:val="00467EDB"/>
    <w:rsid w:val="004704DD"/>
    <w:rsid w:val="004705F0"/>
    <w:rsid w:val="0047141D"/>
    <w:rsid w:val="0047253F"/>
    <w:rsid w:val="00472BD6"/>
    <w:rsid w:val="00475066"/>
    <w:rsid w:val="00477546"/>
    <w:rsid w:val="00477F52"/>
    <w:rsid w:val="00481DBD"/>
    <w:rsid w:val="004828C5"/>
    <w:rsid w:val="00484BB1"/>
    <w:rsid w:val="0048723E"/>
    <w:rsid w:val="00487DDB"/>
    <w:rsid w:val="00487EC2"/>
    <w:rsid w:val="00490538"/>
    <w:rsid w:val="004905F7"/>
    <w:rsid w:val="00494E5D"/>
    <w:rsid w:val="004950FE"/>
    <w:rsid w:val="00496163"/>
    <w:rsid w:val="00497DA8"/>
    <w:rsid w:val="004A051D"/>
    <w:rsid w:val="004A24B4"/>
    <w:rsid w:val="004A2A97"/>
    <w:rsid w:val="004A3744"/>
    <w:rsid w:val="004A49D6"/>
    <w:rsid w:val="004A62B3"/>
    <w:rsid w:val="004B1B27"/>
    <w:rsid w:val="004B4D5B"/>
    <w:rsid w:val="004B5996"/>
    <w:rsid w:val="004B61F9"/>
    <w:rsid w:val="004B7F73"/>
    <w:rsid w:val="004C0503"/>
    <w:rsid w:val="004C3CFB"/>
    <w:rsid w:val="004C7051"/>
    <w:rsid w:val="004C71A8"/>
    <w:rsid w:val="004D1C87"/>
    <w:rsid w:val="004D2F95"/>
    <w:rsid w:val="004D4B38"/>
    <w:rsid w:val="004D7CCB"/>
    <w:rsid w:val="004E203B"/>
    <w:rsid w:val="004E42A6"/>
    <w:rsid w:val="004E6242"/>
    <w:rsid w:val="004F1D9A"/>
    <w:rsid w:val="004F5A36"/>
    <w:rsid w:val="00500020"/>
    <w:rsid w:val="00500544"/>
    <w:rsid w:val="00501E8C"/>
    <w:rsid w:val="0050303D"/>
    <w:rsid w:val="005041B9"/>
    <w:rsid w:val="00507599"/>
    <w:rsid w:val="005111C9"/>
    <w:rsid w:val="005122C9"/>
    <w:rsid w:val="005147BF"/>
    <w:rsid w:val="005153ED"/>
    <w:rsid w:val="005158FE"/>
    <w:rsid w:val="0051597D"/>
    <w:rsid w:val="00517972"/>
    <w:rsid w:val="00517A19"/>
    <w:rsid w:val="00526C1B"/>
    <w:rsid w:val="0052787A"/>
    <w:rsid w:val="00536D2E"/>
    <w:rsid w:val="00537875"/>
    <w:rsid w:val="005437B9"/>
    <w:rsid w:val="00545A87"/>
    <w:rsid w:val="00546AF8"/>
    <w:rsid w:val="005478E7"/>
    <w:rsid w:val="005520E8"/>
    <w:rsid w:val="00555747"/>
    <w:rsid w:val="005607CB"/>
    <w:rsid w:val="00565B53"/>
    <w:rsid w:val="00571A55"/>
    <w:rsid w:val="0057290F"/>
    <w:rsid w:val="005749BE"/>
    <w:rsid w:val="005803CF"/>
    <w:rsid w:val="0058056B"/>
    <w:rsid w:val="00581074"/>
    <w:rsid w:val="00581481"/>
    <w:rsid w:val="00583A1B"/>
    <w:rsid w:val="00587C61"/>
    <w:rsid w:val="005902B3"/>
    <w:rsid w:val="00591086"/>
    <w:rsid w:val="00591515"/>
    <w:rsid w:val="00591E11"/>
    <w:rsid w:val="00592A37"/>
    <w:rsid w:val="0059425D"/>
    <w:rsid w:val="00596133"/>
    <w:rsid w:val="00597B63"/>
    <w:rsid w:val="005A0954"/>
    <w:rsid w:val="005A0D3C"/>
    <w:rsid w:val="005A0E12"/>
    <w:rsid w:val="005A312D"/>
    <w:rsid w:val="005A3633"/>
    <w:rsid w:val="005A5C78"/>
    <w:rsid w:val="005A7CF0"/>
    <w:rsid w:val="005B01F7"/>
    <w:rsid w:val="005B09C7"/>
    <w:rsid w:val="005B1151"/>
    <w:rsid w:val="005B4A7F"/>
    <w:rsid w:val="005B65E3"/>
    <w:rsid w:val="005B684B"/>
    <w:rsid w:val="005C0256"/>
    <w:rsid w:val="005C0EFE"/>
    <w:rsid w:val="005C1380"/>
    <w:rsid w:val="005C168F"/>
    <w:rsid w:val="005C4ABD"/>
    <w:rsid w:val="005C6519"/>
    <w:rsid w:val="005C7394"/>
    <w:rsid w:val="005D418A"/>
    <w:rsid w:val="005D52FE"/>
    <w:rsid w:val="005D5A45"/>
    <w:rsid w:val="005F3692"/>
    <w:rsid w:val="005F5AB0"/>
    <w:rsid w:val="005F6C19"/>
    <w:rsid w:val="005F7630"/>
    <w:rsid w:val="006000CE"/>
    <w:rsid w:val="006013D0"/>
    <w:rsid w:val="00604FE3"/>
    <w:rsid w:val="00605729"/>
    <w:rsid w:val="006059AB"/>
    <w:rsid w:val="00606015"/>
    <w:rsid w:val="0061300E"/>
    <w:rsid w:val="00615787"/>
    <w:rsid w:val="006279C3"/>
    <w:rsid w:val="00631587"/>
    <w:rsid w:val="00631CCF"/>
    <w:rsid w:val="006326B5"/>
    <w:rsid w:val="00633C88"/>
    <w:rsid w:val="00635AE6"/>
    <w:rsid w:val="00636FA4"/>
    <w:rsid w:val="0063748A"/>
    <w:rsid w:val="006401E8"/>
    <w:rsid w:val="00640670"/>
    <w:rsid w:val="00641365"/>
    <w:rsid w:val="00642EBD"/>
    <w:rsid w:val="00645CE5"/>
    <w:rsid w:val="00646B7F"/>
    <w:rsid w:val="00647E53"/>
    <w:rsid w:val="00652B36"/>
    <w:rsid w:val="00656103"/>
    <w:rsid w:val="00656CE1"/>
    <w:rsid w:val="00657998"/>
    <w:rsid w:val="00660477"/>
    <w:rsid w:val="006605E2"/>
    <w:rsid w:val="006712AB"/>
    <w:rsid w:val="0067338E"/>
    <w:rsid w:val="00674365"/>
    <w:rsid w:val="006744FD"/>
    <w:rsid w:val="0068068B"/>
    <w:rsid w:val="00681A7B"/>
    <w:rsid w:val="00683291"/>
    <w:rsid w:val="0068334D"/>
    <w:rsid w:val="00683813"/>
    <w:rsid w:val="00683F22"/>
    <w:rsid w:val="006851A1"/>
    <w:rsid w:val="00686BEA"/>
    <w:rsid w:val="0069024A"/>
    <w:rsid w:val="00691169"/>
    <w:rsid w:val="00692AA1"/>
    <w:rsid w:val="00693171"/>
    <w:rsid w:val="00693E60"/>
    <w:rsid w:val="00694333"/>
    <w:rsid w:val="00695E10"/>
    <w:rsid w:val="006A004B"/>
    <w:rsid w:val="006A2374"/>
    <w:rsid w:val="006A3DE1"/>
    <w:rsid w:val="006A43A2"/>
    <w:rsid w:val="006A6459"/>
    <w:rsid w:val="006A6BBB"/>
    <w:rsid w:val="006A7B25"/>
    <w:rsid w:val="006A7C49"/>
    <w:rsid w:val="006B0112"/>
    <w:rsid w:val="006B1C14"/>
    <w:rsid w:val="006B42E8"/>
    <w:rsid w:val="006B55E2"/>
    <w:rsid w:val="006B5C4C"/>
    <w:rsid w:val="006B67F4"/>
    <w:rsid w:val="006B69D6"/>
    <w:rsid w:val="006C0BF1"/>
    <w:rsid w:val="006C3171"/>
    <w:rsid w:val="006C4654"/>
    <w:rsid w:val="006C6170"/>
    <w:rsid w:val="006C6F58"/>
    <w:rsid w:val="006D0DC4"/>
    <w:rsid w:val="006D1030"/>
    <w:rsid w:val="006D3743"/>
    <w:rsid w:val="006E1152"/>
    <w:rsid w:val="006E20BF"/>
    <w:rsid w:val="006E66B9"/>
    <w:rsid w:val="006E6F4F"/>
    <w:rsid w:val="006F202B"/>
    <w:rsid w:val="006F40E6"/>
    <w:rsid w:val="006F4439"/>
    <w:rsid w:val="006F4672"/>
    <w:rsid w:val="006F4A47"/>
    <w:rsid w:val="006F57FB"/>
    <w:rsid w:val="006F7890"/>
    <w:rsid w:val="0070106C"/>
    <w:rsid w:val="007020E3"/>
    <w:rsid w:val="00704826"/>
    <w:rsid w:val="00704FB9"/>
    <w:rsid w:val="007057CD"/>
    <w:rsid w:val="0071025F"/>
    <w:rsid w:val="00712666"/>
    <w:rsid w:val="00712C55"/>
    <w:rsid w:val="00713F10"/>
    <w:rsid w:val="007166E3"/>
    <w:rsid w:val="00717685"/>
    <w:rsid w:val="0072033B"/>
    <w:rsid w:val="00720ED8"/>
    <w:rsid w:val="00722D5C"/>
    <w:rsid w:val="0072352C"/>
    <w:rsid w:val="00725645"/>
    <w:rsid w:val="007256BF"/>
    <w:rsid w:val="0073006F"/>
    <w:rsid w:val="007348A7"/>
    <w:rsid w:val="00734F68"/>
    <w:rsid w:val="0074074E"/>
    <w:rsid w:val="00740BFE"/>
    <w:rsid w:val="00740EF8"/>
    <w:rsid w:val="00742974"/>
    <w:rsid w:val="00747119"/>
    <w:rsid w:val="00753916"/>
    <w:rsid w:val="007568CA"/>
    <w:rsid w:val="00756959"/>
    <w:rsid w:val="007602A0"/>
    <w:rsid w:val="007629A2"/>
    <w:rsid w:val="00763AC6"/>
    <w:rsid w:val="007646F6"/>
    <w:rsid w:val="00764F0B"/>
    <w:rsid w:val="007665B9"/>
    <w:rsid w:val="007669F7"/>
    <w:rsid w:val="007673DE"/>
    <w:rsid w:val="00767991"/>
    <w:rsid w:val="00770671"/>
    <w:rsid w:val="00770BF6"/>
    <w:rsid w:val="00774194"/>
    <w:rsid w:val="00774763"/>
    <w:rsid w:val="007771C6"/>
    <w:rsid w:val="00777F35"/>
    <w:rsid w:val="007803E0"/>
    <w:rsid w:val="00780B63"/>
    <w:rsid w:val="00780E01"/>
    <w:rsid w:val="00780F28"/>
    <w:rsid w:val="0078181B"/>
    <w:rsid w:val="0078183B"/>
    <w:rsid w:val="00782290"/>
    <w:rsid w:val="0078283D"/>
    <w:rsid w:val="00783204"/>
    <w:rsid w:val="00784E98"/>
    <w:rsid w:val="00785B84"/>
    <w:rsid w:val="00786C81"/>
    <w:rsid w:val="00787199"/>
    <w:rsid w:val="00787427"/>
    <w:rsid w:val="00790118"/>
    <w:rsid w:val="007910ED"/>
    <w:rsid w:val="007911D9"/>
    <w:rsid w:val="007916DF"/>
    <w:rsid w:val="007921CF"/>
    <w:rsid w:val="00792C98"/>
    <w:rsid w:val="00794E85"/>
    <w:rsid w:val="00796310"/>
    <w:rsid w:val="007A3639"/>
    <w:rsid w:val="007A364F"/>
    <w:rsid w:val="007A4EA1"/>
    <w:rsid w:val="007A5D19"/>
    <w:rsid w:val="007A6290"/>
    <w:rsid w:val="007A67B0"/>
    <w:rsid w:val="007A6D4E"/>
    <w:rsid w:val="007A6E57"/>
    <w:rsid w:val="007B0CBA"/>
    <w:rsid w:val="007B0E39"/>
    <w:rsid w:val="007B23AA"/>
    <w:rsid w:val="007B5246"/>
    <w:rsid w:val="007B5FAE"/>
    <w:rsid w:val="007B61C1"/>
    <w:rsid w:val="007B6CDB"/>
    <w:rsid w:val="007C3792"/>
    <w:rsid w:val="007C3B2D"/>
    <w:rsid w:val="007C4B64"/>
    <w:rsid w:val="007C6854"/>
    <w:rsid w:val="007C7565"/>
    <w:rsid w:val="007D0924"/>
    <w:rsid w:val="007D0D63"/>
    <w:rsid w:val="007D136F"/>
    <w:rsid w:val="007D22B1"/>
    <w:rsid w:val="007D4601"/>
    <w:rsid w:val="007D496A"/>
    <w:rsid w:val="007D6172"/>
    <w:rsid w:val="007D621D"/>
    <w:rsid w:val="007D6AEC"/>
    <w:rsid w:val="007D7DE2"/>
    <w:rsid w:val="007E1B8B"/>
    <w:rsid w:val="007E2E3C"/>
    <w:rsid w:val="007E3A5A"/>
    <w:rsid w:val="007E50BC"/>
    <w:rsid w:val="007E5195"/>
    <w:rsid w:val="007E55A3"/>
    <w:rsid w:val="007E6427"/>
    <w:rsid w:val="007F3724"/>
    <w:rsid w:val="007F404A"/>
    <w:rsid w:val="008057B3"/>
    <w:rsid w:val="0080592B"/>
    <w:rsid w:val="00810BAD"/>
    <w:rsid w:val="00814215"/>
    <w:rsid w:val="0081514E"/>
    <w:rsid w:val="0082100B"/>
    <w:rsid w:val="00823244"/>
    <w:rsid w:val="00823E8F"/>
    <w:rsid w:val="0082443C"/>
    <w:rsid w:val="00826E52"/>
    <w:rsid w:val="00832112"/>
    <w:rsid w:val="00833172"/>
    <w:rsid w:val="00835E25"/>
    <w:rsid w:val="00836139"/>
    <w:rsid w:val="00837D1C"/>
    <w:rsid w:val="008404E1"/>
    <w:rsid w:val="00841855"/>
    <w:rsid w:val="008418A6"/>
    <w:rsid w:val="0084204A"/>
    <w:rsid w:val="00842FFF"/>
    <w:rsid w:val="008434E6"/>
    <w:rsid w:val="008437AC"/>
    <w:rsid w:val="00847B89"/>
    <w:rsid w:val="00847EBE"/>
    <w:rsid w:val="00850D63"/>
    <w:rsid w:val="008516B8"/>
    <w:rsid w:val="008516DA"/>
    <w:rsid w:val="00851FB2"/>
    <w:rsid w:val="00852E0C"/>
    <w:rsid w:val="008535C2"/>
    <w:rsid w:val="00853E80"/>
    <w:rsid w:val="00855BEB"/>
    <w:rsid w:val="00856227"/>
    <w:rsid w:val="0085679B"/>
    <w:rsid w:val="00863E0D"/>
    <w:rsid w:val="008667A1"/>
    <w:rsid w:val="00870B44"/>
    <w:rsid w:val="008710D8"/>
    <w:rsid w:val="00871D30"/>
    <w:rsid w:val="008724D8"/>
    <w:rsid w:val="00874BD8"/>
    <w:rsid w:val="00875505"/>
    <w:rsid w:val="008769C9"/>
    <w:rsid w:val="008814BD"/>
    <w:rsid w:val="00881D5D"/>
    <w:rsid w:val="00884836"/>
    <w:rsid w:val="008878C2"/>
    <w:rsid w:val="00892E02"/>
    <w:rsid w:val="008935F8"/>
    <w:rsid w:val="008941BB"/>
    <w:rsid w:val="00894524"/>
    <w:rsid w:val="008949CC"/>
    <w:rsid w:val="00894BD7"/>
    <w:rsid w:val="008979BE"/>
    <w:rsid w:val="008A0D6E"/>
    <w:rsid w:val="008A6F28"/>
    <w:rsid w:val="008B12AC"/>
    <w:rsid w:val="008B37FE"/>
    <w:rsid w:val="008B4674"/>
    <w:rsid w:val="008B58B0"/>
    <w:rsid w:val="008C0971"/>
    <w:rsid w:val="008C191E"/>
    <w:rsid w:val="008C3A8D"/>
    <w:rsid w:val="008C3F2C"/>
    <w:rsid w:val="008C46C8"/>
    <w:rsid w:val="008C7D81"/>
    <w:rsid w:val="008D24A6"/>
    <w:rsid w:val="008D3395"/>
    <w:rsid w:val="008D6DB1"/>
    <w:rsid w:val="008D7062"/>
    <w:rsid w:val="008D77AC"/>
    <w:rsid w:val="008E033E"/>
    <w:rsid w:val="008E19FF"/>
    <w:rsid w:val="008E1B24"/>
    <w:rsid w:val="008E262C"/>
    <w:rsid w:val="008E5C8B"/>
    <w:rsid w:val="008E6219"/>
    <w:rsid w:val="008E66BB"/>
    <w:rsid w:val="008E70F3"/>
    <w:rsid w:val="008E74E7"/>
    <w:rsid w:val="008F23DF"/>
    <w:rsid w:val="008F3EEA"/>
    <w:rsid w:val="008F5AEB"/>
    <w:rsid w:val="008F6AE3"/>
    <w:rsid w:val="008F79E2"/>
    <w:rsid w:val="008F7B7B"/>
    <w:rsid w:val="00902584"/>
    <w:rsid w:val="00902D9D"/>
    <w:rsid w:val="009057DC"/>
    <w:rsid w:val="00905920"/>
    <w:rsid w:val="00907E50"/>
    <w:rsid w:val="00910B31"/>
    <w:rsid w:val="00912214"/>
    <w:rsid w:val="009125FC"/>
    <w:rsid w:val="00913E9F"/>
    <w:rsid w:val="0091562B"/>
    <w:rsid w:val="00915D8D"/>
    <w:rsid w:val="00915E95"/>
    <w:rsid w:val="00916A05"/>
    <w:rsid w:val="009242E0"/>
    <w:rsid w:val="00924537"/>
    <w:rsid w:val="00924C76"/>
    <w:rsid w:val="00924D74"/>
    <w:rsid w:val="00926AE2"/>
    <w:rsid w:val="009309CB"/>
    <w:rsid w:val="009320A0"/>
    <w:rsid w:val="00932716"/>
    <w:rsid w:val="00933954"/>
    <w:rsid w:val="009364D2"/>
    <w:rsid w:val="0094087B"/>
    <w:rsid w:val="00940934"/>
    <w:rsid w:val="00940BA7"/>
    <w:rsid w:val="00942D51"/>
    <w:rsid w:val="00943D96"/>
    <w:rsid w:val="00944C8F"/>
    <w:rsid w:val="00946687"/>
    <w:rsid w:val="009478FF"/>
    <w:rsid w:val="0095797D"/>
    <w:rsid w:val="00957F0E"/>
    <w:rsid w:val="00962A81"/>
    <w:rsid w:val="00963B01"/>
    <w:rsid w:val="00967506"/>
    <w:rsid w:val="009716A1"/>
    <w:rsid w:val="009719B9"/>
    <w:rsid w:val="00976807"/>
    <w:rsid w:val="00976C11"/>
    <w:rsid w:val="00976FB2"/>
    <w:rsid w:val="00977A8F"/>
    <w:rsid w:val="00977BD8"/>
    <w:rsid w:val="00983AD6"/>
    <w:rsid w:val="00984A70"/>
    <w:rsid w:val="0098717A"/>
    <w:rsid w:val="00993808"/>
    <w:rsid w:val="00994BAE"/>
    <w:rsid w:val="00994E67"/>
    <w:rsid w:val="00995193"/>
    <w:rsid w:val="00997DEF"/>
    <w:rsid w:val="009A0C19"/>
    <w:rsid w:val="009A1ED8"/>
    <w:rsid w:val="009A3462"/>
    <w:rsid w:val="009A3FB7"/>
    <w:rsid w:val="009A4764"/>
    <w:rsid w:val="009A536A"/>
    <w:rsid w:val="009A604B"/>
    <w:rsid w:val="009A64AC"/>
    <w:rsid w:val="009B106A"/>
    <w:rsid w:val="009B750E"/>
    <w:rsid w:val="009B783D"/>
    <w:rsid w:val="009C14C9"/>
    <w:rsid w:val="009C1ED8"/>
    <w:rsid w:val="009C250B"/>
    <w:rsid w:val="009C2F79"/>
    <w:rsid w:val="009C3BFB"/>
    <w:rsid w:val="009D1131"/>
    <w:rsid w:val="009D188C"/>
    <w:rsid w:val="009D2367"/>
    <w:rsid w:val="009D3807"/>
    <w:rsid w:val="009D60AF"/>
    <w:rsid w:val="009E239F"/>
    <w:rsid w:val="009E3574"/>
    <w:rsid w:val="009E3F69"/>
    <w:rsid w:val="009E48A1"/>
    <w:rsid w:val="009E4922"/>
    <w:rsid w:val="009E4C25"/>
    <w:rsid w:val="009E517A"/>
    <w:rsid w:val="009E5B2C"/>
    <w:rsid w:val="009E635E"/>
    <w:rsid w:val="009E6D86"/>
    <w:rsid w:val="009F17FE"/>
    <w:rsid w:val="009F1AC7"/>
    <w:rsid w:val="009F3411"/>
    <w:rsid w:val="009F4ADD"/>
    <w:rsid w:val="009F6800"/>
    <w:rsid w:val="009F7F86"/>
    <w:rsid w:val="00A033C2"/>
    <w:rsid w:val="00A034FA"/>
    <w:rsid w:val="00A05B73"/>
    <w:rsid w:val="00A07E01"/>
    <w:rsid w:val="00A12137"/>
    <w:rsid w:val="00A139F2"/>
    <w:rsid w:val="00A13D20"/>
    <w:rsid w:val="00A14CBE"/>
    <w:rsid w:val="00A16196"/>
    <w:rsid w:val="00A17373"/>
    <w:rsid w:val="00A176A2"/>
    <w:rsid w:val="00A2260A"/>
    <w:rsid w:val="00A24945"/>
    <w:rsid w:val="00A24C1B"/>
    <w:rsid w:val="00A251EF"/>
    <w:rsid w:val="00A26CDC"/>
    <w:rsid w:val="00A27476"/>
    <w:rsid w:val="00A31371"/>
    <w:rsid w:val="00A34CBD"/>
    <w:rsid w:val="00A363DC"/>
    <w:rsid w:val="00A36709"/>
    <w:rsid w:val="00A37F35"/>
    <w:rsid w:val="00A40830"/>
    <w:rsid w:val="00A40B5E"/>
    <w:rsid w:val="00A42ECB"/>
    <w:rsid w:val="00A43125"/>
    <w:rsid w:val="00A43B41"/>
    <w:rsid w:val="00A4474D"/>
    <w:rsid w:val="00A4600C"/>
    <w:rsid w:val="00A46083"/>
    <w:rsid w:val="00A475EF"/>
    <w:rsid w:val="00A4768C"/>
    <w:rsid w:val="00A47784"/>
    <w:rsid w:val="00A47C0D"/>
    <w:rsid w:val="00A516D3"/>
    <w:rsid w:val="00A52326"/>
    <w:rsid w:val="00A52D93"/>
    <w:rsid w:val="00A531CE"/>
    <w:rsid w:val="00A53D9E"/>
    <w:rsid w:val="00A54337"/>
    <w:rsid w:val="00A55D32"/>
    <w:rsid w:val="00A63D75"/>
    <w:rsid w:val="00A65201"/>
    <w:rsid w:val="00A670B9"/>
    <w:rsid w:val="00A71809"/>
    <w:rsid w:val="00A7315A"/>
    <w:rsid w:val="00A73745"/>
    <w:rsid w:val="00A73EA0"/>
    <w:rsid w:val="00A74766"/>
    <w:rsid w:val="00A76D87"/>
    <w:rsid w:val="00A80DB1"/>
    <w:rsid w:val="00A82544"/>
    <w:rsid w:val="00A8435B"/>
    <w:rsid w:val="00A851F3"/>
    <w:rsid w:val="00A85F6E"/>
    <w:rsid w:val="00A907B0"/>
    <w:rsid w:val="00A90ABA"/>
    <w:rsid w:val="00A93940"/>
    <w:rsid w:val="00A96FB3"/>
    <w:rsid w:val="00AA0567"/>
    <w:rsid w:val="00AA0DC4"/>
    <w:rsid w:val="00AA131A"/>
    <w:rsid w:val="00AA223F"/>
    <w:rsid w:val="00AA2AA5"/>
    <w:rsid w:val="00AA402D"/>
    <w:rsid w:val="00AA67C8"/>
    <w:rsid w:val="00AA7F6D"/>
    <w:rsid w:val="00AB0F8A"/>
    <w:rsid w:val="00AB10A0"/>
    <w:rsid w:val="00AB1595"/>
    <w:rsid w:val="00AB1B34"/>
    <w:rsid w:val="00AB1C78"/>
    <w:rsid w:val="00AB1E9C"/>
    <w:rsid w:val="00AB420C"/>
    <w:rsid w:val="00AB463F"/>
    <w:rsid w:val="00AB5BB7"/>
    <w:rsid w:val="00AB7789"/>
    <w:rsid w:val="00AC09B7"/>
    <w:rsid w:val="00AC0BE9"/>
    <w:rsid w:val="00AC0C1E"/>
    <w:rsid w:val="00AC0E5A"/>
    <w:rsid w:val="00AC3D2A"/>
    <w:rsid w:val="00AC582F"/>
    <w:rsid w:val="00AD1A64"/>
    <w:rsid w:val="00AD1E5E"/>
    <w:rsid w:val="00AD6923"/>
    <w:rsid w:val="00AD6BB1"/>
    <w:rsid w:val="00AE0564"/>
    <w:rsid w:val="00AE1CA9"/>
    <w:rsid w:val="00AE29E8"/>
    <w:rsid w:val="00AE5F38"/>
    <w:rsid w:val="00AE6918"/>
    <w:rsid w:val="00AE6AC4"/>
    <w:rsid w:val="00AE7F85"/>
    <w:rsid w:val="00AF317E"/>
    <w:rsid w:val="00AF36F6"/>
    <w:rsid w:val="00AF4B52"/>
    <w:rsid w:val="00AF7AA6"/>
    <w:rsid w:val="00B00EFD"/>
    <w:rsid w:val="00B00F7D"/>
    <w:rsid w:val="00B010DB"/>
    <w:rsid w:val="00B019B0"/>
    <w:rsid w:val="00B02843"/>
    <w:rsid w:val="00B03C7A"/>
    <w:rsid w:val="00B03D95"/>
    <w:rsid w:val="00B07C33"/>
    <w:rsid w:val="00B11508"/>
    <w:rsid w:val="00B11630"/>
    <w:rsid w:val="00B11655"/>
    <w:rsid w:val="00B12F81"/>
    <w:rsid w:val="00B138FD"/>
    <w:rsid w:val="00B143CD"/>
    <w:rsid w:val="00B14534"/>
    <w:rsid w:val="00B1462C"/>
    <w:rsid w:val="00B17E5C"/>
    <w:rsid w:val="00B216EB"/>
    <w:rsid w:val="00B25A3D"/>
    <w:rsid w:val="00B25D97"/>
    <w:rsid w:val="00B26FDC"/>
    <w:rsid w:val="00B27793"/>
    <w:rsid w:val="00B27CF2"/>
    <w:rsid w:val="00B27E21"/>
    <w:rsid w:val="00B3368A"/>
    <w:rsid w:val="00B36B2C"/>
    <w:rsid w:val="00B37CDD"/>
    <w:rsid w:val="00B40AD5"/>
    <w:rsid w:val="00B4228E"/>
    <w:rsid w:val="00B45E7C"/>
    <w:rsid w:val="00B46061"/>
    <w:rsid w:val="00B476D4"/>
    <w:rsid w:val="00B47B02"/>
    <w:rsid w:val="00B528B9"/>
    <w:rsid w:val="00B531D4"/>
    <w:rsid w:val="00B541CA"/>
    <w:rsid w:val="00B55C05"/>
    <w:rsid w:val="00B55DAC"/>
    <w:rsid w:val="00B55FE9"/>
    <w:rsid w:val="00B5617D"/>
    <w:rsid w:val="00B57323"/>
    <w:rsid w:val="00B60685"/>
    <w:rsid w:val="00B620E2"/>
    <w:rsid w:val="00B657A5"/>
    <w:rsid w:val="00B70893"/>
    <w:rsid w:val="00B71316"/>
    <w:rsid w:val="00B72A80"/>
    <w:rsid w:val="00B746D6"/>
    <w:rsid w:val="00B76F23"/>
    <w:rsid w:val="00B8073D"/>
    <w:rsid w:val="00B84882"/>
    <w:rsid w:val="00B86E34"/>
    <w:rsid w:val="00B90A73"/>
    <w:rsid w:val="00B919B6"/>
    <w:rsid w:val="00B91F64"/>
    <w:rsid w:val="00B931B6"/>
    <w:rsid w:val="00B943C3"/>
    <w:rsid w:val="00B9609A"/>
    <w:rsid w:val="00B97609"/>
    <w:rsid w:val="00B97A2B"/>
    <w:rsid w:val="00BA0A93"/>
    <w:rsid w:val="00BA5B73"/>
    <w:rsid w:val="00BA7D0B"/>
    <w:rsid w:val="00BB2C38"/>
    <w:rsid w:val="00BB4055"/>
    <w:rsid w:val="00BB4C02"/>
    <w:rsid w:val="00BC17E1"/>
    <w:rsid w:val="00BC4786"/>
    <w:rsid w:val="00BC520A"/>
    <w:rsid w:val="00BC76FF"/>
    <w:rsid w:val="00BD03B6"/>
    <w:rsid w:val="00BD07C6"/>
    <w:rsid w:val="00BD14E2"/>
    <w:rsid w:val="00BD3667"/>
    <w:rsid w:val="00BD67AC"/>
    <w:rsid w:val="00BD7A07"/>
    <w:rsid w:val="00BE0541"/>
    <w:rsid w:val="00BE2E5C"/>
    <w:rsid w:val="00BE346C"/>
    <w:rsid w:val="00BE3A45"/>
    <w:rsid w:val="00BE653C"/>
    <w:rsid w:val="00BF1FF8"/>
    <w:rsid w:val="00BF50FC"/>
    <w:rsid w:val="00BF56AD"/>
    <w:rsid w:val="00C009A6"/>
    <w:rsid w:val="00C068D6"/>
    <w:rsid w:val="00C07406"/>
    <w:rsid w:val="00C15300"/>
    <w:rsid w:val="00C1548C"/>
    <w:rsid w:val="00C15F70"/>
    <w:rsid w:val="00C17571"/>
    <w:rsid w:val="00C17982"/>
    <w:rsid w:val="00C205D7"/>
    <w:rsid w:val="00C24324"/>
    <w:rsid w:val="00C25698"/>
    <w:rsid w:val="00C265C9"/>
    <w:rsid w:val="00C27114"/>
    <w:rsid w:val="00C27F85"/>
    <w:rsid w:val="00C330F0"/>
    <w:rsid w:val="00C33CF7"/>
    <w:rsid w:val="00C35075"/>
    <w:rsid w:val="00C4194F"/>
    <w:rsid w:val="00C42800"/>
    <w:rsid w:val="00C4309E"/>
    <w:rsid w:val="00C43A42"/>
    <w:rsid w:val="00C44708"/>
    <w:rsid w:val="00C4517B"/>
    <w:rsid w:val="00C51172"/>
    <w:rsid w:val="00C51DA4"/>
    <w:rsid w:val="00C541C9"/>
    <w:rsid w:val="00C5524E"/>
    <w:rsid w:val="00C5729B"/>
    <w:rsid w:val="00C604CF"/>
    <w:rsid w:val="00C605FC"/>
    <w:rsid w:val="00C60974"/>
    <w:rsid w:val="00C6125E"/>
    <w:rsid w:val="00C61668"/>
    <w:rsid w:val="00C61A75"/>
    <w:rsid w:val="00C63932"/>
    <w:rsid w:val="00C65EC9"/>
    <w:rsid w:val="00C65F1E"/>
    <w:rsid w:val="00C6746A"/>
    <w:rsid w:val="00C70A9C"/>
    <w:rsid w:val="00C71A84"/>
    <w:rsid w:val="00C725A5"/>
    <w:rsid w:val="00C73D9E"/>
    <w:rsid w:val="00C73EFF"/>
    <w:rsid w:val="00C7503C"/>
    <w:rsid w:val="00C75149"/>
    <w:rsid w:val="00C7694D"/>
    <w:rsid w:val="00C816C4"/>
    <w:rsid w:val="00C86BCF"/>
    <w:rsid w:val="00C86E31"/>
    <w:rsid w:val="00C920AF"/>
    <w:rsid w:val="00C92F45"/>
    <w:rsid w:val="00C95737"/>
    <w:rsid w:val="00C97EFF"/>
    <w:rsid w:val="00CA03D4"/>
    <w:rsid w:val="00CA03F0"/>
    <w:rsid w:val="00CA0B1F"/>
    <w:rsid w:val="00CA371F"/>
    <w:rsid w:val="00CA5B6E"/>
    <w:rsid w:val="00CB114C"/>
    <w:rsid w:val="00CB1E55"/>
    <w:rsid w:val="00CB55F4"/>
    <w:rsid w:val="00CC06DE"/>
    <w:rsid w:val="00CC0D04"/>
    <w:rsid w:val="00CC1908"/>
    <w:rsid w:val="00CC73A4"/>
    <w:rsid w:val="00CD01CF"/>
    <w:rsid w:val="00CD0EA7"/>
    <w:rsid w:val="00CD2FE9"/>
    <w:rsid w:val="00CD33F2"/>
    <w:rsid w:val="00CD3845"/>
    <w:rsid w:val="00CD46CE"/>
    <w:rsid w:val="00CD692A"/>
    <w:rsid w:val="00CD74D9"/>
    <w:rsid w:val="00CE1A54"/>
    <w:rsid w:val="00CE1E6E"/>
    <w:rsid w:val="00CE1EC4"/>
    <w:rsid w:val="00CE1F95"/>
    <w:rsid w:val="00CE23FF"/>
    <w:rsid w:val="00CE334D"/>
    <w:rsid w:val="00CE3E77"/>
    <w:rsid w:val="00CE4764"/>
    <w:rsid w:val="00CE65A0"/>
    <w:rsid w:val="00CE678D"/>
    <w:rsid w:val="00CF0FC3"/>
    <w:rsid w:val="00CF293F"/>
    <w:rsid w:val="00CF2956"/>
    <w:rsid w:val="00CF2F5C"/>
    <w:rsid w:val="00CF37C0"/>
    <w:rsid w:val="00CF3F17"/>
    <w:rsid w:val="00CF42E5"/>
    <w:rsid w:val="00CF598E"/>
    <w:rsid w:val="00CF59A5"/>
    <w:rsid w:val="00CF5A7B"/>
    <w:rsid w:val="00CF5E7F"/>
    <w:rsid w:val="00D005B8"/>
    <w:rsid w:val="00D0093F"/>
    <w:rsid w:val="00D01060"/>
    <w:rsid w:val="00D02799"/>
    <w:rsid w:val="00D02D5E"/>
    <w:rsid w:val="00D0318F"/>
    <w:rsid w:val="00D031EF"/>
    <w:rsid w:val="00D0409C"/>
    <w:rsid w:val="00D06588"/>
    <w:rsid w:val="00D06A15"/>
    <w:rsid w:val="00D113E6"/>
    <w:rsid w:val="00D138F0"/>
    <w:rsid w:val="00D14E7A"/>
    <w:rsid w:val="00D1709A"/>
    <w:rsid w:val="00D23141"/>
    <w:rsid w:val="00D2317D"/>
    <w:rsid w:val="00D24861"/>
    <w:rsid w:val="00D25DB3"/>
    <w:rsid w:val="00D339BF"/>
    <w:rsid w:val="00D33C89"/>
    <w:rsid w:val="00D35D65"/>
    <w:rsid w:val="00D36CDF"/>
    <w:rsid w:val="00D36F64"/>
    <w:rsid w:val="00D3788D"/>
    <w:rsid w:val="00D40ABC"/>
    <w:rsid w:val="00D429AC"/>
    <w:rsid w:val="00D450B3"/>
    <w:rsid w:val="00D45843"/>
    <w:rsid w:val="00D50A18"/>
    <w:rsid w:val="00D55B9E"/>
    <w:rsid w:val="00D6010C"/>
    <w:rsid w:val="00D60158"/>
    <w:rsid w:val="00D60479"/>
    <w:rsid w:val="00D61B92"/>
    <w:rsid w:val="00D61E56"/>
    <w:rsid w:val="00D61FD0"/>
    <w:rsid w:val="00D62009"/>
    <w:rsid w:val="00D62BC7"/>
    <w:rsid w:val="00D65D28"/>
    <w:rsid w:val="00D67895"/>
    <w:rsid w:val="00D74DCE"/>
    <w:rsid w:val="00D75689"/>
    <w:rsid w:val="00D76C7F"/>
    <w:rsid w:val="00D77FDC"/>
    <w:rsid w:val="00D803E4"/>
    <w:rsid w:val="00D82B72"/>
    <w:rsid w:val="00D8355A"/>
    <w:rsid w:val="00D847FD"/>
    <w:rsid w:val="00D8512E"/>
    <w:rsid w:val="00D9285F"/>
    <w:rsid w:val="00D93780"/>
    <w:rsid w:val="00D94872"/>
    <w:rsid w:val="00D94A6D"/>
    <w:rsid w:val="00D96774"/>
    <w:rsid w:val="00DA06CC"/>
    <w:rsid w:val="00DA0B1B"/>
    <w:rsid w:val="00DA19E2"/>
    <w:rsid w:val="00DA4B52"/>
    <w:rsid w:val="00DA552B"/>
    <w:rsid w:val="00DA580E"/>
    <w:rsid w:val="00DA5A37"/>
    <w:rsid w:val="00DA5EA3"/>
    <w:rsid w:val="00DA5F92"/>
    <w:rsid w:val="00DA67A1"/>
    <w:rsid w:val="00DA6B18"/>
    <w:rsid w:val="00DB24A4"/>
    <w:rsid w:val="00DB3BA3"/>
    <w:rsid w:val="00DB414A"/>
    <w:rsid w:val="00DB4CC8"/>
    <w:rsid w:val="00DC15A9"/>
    <w:rsid w:val="00DC38EE"/>
    <w:rsid w:val="00DC4BCF"/>
    <w:rsid w:val="00DC4D9D"/>
    <w:rsid w:val="00DC6999"/>
    <w:rsid w:val="00DC7326"/>
    <w:rsid w:val="00DC7C16"/>
    <w:rsid w:val="00DD1389"/>
    <w:rsid w:val="00DD2F26"/>
    <w:rsid w:val="00DD40C7"/>
    <w:rsid w:val="00DD4AA9"/>
    <w:rsid w:val="00DD4CA5"/>
    <w:rsid w:val="00DD53F8"/>
    <w:rsid w:val="00DD6D2F"/>
    <w:rsid w:val="00DE1EB7"/>
    <w:rsid w:val="00DE28E8"/>
    <w:rsid w:val="00DF41A3"/>
    <w:rsid w:val="00DF58D8"/>
    <w:rsid w:val="00DF5B39"/>
    <w:rsid w:val="00DF5C0F"/>
    <w:rsid w:val="00DF5D67"/>
    <w:rsid w:val="00DF664D"/>
    <w:rsid w:val="00E01913"/>
    <w:rsid w:val="00E07594"/>
    <w:rsid w:val="00E10827"/>
    <w:rsid w:val="00E10F8B"/>
    <w:rsid w:val="00E132A2"/>
    <w:rsid w:val="00E13BC4"/>
    <w:rsid w:val="00E140BF"/>
    <w:rsid w:val="00E15879"/>
    <w:rsid w:val="00E2144D"/>
    <w:rsid w:val="00E221A3"/>
    <w:rsid w:val="00E2309D"/>
    <w:rsid w:val="00E26660"/>
    <w:rsid w:val="00E2679B"/>
    <w:rsid w:val="00E26AFA"/>
    <w:rsid w:val="00E26B0B"/>
    <w:rsid w:val="00E27722"/>
    <w:rsid w:val="00E31BB5"/>
    <w:rsid w:val="00E320D2"/>
    <w:rsid w:val="00E32ECB"/>
    <w:rsid w:val="00E32ED4"/>
    <w:rsid w:val="00E3389E"/>
    <w:rsid w:val="00E3688D"/>
    <w:rsid w:val="00E37F0A"/>
    <w:rsid w:val="00E40B61"/>
    <w:rsid w:val="00E4102A"/>
    <w:rsid w:val="00E42FE1"/>
    <w:rsid w:val="00E4340E"/>
    <w:rsid w:val="00E43DAB"/>
    <w:rsid w:val="00E5037F"/>
    <w:rsid w:val="00E507E6"/>
    <w:rsid w:val="00E5240F"/>
    <w:rsid w:val="00E532E6"/>
    <w:rsid w:val="00E560AF"/>
    <w:rsid w:val="00E569B0"/>
    <w:rsid w:val="00E61342"/>
    <w:rsid w:val="00E6226D"/>
    <w:rsid w:val="00E62BB5"/>
    <w:rsid w:val="00E63899"/>
    <w:rsid w:val="00E639C4"/>
    <w:rsid w:val="00E6603D"/>
    <w:rsid w:val="00E66700"/>
    <w:rsid w:val="00E67567"/>
    <w:rsid w:val="00E67A43"/>
    <w:rsid w:val="00E7022F"/>
    <w:rsid w:val="00E70569"/>
    <w:rsid w:val="00E73794"/>
    <w:rsid w:val="00E7408A"/>
    <w:rsid w:val="00E76B7C"/>
    <w:rsid w:val="00E86646"/>
    <w:rsid w:val="00E86DA0"/>
    <w:rsid w:val="00E87922"/>
    <w:rsid w:val="00E914AB"/>
    <w:rsid w:val="00E926B2"/>
    <w:rsid w:val="00E9382D"/>
    <w:rsid w:val="00E93D45"/>
    <w:rsid w:val="00E93DE2"/>
    <w:rsid w:val="00E9420D"/>
    <w:rsid w:val="00E944E7"/>
    <w:rsid w:val="00E94A68"/>
    <w:rsid w:val="00E95DC5"/>
    <w:rsid w:val="00E96058"/>
    <w:rsid w:val="00EA03DE"/>
    <w:rsid w:val="00EA0B1B"/>
    <w:rsid w:val="00EA15D4"/>
    <w:rsid w:val="00EA19CA"/>
    <w:rsid w:val="00EA7392"/>
    <w:rsid w:val="00EA7A9C"/>
    <w:rsid w:val="00EB02AC"/>
    <w:rsid w:val="00EB143B"/>
    <w:rsid w:val="00EB2043"/>
    <w:rsid w:val="00EB4CFA"/>
    <w:rsid w:val="00EB7149"/>
    <w:rsid w:val="00EB7EE0"/>
    <w:rsid w:val="00EC3750"/>
    <w:rsid w:val="00EC3A69"/>
    <w:rsid w:val="00EC47FB"/>
    <w:rsid w:val="00EC5D2D"/>
    <w:rsid w:val="00EC62FE"/>
    <w:rsid w:val="00ED2022"/>
    <w:rsid w:val="00ED2800"/>
    <w:rsid w:val="00ED3CF6"/>
    <w:rsid w:val="00ED4B99"/>
    <w:rsid w:val="00ED53D4"/>
    <w:rsid w:val="00ED7A58"/>
    <w:rsid w:val="00EE0D6E"/>
    <w:rsid w:val="00EE3C63"/>
    <w:rsid w:val="00EE549B"/>
    <w:rsid w:val="00EE633F"/>
    <w:rsid w:val="00EF0918"/>
    <w:rsid w:val="00EF182F"/>
    <w:rsid w:val="00EF18FB"/>
    <w:rsid w:val="00EF2A31"/>
    <w:rsid w:val="00EF38A7"/>
    <w:rsid w:val="00EF4799"/>
    <w:rsid w:val="00EF5912"/>
    <w:rsid w:val="00EF7952"/>
    <w:rsid w:val="00EF7D3C"/>
    <w:rsid w:val="00F00E0D"/>
    <w:rsid w:val="00F034A0"/>
    <w:rsid w:val="00F036EF"/>
    <w:rsid w:val="00F04788"/>
    <w:rsid w:val="00F0598A"/>
    <w:rsid w:val="00F063A8"/>
    <w:rsid w:val="00F06EAF"/>
    <w:rsid w:val="00F07C86"/>
    <w:rsid w:val="00F12ECB"/>
    <w:rsid w:val="00F2583A"/>
    <w:rsid w:val="00F26550"/>
    <w:rsid w:val="00F267E3"/>
    <w:rsid w:val="00F30769"/>
    <w:rsid w:val="00F30CFD"/>
    <w:rsid w:val="00F329BA"/>
    <w:rsid w:val="00F3329B"/>
    <w:rsid w:val="00F36D75"/>
    <w:rsid w:val="00F36FF1"/>
    <w:rsid w:val="00F3717F"/>
    <w:rsid w:val="00F37BBC"/>
    <w:rsid w:val="00F40887"/>
    <w:rsid w:val="00F41D33"/>
    <w:rsid w:val="00F41EFA"/>
    <w:rsid w:val="00F42EBF"/>
    <w:rsid w:val="00F45D10"/>
    <w:rsid w:val="00F47212"/>
    <w:rsid w:val="00F47E6F"/>
    <w:rsid w:val="00F50E47"/>
    <w:rsid w:val="00F50FD3"/>
    <w:rsid w:val="00F52363"/>
    <w:rsid w:val="00F52DDF"/>
    <w:rsid w:val="00F52F3B"/>
    <w:rsid w:val="00F5583C"/>
    <w:rsid w:val="00F55FB4"/>
    <w:rsid w:val="00F60516"/>
    <w:rsid w:val="00F61444"/>
    <w:rsid w:val="00F61964"/>
    <w:rsid w:val="00F62904"/>
    <w:rsid w:val="00F64868"/>
    <w:rsid w:val="00F67955"/>
    <w:rsid w:val="00F704A5"/>
    <w:rsid w:val="00F71635"/>
    <w:rsid w:val="00F723EC"/>
    <w:rsid w:val="00F734FE"/>
    <w:rsid w:val="00F74191"/>
    <w:rsid w:val="00F7430C"/>
    <w:rsid w:val="00F774C2"/>
    <w:rsid w:val="00F80D7A"/>
    <w:rsid w:val="00F82FE6"/>
    <w:rsid w:val="00F846C7"/>
    <w:rsid w:val="00F84AF5"/>
    <w:rsid w:val="00F869D7"/>
    <w:rsid w:val="00F87A5C"/>
    <w:rsid w:val="00F90100"/>
    <w:rsid w:val="00F90411"/>
    <w:rsid w:val="00F91542"/>
    <w:rsid w:val="00F91CAE"/>
    <w:rsid w:val="00F932B5"/>
    <w:rsid w:val="00F93E3B"/>
    <w:rsid w:val="00F940B2"/>
    <w:rsid w:val="00F96698"/>
    <w:rsid w:val="00F97119"/>
    <w:rsid w:val="00F9789B"/>
    <w:rsid w:val="00FA1E93"/>
    <w:rsid w:val="00FA1F00"/>
    <w:rsid w:val="00FA368B"/>
    <w:rsid w:val="00FB1404"/>
    <w:rsid w:val="00FB1519"/>
    <w:rsid w:val="00FB15F9"/>
    <w:rsid w:val="00FB2347"/>
    <w:rsid w:val="00FB53B4"/>
    <w:rsid w:val="00FB6AF6"/>
    <w:rsid w:val="00FB72BD"/>
    <w:rsid w:val="00FC03DC"/>
    <w:rsid w:val="00FC164C"/>
    <w:rsid w:val="00FC1A35"/>
    <w:rsid w:val="00FC1CEB"/>
    <w:rsid w:val="00FC44AA"/>
    <w:rsid w:val="00FC4643"/>
    <w:rsid w:val="00FC49F9"/>
    <w:rsid w:val="00FC555F"/>
    <w:rsid w:val="00FC69AE"/>
    <w:rsid w:val="00FD0866"/>
    <w:rsid w:val="00FD1DC0"/>
    <w:rsid w:val="00FD3EA0"/>
    <w:rsid w:val="00FD3FBD"/>
    <w:rsid w:val="00FD562C"/>
    <w:rsid w:val="00FD6FD4"/>
    <w:rsid w:val="00FE0B3D"/>
    <w:rsid w:val="00FE146C"/>
    <w:rsid w:val="00FE3BAB"/>
    <w:rsid w:val="00FE409E"/>
    <w:rsid w:val="00FF277C"/>
    <w:rsid w:val="00FF6318"/>
    <w:rsid w:val="00FF6C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E06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E013F"/>
    <w:pPr>
      <w:keepNext/>
      <w:keepLines/>
      <w:numPr>
        <w:numId w:val="1"/>
      </w:numPr>
      <w:spacing w:before="240"/>
      <w:ind w:left="284" w:hanging="284"/>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0D3C"/>
    <w:pPr>
      <w:keepNext/>
      <w:keepLines/>
      <w:numPr>
        <w:numId w:val="8"/>
      </w:numPr>
      <w:spacing w:before="40"/>
      <w:ind w:left="284" w:hanging="284"/>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58D8"/>
    <w:pPr>
      <w:keepNext/>
      <w:keepLines/>
      <w:numPr>
        <w:numId w:val="2"/>
      </w:numPr>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5A0D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853E80"/>
    <w:pPr>
      <w:ind w:left="720"/>
      <w:contextualSpacing/>
    </w:pPr>
  </w:style>
  <w:style w:type="table" w:styleId="TableGrid">
    <w:name w:val="Table Grid"/>
    <w:basedOn w:val="TableNormal"/>
    <w:uiPriority w:val="39"/>
    <w:rsid w:val="003B3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0785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0E013F"/>
    <w:rPr>
      <w:rFonts w:eastAsiaTheme="majorEastAsia"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5A0D3C"/>
    <w:rPr>
      <w:rFonts w:asciiTheme="majorHAnsi" w:eastAsiaTheme="majorEastAsia" w:hAnsiTheme="majorHAnsi" w:cstheme="majorBidi"/>
      <w:color w:val="2F5496" w:themeColor="accent1" w:themeShade="BF"/>
      <w:sz w:val="26"/>
      <w:szCs w:val="26"/>
      <w:lang w:val="en-US"/>
    </w:rPr>
  </w:style>
  <w:style w:type="paragraph" w:styleId="FootnoteText">
    <w:name w:val="footnote text"/>
    <w:basedOn w:val="Normal"/>
    <w:link w:val="FootnoteTextChar"/>
    <w:uiPriority w:val="99"/>
    <w:unhideWhenUsed/>
    <w:rsid w:val="009D2367"/>
  </w:style>
  <w:style w:type="character" w:customStyle="1" w:styleId="FootnoteTextChar">
    <w:name w:val="Footnote Text Char"/>
    <w:basedOn w:val="DefaultParagraphFont"/>
    <w:link w:val="FootnoteText"/>
    <w:uiPriority w:val="99"/>
    <w:rsid w:val="009D2367"/>
    <w:rPr>
      <w:lang w:val="en-US"/>
    </w:rPr>
  </w:style>
  <w:style w:type="character" w:styleId="FootnoteReference">
    <w:name w:val="footnote reference"/>
    <w:basedOn w:val="DefaultParagraphFont"/>
    <w:uiPriority w:val="99"/>
    <w:unhideWhenUsed/>
    <w:rsid w:val="009D2367"/>
    <w:rPr>
      <w:vertAlign w:val="superscript"/>
    </w:rPr>
  </w:style>
  <w:style w:type="paragraph" w:styleId="Header">
    <w:name w:val="header"/>
    <w:basedOn w:val="Normal"/>
    <w:link w:val="HeaderChar"/>
    <w:uiPriority w:val="99"/>
    <w:unhideWhenUsed/>
    <w:rsid w:val="004A3744"/>
    <w:pPr>
      <w:tabs>
        <w:tab w:val="center" w:pos="4680"/>
        <w:tab w:val="right" w:pos="9360"/>
      </w:tabs>
    </w:pPr>
  </w:style>
  <w:style w:type="character" w:customStyle="1" w:styleId="HeaderChar">
    <w:name w:val="Header Char"/>
    <w:basedOn w:val="DefaultParagraphFont"/>
    <w:link w:val="Header"/>
    <w:uiPriority w:val="99"/>
    <w:rsid w:val="004A3744"/>
    <w:rPr>
      <w:lang w:val="en-US"/>
    </w:rPr>
  </w:style>
  <w:style w:type="paragraph" w:styleId="Footer">
    <w:name w:val="footer"/>
    <w:basedOn w:val="Normal"/>
    <w:link w:val="FooterChar"/>
    <w:uiPriority w:val="99"/>
    <w:unhideWhenUsed/>
    <w:rsid w:val="004A3744"/>
    <w:pPr>
      <w:tabs>
        <w:tab w:val="center" w:pos="4680"/>
        <w:tab w:val="right" w:pos="9360"/>
      </w:tabs>
    </w:pPr>
  </w:style>
  <w:style w:type="character" w:customStyle="1" w:styleId="FooterChar">
    <w:name w:val="Footer Char"/>
    <w:basedOn w:val="DefaultParagraphFont"/>
    <w:link w:val="Footer"/>
    <w:uiPriority w:val="99"/>
    <w:rsid w:val="004A3744"/>
    <w:rPr>
      <w:lang w:val="en-US"/>
    </w:rPr>
  </w:style>
  <w:style w:type="character" w:styleId="PageNumber">
    <w:name w:val="page number"/>
    <w:basedOn w:val="DefaultParagraphFont"/>
    <w:uiPriority w:val="99"/>
    <w:semiHidden/>
    <w:unhideWhenUsed/>
    <w:rsid w:val="004A3744"/>
  </w:style>
  <w:style w:type="paragraph" w:styleId="Title">
    <w:name w:val="Title"/>
    <w:basedOn w:val="Normal"/>
    <w:next w:val="Normal"/>
    <w:link w:val="TitleChar"/>
    <w:uiPriority w:val="10"/>
    <w:qFormat/>
    <w:rsid w:val="00FB15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519"/>
    <w:rPr>
      <w:rFonts w:asciiTheme="majorHAnsi" w:eastAsiaTheme="majorEastAsia" w:hAnsiTheme="majorHAnsi" w:cstheme="majorBidi"/>
      <w:spacing w:val="-10"/>
      <w:kern w:val="28"/>
      <w:sz w:val="56"/>
      <w:szCs w:val="56"/>
      <w:lang w:val="en-US"/>
    </w:rPr>
  </w:style>
  <w:style w:type="character" w:customStyle="1" w:styleId="Heading3Char">
    <w:name w:val="Heading 3 Char"/>
    <w:basedOn w:val="DefaultParagraphFont"/>
    <w:link w:val="Heading3"/>
    <w:uiPriority w:val="9"/>
    <w:rsid w:val="00DF58D8"/>
    <w:rPr>
      <w:rFonts w:eastAsiaTheme="majorEastAsia" w:cstheme="majorBidi"/>
      <w:color w:val="1F3763" w:themeColor="accent1" w:themeShade="7F"/>
      <w:lang w:val="en-US"/>
    </w:rPr>
  </w:style>
  <w:style w:type="character" w:styleId="Hyperlink">
    <w:name w:val="Hyperlink"/>
    <w:basedOn w:val="DefaultParagraphFont"/>
    <w:uiPriority w:val="99"/>
    <w:unhideWhenUsed/>
    <w:rsid w:val="001F0A5C"/>
    <w:rPr>
      <w:color w:val="0563C1" w:themeColor="hyperlink"/>
      <w:u w:val="single"/>
    </w:rPr>
  </w:style>
  <w:style w:type="character" w:styleId="FollowedHyperlink">
    <w:name w:val="FollowedHyperlink"/>
    <w:basedOn w:val="DefaultParagraphFont"/>
    <w:uiPriority w:val="99"/>
    <w:semiHidden/>
    <w:unhideWhenUsed/>
    <w:rsid w:val="001F0A5C"/>
    <w:rPr>
      <w:color w:val="954F72" w:themeColor="followedHyperlink"/>
      <w:u w:val="single"/>
    </w:rPr>
  </w:style>
  <w:style w:type="character" w:styleId="CommentReference">
    <w:name w:val="annotation reference"/>
    <w:basedOn w:val="DefaultParagraphFont"/>
    <w:uiPriority w:val="99"/>
    <w:unhideWhenUsed/>
    <w:rsid w:val="00C07406"/>
    <w:rPr>
      <w:sz w:val="18"/>
      <w:szCs w:val="18"/>
    </w:rPr>
  </w:style>
  <w:style w:type="paragraph" w:styleId="CommentText">
    <w:name w:val="annotation text"/>
    <w:basedOn w:val="Normal"/>
    <w:link w:val="CommentTextChar"/>
    <w:uiPriority w:val="99"/>
    <w:unhideWhenUsed/>
    <w:rsid w:val="00C07406"/>
  </w:style>
  <w:style w:type="character" w:customStyle="1" w:styleId="CommentTextChar">
    <w:name w:val="Comment Text Char"/>
    <w:basedOn w:val="DefaultParagraphFont"/>
    <w:link w:val="CommentText"/>
    <w:uiPriority w:val="99"/>
    <w:rsid w:val="00C07406"/>
    <w:rPr>
      <w:lang w:val="en-US"/>
    </w:rPr>
  </w:style>
  <w:style w:type="paragraph" w:styleId="CommentSubject">
    <w:name w:val="annotation subject"/>
    <w:basedOn w:val="CommentText"/>
    <w:next w:val="CommentText"/>
    <w:link w:val="CommentSubjectChar"/>
    <w:uiPriority w:val="99"/>
    <w:semiHidden/>
    <w:unhideWhenUsed/>
    <w:rsid w:val="00C07406"/>
    <w:rPr>
      <w:b/>
      <w:bCs/>
      <w:sz w:val="20"/>
      <w:szCs w:val="20"/>
    </w:rPr>
  </w:style>
  <w:style w:type="character" w:customStyle="1" w:styleId="CommentSubjectChar">
    <w:name w:val="Comment Subject Char"/>
    <w:basedOn w:val="CommentTextChar"/>
    <w:link w:val="CommentSubject"/>
    <w:uiPriority w:val="99"/>
    <w:semiHidden/>
    <w:rsid w:val="00C07406"/>
    <w:rPr>
      <w:b/>
      <w:bCs/>
      <w:sz w:val="20"/>
      <w:szCs w:val="20"/>
      <w:lang w:val="en-US"/>
    </w:rPr>
  </w:style>
  <w:style w:type="paragraph" w:styleId="BalloonText">
    <w:name w:val="Balloon Text"/>
    <w:basedOn w:val="Normal"/>
    <w:link w:val="BalloonTextChar"/>
    <w:uiPriority w:val="99"/>
    <w:semiHidden/>
    <w:unhideWhenUsed/>
    <w:rsid w:val="00C0740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07406"/>
    <w:rPr>
      <w:rFonts w:ascii="Times New Roman" w:hAnsi="Times New Roman"/>
      <w:sz w:val="18"/>
      <w:szCs w:val="18"/>
      <w:lang w:val="en-US"/>
    </w:rPr>
  </w:style>
  <w:style w:type="paragraph" w:customStyle="1" w:styleId="p1">
    <w:name w:val="p1"/>
    <w:basedOn w:val="Normal"/>
    <w:rsid w:val="003B639F"/>
    <w:rPr>
      <w:rFonts w:ascii="Helvetica" w:hAnsi="Helvetica"/>
      <w:sz w:val="17"/>
      <w:szCs w:val="17"/>
      <w:lang w:val="en-GB" w:eastAsia="en-GB"/>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652B36"/>
    <w:rPr>
      <w:lang w:val="en-US"/>
    </w:rPr>
  </w:style>
  <w:style w:type="character" w:customStyle="1" w:styleId="Heading4Char">
    <w:name w:val="Heading 4 Char"/>
    <w:basedOn w:val="DefaultParagraphFont"/>
    <w:link w:val="Heading4"/>
    <w:uiPriority w:val="9"/>
    <w:rsid w:val="005A0D3C"/>
    <w:rPr>
      <w:rFonts w:asciiTheme="majorHAnsi" w:eastAsiaTheme="majorEastAsia" w:hAnsiTheme="majorHAnsi" w:cstheme="majorBidi"/>
      <w:i/>
      <w:iCs/>
      <w:color w:val="2F5496" w:themeColor="accent1" w:themeShade="BF"/>
      <w:lang w:val="en-US"/>
    </w:rPr>
  </w:style>
  <w:style w:type="paragraph" w:styleId="TOC1">
    <w:name w:val="toc 1"/>
    <w:basedOn w:val="Normal"/>
    <w:next w:val="Normal"/>
    <w:autoRedefine/>
    <w:uiPriority w:val="39"/>
    <w:unhideWhenUsed/>
    <w:rsid w:val="00481DBD"/>
    <w:pPr>
      <w:tabs>
        <w:tab w:val="right" w:leader="dot" w:pos="9056"/>
      </w:tabs>
      <w:spacing w:before="120"/>
    </w:pPr>
    <w:rPr>
      <w:rFonts w:eastAsiaTheme="minorEastAsia"/>
      <w:noProof/>
      <w:sz w:val="2"/>
      <w:szCs w:val="2"/>
    </w:rPr>
  </w:style>
  <w:style w:type="paragraph" w:styleId="TOC2">
    <w:name w:val="toc 2"/>
    <w:basedOn w:val="Normal"/>
    <w:next w:val="Normal"/>
    <w:autoRedefine/>
    <w:uiPriority w:val="39"/>
    <w:unhideWhenUsed/>
    <w:rsid w:val="000B3843"/>
    <w:pPr>
      <w:tabs>
        <w:tab w:val="left" w:pos="720"/>
        <w:tab w:val="right" w:leader="dot" w:pos="9056"/>
      </w:tabs>
      <w:ind w:left="240"/>
    </w:pPr>
    <w:rPr>
      <w:b/>
      <w:bCs/>
      <w:sz w:val="22"/>
      <w:szCs w:val="22"/>
    </w:rPr>
  </w:style>
  <w:style w:type="paragraph" w:styleId="TOC3">
    <w:name w:val="toc 3"/>
    <w:basedOn w:val="Normal"/>
    <w:next w:val="Normal"/>
    <w:autoRedefine/>
    <w:uiPriority w:val="39"/>
    <w:unhideWhenUsed/>
    <w:rsid w:val="005A0D3C"/>
    <w:pPr>
      <w:ind w:left="480"/>
    </w:pPr>
    <w:rPr>
      <w:sz w:val="22"/>
      <w:szCs w:val="22"/>
    </w:rPr>
  </w:style>
  <w:style w:type="paragraph" w:styleId="TOC4">
    <w:name w:val="toc 4"/>
    <w:basedOn w:val="Normal"/>
    <w:next w:val="Normal"/>
    <w:autoRedefine/>
    <w:uiPriority w:val="39"/>
    <w:unhideWhenUsed/>
    <w:rsid w:val="005A0D3C"/>
    <w:pPr>
      <w:ind w:left="720"/>
    </w:pPr>
    <w:rPr>
      <w:sz w:val="20"/>
      <w:szCs w:val="20"/>
    </w:rPr>
  </w:style>
  <w:style w:type="paragraph" w:styleId="TOC5">
    <w:name w:val="toc 5"/>
    <w:basedOn w:val="Normal"/>
    <w:next w:val="Normal"/>
    <w:autoRedefine/>
    <w:uiPriority w:val="39"/>
    <w:unhideWhenUsed/>
    <w:rsid w:val="005A0D3C"/>
    <w:pPr>
      <w:ind w:left="960"/>
    </w:pPr>
    <w:rPr>
      <w:sz w:val="20"/>
      <w:szCs w:val="20"/>
    </w:rPr>
  </w:style>
  <w:style w:type="paragraph" w:styleId="TOC6">
    <w:name w:val="toc 6"/>
    <w:basedOn w:val="Normal"/>
    <w:next w:val="Normal"/>
    <w:autoRedefine/>
    <w:uiPriority w:val="39"/>
    <w:unhideWhenUsed/>
    <w:rsid w:val="005A0D3C"/>
    <w:pPr>
      <w:ind w:left="1200"/>
    </w:pPr>
    <w:rPr>
      <w:sz w:val="20"/>
      <w:szCs w:val="20"/>
    </w:rPr>
  </w:style>
  <w:style w:type="paragraph" w:styleId="TOC7">
    <w:name w:val="toc 7"/>
    <w:basedOn w:val="Normal"/>
    <w:next w:val="Normal"/>
    <w:autoRedefine/>
    <w:uiPriority w:val="39"/>
    <w:unhideWhenUsed/>
    <w:rsid w:val="005A0D3C"/>
    <w:pPr>
      <w:ind w:left="1440"/>
    </w:pPr>
    <w:rPr>
      <w:sz w:val="20"/>
      <w:szCs w:val="20"/>
    </w:rPr>
  </w:style>
  <w:style w:type="paragraph" w:styleId="TOC8">
    <w:name w:val="toc 8"/>
    <w:basedOn w:val="Normal"/>
    <w:next w:val="Normal"/>
    <w:autoRedefine/>
    <w:uiPriority w:val="39"/>
    <w:unhideWhenUsed/>
    <w:rsid w:val="005A0D3C"/>
    <w:pPr>
      <w:ind w:left="1680"/>
    </w:pPr>
    <w:rPr>
      <w:sz w:val="20"/>
      <w:szCs w:val="20"/>
    </w:rPr>
  </w:style>
  <w:style w:type="paragraph" w:styleId="TOC9">
    <w:name w:val="toc 9"/>
    <w:basedOn w:val="Normal"/>
    <w:next w:val="Normal"/>
    <w:autoRedefine/>
    <w:uiPriority w:val="39"/>
    <w:unhideWhenUsed/>
    <w:rsid w:val="005A0D3C"/>
    <w:pPr>
      <w:ind w:left="1920"/>
    </w:pPr>
    <w:rPr>
      <w:sz w:val="20"/>
      <w:szCs w:val="20"/>
    </w:rPr>
  </w:style>
  <w:style w:type="paragraph" w:customStyle="1" w:styleId="Default">
    <w:name w:val="Default"/>
    <w:rsid w:val="00C86BCF"/>
    <w:pPr>
      <w:autoSpaceDE w:val="0"/>
      <w:autoSpaceDN w:val="0"/>
      <w:adjustRightInd w:val="0"/>
    </w:pPr>
    <w:rPr>
      <w:rFonts w:ascii="Cambria" w:hAnsi="Cambria" w:cs="Cambria"/>
      <w:color w:val="000000"/>
      <w:lang w:val="en-US"/>
    </w:rPr>
  </w:style>
  <w:style w:type="paragraph" w:styleId="Revision">
    <w:name w:val="Revision"/>
    <w:hidden/>
    <w:uiPriority w:val="99"/>
    <w:semiHidden/>
    <w:rsid w:val="004E203B"/>
    <w:rPr>
      <w:lang w:val="en-US"/>
    </w:rPr>
  </w:style>
  <w:style w:type="paragraph" w:styleId="NormalWeb">
    <w:name w:val="Normal (Web)"/>
    <w:basedOn w:val="Normal"/>
    <w:uiPriority w:val="99"/>
    <w:unhideWhenUsed/>
    <w:rsid w:val="001556E5"/>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rsid w:val="00DB3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3844">
      <w:bodyDiv w:val="1"/>
      <w:marLeft w:val="0"/>
      <w:marRight w:val="0"/>
      <w:marTop w:val="0"/>
      <w:marBottom w:val="0"/>
      <w:divBdr>
        <w:top w:val="none" w:sz="0" w:space="0" w:color="auto"/>
        <w:left w:val="none" w:sz="0" w:space="0" w:color="auto"/>
        <w:bottom w:val="none" w:sz="0" w:space="0" w:color="auto"/>
        <w:right w:val="none" w:sz="0" w:space="0" w:color="auto"/>
      </w:divBdr>
    </w:div>
    <w:div w:id="142242365">
      <w:bodyDiv w:val="1"/>
      <w:marLeft w:val="0"/>
      <w:marRight w:val="0"/>
      <w:marTop w:val="0"/>
      <w:marBottom w:val="0"/>
      <w:divBdr>
        <w:top w:val="none" w:sz="0" w:space="0" w:color="auto"/>
        <w:left w:val="none" w:sz="0" w:space="0" w:color="auto"/>
        <w:bottom w:val="none" w:sz="0" w:space="0" w:color="auto"/>
        <w:right w:val="none" w:sz="0" w:space="0" w:color="auto"/>
      </w:divBdr>
    </w:div>
    <w:div w:id="152917014">
      <w:bodyDiv w:val="1"/>
      <w:marLeft w:val="0"/>
      <w:marRight w:val="0"/>
      <w:marTop w:val="0"/>
      <w:marBottom w:val="0"/>
      <w:divBdr>
        <w:top w:val="none" w:sz="0" w:space="0" w:color="auto"/>
        <w:left w:val="none" w:sz="0" w:space="0" w:color="auto"/>
        <w:bottom w:val="none" w:sz="0" w:space="0" w:color="auto"/>
        <w:right w:val="none" w:sz="0" w:space="0" w:color="auto"/>
      </w:divBdr>
    </w:div>
    <w:div w:id="258484915">
      <w:bodyDiv w:val="1"/>
      <w:marLeft w:val="0"/>
      <w:marRight w:val="0"/>
      <w:marTop w:val="0"/>
      <w:marBottom w:val="0"/>
      <w:divBdr>
        <w:top w:val="none" w:sz="0" w:space="0" w:color="auto"/>
        <w:left w:val="none" w:sz="0" w:space="0" w:color="auto"/>
        <w:bottom w:val="none" w:sz="0" w:space="0" w:color="auto"/>
        <w:right w:val="none" w:sz="0" w:space="0" w:color="auto"/>
      </w:divBdr>
      <w:divsChild>
        <w:div w:id="1247958606">
          <w:marLeft w:val="0"/>
          <w:marRight w:val="0"/>
          <w:marTop w:val="0"/>
          <w:marBottom w:val="0"/>
          <w:divBdr>
            <w:top w:val="none" w:sz="0" w:space="0" w:color="auto"/>
            <w:left w:val="none" w:sz="0" w:space="0" w:color="auto"/>
            <w:bottom w:val="none" w:sz="0" w:space="0" w:color="auto"/>
            <w:right w:val="none" w:sz="0" w:space="0" w:color="auto"/>
          </w:divBdr>
          <w:divsChild>
            <w:div w:id="1889996933">
              <w:marLeft w:val="0"/>
              <w:marRight w:val="0"/>
              <w:marTop w:val="0"/>
              <w:marBottom w:val="0"/>
              <w:divBdr>
                <w:top w:val="none" w:sz="0" w:space="0" w:color="auto"/>
                <w:left w:val="none" w:sz="0" w:space="0" w:color="auto"/>
                <w:bottom w:val="none" w:sz="0" w:space="0" w:color="auto"/>
                <w:right w:val="none" w:sz="0" w:space="0" w:color="auto"/>
              </w:divBdr>
              <w:divsChild>
                <w:div w:id="1857766531">
                  <w:marLeft w:val="0"/>
                  <w:marRight w:val="0"/>
                  <w:marTop w:val="0"/>
                  <w:marBottom w:val="0"/>
                  <w:divBdr>
                    <w:top w:val="none" w:sz="0" w:space="0" w:color="auto"/>
                    <w:left w:val="none" w:sz="0" w:space="0" w:color="auto"/>
                    <w:bottom w:val="none" w:sz="0" w:space="0" w:color="auto"/>
                    <w:right w:val="none" w:sz="0" w:space="0" w:color="auto"/>
                  </w:divBdr>
                  <w:divsChild>
                    <w:div w:id="13815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5714">
      <w:bodyDiv w:val="1"/>
      <w:marLeft w:val="0"/>
      <w:marRight w:val="0"/>
      <w:marTop w:val="0"/>
      <w:marBottom w:val="0"/>
      <w:divBdr>
        <w:top w:val="none" w:sz="0" w:space="0" w:color="auto"/>
        <w:left w:val="none" w:sz="0" w:space="0" w:color="auto"/>
        <w:bottom w:val="none" w:sz="0" w:space="0" w:color="auto"/>
        <w:right w:val="none" w:sz="0" w:space="0" w:color="auto"/>
      </w:divBdr>
      <w:divsChild>
        <w:div w:id="1407000135">
          <w:marLeft w:val="0"/>
          <w:marRight w:val="0"/>
          <w:marTop w:val="0"/>
          <w:marBottom w:val="0"/>
          <w:divBdr>
            <w:top w:val="none" w:sz="0" w:space="0" w:color="auto"/>
            <w:left w:val="none" w:sz="0" w:space="0" w:color="auto"/>
            <w:bottom w:val="none" w:sz="0" w:space="0" w:color="auto"/>
            <w:right w:val="none" w:sz="0" w:space="0" w:color="auto"/>
          </w:divBdr>
          <w:divsChild>
            <w:div w:id="959531689">
              <w:marLeft w:val="0"/>
              <w:marRight w:val="0"/>
              <w:marTop w:val="0"/>
              <w:marBottom w:val="0"/>
              <w:divBdr>
                <w:top w:val="none" w:sz="0" w:space="0" w:color="auto"/>
                <w:left w:val="none" w:sz="0" w:space="0" w:color="auto"/>
                <w:bottom w:val="none" w:sz="0" w:space="0" w:color="auto"/>
                <w:right w:val="none" w:sz="0" w:space="0" w:color="auto"/>
              </w:divBdr>
              <w:divsChild>
                <w:div w:id="971206525">
                  <w:marLeft w:val="0"/>
                  <w:marRight w:val="0"/>
                  <w:marTop w:val="0"/>
                  <w:marBottom w:val="0"/>
                  <w:divBdr>
                    <w:top w:val="none" w:sz="0" w:space="0" w:color="auto"/>
                    <w:left w:val="none" w:sz="0" w:space="0" w:color="auto"/>
                    <w:bottom w:val="none" w:sz="0" w:space="0" w:color="auto"/>
                    <w:right w:val="none" w:sz="0" w:space="0" w:color="auto"/>
                  </w:divBdr>
                  <w:divsChild>
                    <w:div w:id="1086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10946">
      <w:bodyDiv w:val="1"/>
      <w:marLeft w:val="0"/>
      <w:marRight w:val="0"/>
      <w:marTop w:val="0"/>
      <w:marBottom w:val="0"/>
      <w:divBdr>
        <w:top w:val="none" w:sz="0" w:space="0" w:color="auto"/>
        <w:left w:val="none" w:sz="0" w:space="0" w:color="auto"/>
        <w:bottom w:val="none" w:sz="0" w:space="0" w:color="auto"/>
        <w:right w:val="none" w:sz="0" w:space="0" w:color="auto"/>
      </w:divBdr>
      <w:divsChild>
        <w:div w:id="1622153623">
          <w:marLeft w:val="547"/>
          <w:marRight w:val="0"/>
          <w:marTop w:val="0"/>
          <w:marBottom w:val="0"/>
          <w:divBdr>
            <w:top w:val="none" w:sz="0" w:space="0" w:color="auto"/>
            <w:left w:val="none" w:sz="0" w:space="0" w:color="auto"/>
            <w:bottom w:val="none" w:sz="0" w:space="0" w:color="auto"/>
            <w:right w:val="none" w:sz="0" w:space="0" w:color="auto"/>
          </w:divBdr>
        </w:div>
      </w:divsChild>
    </w:div>
    <w:div w:id="1108237879">
      <w:bodyDiv w:val="1"/>
      <w:marLeft w:val="0"/>
      <w:marRight w:val="0"/>
      <w:marTop w:val="0"/>
      <w:marBottom w:val="0"/>
      <w:divBdr>
        <w:top w:val="none" w:sz="0" w:space="0" w:color="auto"/>
        <w:left w:val="none" w:sz="0" w:space="0" w:color="auto"/>
        <w:bottom w:val="none" w:sz="0" w:space="0" w:color="auto"/>
        <w:right w:val="none" w:sz="0" w:space="0" w:color="auto"/>
      </w:divBdr>
    </w:div>
    <w:div w:id="1115631990">
      <w:bodyDiv w:val="1"/>
      <w:marLeft w:val="0"/>
      <w:marRight w:val="0"/>
      <w:marTop w:val="0"/>
      <w:marBottom w:val="0"/>
      <w:divBdr>
        <w:top w:val="none" w:sz="0" w:space="0" w:color="auto"/>
        <w:left w:val="none" w:sz="0" w:space="0" w:color="auto"/>
        <w:bottom w:val="none" w:sz="0" w:space="0" w:color="auto"/>
        <w:right w:val="none" w:sz="0" w:space="0" w:color="auto"/>
      </w:divBdr>
      <w:divsChild>
        <w:div w:id="942372737">
          <w:marLeft w:val="0"/>
          <w:marRight w:val="0"/>
          <w:marTop w:val="0"/>
          <w:marBottom w:val="0"/>
          <w:divBdr>
            <w:top w:val="none" w:sz="0" w:space="0" w:color="auto"/>
            <w:left w:val="none" w:sz="0" w:space="0" w:color="auto"/>
            <w:bottom w:val="none" w:sz="0" w:space="0" w:color="auto"/>
            <w:right w:val="none" w:sz="0" w:space="0" w:color="auto"/>
          </w:divBdr>
          <w:divsChild>
            <w:div w:id="780026766">
              <w:marLeft w:val="0"/>
              <w:marRight w:val="0"/>
              <w:marTop w:val="0"/>
              <w:marBottom w:val="0"/>
              <w:divBdr>
                <w:top w:val="none" w:sz="0" w:space="0" w:color="auto"/>
                <w:left w:val="none" w:sz="0" w:space="0" w:color="auto"/>
                <w:bottom w:val="none" w:sz="0" w:space="0" w:color="auto"/>
                <w:right w:val="none" w:sz="0" w:space="0" w:color="auto"/>
              </w:divBdr>
              <w:divsChild>
                <w:div w:id="20864671">
                  <w:marLeft w:val="0"/>
                  <w:marRight w:val="0"/>
                  <w:marTop w:val="0"/>
                  <w:marBottom w:val="0"/>
                  <w:divBdr>
                    <w:top w:val="none" w:sz="0" w:space="0" w:color="auto"/>
                    <w:left w:val="none" w:sz="0" w:space="0" w:color="auto"/>
                    <w:bottom w:val="none" w:sz="0" w:space="0" w:color="auto"/>
                    <w:right w:val="none" w:sz="0" w:space="0" w:color="auto"/>
                  </w:divBdr>
                  <w:divsChild>
                    <w:div w:id="1053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92710">
      <w:bodyDiv w:val="1"/>
      <w:marLeft w:val="0"/>
      <w:marRight w:val="0"/>
      <w:marTop w:val="0"/>
      <w:marBottom w:val="0"/>
      <w:divBdr>
        <w:top w:val="none" w:sz="0" w:space="0" w:color="auto"/>
        <w:left w:val="none" w:sz="0" w:space="0" w:color="auto"/>
        <w:bottom w:val="none" w:sz="0" w:space="0" w:color="auto"/>
        <w:right w:val="none" w:sz="0" w:space="0" w:color="auto"/>
      </w:divBdr>
      <w:divsChild>
        <w:div w:id="2111581806">
          <w:marLeft w:val="0"/>
          <w:marRight w:val="0"/>
          <w:marTop w:val="0"/>
          <w:marBottom w:val="0"/>
          <w:divBdr>
            <w:top w:val="none" w:sz="0" w:space="0" w:color="auto"/>
            <w:left w:val="none" w:sz="0" w:space="0" w:color="auto"/>
            <w:bottom w:val="none" w:sz="0" w:space="0" w:color="auto"/>
            <w:right w:val="none" w:sz="0" w:space="0" w:color="auto"/>
          </w:divBdr>
          <w:divsChild>
            <w:div w:id="1277559951">
              <w:marLeft w:val="0"/>
              <w:marRight w:val="0"/>
              <w:marTop w:val="0"/>
              <w:marBottom w:val="0"/>
              <w:divBdr>
                <w:top w:val="none" w:sz="0" w:space="0" w:color="auto"/>
                <w:left w:val="none" w:sz="0" w:space="0" w:color="auto"/>
                <w:bottom w:val="none" w:sz="0" w:space="0" w:color="auto"/>
                <w:right w:val="none" w:sz="0" w:space="0" w:color="auto"/>
              </w:divBdr>
              <w:divsChild>
                <w:div w:id="845707408">
                  <w:marLeft w:val="0"/>
                  <w:marRight w:val="0"/>
                  <w:marTop w:val="0"/>
                  <w:marBottom w:val="0"/>
                  <w:divBdr>
                    <w:top w:val="none" w:sz="0" w:space="0" w:color="auto"/>
                    <w:left w:val="none" w:sz="0" w:space="0" w:color="auto"/>
                    <w:bottom w:val="none" w:sz="0" w:space="0" w:color="auto"/>
                    <w:right w:val="none" w:sz="0" w:space="0" w:color="auto"/>
                  </w:divBdr>
                  <w:divsChild>
                    <w:div w:id="13947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3248">
      <w:bodyDiv w:val="1"/>
      <w:marLeft w:val="0"/>
      <w:marRight w:val="0"/>
      <w:marTop w:val="0"/>
      <w:marBottom w:val="0"/>
      <w:divBdr>
        <w:top w:val="none" w:sz="0" w:space="0" w:color="auto"/>
        <w:left w:val="none" w:sz="0" w:space="0" w:color="auto"/>
        <w:bottom w:val="none" w:sz="0" w:space="0" w:color="auto"/>
        <w:right w:val="none" w:sz="0" w:space="0" w:color="auto"/>
      </w:divBdr>
      <w:divsChild>
        <w:div w:id="1858274816">
          <w:marLeft w:val="0"/>
          <w:marRight w:val="0"/>
          <w:marTop w:val="0"/>
          <w:marBottom w:val="0"/>
          <w:divBdr>
            <w:top w:val="none" w:sz="0" w:space="0" w:color="auto"/>
            <w:left w:val="none" w:sz="0" w:space="0" w:color="auto"/>
            <w:bottom w:val="none" w:sz="0" w:space="0" w:color="auto"/>
            <w:right w:val="none" w:sz="0" w:space="0" w:color="auto"/>
          </w:divBdr>
          <w:divsChild>
            <w:div w:id="1020396934">
              <w:marLeft w:val="0"/>
              <w:marRight w:val="0"/>
              <w:marTop w:val="0"/>
              <w:marBottom w:val="0"/>
              <w:divBdr>
                <w:top w:val="none" w:sz="0" w:space="0" w:color="auto"/>
                <w:left w:val="none" w:sz="0" w:space="0" w:color="auto"/>
                <w:bottom w:val="none" w:sz="0" w:space="0" w:color="auto"/>
                <w:right w:val="none" w:sz="0" w:space="0" w:color="auto"/>
              </w:divBdr>
              <w:divsChild>
                <w:div w:id="1619533391">
                  <w:marLeft w:val="0"/>
                  <w:marRight w:val="0"/>
                  <w:marTop w:val="0"/>
                  <w:marBottom w:val="0"/>
                  <w:divBdr>
                    <w:top w:val="none" w:sz="0" w:space="0" w:color="auto"/>
                    <w:left w:val="none" w:sz="0" w:space="0" w:color="auto"/>
                    <w:bottom w:val="none" w:sz="0" w:space="0" w:color="auto"/>
                    <w:right w:val="none" w:sz="0" w:space="0" w:color="auto"/>
                  </w:divBdr>
                  <w:divsChild>
                    <w:div w:id="609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528948">
      <w:bodyDiv w:val="1"/>
      <w:marLeft w:val="0"/>
      <w:marRight w:val="0"/>
      <w:marTop w:val="0"/>
      <w:marBottom w:val="0"/>
      <w:divBdr>
        <w:top w:val="none" w:sz="0" w:space="0" w:color="auto"/>
        <w:left w:val="none" w:sz="0" w:space="0" w:color="auto"/>
        <w:bottom w:val="none" w:sz="0" w:space="0" w:color="auto"/>
        <w:right w:val="none" w:sz="0" w:space="0" w:color="auto"/>
      </w:divBdr>
    </w:div>
    <w:div w:id="1244875030">
      <w:bodyDiv w:val="1"/>
      <w:marLeft w:val="0"/>
      <w:marRight w:val="0"/>
      <w:marTop w:val="0"/>
      <w:marBottom w:val="0"/>
      <w:divBdr>
        <w:top w:val="none" w:sz="0" w:space="0" w:color="auto"/>
        <w:left w:val="none" w:sz="0" w:space="0" w:color="auto"/>
        <w:bottom w:val="none" w:sz="0" w:space="0" w:color="auto"/>
        <w:right w:val="none" w:sz="0" w:space="0" w:color="auto"/>
      </w:divBdr>
      <w:divsChild>
        <w:div w:id="4064502">
          <w:marLeft w:val="0"/>
          <w:marRight w:val="0"/>
          <w:marTop w:val="0"/>
          <w:marBottom w:val="0"/>
          <w:divBdr>
            <w:top w:val="none" w:sz="0" w:space="0" w:color="auto"/>
            <w:left w:val="none" w:sz="0" w:space="0" w:color="auto"/>
            <w:bottom w:val="none" w:sz="0" w:space="0" w:color="auto"/>
            <w:right w:val="none" w:sz="0" w:space="0" w:color="auto"/>
          </w:divBdr>
          <w:divsChild>
            <w:div w:id="1628393884">
              <w:marLeft w:val="0"/>
              <w:marRight w:val="0"/>
              <w:marTop w:val="0"/>
              <w:marBottom w:val="0"/>
              <w:divBdr>
                <w:top w:val="none" w:sz="0" w:space="0" w:color="auto"/>
                <w:left w:val="none" w:sz="0" w:space="0" w:color="auto"/>
                <w:bottom w:val="none" w:sz="0" w:space="0" w:color="auto"/>
                <w:right w:val="none" w:sz="0" w:space="0" w:color="auto"/>
              </w:divBdr>
              <w:divsChild>
                <w:div w:id="972292465">
                  <w:marLeft w:val="0"/>
                  <w:marRight w:val="0"/>
                  <w:marTop w:val="0"/>
                  <w:marBottom w:val="0"/>
                  <w:divBdr>
                    <w:top w:val="none" w:sz="0" w:space="0" w:color="auto"/>
                    <w:left w:val="none" w:sz="0" w:space="0" w:color="auto"/>
                    <w:bottom w:val="none" w:sz="0" w:space="0" w:color="auto"/>
                    <w:right w:val="none" w:sz="0" w:space="0" w:color="auto"/>
                  </w:divBdr>
                  <w:divsChild>
                    <w:div w:id="9862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6124">
      <w:bodyDiv w:val="1"/>
      <w:marLeft w:val="0"/>
      <w:marRight w:val="0"/>
      <w:marTop w:val="0"/>
      <w:marBottom w:val="0"/>
      <w:divBdr>
        <w:top w:val="none" w:sz="0" w:space="0" w:color="auto"/>
        <w:left w:val="none" w:sz="0" w:space="0" w:color="auto"/>
        <w:bottom w:val="none" w:sz="0" w:space="0" w:color="auto"/>
        <w:right w:val="none" w:sz="0" w:space="0" w:color="auto"/>
      </w:divBdr>
      <w:divsChild>
        <w:div w:id="1585410088">
          <w:marLeft w:val="0"/>
          <w:marRight w:val="0"/>
          <w:marTop w:val="0"/>
          <w:marBottom w:val="0"/>
          <w:divBdr>
            <w:top w:val="none" w:sz="0" w:space="0" w:color="auto"/>
            <w:left w:val="none" w:sz="0" w:space="0" w:color="auto"/>
            <w:bottom w:val="none" w:sz="0" w:space="0" w:color="auto"/>
            <w:right w:val="none" w:sz="0" w:space="0" w:color="auto"/>
          </w:divBdr>
          <w:divsChild>
            <w:div w:id="1105153646">
              <w:marLeft w:val="0"/>
              <w:marRight w:val="0"/>
              <w:marTop w:val="0"/>
              <w:marBottom w:val="0"/>
              <w:divBdr>
                <w:top w:val="none" w:sz="0" w:space="0" w:color="auto"/>
                <w:left w:val="none" w:sz="0" w:space="0" w:color="auto"/>
                <w:bottom w:val="none" w:sz="0" w:space="0" w:color="auto"/>
                <w:right w:val="none" w:sz="0" w:space="0" w:color="auto"/>
              </w:divBdr>
              <w:divsChild>
                <w:div w:id="372198414">
                  <w:marLeft w:val="0"/>
                  <w:marRight w:val="0"/>
                  <w:marTop w:val="0"/>
                  <w:marBottom w:val="0"/>
                  <w:divBdr>
                    <w:top w:val="none" w:sz="0" w:space="0" w:color="auto"/>
                    <w:left w:val="none" w:sz="0" w:space="0" w:color="auto"/>
                    <w:bottom w:val="none" w:sz="0" w:space="0" w:color="auto"/>
                    <w:right w:val="none" w:sz="0" w:space="0" w:color="auto"/>
                  </w:divBdr>
                  <w:divsChild>
                    <w:div w:id="17148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90725">
      <w:bodyDiv w:val="1"/>
      <w:marLeft w:val="0"/>
      <w:marRight w:val="0"/>
      <w:marTop w:val="0"/>
      <w:marBottom w:val="0"/>
      <w:divBdr>
        <w:top w:val="none" w:sz="0" w:space="0" w:color="auto"/>
        <w:left w:val="none" w:sz="0" w:space="0" w:color="auto"/>
        <w:bottom w:val="none" w:sz="0" w:space="0" w:color="auto"/>
        <w:right w:val="none" w:sz="0" w:space="0" w:color="auto"/>
      </w:divBdr>
      <w:divsChild>
        <w:div w:id="1588658929">
          <w:marLeft w:val="0"/>
          <w:marRight w:val="0"/>
          <w:marTop w:val="0"/>
          <w:marBottom w:val="0"/>
          <w:divBdr>
            <w:top w:val="none" w:sz="0" w:space="0" w:color="auto"/>
            <w:left w:val="none" w:sz="0" w:space="0" w:color="auto"/>
            <w:bottom w:val="none" w:sz="0" w:space="0" w:color="auto"/>
            <w:right w:val="none" w:sz="0" w:space="0" w:color="auto"/>
          </w:divBdr>
          <w:divsChild>
            <w:div w:id="205021377">
              <w:marLeft w:val="0"/>
              <w:marRight w:val="0"/>
              <w:marTop w:val="0"/>
              <w:marBottom w:val="0"/>
              <w:divBdr>
                <w:top w:val="none" w:sz="0" w:space="0" w:color="auto"/>
                <w:left w:val="none" w:sz="0" w:space="0" w:color="auto"/>
                <w:bottom w:val="none" w:sz="0" w:space="0" w:color="auto"/>
                <w:right w:val="none" w:sz="0" w:space="0" w:color="auto"/>
              </w:divBdr>
              <w:divsChild>
                <w:div w:id="1295525574">
                  <w:marLeft w:val="0"/>
                  <w:marRight w:val="0"/>
                  <w:marTop w:val="0"/>
                  <w:marBottom w:val="0"/>
                  <w:divBdr>
                    <w:top w:val="none" w:sz="0" w:space="0" w:color="auto"/>
                    <w:left w:val="none" w:sz="0" w:space="0" w:color="auto"/>
                    <w:bottom w:val="none" w:sz="0" w:space="0" w:color="auto"/>
                    <w:right w:val="none" w:sz="0" w:space="0" w:color="auto"/>
                  </w:divBdr>
                  <w:divsChild>
                    <w:div w:id="17870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11971">
      <w:bodyDiv w:val="1"/>
      <w:marLeft w:val="0"/>
      <w:marRight w:val="0"/>
      <w:marTop w:val="0"/>
      <w:marBottom w:val="0"/>
      <w:divBdr>
        <w:top w:val="none" w:sz="0" w:space="0" w:color="auto"/>
        <w:left w:val="none" w:sz="0" w:space="0" w:color="auto"/>
        <w:bottom w:val="none" w:sz="0" w:space="0" w:color="auto"/>
        <w:right w:val="none" w:sz="0" w:space="0" w:color="auto"/>
      </w:divBdr>
      <w:divsChild>
        <w:div w:id="712921806">
          <w:marLeft w:val="0"/>
          <w:marRight w:val="0"/>
          <w:marTop w:val="0"/>
          <w:marBottom w:val="0"/>
          <w:divBdr>
            <w:top w:val="none" w:sz="0" w:space="0" w:color="auto"/>
            <w:left w:val="none" w:sz="0" w:space="0" w:color="auto"/>
            <w:bottom w:val="none" w:sz="0" w:space="0" w:color="auto"/>
            <w:right w:val="none" w:sz="0" w:space="0" w:color="auto"/>
          </w:divBdr>
          <w:divsChild>
            <w:div w:id="89669350">
              <w:marLeft w:val="0"/>
              <w:marRight w:val="0"/>
              <w:marTop w:val="0"/>
              <w:marBottom w:val="0"/>
              <w:divBdr>
                <w:top w:val="none" w:sz="0" w:space="0" w:color="auto"/>
                <w:left w:val="none" w:sz="0" w:space="0" w:color="auto"/>
                <w:bottom w:val="none" w:sz="0" w:space="0" w:color="auto"/>
                <w:right w:val="none" w:sz="0" w:space="0" w:color="auto"/>
              </w:divBdr>
              <w:divsChild>
                <w:div w:id="92871091">
                  <w:marLeft w:val="0"/>
                  <w:marRight w:val="0"/>
                  <w:marTop w:val="0"/>
                  <w:marBottom w:val="0"/>
                  <w:divBdr>
                    <w:top w:val="none" w:sz="0" w:space="0" w:color="auto"/>
                    <w:left w:val="none" w:sz="0" w:space="0" w:color="auto"/>
                    <w:bottom w:val="none" w:sz="0" w:space="0" w:color="auto"/>
                    <w:right w:val="none" w:sz="0" w:space="0" w:color="auto"/>
                  </w:divBdr>
                  <w:divsChild>
                    <w:div w:id="17101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2580">
      <w:bodyDiv w:val="1"/>
      <w:marLeft w:val="0"/>
      <w:marRight w:val="0"/>
      <w:marTop w:val="0"/>
      <w:marBottom w:val="0"/>
      <w:divBdr>
        <w:top w:val="none" w:sz="0" w:space="0" w:color="auto"/>
        <w:left w:val="none" w:sz="0" w:space="0" w:color="auto"/>
        <w:bottom w:val="none" w:sz="0" w:space="0" w:color="auto"/>
        <w:right w:val="none" w:sz="0" w:space="0" w:color="auto"/>
      </w:divBdr>
    </w:div>
    <w:div w:id="1549032555">
      <w:bodyDiv w:val="1"/>
      <w:marLeft w:val="0"/>
      <w:marRight w:val="0"/>
      <w:marTop w:val="0"/>
      <w:marBottom w:val="0"/>
      <w:divBdr>
        <w:top w:val="none" w:sz="0" w:space="0" w:color="auto"/>
        <w:left w:val="none" w:sz="0" w:space="0" w:color="auto"/>
        <w:bottom w:val="none" w:sz="0" w:space="0" w:color="auto"/>
        <w:right w:val="none" w:sz="0" w:space="0" w:color="auto"/>
      </w:divBdr>
    </w:div>
    <w:div w:id="1630359801">
      <w:bodyDiv w:val="1"/>
      <w:marLeft w:val="0"/>
      <w:marRight w:val="0"/>
      <w:marTop w:val="0"/>
      <w:marBottom w:val="0"/>
      <w:divBdr>
        <w:top w:val="none" w:sz="0" w:space="0" w:color="auto"/>
        <w:left w:val="none" w:sz="0" w:space="0" w:color="auto"/>
        <w:bottom w:val="none" w:sz="0" w:space="0" w:color="auto"/>
        <w:right w:val="none" w:sz="0" w:space="0" w:color="auto"/>
      </w:divBdr>
      <w:divsChild>
        <w:div w:id="597636989">
          <w:marLeft w:val="0"/>
          <w:marRight w:val="0"/>
          <w:marTop w:val="0"/>
          <w:marBottom w:val="0"/>
          <w:divBdr>
            <w:top w:val="none" w:sz="0" w:space="0" w:color="auto"/>
            <w:left w:val="none" w:sz="0" w:space="0" w:color="auto"/>
            <w:bottom w:val="none" w:sz="0" w:space="0" w:color="auto"/>
            <w:right w:val="none" w:sz="0" w:space="0" w:color="auto"/>
          </w:divBdr>
          <w:divsChild>
            <w:div w:id="1191070382">
              <w:marLeft w:val="0"/>
              <w:marRight w:val="0"/>
              <w:marTop w:val="0"/>
              <w:marBottom w:val="0"/>
              <w:divBdr>
                <w:top w:val="none" w:sz="0" w:space="0" w:color="auto"/>
                <w:left w:val="none" w:sz="0" w:space="0" w:color="auto"/>
                <w:bottom w:val="none" w:sz="0" w:space="0" w:color="auto"/>
                <w:right w:val="none" w:sz="0" w:space="0" w:color="auto"/>
              </w:divBdr>
              <w:divsChild>
                <w:div w:id="2132279428">
                  <w:marLeft w:val="0"/>
                  <w:marRight w:val="0"/>
                  <w:marTop w:val="0"/>
                  <w:marBottom w:val="0"/>
                  <w:divBdr>
                    <w:top w:val="none" w:sz="0" w:space="0" w:color="auto"/>
                    <w:left w:val="none" w:sz="0" w:space="0" w:color="auto"/>
                    <w:bottom w:val="none" w:sz="0" w:space="0" w:color="auto"/>
                    <w:right w:val="none" w:sz="0" w:space="0" w:color="auto"/>
                  </w:divBdr>
                  <w:divsChild>
                    <w:div w:id="20586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8813">
      <w:bodyDiv w:val="1"/>
      <w:marLeft w:val="0"/>
      <w:marRight w:val="0"/>
      <w:marTop w:val="0"/>
      <w:marBottom w:val="0"/>
      <w:divBdr>
        <w:top w:val="none" w:sz="0" w:space="0" w:color="auto"/>
        <w:left w:val="none" w:sz="0" w:space="0" w:color="auto"/>
        <w:bottom w:val="none" w:sz="0" w:space="0" w:color="auto"/>
        <w:right w:val="none" w:sz="0" w:space="0" w:color="auto"/>
      </w:divBdr>
      <w:divsChild>
        <w:div w:id="2021008412">
          <w:marLeft w:val="0"/>
          <w:marRight w:val="0"/>
          <w:marTop w:val="0"/>
          <w:marBottom w:val="0"/>
          <w:divBdr>
            <w:top w:val="none" w:sz="0" w:space="0" w:color="auto"/>
            <w:left w:val="none" w:sz="0" w:space="0" w:color="auto"/>
            <w:bottom w:val="none" w:sz="0" w:space="0" w:color="auto"/>
            <w:right w:val="none" w:sz="0" w:space="0" w:color="auto"/>
          </w:divBdr>
          <w:divsChild>
            <w:div w:id="363137932">
              <w:marLeft w:val="0"/>
              <w:marRight w:val="0"/>
              <w:marTop w:val="0"/>
              <w:marBottom w:val="0"/>
              <w:divBdr>
                <w:top w:val="none" w:sz="0" w:space="0" w:color="auto"/>
                <w:left w:val="none" w:sz="0" w:space="0" w:color="auto"/>
                <w:bottom w:val="none" w:sz="0" w:space="0" w:color="auto"/>
                <w:right w:val="none" w:sz="0" w:space="0" w:color="auto"/>
              </w:divBdr>
              <w:divsChild>
                <w:div w:id="618994003">
                  <w:marLeft w:val="0"/>
                  <w:marRight w:val="0"/>
                  <w:marTop w:val="0"/>
                  <w:marBottom w:val="0"/>
                  <w:divBdr>
                    <w:top w:val="none" w:sz="0" w:space="0" w:color="auto"/>
                    <w:left w:val="none" w:sz="0" w:space="0" w:color="auto"/>
                    <w:bottom w:val="none" w:sz="0" w:space="0" w:color="auto"/>
                    <w:right w:val="none" w:sz="0" w:space="0" w:color="auto"/>
                  </w:divBdr>
                  <w:divsChild>
                    <w:div w:id="17655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2701">
      <w:bodyDiv w:val="1"/>
      <w:marLeft w:val="0"/>
      <w:marRight w:val="0"/>
      <w:marTop w:val="0"/>
      <w:marBottom w:val="0"/>
      <w:divBdr>
        <w:top w:val="none" w:sz="0" w:space="0" w:color="auto"/>
        <w:left w:val="none" w:sz="0" w:space="0" w:color="auto"/>
        <w:bottom w:val="none" w:sz="0" w:space="0" w:color="auto"/>
        <w:right w:val="none" w:sz="0" w:space="0" w:color="auto"/>
      </w:divBdr>
      <w:divsChild>
        <w:div w:id="856040716">
          <w:marLeft w:val="0"/>
          <w:marRight w:val="0"/>
          <w:marTop w:val="0"/>
          <w:marBottom w:val="0"/>
          <w:divBdr>
            <w:top w:val="none" w:sz="0" w:space="0" w:color="auto"/>
            <w:left w:val="none" w:sz="0" w:space="0" w:color="auto"/>
            <w:bottom w:val="none" w:sz="0" w:space="0" w:color="auto"/>
            <w:right w:val="none" w:sz="0" w:space="0" w:color="auto"/>
          </w:divBdr>
          <w:divsChild>
            <w:div w:id="674844976">
              <w:marLeft w:val="0"/>
              <w:marRight w:val="0"/>
              <w:marTop w:val="0"/>
              <w:marBottom w:val="0"/>
              <w:divBdr>
                <w:top w:val="none" w:sz="0" w:space="0" w:color="auto"/>
                <w:left w:val="none" w:sz="0" w:space="0" w:color="auto"/>
                <w:bottom w:val="none" w:sz="0" w:space="0" w:color="auto"/>
                <w:right w:val="none" w:sz="0" w:space="0" w:color="auto"/>
              </w:divBdr>
              <w:divsChild>
                <w:div w:id="1205875259">
                  <w:marLeft w:val="0"/>
                  <w:marRight w:val="0"/>
                  <w:marTop w:val="0"/>
                  <w:marBottom w:val="0"/>
                  <w:divBdr>
                    <w:top w:val="none" w:sz="0" w:space="0" w:color="auto"/>
                    <w:left w:val="none" w:sz="0" w:space="0" w:color="auto"/>
                    <w:bottom w:val="none" w:sz="0" w:space="0" w:color="auto"/>
                    <w:right w:val="none" w:sz="0" w:space="0" w:color="auto"/>
                  </w:divBdr>
                  <w:divsChild>
                    <w:div w:id="2136214944">
                      <w:marLeft w:val="0"/>
                      <w:marRight w:val="0"/>
                      <w:marTop w:val="0"/>
                      <w:marBottom w:val="0"/>
                      <w:divBdr>
                        <w:top w:val="none" w:sz="0" w:space="0" w:color="auto"/>
                        <w:left w:val="none" w:sz="0" w:space="0" w:color="auto"/>
                        <w:bottom w:val="none" w:sz="0" w:space="0" w:color="auto"/>
                        <w:right w:val="none" w:sz="0" w:space="0" w:color="auto"/>
                      </w:divBdr>
                    </w:div>
                  </w:divsChild>
                </w:div>
                <w:div w:id="1284119952">
                  <w:marLeft w:val="0"/>
                  <w:marRight w:val="0"/>
                  <w:marTop w:val="0"/>
                  <w:marBottom w:val="0"/>
                  <w:divBdr>
                    <w:top w:val="none" w:sz="0" w:space="0" w:color="auto"/>
                    <w:left w:val="none" w:sz="0" w:space="0" w:color="auto"/>
                    <w:bottom w:val="none" w:sz="0" w:space="0" w:color="auto"/>
                    <w:right w:val="none" w:sz="0" w:space="0" w:color="auto"/>
                  </w:divBdr>
                  <w:divsChild>
                    <w:div w:id="3154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7510">
          <w:marLeft w:val="0"/>
          <w:marRight w:val="0"/>
          <w:marTop w:val="0"/>
          <w:marBottom w:val="0"/>
          <w:divBdr>
            <w:top w:val="none" w:sz="0" w:space="0" w:color="auto"/>
            <w:left w:val="none" w:sz="0" w:space="0" w:color="auto"/>
            <w:bottom w:val="none" w:sz="0" w:space="0" w:color="auto"/>
            <w:right w:val="none" w:sz="0" w:space="0" w:color="auto"/>
          </w:divBdr>
          <w:divsChild>
            <w:div w:id="857157770">
              <w:marLeft w:val="0"/>
              <w:marRight w:val="0"/>
              <w:marTop w:val="0"/>
              <w:marBottom w:val="0"/>
              <w:divBdr>
                <w:top w:val="none" w:sz="0" w:space="0" w:color="auto"/>
                <w:left w:val="none" w:sz="0" w:space="0" w:color="auto"/>
                <w:bottom w:val="none" w:sz="0" w:space="0" w:color="auto"/>
                <w:right w:val="none" w:sz="0" w:space="0" w:color="auto"/>
              </w:divBdr>
              <w:divsChild>
                <w:div w:id="226648726">
                  <w:marLeft w:val="0"/>
                  <w:marRight w:val="0"/>
                  <w:marTop w:val="0"/>
                  <w:marBottom w:val="0"/>
                  <w:divBdr>
                    <w:top w:val="none" w:sz="0" w:space="0" w:color="auto"/>
                    <w:left w:val="none" w:sz="0" w:space="0" w:color="auto"/>
                    <w:bottom w:val="none" w:sz="0" w:space="0" w:color="auto"/>
                    <w:right w:val="none" w:sz="0" w:space="0" w:color="auto"/>
                  </w:divBdr>
                  <w:divsChild>
                    <w:div w:id="12185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0706" TargetMode="External"/><Relationship Id="rId18" Type="http://schemas.openxmlformats.org/officeDocument/2006/relationships/hyperlink" Target="https://popp.undp.org/node/1876" TargetMode="External"/><Relationship Id="rId26" Type="http://schemas.openxmlformats.org/officeDocument/2006/relationships/hyperlink" Target="https://popp.undp.org/taxonomy/term/51" TargetMode="External"/><Relationship Id="rId3" Type="http://schemas.openxmlformats.org/officeDocument/2006/relationships/customXml" Target="../customXml/item3.xml"/><Relationship Id="rId21" Type="http://schemas.openxmlformats.org/officeDocument/2006/relationships/hyperlink" Target="https://sgp.undp.org/about-us-157/grant-eligibility.html"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1531" TargetMode="External"/><Relationship Id="rId25" Type="http://schemas.openxmlformats.org/officeDocument/2006/relationships/hyperlink" Target="https://popp.undp.org/node/166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11246" TargetMode="External"/><Relationship Id="rId20" Type="http://schemas.openxmlformats.org/officeDocument/2006/relationships/hyperlink" Target="https://popp.undp.org/policy-page/social-and-environmental-standards" TargetMode="External"/><Relationship Id="rId29" Type="http://schemas.openxmlformats.org/officeDocument/2006/relationships/hyperlink" Target="https://popp.undp.org/taxonomy/term/7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1011"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opp.undp.org/node/1021" TargetMode="External"/><Relationship Id="rId23" Type="http://schemas.openxmlformats.org/officeDocument/2006/relationships/hyperlink" Target="https://popp.undp.org/node/956" TargetMode="External"/><Relationship Id="rId28" Type="http://schemas.openxmlformats.org/officeDocument/2006/relationships/hyperlink" Target="https://popp.undp.org/node/611" TargetMode="External"/><Relationship Id="rId10" Type="http://schemas.openxmlformats.org/officeDocument/2006/relationships/webSettings" Target="webSettings.xml"/><Relationship Id="rId19" Type="http://schemas.openxmlformats.org/officeDocument/2006/relationships/hyperlink" Target="http://www.undp.org/secu-sr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1531" TargetMode="External"/><Relationship Id="rId22" Type="http://schemas.openxmlformats.org/officeDocument/2006/relationships/hyperlink" Target="https://sgp.undp.org/about-us-157/how-to-apply.html" TargetMode="External"/><Relationship Id="rId27" Type="http://schemas.openxmlformats.org/officeDocument/2006/relationships/hyperlink" Target="https://popp.undp.org/node/4616" TargetMode="External"/><Relationship Id="rId30" Type="http://schemas.openxmlformats.org/officeDocument/2006/relationships/hyperlink" Target="https://popp.undp.org/node/1861" TargetMode="Externa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UNDP_POPP_DOCUMENT_LIBRARY/Public/Consolidated%20Risk-Based%20Partner%20Capacity%20Assess%20Tool.xlsm" TargetMode="External"/><Relationship Id="rId2" Type="http://schemas.openxmlformats.org/officeDocument/2006/relationships/hyperlink" Target="https://sgp.undp.org/resources-155/key-documents-191/273-sgp-project-template/file.html" TargetMode="External"/><Relationship Id="rId1" Type="http://schemas.openxmlformats.org/officeDocument/2006/relationships/hyperlink" Target="PPM_Design_Consolidated%20Risk-Based%20Partner%20Capacity%20Assess%20Tool.xlsm" TargetMode="External"/><Relationship Id="rId5" Type="http://schemas.openxmlformats.org/officeDocument/2006/relationships/hyperlink" Target="https://www.google.com/url?sa=t&amp;rct=j&amp;q=&amp;esrc=s&amp;source=web&amp;cd=3&amp;ved=0ahUKEwj-qMb_iJLcAhWGfFAKHQLyCy8QFgg0MAI&amp;url=https%3A%2F%2Fwww.thegef.org%2Fsites%2Fdefault%2Ffiles%2Fproject_documents%2F073007-GEF%252520SGP%252520PRODOC%252520Phase%2525204%252" TargetMode="External"/><Relationship Id="rId4" Type="http://schemas.openxmlformats.org/officeDocument/2006/relationships/hyperlink" Target="https://popp.undp.org/UNDP_POPP_DOCUMENT_LIBRARY/Public/Consolidated%20Risk-Based%20Partner%20Capacity%20Assess%20Tool.xls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Low Value Grants : UNDP Operational Guide</UNDP_POPP_TITLE_EN>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POPP-11-3258</_dlc_DocId>
    <_dlc_DocIdUrl xmlns="8264c5cc-ec60-4b56-8111-ce635d3d139a">
      <Url>https://popp.undp.org/_layouts/15/DocIdRedir.aspx?ID=POPP-11-3258</Url>
      <Description>POPP-11-3258</Description>
    </_dlc_DocIdUrl>
    <DLCPolicyLabelValue xmlns="e560140e-7b2f-4392-90df-e7567e3021a3">Effective Date: {Effective Date}                                                Version #: {POPPRefItemVersion}</DLCPolicyLabelVal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66B80-D62C-4422-9AF6-0969807AA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23941-2FB8-3348-9A19-933FE2A30320}">
  <ds:schemaRefs>
    <ds:schemaRef ds:uri="http://schemas.openxmlformats.org/officeDocument/2006/bibliography"/>
  </ds:schemaRefs>
</ds:datastoreItem>
</file>

<file path=customXml/itemProps3.xml><?xml version="1.0" encoding="utf-8"?>
<ds:datastoreItem xmlns:ds="http://schemas.openxmlformats.org/officeDocument/2006/customXml" ds:itemID="{E23D2EF8-9651-4770-B175-F41321CAC5F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1CE52767-47CF-4142-A970-FA2E56797CEF}">
  <ds:schemaRefs>
    <ds:schemaRef ds:uri="office.server.policy"/>
  </ds:schemaRefs>
</ds:datastoreItem>
</file>

<file path=customXml/itemProps5.xml><?xml version="1.0" encoding="utf-8"?>
<ds:datastoreItem xmlns:ds="http://schemas.openxmlformats.org/officeDocument/2006/customXml" ds:itemID="{F7C4345A-9B6E-402C-8226-24F251B825F3}">
  <ds:schemaRefs>
    <ds:schemaRef ds:uri="http://schemas.microsoft.com/sharepoint/events"/>
  </ds:schemaRefs>
</ds:datastoreItem>
</file>

<file path=customXml/itemProps6.xml><?xml version="1.0" encoding="utf-8"?>
<ds:datastoreItem xmlns:ds="http://schemas.openxmlformats.org/officeDocument/2006/customXml" ds:itemID="{87C0F435-CF70-4900-9E56-8B7D9B3A2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8420</Words>
  <Characters>47997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Global Goals Consulting</Company>
  <LinksUpToDate>false</LinksUpToDate>
  <CharactersWithSpaces>56305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 Tiefenbacher</dc:creator>
  <cp:keywords/>
  <dc:description/>
  <cp:lastModifiedBy>Pablo Morete</cp:lastModifiedBy>
  <cp:revision>5</cp:revision>
  <dcterms:created xsi:type="dcterms:W3CDTF">2020-06-03T14:16:00Z</dcterms:created>
  <dcterms:modified xsi:type="dcterms:W3CDTF">2023-10-16T15:27:00Z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669;#Programme and Project Management|1c019435-9793-447e-8959-0b32d23bf3d5</vt:lpwstr>
  </property>
  <property fmtid="{D5CDD505-2E9C-101B-9397-08002B2CF9AE}" pid="5" name="POPPBusinessProcess">
    <vt:lpwstr/>
  </property>
  <property fmtid="{D5CDD505-2E9C-101B-9397-08002B2CF9AE}" pid="6" name="_dlc_DocIdItemGuid">
    <vt:lpwstr>8bc17923-8ec0-4456-806d-e30e3dfd8847</vt:lpwstr>
  </property>
</Properties>
</file>