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7F3BE"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b/>
          <w:bCs/>
          <w:kern w:val="0"/>
          <w:sz w:val="28"/>
          <w:szCs w:val="22"/>
          <w:lang w:val="es-ES" w:eastAsia="es-ES" w:bidi="es-ES"/>
          <w14:ligatures w14:val="none"/>
        </w:rPr>
      </w:pPr>
      <w:r w:rsidRPr="00850D4E">
        <w:rPr>
          <w:rFonts w:ascii="Calibri" w:eastAsia="MS Mincho" w:hAnsi="Calibri" w:cs="Calibri"/>
          <w:b/>
          <w:kern w:val="0"/>
          <w:sz w:val="28"/>
          <w:szCs w:val="22"/>
          <w:lang w:val="es-ES" w:eastAsia="es-ES" w:bidi="es-ES"/>
          <w14:ligatures w14:val="none"/>
        </w:rPr>
        <w:t>Estrategias Transaccionales de Adquisición y Planificación de la Adquisición</w:t>
      </w:r>
    </w:p>
    <w:p w14:paraId="5DAE8E52"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b/>
          <w:bCs/>
          <w:kern w:val="0"/>
          <w:sz w:val="22"/>
          <w:szCs w:val="22"/>
          <w:lang w:val="es-ES" w:eastAsia="es-ES" w:bidi="es-ES"/>
          <w14:ligatures w14:val="none"/>
        </w:rPr>
      </w:pPr>
    </w:p>
    <w:p w14:paraId="0C96D8E0"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ESTRATEGIAS TRANSACCIONALES DE ADQUISICIÓN</w:t>
      </w:r>
    </w:p>
    <w:p w14:paraId="120AD13C"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4409A5B1"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Es importante verificar que </w:t>
      </w:r>
      <w:r w:rsidRPr="00850D4E">
        <w:rPr>
          <w:rFonts w:ascii="Calibri" w:eastAsia="MS Mincho" w:hAnsi="Calibri" w:cs="Calibri"/>
          <w:b/>
          <w:kern w:val="0"/>
          <w:sz w:val="22"/>
          <w:szCs w:val="22"/>
          <w:lang w:val="es-ES" w:eastAsia="es-ES" w:bidi="es-ES"/>
          <w14:ligatures w14:val="none"/>
        </w:rPr>
        <w:t>cualquier actividad de adquisición debe estar alineada con el Plan Estratégico del PNUD.</w:t>
      </w:r>
      <w:r w:rsidRPr="00850D4E">
        <w:rPr>
          <w:rFonts w:ascii="Calibri" w:eastAsia="MS Mincho" w:hAnsi="Calibri" w:cs="Times New Roman"/>
          <w:kern w:val="0"/>
          <w:sz w:val="22"/>
          <w:szCs w:val="22"/>
          <w:lang w:val="es-ES" w:eastAsia="es-ES" w:bidi="es-ES"/>
          <w14:ligatures w14:val="none"/>
        </w:rPr>
        <w:t xml:space="preserve"> </w:t>
      </w:r>
    </w:p>
    <w:p w14:paraId="4126484C"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p>
    <w:p w14:paraId="74B07302"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Según la información recolectada, se deben identificar y evaluar posibles estrategias de adquisiciones.</w:t>
      </w:r>
    </w:p>
    <w:p w14:paraId="3039070B" w14:textId="77777777" w:rsidR="00850D4E" w:rsidRPr="00850D4E" w:rsidRDefault="00850D4E" w:rsidP="00850D4E">
      <w:pPr>
        <w:shd w:val="clear" w:color="auto" w:fill="FFFFFF"/>
        <w:spacing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850D4E" w:rsidRPr="00850D4E" w14:paraId="49EDF2BD" w14:textId="77777777" w:rsidTr="00FA0166">
        <w:tc>
          <w:tcPr>
            <w:tcW w:w="5000" w:type="pct"/>
            <w:tcBorders>
              <w:top w:val="nil"/>
              <w:left w:val="nil"/>
              <w:bottom w:val="nil"/>
              <w:right w:val="nil"/>
            </w:tcBorders>
            <w:tcMar>
              <w:top w:w="15" w:type="dxa"/>
              <w:left w:w="15" w:type="dxa"/>
              <w:bottom w:w="15" w:type="dxa"/>
              <w:right w:w="15" w:type="dxa"/>
            </w:tcMar>
            <w:vAlign w:val="center"/>
            <w:hideMark/>
          </w:tcPr>
          <w:p w14:paraId="16CFF974" w14:textId="77777777" w:rsidR="00850D4E" w:rsidRPr="00850D4E" w:rsidRDefault="00850D4E" w:rsidP="00850D4E">
            <w:pPr>
              <w:numPr>
                <w:ilvl w:val="0"/>
                <w:numId w:val="20"/>
              </w:numPr>
              <w:spacing w:after="0" w:line="240" w:lineRule="auto"/>
              <w:contextualSpacing/>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Todas las actividades de adquisición requieren de la formulación de una estrategia. Sin embargo, las actividades designadas como «compras significativas» requerirán una atención especial</w:t>
            </w:r>
          </w:p>
          <w:p w14:paraId="43A1A36B"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p>
          <w:p w14:paraId="2B071644" w14:textId="77777777" w:rsidR="00850D4E" w:rsidRPr="00850D4E" w:rsidRDefault="00850D4E" w:rsidP="00850D4E">
            <w:pPr>
              <w:numPr>
                <w:ilvl w:val="0"/>
                <w:numId w:val="20"/>
              </w:numPr>
              <w:spacing w:after="0" w:line="240" w:lineRule="auto"/>
              <w:contextualSpacing/>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Podemos definir las </w:t>
            </w:r>
            <w:r w:rsidRPr="00850D4E">
              <w:rPr>
                <w:rFonts w:ascii="Calibri" w:eastAsia="MS Mincho" w:hAnsi="Calibri" w:cs="Calibri"/>
                <w:b/>
                <w:kern w:val="0"/>
                <w:sz w:val="22"/>
                <w:szCs w:val="22"/>
                <w:lang w:val="es-ES" w:eastAsia="es-ES" w:bidi="es-ES"/>
                <w14:ligatures w14:val="none"/>
              </w:rPr>
              <w:t xml:space="preserve">compras significativas </w:t>
            </w:r>
            <w:r w:rsidRPr="00850D4E">
              <w:rPr>
                <w:rFonts w:ascii="Calibri" w:eastAsia="MS Mincho" w:hAnsi="Calibri" w:cs="Times New Roman"/>
                <w:kern w:val="0"/>
                <w:sz w:val="22"/>
                <w:szCs w:val="22"/>
                <w:lang w:val="es-ES" w:eastAsia="es-ES" w:bidi="es-ES"/>
                <w14:ligatures w14:val="none"/>
              </w:rPr>
              <w:t xml:space="preserve">como aquellas que representan un </w:t>
            </w:r>
            <w:r w:rsidRPr="00850D4E">
              <w:rPr>
                <w:rFonts w:ascii="Calibri" w:eastAsia="MS Mincho" w:hAnsi="Calibri" w:cs="Calibri"/>
                <w:i/>
                <w:kern w:val="0"/>
                <w:sz w:val="22"/>
                <w:szCs w:val="22"/>
                <w:u w:val="single"/>
                <w:lang w:val="es-ES" w:eastAsia="es-ES" w:bidi="es-ES"/>
                <w14:ligatures w14:val="none"/>
              </w:rPr>
              <w:t>gasto relativo alto y/o para las cuales es difícil garantizar el suministro</w:t>
            </w:r>
            <w:r w:rsidRPr="00850D4E">
              <w:rPr>
                <w:rFonts w:ascii="Calibri" w:eastAsia="MS Mincho" w:hAnsi="Calibri" w:cs="Times New Roman"/>
                <w:kern w:val="0"/>
                <w:sz w:val="22"/>
                <w:szCs w:val="22"/>
                <w:lang w:val="es-ES" w:eastAsia="es-ES" w:bidi="es-ES"/>
                <w14:ligatures w14:val="none"/>
              </w:rPr>
              <w:t>.</w:t>
            </w:r>
          </w:p>
        </w:tc>
      </w:tr>
    </w:tbl>
    <w:p w14:paraId="488613CD"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p>
    <w:p w14:paraId="5AB282D4"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El gasto relativo de bienes y servicios se define como su costo en relación con el gasto total de la compra de la Unidad de Negocio o el organismo. </w:t>
      </w:r>
      <w:r w:rsidRPr="00850D4E">
        <w:rPr>
          <w:rFonts w:ascii="Calibri" w:eastAsia="MS Mincho" w:hAnsi="Calibri" w:cs="Calibri"/>
          <w:i/>
          <w:kern w:val="0"/>
          <w:sz w:val="22"/>
          <w:szCs w:val="22"/>
          <w:u w:val="single"/>
          <w:lang w:val="es-ES" w:eastAsia="es-ES" w:bidi="es-ES"/>
          <w14:ligatures w14:val="none"/>
        </w:rPr>
        <w:t>Para el PNUD, una transacción de USD 100 000 o más se considera una compra significativa</w:t>
      </w:r>
      <w:r w:rsidRPr="00850D4E">
        <w:rPr>
          <w:rFonts w:ascii="Calibri" w:eastAsia="MS Mincho" w:hAnsi="Calibri" w:cs="Times New Roman"/>
          <w:kern w:val="0"/>
          <w:sz w:val="22"/>
          <w:szCs w:val="22"/>
          <w:lang w:val="es-ES" w:eastAsia="es-ES" w:bidi="es-ES"/>
          <w14:ligatures w14:val="none"/>
        </w:rPr>
        <w:t>.</w:t>
      </w:r>
    </w:p>
    <w:p w14:paraId="0D51D350"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172464CE"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El criterio </w:t>
      </w:r>
      <w:r w:rsidRPr="00850D4E">
        <w:rPr>
          <w:rFonts w:ascii="Calibri" w:eastAsia="MS Mincho" w:hAnsi="Calibri" w:cs="Times New Roman"/>
          <w:i/>
          <w:kern w:val="0"/>
          <w:sz w:val="22"/>
          <w:szCs w:val="22"/>
          <w:lang w:val="es-ES" w:eastAsia="es-ES" w:bidi="es-ES"/>
          <w14:ligatures w14:val="none"/>
        </w:rPr>
        <w:t>«difícil de garantizar el suministro»</w:t>
      </w:r>
      <w:r w:rsidRPr="00850D4E">
        <w:rPr>
          <w:rFonts w:ascii="Calibri" w:eastAsia="MS Mincho" w:hAnsi="Calibri" w:cs="Times New Roman"/>
          <w:kern w:val="0"/>
          <w:sz w:val="22"/>
          <w:szCs w:val="22"/>
          <w:lang w:val="es-ES" w:eastAsia="es-ES" w:bidi="es-ES"/>
          <w14:ligatures w14:val="none"/>
        </w:rPr>
        <w:t xml:space="preserve"> se basará en los siguientes factores:</w:t>
      </w:r>
    </w:p>
    <w:p w14:paraId="6A3BE3E9" w14:textId="77777777" w:rsidR="00850D4E" w:rsidRPr="00850D4E" w:rsidRDefault="00850D4E" w:rsidP="00850D4E">
      <w:pPr>
        <w:numPr>
          <w:ilvl w:val="0"/>
          <w:numId w:val="1"/>
        </w:numPr>
        <w:shd w:val="clear" w:color="auto" w:fill="FFFFFF"/>
        <w:spacing w:after="0" w:line="240"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el grado en el cual los bienes o los servicios adquiridos representan un riesgo o son críticos para el organismo; además de </w:t>
      </w:r>
    </w:p>
    <w:p w14:paraId="16A360E0" w14:textId="77777777" w:rsidR="00850D4E" w:rsidRPr="00850D4E" w:rsidRDefault="00850D4E" w:rsidP="00850D4E">
      <w:pPr>
        <w:numPr>
          <w:ilvl w:val="0"/>
          <w:numId w:val="1"/>
        </w:numPr>
        <w:shd w:val="clear" w:color="auto" w:fill="FFFFFF"/>
        <w:spacing w:after="0" w:line="240"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la medida en la cual existe un mercado competitivo.</w:t>
      </w:r>
    </w:p>
    <w:p w14:paraId="14C83530" w14:textId="77777777" w:rsidR="00850D4E" w:rsidRPr="00850D4E" w:rsidRDefault="00850D4E" w:rsidP="00850D4E">
      <w:pPr>
        <w:shd w:val="clear" w:color="auto" w:fill="FFFFFF"/>
        <w:spacing w:after="240" w:line="312" w:lineRule="auto"/>
        <w:jc w:val="center"/>
        <w:textAlignment w:val="top"/>
        <w:rPr>
          <w:rFonts w:ascii="Calibri" w:eastAsia="Times New Roman" w:hAnsi="Calibri" w:cs="Calibri"/>
          <w:kern w:val="0"/>
          <w:sz w:val="22"/>
          <w:szCs w:val="22"/>
          <w:lang w:val="es-ES" w:eastAsia="es-ES" w:bidi="es-ES"/>
          <w14:ligatures w14:val="none"/>
        </w:rPr>
      </w:pPr>
      <w:r w:rsidRPr="00850D4E">
        <w:rPr>
          <w:rFonts w:ascii="Calibri" w:eastAsia="Times New Roman" w:hAnsi="Calibri" w:cs="Calibri"/>
          <w:noProof/>
          <w:kern w:val="0"/>
          <w:sz w:val="22"/>
          <w:szCs w:val="22"/>
          <w14:ligatures w14:val="none"/>
        </w:rPr>
        <w:drawing>
          <wp:inline distT="0" distB="0" distL="0" distR="0" wp14:anchorId="434C6C6F" wp14:editId="65E8C367">
            <wp:extent cx="2495550" cy="2628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ranet.undp.org/global/popp/cap/PublishingImages/procurement-strategies-and-planning_p1.JP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495550" cy="2628900"/>
                    </a:xfrm>
                    <a:prstGeom prst="rect">
                      <a:avLst/>
                    </a:prstGeom>
                    <a:noFill/>
                    <a:ln>
                      <a:noFill/>
                    </a:ln>
                  </pic:spPr>
                </pic:pic>
              </a:graphicData>
            </a:graphic>
          </wp:inline>
        </w:drawing>
      </w:r>
    </w:p>
    <w:p w14:paraId="5FAD34AC"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Las compras significativas tienen las siguientes características:</w:t>
      </w:r>
    </w:p>
    <w:p w14:paraId="12CA9A35" w14:textId="77777777" w:rsidR="00850D4E" w:rsidRPr="00850D4E" w:rsidRDefault="00850D4E" w:rsidP="00850D4E">
      <w:pPr>
        <w:numPr>
          <w:ilvl w:val="0"/>
          <w:numId w:val="2"/>
        </w:numPr>
        <w:shd w:val="clear" w:color="auto" w:fill="FFFFFF"/>
        <w:spacing w:after="0" w:line="240"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representan un gasto relativo alto y es fácil garantizar el suministro; </w:t>
      </w:r>
    </w:p>
    <w:p w14:paraId="018A9011" w14:textId="77777777" w:rsidR="00850D4E" w:rsidRPr="00850D4E" w:rsidRDefault="00850D4E" w:rsidP="00850D4E">
      <w:pPr>
        <w:numPr>
          <w:ilvl w:val="0"/>
          <w:numId w:val="2"/>
        </w:numPr>
        <w:shd w:val="clear" w:color="auto" w:fill="FFFFFF"/>
        <w:spacing w:after="0" w:line="240"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representan un gasto relativo bajo y es difícil garantizar el suministro; y </w:t>
      </w:r>
    </w:p>
    <w:p w14:paraId="3BC5811E" w14:textId="77777777" w:rsidR="00850D4E" w:rsidRPr="00850D4E" w:rsidRDefault="00850D4E" w:rsidP="00850D4E">
      <w:pPr>
        <w:numPr>
          <w:ilvl w:val="0"/>
          <w:numId w:val="2"/>
        </w:numPr>
        <w:shd w:val="clear" w:color="auto" w:fill="FFFFFF"/>
        <w:spacing w:after="0" w:line="240"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representan un gasto relativo alto y es difícil garantizar el suministro.</w:t>
      </w:r>
    </w:p>
    <w:p w14:paraId="22F7246F"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 xml:space="preserve">Basándose en la información recolectada, </w:t>
      </w:r>
      <w:proofErr w:type="spellStart"/>
      <w:r w:rsidRPr="00850D4E">
        <w:rPr>
          <w:rFonts w:ascii="Calibri" w:eastAsia="MS Mincho" w:hAnsi="Calibri" w:cs="Times New Roman"/>
          <w:kern w:val="0"/>
          <w:sz w:val="22"/>
          <w:szCs w:val="22"/>
          <w:lang w:val="es-ES" w:eastAsia="es-ES" w:bidi="es-ES"/>
          <w14:ligatures w14:val="none"/>
        </w:rPr>
        <w:t>lacomprensión</w:t>
      </w:r>
      <w:proofErr w:type="spellEnd"/>
      <w:r w:rsidRPr="00850D4E">
        <w:rPr>
          <w:rFonts w:ascii="Calibri" w:eastAsia="MS Mincho" w:hAnsi="Calibri" w:cs="Times New Roman"/>
          <w:kern w:val="0"/>
          <w:sz w:val="22"/>
          <w:szCs w:val="22"/>
          <w:lang w:val="es-ES" w:eastAsia="es-ES" w:bidi="es-ES"/>
          <w14:ligatures w14:val="none"/>
        </w:rPr>
        <w:t xml:space="preserve"> de la naturaleza de las actividades de adquisición, </w:t>
      </w:r>
      <w:proofErr w:type="spellStart"/>
      <w:r w:rsidRPr="00850D4E">
        <w:rPr>
          <w:rFonts w:ascii="Calibri" w:eastAsia="MS Mincho" w:hAnsi="Calibri" w:cs="Times New Roman"/>
          <w:kern w:val="0"/>
          <w:sz w:val="22"/>
          <w:szCs w:val="22"/>
          <w:lang w:val="es-ES" w:eastAsia="es-ES" w:bidi="es-ES"/>
          <w14:ligatures w14:val="none"/>
        </w:rPr>
        <w:t>elconocimiento</w:t>
      </w:r>
      <w:proofErr w:type="spellEnd"/>
      <w:r w:rsidRPr="00850D4E">
        <w:rPr>
          <w:rFonts w:ascii="Calibri" w:eastAsia="MS Mincho" w:hAnsi="Calibri" w:cs="Times New Roman"/>
          <w:kern w:val="0"/>
          <w:sz w:val="22"/>
          <w:szCs w:val="22"/>
          <w:lang w:val="es-ES" w:eastAsia="es-ES" w:bidi="es-ES"/>
          <w14:ligatures w14:val="none"/>
        </w:rPr>
        <w:t xml:space="preserve"> del mercado y la </w:t>
      </w:r>
      <w:proofErr w:type="spellStart"/>
      <w:r w:rsidRPr="00850D4E">
        <w:rPr>
          <w:rFonts w:ascii="Calibri" w:eastAsia="MS Mincho" w:hAnsi="Calibri" w:cs="Times New Roman"/>
          <w:kern w:val="0"/>
          <w:sz w:val="22"/>
          <w:szCs w:val="22"/>
          <w:lang w:val="es-ES" w:eastAsia="es-ES" w:bidi="es-ES"/>
          <w14:ligatures w14:val="none"/>
        </w:rPr>
        <w:t>definicion</w:t>
      </w:r>
      <w:proofErr w:type="spellEnd"/>
      <w:r w:rsidRPr="00850D4E">
        <w:rPr>
          <w:rFonts w:ascii="Calibri" w:eastAsia="MS Mincho" w:hAnsi="Calibri" w:cs="Times New Roman"/>
          <w:kern w:val="0"/>
          <w:sz w:val="22"/>
          <w:szCs w:val="22"/>
          <w:lang w:val="es-ES" w:eastAsia="es-ES" w:bidi="es-ES"/>
          <w14:ligatures w14:val="none"/>
        </w:rPr>
        <w:t xml:space="preserve"> de los riesgos existentes, el PNUD </w:t>
      </w:r>
      <w:r w:rsidRPr="00850D4E">
        <w:rPr>
          <w:rFonts w:ascii="Calibri" w:eastAsia="MS Mincho" w:hAnsi="Calibri" w:cs="Times New Roman"/>
          <w:b/>
          <w:kern w:val="0"/>
          <w:sz w:val="22"/>
          <w:szCs w:val="22"/>
          <w:lang w:val="es-ES" w:eastAsia="es-ES" w:bidi="es-ES"/>
          <w14:ligatures w14:val="none"/>
        </w:rPr>
        <w:t>desarrollará estrategias únicas de adquisición para cada proyecto.</w:t>
      </w:r>
      <w:r w:rsidRPr="00850D4E">
        <w:rPr>
          <w:rFonts w:ascii="Calibri" w:eastAsia="MS Mincho" w:hAnsi="Calibri" w:cs="Times New Roman"/>
          <w:kern w:val="0"/>
          <w:sz w:val="22"/>
          <w:szCs w:val="22"/>
          <w:lang w:val="es-ES" w:eastAsia="es-ES" w:bidi="es-ES"/>
          <w14:ligatures w14:val="none"/>
        </w:rPr>
        <w:t xml:space="preserve"> Las estrategias posibles incluyen las siguientes:</w:t>
      </w:r>
    </w:p>
    <w:p w14:paraId="7E3D6EAB" w14:textId="77777777" w:rsidR="00850D4E" w:rsidRPr="00850D4E" w:rsidRDefault="00850D4E" w:rsidP="00850D4E">
      <w:pPr>
        <w:numPr>
          <w:ilvl w:val="0"/>
          <w:numId w:val="3"/>
        </w:numPr>
        <w:shd w:val="clear" w:color="auto" w:fill="FFFFFF"/>
        <w:spacing w:after="0" w:line="240"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Una compra de gasto relativo alto y de suministro fácil de garantizar puede requerir una estrategia destinada a garantizar que el costo total (incluido el costo de procesamiento de grandes cantidades de transacciones de bajo valor) se reduzca (es decir, agregación de demanda). </w:t>
      </w:r>
    </w:p>
    <w:p w14:paraId="15CB86BE" w14:textId="77777777" w:rsidR="00850D4E" w:rsidRPr="00850D4E" w:rsidRDefault="00850D4E" w:rsidP="00850D4E">
      <w:pPr>
        <w:numPr>
          <w:ilvl w:val="0"/>
          <w:numId w:val="3"/>
        </w:numPr>
        <w:shd w:val="clear" w:color="auto" w:fill="FFFFFF"/>
        <w:spacing w:after="0" w:line="240"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Una compra de gasto relativo bajo y de suministro difícil de asegurar puede requerir una estrategia que apunte a garantizar un suministro continuo para reducir el </w:t>
      </w:r>
      <w:proofErr w:type="spellStart"/>
      <w:r w:rsidRPr="00850D4E">
        <w:rPr>
          <w:rFonts w:ascii="Calibri" w:eastAsia="MS Mincho" w:hAnsi="Calibri" w:cs="Times New Roman"/>
          <w:kern w:val="0"/>
          <w:sz w:val="22"/>
          <w:szCs w:val="22"/>
          <w:lang w:val="es-ES" w:eastAsia="es-ES" w:bidi="es-ES"/>
          <w14:ligatures w14:val="none"/>
        </w:rPr>
        <w:t>el</w:t>
      </w:r>
      <w:proofErr w:type="spellEnd"/>
      <w:r w:rsidRPr="00850D4E">
        <w:rPr>
          <w:rFonts w:ascii="Calibri" w:eastAsia="MS Mincho" w:hAnsi="Calibri" w:cs="Times New Roman"/>
          <w:kern w:val="0"/>
          <w:sz w:val="22"/>
          <w:szCs w:val="22"/>
          <w:lang w:val="es-ES" w:eastAsia="es-ES" w:bidi="es-ES"/>
          <w14:ligatures w14:val="none"/>
        </w:rPr>
        <w:t xml:space="preserve"> riesgo de desabastecimiento (es decir, mantener reservas de emergencia o desarrollar fuentes alternativas de suministro). </w:t>
      </w:r>
    </w:p>
    <w:p w14:paraId="3BFCDACD" w14:textId="77777777" w:rsidR="00850D4E" w:rsidRPr="00850D4E" w:rsidRDefault="00850D4E" w:rsidP="00850D4E">
      <w:pPr>
        <w:numPr>
          <w:ilvl w:val="0"/>
          <w:numId w:val="3"/>
        </w:numPr>
        <w:shd w:val="clear" w:color="auto" w:fill="FFFFFF"/>
        <w:spacing w:after="0" w:line="240"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Una compra de gasto relativo alto y de suministro difícil de garantizar puede requerir una gestión especial de la relación con el proveedor.</w:t>
      </w:r>
    </w:p>
    <w:p w14:paraId="6E62B1A7" w14:textId="77777777" w:rsidR="00850D4E" w:rsidRPr="00850D4E" w:rsidRDefault="00850D4E" w:rsidP="00850D4E">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es-ES" w:bidi="es-ES"/>
          <w14:ligatures w14:val="none"/>
        </w:rPr>
      </w:pPr>
    </w:p>
    <w:p w14:paraId="5B4642EF"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Las estrategias de adquisición buscarán cumplir con los objetivos identificados del proyecto y a contribuir a mitigar los riesgos existentes. Por ejemplo, en el caso de una transacción de adquisición en la que la calidad es crítica, las estrategias de adquisición del PNUD no solo incluirán especificaciones claras que reflejen normas nacionales e internacionales, sino que también podrían incluir preselecciones de proveedores, visitas a la fábrica, muestreo y pruebas de laboratorio independientes, o inspección previa al envío, entre otras acciones.</w:t>
      </w:r>
    </w:p>
    <w:p w14:paraId="3182C0FD"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00326E8C"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En el caso de un proyecto en el que la entrega es crítica (p. ej., elecciones), las estrategias posibles podrían incluir pedidos anticipados (si se realizó la planificación apropiada), preselección de proveedores (para asegurar que todos los proveedores considerados tengan buena reputación y sean capaces), desarrollo de fuentes alternativas, comprobación de la capacidad de fabricación, solicitud de garantía de cumplimiento e inclusión de garantías adicionales en el contrato como cláusulas de indemnización fijada convencionalmente, entre otros. </w:t>
      </w:r>
    </w:p>
    <w:p w14:paraId="29C7B306" w14:textId="77777777" w:rsidR="00850D4E" w:rsidRPr="00850D4E" w:rsidRDefault="00850D4E" w:rsidP="00850D4E">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es-ES" w:eastAsia="es-ES" w:bidi="es-ES"/>
          <w14:ligatures w14:val="none"/>
        </w:rPr>
      </w:pPr>
    </w:p>
    <w:p w14:paraId="6D2BAF91" w14:textId="77777777" w:rsidR="00850D4E" w:rsidRPr="00850D4E" w:rsidRDefault="00850D4E" w:rsidP="00850D4E">
      <w:pPr>
        <w:numPr>
          <w:ilvl w:val="0"/>
          <w:numId w:val="20"/>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La adquisición es una función importante para asegurar que el PNUD cumpla con sus objetivos organizacionales. Si bien la adquisición es una función de apoyo para la organización, es, sin embargo, una función central y crítica para mejorar la realización del programa/proyecto. El PNUD no realiza adquisiciones en forma aislada, sino como parte del proceso de alcanzar los resultados del proyecto de desarrollo. Por lo tanto, todas las actividades de adquisición del PNUD están enmarcadas en el contexto de los programas y los proyectos del PNUD.</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850D4E" w:rsidRPr="00850D4E" w14:paraId="1F5A9CCC" w14:textId="77777777" w:rsidTr="00FA0166">
        <w:tc>
          <w:tcPr>
            <w:tcW w:w="5000" w:type="pct"/>
            <w:tcBorders>
              <w:top w:val="nil"/>
              <w:left w:val="nil"/>
              <w:bottom w:val="nil"/>
              <w:right w:val="nil"/>
            </w:tcBorders>
            <w:tcMar>
              <w:top w:w="15" w:type="dxa"/>
              <w:left w:w="15" w:type="dxa"/>
              <w:bottom w:w="15" w:type="dxa"/>
              <w:right w:w="15" w:type="dxa"/>
            </w:tcMar>
            <w:vAlign w:val="center"/>
            <w:hideMark/>
          </w:tcPr>
          <w:p w14:paraId="3FFB335B" w14:textId="77777777" w:rsidR="00850D4E" w:rsidRPr="00850D4E" w:rsidRDefault="00850D4E" w:rsidP="00850D4E">
            <w:pPr>
              <w:spacing w:after="0" w:line="240" w:lineRule="auto"/>
              <w:ind w:left="720"/>
              <w:contextualSpacing/>
              <w:jc w:val="both"/>
              <w:rPr>
                <w:rFonts w:ascii="Calibri" w:eastAsia="Times New Roman" w:hAnsi="Calibri" w:cs="Calibri"/>
                <w:kern w:val="0"/>
                <w:sz w:val="22"/>
                <w:szCs w:val="22"/>
                <w:lang w:val="es-ES" w:eastAsia="es-ES" w:bidi="es-ES"/>
                <w14:ligatures w14:val="none"/>
              </w:rPr>
            </w:pPr>
          </w:p>
          <w:p w14:paraId="22EDF045" w14:textId="77777777" w:rsidR="00850D4E" w:rsidRPr="00850D4E" w:rsidRDefault="00850D4E" w:rsidP="00850D4E">
            <w:pPr>
              <w:numPr>
                <w:ilvl w:val="0"/>
                <w:numId w:val="20"/>
              </w:numPr>
              <w:spacing w:after="0" w:line="240" w:lineRule="auto"/>
              <w:contextualSpacing/>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 xml:space="preserve">Contemplar la función de </w:t>
            </w:r>
            <w:proofErr w:type="spellStart"/>
            <w:r w:rsidRPr="00850D4E">
              <w:rPr>
                <w:rFonts w:ascii="Calibri" w:eastAsia="MS Mincho" w:hAnsi="Calibri" w:cs="Calibri"/>
                <w:b/>
                <w:kern w:val="0"/>
                <w:sz w:val="22"/>
                <w:szCs w:val="22"/>
                <w:lang w:val="es-ES" w:eastAsia="es-ES" w:bidi="es-ES"/>
                <w14:ligatures w14:val="none"/>
              </w:rPr>
              <w:t>adquisiciónes</w:t>
            </w:r>
            <w:proofErr w:type="spellEnd"/>
            <w:r w:rsidRPr="00850D4E">
              <w:rPr>
                <w:rFonts w:ascii="Calibri" w:eastAsia="MS Mincho" w:hAnsi="Calibri" w:cs="Calibri"/>
                <w:b/>
                <w:kern w:val="0"/>
                <w:sz w:val="22"/>
                <w:szCs w:val="22"/>
                <w:lang w:val="es-ES" w:eastAsia="es-ES" w:bidi="es-ES"/>
                <w14:ligatures w14:val="none"/>
              </w:rPr>
              <w:t xml:space="preserve"> como una disciplina de gestión </w:t>
            </w:r>
            <w:r w:rsidRPr="00850D4E">
              <w:rPr>
                <w:rFonts w:ascii="Calibri" w:eastAsia="MS Mincho" w:hAnsi="Calibri" w:cs="Times New Roman"/>
                <w:kern w:val="0"/>
                <w:sz w:val="22"/>
                <w:szCs w:val="22"/>
                <w:lang w:val="es-ES" w:eastAsia="es-ES" w:bidi="es-ES"/>
                <w14:ligatures w14:val="none"/>
              </w:rPr>
              <w:t>(y no administrativa) implica la necesidad de adquirir y mejorar ciertas habilidades y herramientas de gestión, incluidas las siguientes:</w:t>
            </w:r>
          </w:p>
          <w:p w14:paraId="1D27421D" w14:textId="77777777" w:rsidR="00850D4E" w:rsidRPr="00850D4E" w:rsidRDefault="00850D4E" w:rsidP="00850D4E">
            <w:pPr>
              <w:numPr>
                <w:ilvl w:val="0"/>
                <w:numId w:val="4"/>
              </w:numPr>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Gestión de Riesgos de las Adquisiciones </w:t>
            </w:r>
          </w:p>
          <w:p w14:paraId="06200B1C" w14:textId="77777777" w:rsidR="00850D4E" w:rsidRPr="00850D4E" w:rsidRDefault="00850D4E" w:rsidP="00850D4E">
            <w:pPr>
              <w:numPr>
                <w:ilvl w:val="0"/>
                <w:numId w:val="4"/>
              </w:numPr>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Desarrollo de Estrategias de Adquisición </w:t>
            </w:r>
          </w:p>
          <w:p w14:paraId="1656E9F8" w14:textId="77777777" w:rsidR="00850D4E" w:rsidRPr="00850D4E" w:rsidRDefault="00850D4E" w:rsidP="00850D4E">
            <w:pPr>
              <w:numPr>
                <w:ilvl w:val="0"/>
                <w:numId w:val="4"/>
              </w:numPr>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Planificación de Adquisiciones</w:t>
            </w:r>
          </w:p>
        </w:tc>
      </w:tr>
    </w:tbl>
    <w:p w14:paraId="723DFF72" w14:textId="77777777" w:rsidR="00850D4E" w:rsidRPr="00850D4E" w:rsidRDefault="00850D4E" w:rsidP="00850D4E">
      <w:pPr>
        <w:shd w:val="clear" w:color="auto" w:fill="FFFFFF"/>
        <w:spacing w:before="100" w:beforeAutospacing="1" w:after="100" w:afterAutospacing="1" w:line="240" w:lineRule="auto"/>
        <w:ind w:firstLine="720"/>
        <w:jc w:val="both"/>
        <w:textAlignment w:val="top"/>
        <w:rPr>
          <w:rFonts w:ascii="Calibri" w:eastAsia="MS Mincho" w:hAnsi="Calibri" w:cs="Calibri"/>
          <w:b/>
          <w:kern w:val="0"/>
          <w:sz w:val="22"/>
          <w:szCs w:val="22"/>
          <w:lang w:val="es-ES" w:eastAsia="es-ES" w:bidi="es-ES"/>
          <w14:ligatures w14:val="none"/>
        </w:rPr>
      </w:pPr>
    </w:p>
    <w:p w14:paraId="4F7DA13D" w14:textId="77777777" w:rsidR="00850D4E" w:rsidRPr="00850D4E" w:rsidRDefault="00850D4E" w:rsidP="00850D4E">
      <w:pPr>
        <w:shd w:val="clear" w:color="auto" w:fill="FFFFFF"/>
        <w:spacing w:before="100" w:beforeAutospacing="1" w:after="100" w:afterAutospacing="1" w:line="240" w:lineRule="auto"/>
        <w:ind w:firstLine="720"/>
        <w:jc w:val="both"/>
        <w:textAlignment w:val="top"/>
        <w:rPr>
          <w:rFonts w:ascii="Calibri" w:eastAsia="MS Mincho" w:hAnsi="Calibri" w:cs="Calibri"/>
          <w:b/>
          <w:kern w:val="0"/>
          <w:sz w:val="22"/>
          <w:szCs w:val="22"/>
          <w:lang w:val="es-ES" w:eastAsia="es-ES" w:bidi="es-ES"/>
          <w14:ligatures w14:val="none"/>
        </w:rPr>
      </w:pPr>
    </w:p>
    <w:p w14:paraId="219F7F7F" w14:textId="77777777" w:rsidR="00850D4E" w:rsidRPr="00850D4E" w:rsidRDefault="00850D4E" w:rsidP="00CE64FA">
      <w:p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lastRenderedPageBreak/>
        <w:t>Al comprender...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6"/>
        <w:gridCol w:w="3117"/>
        <w:gridCol w:w="3117"/>
      </w:tblGrid>
      <w:tr w:rsidR="00850D4E" w:rsidRPr="00850D4E" w14:paraId="7147A329" w14:textId="77777777" w:rsidTr="00FA0166">
        <w:tc>
          <w:tcPr>
            <w:tcW w:w="1650" w:type="pct"/>
            <w:tcMar>
              <w:top w:w="15" w:type="dxa"/>
              <w:left w:w="15" w:type="dxa"/>
              <w:bottom w:w="15" w:type="dxa"/>
              <w:right w:w="15" w:type="dxa"/>
            </w:tcMar>
            <w:vAlign w:val="center"/>
            <w:hideMark/>
          </w:tcPr>
          <w:p w14:paraId="7EEAF8E9"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¿Qué adquirimos?</w:t>
            </w:r>
          </w:p>
          <w:p w14:paraId="175BF151"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(Análisis de Gastos) </w:t>
            </w:r>
          </w:p>
        </w:tc>
        <w:tc>
          <w:tcPr>
            <w:tcW w:w="1650" w:type="pct"/>
            <w:tcMar>
              <w:top w:w="15" w:type="dxa"/>
              <w:left w:w="15" w:type="dxa"/>
              <w:bottom w:w="15" w:type="dxa"/>
              <w:right w:w="15" w:type="dxa"/>
            </w:tcMar>
            <w:vAlign w:val="center"/>
            <w:hideMark/>
          </w:tcPr>
          <w:p w14:paraId="3D456ED7"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¿En qué mercados operamos?</w:t>
            </w:r>
          </w:p>
          <w:p w14:paraId="2BBA13B6"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(Análisis del Mercado)</w:t>
            </w:r>
          </w:p>
        </w:tc>
        <w:tc>
          <w:tcPr>
            <w:tcW w:w="1650" w:type="pct"/>
            <w:tcMar>
              <w:top w:w="15" w:type="dxa"/>
              <w:left w:w="15" w:type="dxa"/>
              <w:bottom w:w="15" w:type="dxa"/>
              <w:right w:w="15" w:type="dxa"/>
            </w:tcMar>
            <w:vAlign w:val="center"/>
            <w:hideMark/>
          </w:tcPr>
          <w:p w14:paraId="1C92EC49"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¿Cuáles son los riesgos asociados?</w:t>
            </w:r>
          </w:p>
          <w:p w14:paraId="4B7F64B7"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(Externos, internos, riesgos del proyecto)</w:t>
            </w:r>
          </w:p>
        </w:tc>
      </w:tr>
    </w:tbl>
    <w:p w14:paraId="644B3E33"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b/>
          <w:bCs/>
          <w:kern w:val="0"/>
          <w:sz w:val="22"/>
          <w:szCs w:val="22"/>
          <w:lang w:val="es-ES" w:eastAsia="es-ES" w:bidi="es-ES"/>
          <w14:ligatures w14:val="none"/>
        </w:rPr>
      </w:pPr>
    </w:p>
    <w:p w14:paraId="359E105B" w14:textId="77777777" w:rsidR="00850D4E" w:rsidRPr="00850D4E" w:rsidRDefault="00850D4E" w:rsidP="00CE64FA">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Desarrollaremos...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6"/>
        <w:gridCol w:w="3117"/>
        <w:gridCol w:w="3117"/>
      </w:tblGrid>
      <w:tr w:rsidR="00850D4E" w:rsidRPr="00850D4E" w14:paraId="295E4C7B" w14:textId="77777777" w:rsidTr="00FA0166">
        <w:tc>
          <w:tcPr>
            <w:tcW w:w="1666" w:type="pct"/>
            <w:tcMar>
              <w:top w:w="15" w:type="dxa"/>
              <w:left w:w="15" w:type="dxa"/>
              <w:bottom w:w="15" w:type="dxa"/>
              <w:right w:w="15" w:type="dxa"/>
            </w:tcMar>
            <w:vAlign w:val="center"/>
            <w:hideMark/>
          </w:tcPr>
          <w:p w14:paraId="0BE64722"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Gestión de Riesgos de las Adquisiciones </w:t>
            </w:r>
          </w:p>
        </w:tc>
        <w:tc>
          <w:tcPr>
            <w:tcW w:w="1667" w:type="pct"/>
            <w:tcMar>
              <w:top w:w="15" w:type="dxa"/>
              <w:left w:w="15" w:type="dxa"/>
              <w:bottom w:w="15" w:type="dxa"/>
              <w:right w:w="15" w:type="dxa"/>
            </w:tcMar>
            <w:vAlign w:val="center"/>
            <w:hideMark/>
          </w:tcPr>
          <w:p w14:paraId="1C438F30"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Estrategias de Adquisición</w:t>
            </w:r>
          </w:p>
        </w:tc>
        <w:tc>
          <w:tcPr>
            <w:tcW w:w="1667" w:type="pct"/>
            <w:tcMar>
              <w:top w:w="15" w:type="dxa"/>
              <w:left w:w="15" w:type="dxa"/>
              <w:bottom w:w="15" w:type="dxa"/>
              <w:right w:w="15" w:type="dxa"/>
            </w:tcMar>
            <w:vAlign w:val="center"/>
            <w:hideMark/>
          </w:tcPr>
          <w:p w14:paraId="66D8E1E0"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Planes de Adquisición</w:t>
            </w:r>
          </w:p>
        </w:tc>
      </w:tr>
    </w:tbl>
    <w:p w14:paraId="1D7E18FF" w14:textId="77777777" w:rsidR="00850D4E" w:rsidRPr="00CE64FA" w:rsidRDefault="00850D4E" w:rsidP="00CE64FA">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es-ES" w:eastAsia="es-ES" w:bidi="es-ES"/>
          <w14:ligatures w14:val="none"/>
        </w:rPr>
      </w:pPr>
    </w:p>
    <w:p w14:paraId="21A8D910" w14:textId="7F5C92F1" w:rsidR="00850D4E" w:rsidRPr="00850D4E" w:rsidRDefault="00850D4E" w:rsidP="00850D4E">
      <w:pPr>
        <w:numPr>
          <w:ilvl w:val="0"/>
          <w:numId w:val="20"/>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Cuando hablamos sobre adquisiciones, es necesario ampliar el concepto para incluir la Gestión de la Cadena de Suministro (GCS), dado que la adquisición es uno de los elementos de la Cadena de Suministro. </w:t>
      </w:r>
    </w:p>
    <w:p w14:paraId="659BEE23" w14:textId="77777777" w:rsidR="00850D4E" w:rsidRPr="00850D4E" w:rsidRDefault="00850D4E" w:rsidP="00850D4E">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es-ES" w:bidi="es-ES"/>
          <w14:ligatures w14:val="none"/>
        </w:rPr>
      </w:pPr>
    </w:p>
    <w:p w14:paraId="2A0B9ED1"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La gestión de la cadena de suministro también incluye lo siguiente:</w:t>
      </w:r>
    </w:p>
    <w:p w14:paraId="1AD87332" w14:textId="77777777" w:rsidR="00850D4E" w:rsidRPr="00850D4E" w:rsidRDefault="00850D4E" w:rsidP="00850D4E">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Selección de productos </w:t>
      </w:r>
    </w:p>
    <w:p w14:paraId="7CC812A3" w14:textId="77777777" w:rsidR="00850D4E" w:rsidRPr="00850D4E" w:rsidRDefault="00850D4E" w:rsidP="00850D4E">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Previsión o cuantificación </w:t>
      </w:r>
    </w:p>
    <w:p w14:paraId="227FF060" w14:textId="77777777" w:rsidR="00850D4E" w:rsidRPr="00850D4E" w:rsidRDefault="00850D4E" w:rsidP="00850D4E">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Adquisición, incluyendo el control de calidad </w:t>
      </w:r>
    </w:p>
    <w:p w14:paraId="213561C7" w14:textId="77777777" w:rsidR="00850D4E" w:rsidRPr="00850D4E" w:rsidRDefault="00850D4E" w:rsidP="00850D4E">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Gestión de inventarios, incluido el almacenamiento (si corresponde) </w:t>
      </w:r>
    </w:p>
    <w:p w14:paraId="17F4CD09" w14:textId="77777777" w:rsidR="00850D4E" w:rsidRPr="00850D4E" w:rsidRDefault="00850D4E" w:rsidP="00850D4E">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Distribución (si corresponde) </w:t>
      </w:r>
    </w:p>
    <w:p w14:paraId="256A9F86" w14:textId="77777777" w:rsidR="00850D4E" w:rsidRPr="00850D4E" w:rsidRDefault="00850D4E" w:rsidP="00850D4E">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Devolución (si corresponde)</w:t>
      </w:r>
    </w:p>
    <w:p w14:paraId="06769593" w14:textId="77777777" w:rsidR="00850D4E" w:rsidRPr="00850D4E" w:rsidRDefault="00850D4E" w:rsidP="00850D4E">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es-ES" w:bidi="es-ES"/>
          <w14:ligatures w14:val="none"/>
        </w:rPr>
      </w:pPr>
    </w:p>
    <w:p w14:paraId="0E54DD3B"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Como principio operativo, siempre debemos tener en cuenta todos los pasos de la Gestión de la Cadena de Suministro (GCS) al analizar los riesgos de las adquisiciones, mediante la definición de las estrategias y la planificación de los requerimientos. La complejidad y la extensión de la cadena de suministro variarán de un proyecto a otro.</w:t>
      </w:r>
    </w:p>
    <w:p w14:paraId="68B7D615"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6F9CBF90"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El análisis de riesgos de la Gestión de la Cadena de Suministro, y el desarrollo y la planificación de estrategias de adquisición son herramientas esenciales para asegurar que las </w:t>
      </w:r>
      <w:r w:rsidRPr="00850D4E">
        <w:rPr>
          <w:rFonts w:ascii="Calibri" w:eastAsia="MS Mincho" w:hAnsi="Calibri" w:cs="Times New Roman"/>
          <w:b/>
          <w:kern w:val="0"/>
          <w:sz w:val="22"/>
          <w:szCs w:val="22"/>
          <w:lang w:val="es-ES" w:eastAsia="es-ES" w:bidi="es-ES"/>
          <w14:ligatures w14:val="none"/>
        </w:rPr>
        <w:t>actividades de adquisición apoyen los resultados del proyecto</w:t>
      </w:r>
      <w:r w:rsidRPr="00850D4E">
        <w:rPr>
          <w:rFonts w:ascii="Calibri" w:eastAsia="MS Mincho" w:hAnsi="Calibri" w:cs="Times New Roman"/>
          <w:kern w:val="0"/>
          <w:sz w:val="22"/>
          <w:szCs w:val="22"/>
          <w:lang w:val="es-ES" w:eastAsia="es-ES" w:bidi="es-ES"/>
          <w14:ligatures w14:val="none"/>
        </w:rPr>
        <w:t xml:space="preserve">, y que se realicen de una manera oportuna y a un costo razonable. La planificación temprana y precisa es crítica para evitar la adquisición en </w:t>
      </w:r>
      <w:proofErr w:type="gramStart"/>
      <w:r w:rsidRPr="00850D4E">
        <w:rPr>
          <w:rFonts w:ascii="Calibri" w:eastAsia="MS Mincho" w:hAnsi="Calibri" w:cs="Times New Roman"/>
          <w:kern w:val="0"/>
          <w:sz w:val="22"/>
          <w:szCs w:val="22"/>
          <w:lang w:val="es-ES" w:eastAsia="es-ES" w:bidi="es-ES"/>
          <w14:ligatures w14:val="none"/>
        </w:rPr>
        <w:t>el  último</w:t>
      </w:r>
      <w:proofErr w:type="gramEnd"/>
      <w:r w:rsidRPr="00850D4E">
        <w:rPr>
          <w:rFonts w:ascii="Calibri" w:eastAsia="MS Mincho" w:hAnsi="Calibri" w:cs="Times New Roman"/>
          <w:kern w:val="0"/>
          <w:sz w:val="22"/>
          <w:szCs w:val="22"/>
          <w:lang w:val="es-ES" w:eastAsia="es-ES" w:bidi="es-ES"/>
          <w14:ligatures w14:val="none"/>
        </w:rPr>
        <w:t xml:space="preserve"> momento, que es lo opuesto a una adquisición abierta, eficiente y efectiva.</w:t>
      </w:r>
    </w:p>
    <w:p w14:paraId="6B6DF2A4"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74027D2E" w14:textId="77777777" w:rsidR="00850D4E" w:rsidRPr="00850D4E" w:rsidRDefault="00850D4E" w:rsidP="00CE64FA">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u w:val="single"/>
          <w:lang w:val="es-ES" w:eastAsia="es-ES" w:bidi="es-ES"/>
          <w14:ligatures w14:val="none"/>
        </w:rPr>
        <w:t>¿Cuándo comienzan (1) el análisis del riesgo de las adquisiciones, (2) las estrategias de adquisición y (3) la planificación de las adquisiciones?</w:t>
      </w:r>
    </w:p>
    <w:p w14:paraId="1E893471"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10AD87BB"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El ciclo de GCS es una parte integral del ciclo del proyecto y, por lo tanto, debe estar alineado y sincronizado con otras actividades del proyecto para contribuir al logro de los objetivos identificados. Para este fin, el ciclo de GCS no puede funcionar de forma aislada. Por el contrario, debe estar integrado en el ciclo global del proyecto.</w:t>
      </w:r>
    </w:p>
    <w:p w14:paraId="6C3CB8A5"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7084761E"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Esto implica, por definición, la necesidad de una</w:t>
      </w:r>
      <w:r w:rsidRPr="00850D4E">
        <w:rPr>
          <w:rFonts w:ascii="Calibri" w:eastAsia="MS Mincho" w:hAnsi="Calibri" w:cs="Calibri"/>
          <w:b/>
          <w:kern w:val="0"/>
          <w:sz w:val="22"/>
          <w:szCs w:val="22"/>
          <w:lang w:val="es-ES" w:eastAsia="es-ES" w:bidi="es-ES"/>
          <w14:ligatures w14:val="none"/>
        </w:rPr>
        <w:t xml:space="preserve"> interacción constante entre las áreas de operaciones y de programación</w:t>
      </w:r>
      <w:r w:rsidRPr="00850D4E">
        <w:rPr>
          <w:rFonts w:ascii="Calibri" w:eastAsia="MS Mincho" w:hAnsi="Calibri" w:cs="Times New Roman"/>
          <w:kern w:val="0"/>
          <w:sz w:val="22"/>
          <w:szCs w:val="22"/>
          <w:lang w:val="es-ES" w:eastAsia="es-ES" w:bidi="es-ES"/>
          <w14:ligatures w14:val="none"/>
        </w:rPr>
        <w:t>.</w:t>
      </w:r>
    </w:p>
    <w:p w14:paraId="24B4578F"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850D4E" w:rsidRPr="00850D4E" w14:paraId="683C1C3F" w14:textId="77777777" w:rsidTr="00FA0166">
        <w:tc>
          <w:tcPr>
            <w:tcW w:w="5000" w:type="pct"/>
            <w:tcBorders>
              <w:top w:val="nil"/>
              <w:left w:val="nil"/>
              <w:bottom w:val="nil"/>
              <w:right w:val="nil"/>
            </w:tcBorders>
            <w:tcMar>
              <w:top w:w="15" w:type="dxa"/>
              <w:left w:w="15" w:type="dxa"/>
              <w:bottom w:w="15" w:type="dxa"/>
              <w:right w:w="15" w:type="dxa"/>
            </w:tcMar>
            <w:vAlign w:val="center"/>
            <w:hideMark/>
          </w:tcPr>
          <w:p w14:paraId="358FC9C3" w14:textId="77777777" w:rsidR="00850D4E" w:rsidRPr="00850D4E" w:rsidRDefault="00850D4E" w:rsidP="00850D4E">
            <w:pPr>
              <w:numPr>
                <w:ilvl w:val="0"/>
                <w:numId w:val="20"/>
              </w:numPr>
              <w:spacing w:after="0" w:line="240" w:lineRule="auto"/>
              <w:contextualSpacing/>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En el contexto del proyecto, la evaluación de riesgos de GCS y el desarrollo y la planificación de estrategias de adquisición deben comenzar desde la etapa de definición del proyecto.</w:t>
            </w:r>
          </w:p>
        </w:tc>
      </w:tr>
    </w:tbl>
    <w:p w14:paraId="242EEF02" w14:textId="77777777" w:rsidR="00850D4E" w:rsidRPr="00CE64FA" w:rsidRDefault="00850D4E" w:rsidP="00CE64FA">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es-ES" w:eastAsia="es-ES" w:bidi="es-ES"/>
          <w14:ligatures w14:val="none"/>
        </w:rPr>
      </w:pPr>
    </w:p>
    <w:p w14:paraId="651497FE" w14:textId="01FB63C3" w:rsidR="00850D4E" w:rsidRPr="00850D4E" w:rsidRDefault="00850D4E" w:rsidP="00850D4E">
      <w:pPr>
        <w:numPr>
          <w:ilvl w:val="0"/>
          <w:numId w:val="20"/>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En este punto, deberán abordarse preguntas importantes, incluyendo las siguientes:</w:t>
      </w:r>
    </w:p>
    <w:p w14:paraId="6217D5D2" w14:textId="77777777" w:rsidR="00850D4E" w:rsidRPr="00CE64FA" w:rsidRDefault="00850D4E" w:rsidP="00CE64FA">
      <w:pPr>
        <w:pStyle w:val="ListParagraph"/>
        <w:numPr>
          <w:ilvl w:val="0"/>
          <w:numId w:val="23"/>
        </w:numPr>
        <w:shd w:val="clear" w:color="auto" w:fill="FFFFFF"/>
        <w:spacing w:after="0" w:line="240" w:lineRule="auto"/>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¿Cuál será la modalidad de ejecución? ¿Quién será responsable de adquirir y gestionar los insumos? </w:t>
      </w:r>
    </w:p>
    <w:p w14:paraId="17FDF744" w14:textId="7CF749F1" w:rsidR="00850D4E" w:rsidRPr="00CE64FA" w:rsidRDefault="00850D4E" w:rsidP="00CE64FA">
      <w:pPr>
        <w:pStyle w:val="ListParagraph"/>
        <w:numPr>
          <w:ilvl w:val="0"/>
          <w:numId w:val="23"/>
        </w:numPr>
        <w:shd w:val="clear" w:color="auto" w:fill="FFFFFF"/>
        <w:spacing w:after="0" w:line="240" w:lineRule="auto"/>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¿Cuáles son los riesgos existentes? ¿Hay riesgos asociados con la naturaleza de los</w:t>
      </w:r>
      <w:r>
        <w:rPr>
          <w:rFonts w:ascii="Calibri" w:eastAsia="MS Mincho" w:hAnsi="Calibri" w:cs="Times New Roman"/>
          <w:kern w:val="0"/>
          <w:sz w:val="22"/>
          <w:szCs w:val="22"/>
          <w:lang w:val="es-ES" w:eastAsia="es-ES" w:bidi="es-ES"/>
          <w14:ligatures w14:val="none"/>
        </w:rPr>
        <w:t xml:space="preserve"> </w:t>
      </w:r>
      <w:r w:rsidRPr="00CE64FA">
        <w:rPr>
          <w:rFonts w:ascii="Calibri" w:eastAsia="MS Mincho" w:hAnsi="Calibri" w:cs="Times New Roman"/>
          <w:kern w:val="0"/>
          <w:sz w:val="22"/>
          <w:szCs w:val="22"/>
          <w:lang w:val="es-ES" w:eastAsia="es-ES" w:bidi="es-ES"/>
          <w14:ligatures w14:val="none"/>
        </w:rPr>
        <w:t xml:space="preserve">productos o los servicios que deben adquirirse?  ¿Los riesgos están asociados con los mercados, el entorno o el contexto político? </w:t>
      </w:r>
    </w:p>
    <w:p w14:paraId="05039A63" w14:textId="77777777" w:rsidR="00850D4E" w:rsidRPr="00CE64FA" w:rsidRDefault="00850D4E" w:rsidP="00CE64FA">
      <w:pPr>
        <w:pStyle w:val="ListParagraph"/>
        <w:numPr>
          <w:ilvl w:val="0"/>
          <w:numId w:val="23"/>
        </w:numPr>
        <w:shd w:val="clear" w:color="auto" w:fill="FFFFFF"/>
        <w:spacing w:after="0" w:line="240" w:lineRule="auto"/>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¿Cuál es la mejor estrategia de adquisición para alcanzar los objetivos del programa/proyecto y para mitigar los riesgos? </w:t>
      </w:r>
    </w:p>
    <w:p w14:paraId="764681A8" w14:textId="77777777" w:rsidR="00850D4E" w:rsidRPr="00CE64FA" w:rsidRDefault="00850D4E" w:rsidP="00CE64FA">
      <w:pPr>
        <w:pStyle w:val="ListParagraph"/>
        <w:numPr>
          <w:ilvl w:val="0"/>
          <w:numId w:val="23"/>
        </w:numPr>
        <w:shd w:val="clear" w:color="auto" w:fill="FFFFFF"/>
        <w:spacing w:after="0" w:line="240" w:lineRule="auto"/>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¿Cuál es el plan de adquisición y cuáles son los recursos asociados? </w:t>
      </w:r>
    </w:p>
    <w:p w14:paraId="09E904FE" w14:textId="77777777" w:rsidR="00850D4E" w:rsidRPr="00CE64FA" w:rsidRDefault="00850D4E" w:rsidP="00CE64FA">
      <w:pPr>
        <w:pStyle w:val="ListParagraph"/>
        <w:numPr>
          <w:ilvl w:val="0"/>
          <w:numId w:val="23"/>
        </w:numPr>
        <w:shd w:val="clear" w:color="auto" w:fill="FFFFFF"/>
        <w:spacing w:after="0" w:line="240" w:lineRule="auto"/>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¿Cuáles son las actividades de adquisición principales que deben realizarse que contribuirán a la identificación de los resultados del proyecto? Entre estas actividades, ¿estará la adquisición de bienes, servicios (profesionales o individuales) u obras? </w:t>
      </w:r>
    </w:p>
    <w:p w14:paraId="4B713A99" w14:textId="77777777" w:rsidR="00850D4E" w:rsidRPr="00CE64FA" w:rsidRDefault="00850D4E" w:rsidP="00CE64FA">
      <w:pPr>
        <w:pStyle w:val="ListParagraph"/>
        <w:numPr>
          <w:ilvl w:val="0"/>
          <w:numId w:val="23"/>
        </w:numPr>
        <w:shd w:val="clear" w:color="auto" w:fill="FFFFFF"/>
        <w:spacing w:after="0" w:line="240" w:lineRule="auto"/>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¿Cuál es la experiencia en adquisición y productos requerida para llevar a cabo de manera exitosa las actividades de adquisición identificadas? ¿Contamos con esta experiencia dentro de la organización o necesitamos subcontratarla? ¿Tienen el PNUD o el asociado en la implementación la capacidad para desarrollar especificaciones/términos de referencia (</w:t>
      </w:r>
      <w:proofErr w:type="spellStart"/>
      <w:r w:rsidRPr="00CE64FA">
        <w:rPr>
          <w:rFonts w:ascii="Calibri" w:eastAsia="MS Mincho" w:hAnsi="Calibri" w:cs="Times New Roman"/>
          <w:kern w:val="0"/>
          <w:sz w:val="22"/>
          <w:szCs w:val="22"/>
          <w:lang w:val="es-ES" w:eastAsia="es-ES" w:bidi="es-ES"/>
          <w14:ligatures w14:val="none"/>
        </w:rPr>
        <w:t>TdR</w:t>
      </w:r>
      <w:proofErr w:type="spellEnd"/>
      <w:r w:rsidRPr="00CE64FA">
        <w:rPr>
          <w:rFonts w:ascii="Calibri" w:eastAsia="MS Mincho" w:hAnsi="Calibri" w:cs="Times New Roman"/>
          <w:kern w:val="0"/>
          <w:sz w:val="22"/>
          <w:szCs w:val="22"/>
          <w:lang w:val="es-ES" w:eastAsia="es-ES" w:bidi="es-ES"/>
          <w14:ligatures w14:val="none"/>
        </w:rPr>
        <w:t xml:space="preserve">)/detalle de los trabajos (SOW) o necesitamos contratar expertos especializados? ¿Qué sucede con la evaluación? </w:t>
      </w:r>
    </w:p>
    <w:p w14:paraId="51E1CD82" w14:textId="77777777" w:rsidR="00850D4E" w:rsidRPr="00CE64FA" w:rsidRDefault="00850D4E" w:rsidP="00CE64FA">
      <w:pPr>
        <w:pStyle w:val="ListParagraph"/>
        <w:numPr>
          <w:ilvl w:val="0"/>
          <w:numId w:val="23"/>
        </w:numPr>
        <w:shd w:val="clear" w:color="auto" w:fill="FFFFFF"/>
        <w:spacing w:after="0" w:line="240" w:lineRule="auto"/>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¿Cuál es el presupuesto requerido para lograr los resultados identificados? Todas las actividades requeridas, sean </w:t>
      </w:r>
      <w:proofErr w:type="gramStart"/>
      <w:r w:rsidRPr="00CE64FA">
        <w:rPr>
          <w:rFonts w:ascii="Calibri" w:eastAsia="MS Mincho" w:hAnsi="Calibri" w:cs="Times New Roman"/>
          <w:kern w:val="0"/>
          <w:sz w:val="22"/>
          <w:szCs w:val="22"/>
          <w:lang w:val="es-ES" w:eastAsia="es-ES" w:bidi="es-ES"/>
          <w14:ligatures w14:val="none"/>
        </w:rPr>
        <w:t>estas bienes</w:t>
      </w:r>
      <w:proofErr w:type="gramEnd"/>
      <w:r w:rsidRPr="00CE64FA">
        <w:rPr>
          <w:rFonts w:ascii="Calibri" w:eastAsia="MS Mincho" w:hAnsi="Calibri" w:cs="Times New Roman"/>
          <w:kern w:val="0"/>
          <w:sz w:val="22"/>
          <w:szCs w:val="22"/>
          <w:lang w:val="es-ES" w:eastAsia="es-ES" w:bidi="es-ES"/>
          <w14:ligatures w14:val="none"/>
        </w:rPr>
        <w:t xml:space="preserve"> que deben adquirirse (p. ej., urnas para un proyecto electoral) o servicios (p. ej., consultores individuales para desarrollar especificaciones) deben presupuestarse.</w:t>
      </w:r>
    </w:p>
    <w:p w14:paraId="5E95CA78"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b/>
          <w:bCs/>
          <w:kern w:val="0"/>
          <w:sz w:val="22"/>
          <w:szCs w:val="22"/>
          <w:u w:val="single"/>
          <w:lang w:val="es-ES" w:eastAsia="es-ES" w:bidi="es-ES"/>
          <w14:ligatures w14:val="none"/>
        </w:rPr>
      </w:pPr>
    </w:p>
    <w:p w14:paraId="33853A0E" w14:textId="77777777" w:rsidR="00850D4E" w:rsidRPr="00850D4E" w:rsidRDefault="00850D4E" w:rsidP="00850D4E">
      <w:pPr>
        <w:shd w:val="clear" w:color="auto" w:fill="FFFFFF"/>
        <w:spacing w:after="0" w:line="240" w:lineRule="auto"/>
        <w:ind w:firstLine="720"/>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u w:val="single"/>
          <w:lang w:val="es-ES" w:eastAsia="es-ES" w:bidi="es-ES"/>
          <w14:ligatures w14:val="none"/>
        </w:rPr>
        <w:t>¿Cuáles son los beneficios de este enfoque?</w:t>
      </w:r>
    </w:p>
    <w:p w14:paraId="19110A79"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3DCB8033"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En conjunto, la evaluación de riesgos de la adquisición, el desarrollo de estrategias de adquisición y la planificación de la adquisición funcionan como un puente para cubrir la brecha entre el programa y las operaciones. También son fundamentales para la realización del programa. Los beneficios de este enfoque incluyen los siguientes:</w:t>
      </w:r>
    </w:p>
    <w:p w14:paraId="4301FFDD" w14:textId="77777777" w:rsidR="00850D4E" w:rsidRPr="00CE64FA" w:rsidRDefault="00850D4E" w:rsidP="00CE64FA">
      <w:pPr>
        <w:pStyle w:val="ListParagraph"/>
        <w:numPr>
          <w:ilvl w:val="1"/>
          <w:numId w:val="24"/>
        </w:num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Mejor relación </w:t>
      </w:r>
      <w:proofErr w:type="gramStart"/>
      <w:r w:rsidRPr="00CE64FA">
        <w:rPr>
          <w:rFonts w:ascii="Calibri" w:eastAsia="MS Mincho" w:hAnsi="Calibri" w:cs="Times New Roman"/>
          <w:kern w:val="0"/>
          <w:sz w:val="22"/>
          <w:szCs w:val="22"/>
          <w:lang w:val="es-ES" w:eastAsia="es-ES" w:bidi="es-ES"/>
          <w14:ligatures w14:val="none"/>
        </w:rPr>
        <w:t>de  y</w:t>
      </w:r>
      <w:proofErr w:type="gramEnd"/>
      <w:r w:rsidRPr="00CE64FA">
        <w:rPr>
          <w:rFonts w:ascii="Calibri" w:eastAsia="MS Mincho" w:hAnsi="Calibri" w:cs="Times New Roman"/>
          <w:kern w:val="0"/>
          <w:sz w:val="22"/>
          <w:szCs w:val="22"/>
          <w:lang w:val="es-ES" w:eastAsia="es-ES" w:bidi="es-ES"/>
          <w14:ligatures w14:val="none"/>
        </w:rPr>
        <w:t xml:space="preserve"> precio </w:t>
      </w:r>
    </w:p>
    <w:p w14:paraId="3EC1AB3C" w14:textId="77777777" w:rsidR="00850D4E" w:rsidRPr="00CE64FA" w:rsidRDefault="00850D4E" w:rsidP="00CE64FA">
      <w:pPr>
        <w:pStyle w:val="ListParagraph"/>
        <w:numPr>
          <w:ilvl w:val="1"/>
          <w:numId w:val="24"/>
        </w:num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Adquisición oportuna </w:t>
      </w:r>
    </w:p>
    <w:p w14:paraId="26D2F07E" w14:textId="77777777" w:rsidR="00850D4E" w:rsidRPr="00CE64FA" w:rsidRDefault="00850D4E" w:rsidP="00CE64FA">
      <w:pPr>
        <w:pStyle w:val="ListParagraph"/>
        <w:numPr>
          <w:ilvl w:val="1"/>
          <w:numId w:val="24"/>
        </w:num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Posibilidad de evitar emergencias innecesarias e injustificables </w:t>
      </w:r>
    </w:p>
    <w:p w14:paraId="0560E77F" w14:textId="77777777" w:rsidR="00850D4E" w:rsidRPr="00CE64FA" w:rsidRDefault="00850D4E" w:rsidP="00CE64FA">
      <w:pPr>
        <w:pStyle w:val="ListParagraph"/>
        <w:numPr>
          <w:ilvl w:val="1"/>
          <w:numId w:val="24"/>
        </w:num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Mejor asignación de los recursos existentes </w:t>
      </w:r>
    </w:p>
    <w:p w14:paraId="719D9ED1" w14:textId="77777777" w:rsidR="00850D4E" w:rsidRPr="00CE64FA" w:rsidRDefault="00850D4E" w:rsidP="00CE64FA">
      <w:pPr>
        <w:pStyle w:val="ListParagraph"/>
        <w:numPr>
          <w:ilvl w:val="1"/>
          <w:numId w:val="24"/>
        </w:num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Tiempo suficiente para explorar todos los enfoques de adquisiciones alternativos </w:t>
      </w:r>
    </w:p>
    <w:p w14:paraId="46E2B428" w14:textId="77777777" w:rsidR="00850D4E" w:rsidRPr="00CE64FA" w:rsidRDefault="00850D4E" w:rsidP="00CE64FA">
      <w:pPr>
        <w:pStyle w:val="ListParagraph"/>
        <w:numPr>
          <w:ilvl w:val="1"/>
          <w:numId w:val="24"/>
        </w:num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Posibilidad de totalizar la demanda</w:t>
      </w:r>
    </w:p>
    <w:p w14:paraId="022642AB" w14:textId="77777777" w:rsidR="00850D4E" w:rsidRPr="00850D4E" w:rsidRDefault="00850D4E" w:rsidP="00CE64FA">
      <w:pPr>
        <w:shd w:val="clear" w:color="auto" w:fill="FFFFFF"/>
        <w:spacing w:after="0" w:line="240" w:lineRule="auto"/>
        <w:ind w:left="414"/>
        <w:jc w:val="both"/>
        <w:textAlignment w:val="top"/>
        <w:rPr>
          <w:rFonts w:ascii="Calibri" w:eastAsia="Times New Roman" w:hAnsi="Calibri" w:cs="Calibri"/>
          <w:kern w:val="0"/>
          <w:sz w:val="22"/>
          <w:szCs w:val="22"/>
          <w:lang w:val="es-ES" w:eastAsia="es-ES" w:bidi="es-ES"/>
          <w14:ligatures w14:val="none"/>
        </w:rPr>
      </w:pPr>
    </w:p>
    <w:p w14:paraId="10D84F53" w14:textId="77777777" w:rsidR="00850D4E" w:rsidRPr="00850D4E" w:rsidRDefault="00850D4E" w:rsidP="00850D4E">
      <w:pPr>
        <w:shd w:val="clear" w:color="auto" w:fill="FFFFFF"/>
        <w:spacing w:after="0" w:line="240" w:lineRule="auto"/>
        <w:ind w:firstLine="720"/>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u w:val="single"/>
          <w:lang w:val="es-ES" w:eastAsia="es-ES" w:bidi="es-ES"/>
          <w14:ligatures w14:val="none"/>
        </w:rPr>
        <w:t>¿Cuáles son los criterios de éxito?</w:t>
      </w:r>
    </w:p>
    <w:p w14:paraId="66D47B1C" w14:textId="77777777" w:rsidR="00850D4E" w:rsidRPr="00CE64FA" w:rsidRDefault="00850D4E" w:rsidP="00CE64FA">
      <w:p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p>
    <w:p w14:paraId="5567D548" w14:textId="51528C12" w:rsidR="00850D4E" w:rsidRPr="00850D4E" w:rsidRDefault="00850D4E" w:rsidP="00850D4E">
      <w:pPr>
        <w:numPr>
          <w:ilvl w:val="0"/>
          <w:numId w:val="8"/>
        </w:num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Una planificación conjunta entre el programa y las adquisiciones en las primeras etapas </w:t>
      </w:r>
      <w:proofErr w:type="gramStart"/>
      <w:r w:rsidRPr="00850D4E">
        <w:rPr>
          <w:rFonts w:ascii="Calibri" w:eastAsia="MS Mincho" w:hAnsi="Calibri" w:cs="Times New Roman"/>
          <w:kern w:val="0"/>
          <w:sz w:val="22"/>
          <w:szCs w:val="22"/>
          <w:lang w:val="es-ES" w:eastAsia="es-ES" w:bidi="es-ES"/>
          <w14:ligatures w14:val="none"/>
        </w:rPr>
        <w:t>del  proceso</w:t>
      </w:r>
      <w:proofErr w:type="gramEnd"/>
      <w:r w:rsidRPr="00850D4E">
        <w:rPr>
          <w:rFonts w:ascii="Calibri" w:eastAsia="MS Mincho" w:hAnsi="Calibri" w:cs="Times New Roman"/>
          <w:kern w:val="0"/>
          <w:sz w:val="22"/>
          <w:szCs w:val="22"/>
          <w:lang w:val="es-ES" w:eastAsia="es-ES" w:bidi="es-ES"/>
          <w14:ligatures w14:val="none"/>
        </w:rPr>
        <w:t xml:space="preserve"> (etapa de diseño)</w:t>
      </w:r>
    </w:p>
    <w:p w14:paraId="0B6E097F" w14:textId="77777777" w:rsidR="00850D4E" w:rsidRPr="00850D4E" w:rsidRDefault="00850D4E" w:rsidP="00850D4E">
      <w:pPr>
        <w:numPr>
          <w:ilvl w:val="0"/>
          <w:numId w:val="8"/>
        </w:num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Un buen flujo de comunicación </w:t>
      </w:r>
    </w:p>
    <w:p w14:paraId="176EF48D" w14:textId="77777777" w:rsidR="00850D4E" w:rsidRPr="00850D4E" w:rsidRDefault="00850D4E" w:rsidP="00850D4E">
      <w:pPr>
        <w:numPr>
          <w:ilvl w:val="0"/>
          <w:numId w:val="8"/>
        </w:num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 xml:space="preserve">Comprensión de los requisitos de adquisición </w:t>
      </w:r>
    </w:p>
    <w:p w14:paraId="16A88D88" w14:textId="77777777" w:rsidR="00850D4E" w:rsidRPr="00850D4E" w:rsidRDefault="00850D4E" w:rsidP="00850D4E">
      <w:pPr>
        <w:numPr>
          <w:ilvl w:val="0"/>
          <w:numId w:val="8"/>
        </w:num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Comprensión del mercado y los riesgos asociados </w:t>
      </w:r>
    </w:p>
    <w:p w14:paraId="5B4A58BF" w14:textId="77777777" w:rsidR="00850D4E" w:rsidRPr="00CE64FA" w:rsidRDefault="00850D4E" w:rsidP="00850D4E">
      <w:pPr>
        <w:numPr>
          <w:ilvl w:val="0"/>
          <w:numId w:val="8"/>
        </w:num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w:t>
      </w:r>
      <w:r w:rsidRPr="00850D4E">
        <w:rPr>
          <w:rFonts w:ascii="Calibri" w:eastAsia="MS Mincho" w:hAnsi="Calibri" w:cs="Times New Roman"/>
          <w:color w:val="212121"/>
          <w:kern w:val="0"/>
          <w:sz w:val="22"/>
          <w:szCs w:val="22"/>
          <w:shd w:val="clear" w:color="auto" w:fill="FFFFFF"/>
          <w:lang w:val="es-ES" w:eastAsia="es-ES" w:bidi="es-ES"/>
          <w14:ligatures w14:val="none"/>
        </w:rPr>
        <w:t>roceso dinámico</w:t>
      </w:r>
      <w:r w:rsidRPr="00850D4E">
        <w:rPr>
          <w:rFonts w:ascii="Calibri" w:eastAsia="MS Mincho" w:hAnsi="Calibri" w:cs="Times New Roman"/>
          <w:kern w:val="0"/>
          <w:sz w:val="22"/>
          <w:szCs w:val="22"/>
          <w:lang w:val="es-ES" w:eastAsia="es-ES" w:bidi="es-ES"/>
          <w14:ligatures w14:val="none"/>
        </w:rPr>
        <w:t xml:space="preserve"> con revisiones estructuradas y mecanismos de comunicación de resultados</w:t>
      </w:r>
    </w:p>
    <w:p w14:paraId="002C5F6F" w14:textId="77777777" w:rsidR="00850D4E" w:rsidRPr="00850D4E" w:rsidRDefault="00850D4E" w:rsidP="00CE64FA">
      <w:p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850D4E" w:rsidRPr="00850D4E" w14:paraId="5E158C3B" w14:textId="77777777" w:rsidTr="00FA0166">
        <w:tc>
          <w:tcPr>
            <w:tcW w:w="5000" w:type="pct"/>
            <w:tcBorders>
              <w:top w:val="nil"/>
              <w:left w:val="nil"/>
              <w:bottom w:val="nil"/>
              <w:right w:val="nil"/>
            </w:tcBorders>
            <w:tcMar>
              <w:top w:w="15" w:type="dxa"/>
              <w:left w:w="15" w:type="dxa"/>
              <w:bottom w:w="15" w:type="dxa"/>
              <w:right w:w="15" w:type="dxa"/>
            </w:tcMar>
            <w:vAlign w:val="center"/>
            <w:hideMark/>
          </w:tcPr>
          <w:p w14:paraId="4E3B7605"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 xml:space="preserve">            </w:t>
            </w:r>
            <w:r w:rsidRPr="00850D4E">
              <w:rPr>
                <w:rFonts w:ascii="Calibri" w:eastAsia="MS Mincho" w:hAnsi="Calibri" w:cs="Calibri"/>
                <w:b/>
                <w:kern w:val="0"/>
                <w:sz w:val="22"/>
                <w:szCs w:val="22"/>
                <w:u w:val="single"/>
                <w:lang w:val="es-ES" w:eastAsia="es-ES" w:bidi="es-ES"/>
                <w14:ligatures w14:val="none"/>
              </w:rPr>
              <w:t>TIPOS DE PLANIFICACIÓN</w:t>
            </w:r>
          </w:p>
          <w:p w14:paraId="623BB17C" w14:textId="77777777" w:rsidR="00850D4E" w:rsidRPr="00CE64FA" w:rsidRDefault="00850D4E" w:rsidP="00CE64FA">
            <w:pPr>
              <w:tabs>
                <w:tab w:val="num" w:pos="1119"/>
              </w:tabs>
              <w:spacing w:after="0" w:line="240" w:lineRule="auto"/>
              <w:ind w:left="1119"/>
              <w:jc w:val="both"/>
              <w:rPr>
                <w:rFonts w:ascii="Calibri" w:eastAsia="Times New Roman" w:hAnsi="Calibri" w:cs="Calibri"/>
                <w:kern w:val="0"/>
                <w:sz w:val="22"/>
                <w:szCs w:val="22"/>
                <w:lang w:val="es-ES" w:eastAsia="es-ES" w:bidi="es-ES"/>
                <w14:ligatures w14:val="none"/>
              </w:rPr>
            </w:pPr>
          </w:p>
          <w:p w14:paraId="5A2B8777" w14:textId="6F3BBFD8" w:rsidR="00850D4E" w:rsidRPr="00850D4E" w:rsidRDefault="00850D4E" w:rsidP="00850D4E">
            <w:pPr>
              <w:numPr>
                <w:ilvl w:val="0"/>
                <w:numId w:val="9"/>
              </w:numPr>
              <w:tabs>
                <w:tab w:val="num" w:pos="1119"/>
              </w:tabs>
              <w:spacing w:after="0" w:line="240" w:lineRule="auto"/>
              <w:ind w:left="1119"/>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Planificación consolidada </w:t>
            </w:r>
          </w:p>
          <w:p w14:paraId="52F8BE6A" w14:textId="77777777" w:rsidR="00850D4E" w:rsidRPr="00850D4E" w:rsidRDefault="00850D4E" w:rsidP="00850D4E">
            <w:pPr>
              <w:numPr>
                <w:ilvl w:val="0"/>
                <w:numId w:val="9"/>
              </w:numPr>
              <w:tabs>
                <w:tab w:val="num" w:pos="1119"/>
              </w:tabs>
              <w:spacing w:after="0" w:line="240" w:lineRule="auto"/>
              <w:ind w:left="1119"/>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Planificación individual</w:t>
            </w:r>
          </w:p>
          <w:p w14:paraId="2BADCEB6" w14:textId="77777777" w:rsidR="00850D4E" w:rsidRPr="00850D4E" w:rsidRDefault="00850D4E" w:rsidP="00850D4E">
            <w:pPr>
              <w:spacing w:after="0" w:line="240" w:lineRule="auto"/>
              <w:jc w:val="both"/>
              <w:rPr>
                <w:rFonts w:ascii="Calibri" w:eastAsia="Times New Roman" w:hAnsi="Calibri" w:cs="Calibri"/>
                <w:b/>
                <w:bCs/>
                <w:kern w:val="0"/>
                <w:sz w:val="22"/>
                <w:szCs w:val="22"/>
                <w:u w:val="single"/>
                <w:lang w:val="es-ES" w:eastAsia="es-ES" w:bidi="es-ES"/>
                <w14:ligatures w14:val="none"/>
              </w:rPr>
            </w:pPr>
          </w:p>
          <w:p w14:paraId="45DFECAA"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 xml:space="preserve">            </w:t>
            </w:r>
            <w:r w:rsidRPr="00850D4E">
              <w:rPr>
                <w:rFonts w:ascii="Calibri" w:eastAsia="MS Mincho" w:hAnsi="Calibri" w:cs="Calibri"/>
                <w:b/>
                <w:kern w:val="0"/>
                <w:sz w:val="22"/>
                <w:szCs w:val="22"/>
                <w:u w:val="single"/>
                <w:lang w:val="es-ES" w:eastAsia="es-ES" w:bidi="es-ES"/>
                <w14:ligatures w14:val="none"/>
              </w:rPr>
              <w:t>Planificación Consolidada</w:t>
            </w:r>
          </w:p>
          <w:p w14:paraId="3A8719B6"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6BF240CB" w14:textId="77777777" w:rsidR="00850D4E" w:rsidRPr="00850D4E" w:rsidRDefault="00850D4E" w:rsidP="00850D4E">
            <w:pPr>
              <w:numPr>
                <w:ilvl w:val="0"/>
                <w:numId w:val="20"/>
              </w:numPr>
              <w:spacing w:after="0" w:line="240" w:lineRule="auto"/>
              <w:contextualSpacing/>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Según la estructura descentralizada del PNUD, se desarrollarán planes consolidados de adquisición a diferentes niveles, incluidos los niveles Corporativo, de la Unidad de Negocios y de la Oficina de País.</w:t>
            </w:r>
          </w:p>
          <w:p w14:paraId="47AC983E"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43595CF6" w14:textId="77777777" w:rsidR="00850D4E" w:rsidRPr="00850D4E" w:rsidRDefault="00850D4E" w:rsidP="00850D4E">
            <w:pPr>
              <w:numPr>
                <w:ilvl w:val="0"/>
                <w:numId w:val="20"/>
              </w:numPr>
              <w:spacing w:after="0" w:line="240" w:lineRule="auto"/>
              <w:contextualSpacing/>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Calibri"/>
                <w:i/>
                <w:kern w:val="0"/>
                <w:sz w:val="22"/>
                <w:szCs w:val="22"/>
                <w:u w:val="single"/>
                <w:lang w:val="es-ES" w:eastAsia="es-ES" w:bidi="es-ES"/>
                <w14:ligatures w14:val="none"/>
              </w:rPr>
              <w:t>Todas las Unidades de Negocio y las Oficinas de País deberán desarrollar Planes Consolidados</w:t>
            </w:r>
            <w:r w:rsidRPr="00850D4E">
              <w:rPr>
                <w:rFonts w:ascii="Calibri" w:eastAsia="MS Mincho" w:hAnsi="Calibri" w:cs="Times New Roman"/>
                <w:kern w:val="0"/>
                <w:sz w:val="22"/>
                <w:szCs w:val="22"/>
                <w:lang w:val="es-ES" w:eastAsia="es-ES" w:bidi="es-ES"/>
                <w14:ligatures w14:val="none"/>
              </w:rPr>
              <w:t>. Estos por lo general se preparan anualmente, si bien es recomendable revisarlos con regularidad.</w:t>
            </w:r>
          </w:p>
          <w:p w14:paraId="56502C6C"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5CC50A04" w14:textId="77777777" w:rsidR="00850D4E" w:rsidRPr="00850D4E" w:rsidRDefault="00850D4E" w:rsidP="00850D4E">
            <w:pPr>
              <w:numPr>
                <w:ilvl w:val="0"/>
                <w:numId w:val="20"/>
              </w:numPr>
              <w:spacing w:after="0" w:line="240" w:lineRule="auto"/>
              <w:contextualSpacing/>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El análisis del Plan de Adquisición consolidado ofrece una oportunidad para identificar economías de escala y mejores usos de los recursos, al proporcionar un panorama de la escala de las actividades de adquisición.</w:t>
            </w:r>
          </w:p>
          <w:p w14:paraId="0E1E330B"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3798DC94" w14:textId="77777777" w:rsidR="00850D4E" w:rsidRPr="00850D4E" w:rsidRDefault="00850D4E" w:rsidP="00850D4E">
            <w:pPr>
              <w:spacing w:after="0" w:line="240" w:lineRule="auto"/>
              <w:ind w:left="694"/>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 xml:space="preserve"> </w:t>
            </w:r>
            <w:r w:rsidRPr="00850D4E">
              <w:rPr>
                <w:rFonts w:ascii="Calibri" w:eastAsia="MS Mincho" w:hAnsi="Calibri" w:cs="Calibri"/>
                <w:b/>
                <w:kern w:val="0"/>
                <w:sz w:val="22"/>
                <w:szCs w:val="22"/>
                <w:u w:val="single"/>
                <w:lang w:val="es-ES" w:eastAsia="es-ES" w:bidi="es-ES"/>
                <w14:ligatures w14:val="none"/>
              </w:rPr>
              <w:t>Planificación individual</w:t>
            </w:r>
          </w:p>
          <w:p w14:paraId="7DCF0994" w14:textId="77777777" w:rsidR="00850D4E" w:rsidRPr="00CE64FA" w:rsidRDefault="00850D4E" w:rsidP="00CE64FA">
            <w:pPr>
              <w:spacing w:after="0" w:line="240" w:lineRule="auto"/>
              <w:ind w:left="720"/>
              <w:contextualSpacing/>
              <w:jc w:val="both"/>
              <w:rPr>
                <w:rFonts w:ascii="Calibri" w:eastAsia="Times New Roman" w:hAnsi="Calibri" w:cs="Calibri"/>
                <w:kern w:val="0"/>
                <w:sz w:val="22"/>
                <w:szCs w:val="22"/>
                <w:lang w:val="es-ES" w:eastAsia="es-ES" w:bidi="es-ES"/>
                <w14:ligatures w14:val="none"/>
              </w:rPr>
            </w:pPr>
          </w:p>
          <w:p w14:paraId="7E52DA5A" w14:textId="10E6B589" w:rsidR="00850D4E" w:rsidRPr="00850D4E" w:rsidRDefault="00850D4E" w:rsidP="00850D4E">
            <w:pPr>
              <w:numPr>
                <w:ilvl w:val="0"/>
                <w:numId w:val="20"/>
              </w:numPr>
              <w:spacing w:after="0" w:line="240" w:lineRule="auto"/>
              <w:contextualSpacing/>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La planificación de las adquisiciones también tendrá lugar a nivel del proyecto o incluso a nivel de la actividad, en función de la complejidad de la actividad y de la cantidad de acciones de adquisición interrelacionadas.</w:t>
            </w:r>
          </w:p>
          <w:p w14:paraId="4B8F9E90"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5FC2DB7E" w14:textId="77777777" w:rsidR="00850D4E" w:rsidRPr="00850D4E" w:rsidRDefault="00850D4E" w:rsidP="00850D4E">
            <w:pPr>
              <w:numPr>
                <w:ilvl w:val="0"/>
                <w:numId w:val="20"/>
              </w:numPr>
              <w:spacing w:after="0" w:line="240" w:lineRule="auto"/>
              <w:contextualSpacing/>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Calibri"/>
                <w:i/>
                <w:kern w:val="0"/>
                <w:sz w:val="22"/>
                <w:szCs w:val="22"/>
                <w:u w:val="single"/>
                <w:lang w:val="es-ES" w:eastAsia="es-ES" w:bidi="es-ES"/>
                <w14:ligatures w14:val="none"/>
              </w:rPr>
              <w:t>Deberá desarrollarse un Plan de Pedidos en la etapa de definición del proyecto. Este deberá compartirse con la Unidad de Adquisiciones.</w:t>
            </w:r>
          </w:p>
          <w:p w14:paraId="516B612A"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1F7B73C8" w14:textId="77777777" w:rsidR="00850D4E" w:rsidRPr="00850D4E" w:rsidRDefault="00850D4E" w:rsidP="00850D4E">
            <w:pPr>
              <w:numPr>
                <w:ilvl w:val="0"/>
                <w:numId w:val="20"/>
              </w:numPr>
              <w:spacing w:after="0" w:line="240" w:lineRule="auto"/>
              <w:contextualSpacing/>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Calibri"/>
                <w:kern w:val="0"/>
                <w:sz w:val="22"/>
                <w:szCs w:val="22"/>
                <w:u w:val="single"/>
                <w:lang w:val="es-ES" w:eastAsia="es-ES" w:bidi="es-ES"/>
                <w14:ligatures w14:val="none"/>
              </w:rPr>
              <w:t>Todas las «Compras Significativas» de un Plan de Pedidos (la definición se proporciona en la Sección 4.2) están sujetas al desarrollo de un Plan de Adquisición Individual.</w:t>
            </w:r>
          </w:p>
        </w:tc>
      </w:tr>
      <w:tr w:rsidR="00850D4E" w:rsidRPr="00850D4E" w14:paraId="692E9DF0" w14:textId="77777777" w:rsidTr="00FA0166">
        <w:tc>
          <w:tcPr>
            <w:tcW w:w="5000" w:type="pct"/>
            <w:tcBorders>
              <w:top w:val="nil"/>
              <w:left w:val="nil"/>
              <w:bottom w:val="nil"/>
              <w:right w:val="nil"/>
            </w:tcBorders>
            <w:tcMar>
              <w:top w:w="15" w:type="dxa"/>
              <w:left w:w="15" w:type="dxa"/>
              <w:bottom w:w="15" w:type="dxa"/>
              <w:right w:w="15" w:type="dxa"/>
            </w:tcMar>
            <w:vAlign w:val="center"/>
          </w:tcPr>
          <w:p w14:paraId="7BB1A5B2" w14:textId="77777777" w:rsidR="00850D4E" w:rsidRPr="00850D4E" w:rsidRDefault="00850D4E" w:rsidP="00850D4E">
            <w:pPr>
              <w:spacing w:after="0" w:line="240" w:lineRule="auto"/>
              <w:jc w:val="both"/>
              <w:rPr>
                <w:rFonts w:ascii="Calibri" w:eastAsia="Times New Roman" w:hAnsi="Calibri" w:cs="Calibri"/>
                <w:b/>
                <w:bCs/>
                <w:kern w:val="0"/>
                <w:sz w:val="22"/>
                <w:szCs w:val="22"/>
                <w:u w:val="single"/>
                <w:lang w:val="es-ES" w:eastAsia="es-ES" w:bidi="es-ES"/>
                <w14:ligatures w14:val="none"/>
              </w:rPr>
            </w:pPr>
          </w:p>
        </w:tc>
      </w:tr>
    </w:tbl>
    <w:p w14:paraId="3C6DFF31"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vanish/>
          <w:kern w:val="0"/>
          <w:sz w:val="22"/>
          <w:szCs w:val="22"/>
          <w:lang w:val="es-ES" w:eastAsia="es-ES" w:bidi="es-ES"/>
          <w14:ligatures w14:val="none"/>
        </w:rPr>
      </w:pPr>
      <w:r w:rsidRPr="00850D4E">
        <w:rPr>
          <w:rFonts w:ascii="Calibri" w:eastAsia="MS Mincho" w:hAnsi="Calibri" w:cs="Calibri"/>
          <w:vanish/>
          <w:kern w:val="0"/>
          <w:sz w:val="22"/>
          <w:szCs w:val="22"/>
          <w:lang w:val="es-ES" w:eastAsia="es-ES" w:bidi="es-ES"/>
          <w14:ligatures w14:val="none"/>
        </w:rPr>
        <w:t>Structure Element - Procedures</w:t>
      </w:r>
    </w:p>
    <w:p w14:paraId="62E3D011"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Dado que la GCS (y la adquisición en general) es un subproceso del ciclo del proyecto, deberán realizarse diferentes acciones en cada etapa de este ciclo.</w:t>
      </w:r>
    </w:p>
    <w:p w14:paraId="58B21123"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42485A4F" w14:textId="77777777" w:rsidR="00850D4E" w:rsidRPr="00850D4E" w:rsidRDefault="00850D4E" w:rsidP="00850D4E">
      <w:pPr>
        <w:shd w:val="clear" w:color="auto" w:fill="FFFFFF"/>
        <w:spacing w:after="0" w:line="240" w:lineRule="auto"/>
        <w:ind w:firstLine="720"/>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 xml:space="preserve">El Ciclo de Gestión del Proyecto del PNUD </w:t>
      </w:r>
      <w:r w:rsidRPr="00850D4E">
        <w:rPr>
          <w:rFonts w:ascii="Calibri" w:eastAsia="MS Mincho" w:hAnsi="Calibri" w:cs="Times New Roman"/>
          <w:kern w:val="0"/>
          <w:sz w:val="22"/>
          <w:szCs w:val="22"/>
          <w:lang w:val="es-ES" w:eastAsia="es-ES" w:bidi="es-ES"/>
          <w14:ligatures w14:val="none"/>
        </w:rPr>
        <w:t>incluye los siguientes pasos:</w:t>
      </w:r>
    </w:p>
    <w:p w14:paraId="6CBD666F" w14:textId="77777777" w:rsidR="00850D4E" w:rsidRPr="00850D4E" w:rsidRDefault="00850D4E" w:rsidP="00850D4E">
      <w:pPr>
        <w:numPr>
          <w:ilvl w:val="0"/>
          <w:numId w:val="10"/>
        </w:num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Justificación del proyecto </w:t>
      </w:r>
    </w:p>
    <w:p w14:paraId="390F9315" w14:textId="77777777" w:rsidR="00850D4E" w:rsidRPr="00850D4E" w:rsidRDefault="00850D4E" w:rsidP="00850D4E">
      <w:pPr>
        <w:numPr>
          <w:ilvl w:val="0"/>
          <w:numId w:val="10"/>
        </w:num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Definición del proyecto </w:t>
      </w:r>
    </w:p>
    <w:p w14:paraId="258A4FB1" w14:textId="77777777" w:rsidR="00850D4E" w:rsidRPr="00850D4E" w:rsidRDefault="00850D4E" w:rsidP="00850D4E">
      <w:pPr>
        <w:numPr>
          <w:ilvl w:val="0"/>
          <w:numId w:val="10"/>
        </w:num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Comienzo del proyecto </w:t>
      </w:r>
    </w:p>
    <w:p w14:paraId="46200295" w14:textId="77777777" w:rsidR="00850D4E" w:rsidRPr="00850D4E" w:rsidRDefault="00850D4E" w:rsidP="00850D4E">
      <w:pPr>
        <w:numPr>
          <w:ilvl w:val="0"/>
          <w:numId w:val="10"/>
        </w:num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Ejecución del proyecto </w:t>
      </w:r>
    </w:p>
    <w:p w14:paraId="550FDA54" w14:textId="77777777" w:rsidR="00850D4E" w:rsidRPr="00850D4E" w:rsidRDefault="00850D4E" w:rsidP="00850D4E">
      <w:pPr>
        <w:numPr>
          <w:ilvl w:val="0"/>
          <w:numId w:val="10"/>
        </w:numPr>
        <w:shd w:val="clear" w:color="auto" w:fill="FFFFFF"/>
        <w:spacing w:after="0" w:line="312"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Cierre del proyecto</w:t>
      </w:r>
    </w:p>
    <w:p w14:paraId="5C37BE4D"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Los siguientes son algunos de los asuntos y las preguntas que deben considerarse en las diferentes etapas del proyecto.</w:t>
      </w:r>
    </w:p>
    <w:p w14:paraId="618C7E7D" w14:textId="77777777" w:rsidR="00850D4E" w:rsidRPr="00850D4E" w:rsidRDefault="00850D4E" w:rsidP="00850D4E">
      <w:pPr>
        <w:shd w:val="clear" w:color="auto" w:fill="FFFFFF"/>
        <w:spacing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tbl>
      <w:tblPr>
        <w:tblW w:w="4624"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9"/>
        <w:gridCol w:w="4113"/>
        <w:gridCol w:w="3115"/>
      </w:tblGrid>
      <w:tr w:rsidR="00850D4E" w:rsidRPr="00850D4E" w14:paraId="09F1935B" w14:textId="77777777" w:rsidTr="00CE64FA">
        <w:tc>
          <w:tcPr>
            <w:tcW w:w="821" w:type="pct"/>
            <w:tcMar>
              <w:top w:w="15" w:type="dxa"/>
              <w:left w:w="15" w:type="dxa"/>
              <w:bottom w:w="15" w:type="dxa"/>
              <w:right w:w="15" w:type="dxa"/>
            </w:tcMar>
            <w:hideMark/>
          </w:tcPr>
          <w:p w14:paraId="65DD7E8A"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Ciclo del Proyecto</w:t>
            </w:r>
          </w:p>
        </w:tc>
        <w:tc>
          <w:tcPr>
            <w:tcW w:w="2378" w:type="pct"/>
            <w:tcMar>
              <w:top w:w="15" w:type="dxa"/>
              <w:left w:w="15" w:type="dxa"/>
              <w:bottom w:w="15" w:type="dxa"/>
              <w:right w:w="15" w:type="dxa"/>
            </w:tcMar>
            <w:hideMark/>
          </w:tcPr>
          <w:p w14:paraId="7D4C5B02"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Ciclo de Adquisición/GCS</w:t>
            </w:r>
          </w:p>
        </w:tc>
        <w:tc>
          <w:tcPr>
            <w:tcW w:w="0" w:type="auto"/>
            <w:tcMar>
              <w:top w:w="15" w:type="dxa"/>
              <w:left w:w="15" w:type="dxa"/>
              <w:bottom w:w="15" w:type="dxa"/>
              <w:right w:w="15" w:type="dxa"/>
            </w:tcMar>
            <w:hideMark/>
          </w:tcPr>
          <w:p w14:paraId="754C44A0"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Documentos Principales</w:t>
            </w:r>
          </w:p>
        </w:tc>
      </w:tr>
      <w:tr w:rsidR="00850D4E" w:rsidRPr="00850D4E" w14:paraId="0164E0A5" w14:textId="77777777" w:rsidTr="00CE64FA">
        <w:tc>
          <w:tcPr>
            <w:tcW w:w="821" w:type="pct"/>
            <w:tcMar>
              <w:top w:w="15" w:type="dxa"/>
              <w:left w:w="15" w:type="dxa"/>
              <w:bottom w:w="15" w:type="dxa"/>
              <w:right w:w="15" w:type="dxa"/>
            </w:tcMar>
            <w:hideMark/>
          </w:tcPr>
          <w:p w14:paraId="13AECCD3" w14:textId="77777777" w:rsidR="00850D4E" w:rsidRPr="00850D4E" w:rsidRDefault="00850D4E" w:rsidP="00850D4E">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kern w:val="0"/>
                <w:sz w:val="22"/>
                <w:szCs w:val="22"/>
                <w:u w:val="single"/>
                <w:lang w:val="es-ES" w:eastAsia="es-ES" w:bidi="es-ES"/>
                <w14:ligatures w14:val="none"/>
              </w:rPr>
              <w:t>Justificación de un proyecto</w:t>
            </w:r>
          </w:p>
        </w:tc>
        <w:tc>
          <w:tcPr>
            <w:tcW w:w="2378" w:type="pct"/>
            <w:tcMar>
              <w:top w:w="15" w:type="dxa"/>
              <w:left w:w="15" w:type="dxa"/>
              <w:bottom w:w="15" w:type="dxa"/>
              <w:right w:w="15" w:type="dxa"/>
            </w:tcMar>
            <w:hideMark/>
          </w:tcPr>
          <w:p w14:paraId="33F4680F"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N/C</w:t>
            </w:r>
          </w:p>
        </w:tc>
        <w:tc>
          <w:tcPr>
            <w:tcW w:w="0" w:type="auto"/>
            <w:tcMar>
              <w:top w:w="15" w:type="dxa"/>
              <w:left w:w="15" w:type="dxa"/>
              <w:bottom w:w="15" w:type="dxa"/>
              <w:right w:w="15" w:type="dxa"/>
            </w:tcMar>
            <w:hideMark/>
          </w:tcPr>
          <w:p w14:paraId="4248E423"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N/C</w:t>
            </w:r>
          </w:p>
        </w:tc>
      </w:tr>
      <w:tr w:rsidR="00850D4E" w:rsidRPr="00850D4E" w14:paraId="198E5BB1" w14:textId="77777777" w:rsidTr="00CE64FA">
        <w:tc>
          <w:tcPr>
            <w:tcW w:w="821" w:type="pct"/>
            <w:tcMar>
              <w:top w:w="15" w:type="dxa"/>
              <w:left w:w="15" w:type="dxa"/>
              <w:bottom w:w="15" w:type="dxa"/>
              <w:right w:w="15" w:type="dxa"/>
            </w:tcMar>
            <w:hideMark/>
          </w:tcPr>
          <w:p w14:paraId="160AC9D3" w14:textId="77777777" w:rsidR="00850D4E" w:rsidRPr="00850D4E" w:rsidRDefault="00850D4E" w:rsidP="00850D4E">
            <w:p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kern w:val="0"/>
                <w:sz w:val="22"/>
                <w:szCs w:val="22"/>
                <w:u w:val="single"/>
                <w:lang w:val="es-ES" w:eastAsia="es-ES" w:bidi="es-ES"/>
                <w14:ligatures w14:val="none"/>
              </w:rPr>
              <w:t>Definición de un proyecto</w:t>
            </w:r>
          </w:p>
        </w:tc>
        <w:tc>
          <w:tcPr>
            <w:tcW w:w="2378" w:type="pct"/>
            <w:tcMar>
              <w:top w:w="15" w:type="dxa"/>
              <w:left w:w="15" w:type="dxa"/>
              <w:bottom w:w="15" w:type="dxa"/>
              <w:right w:w="15" w:type="dxa"/>
            </w:tcMar>
            <w:hideMark/>
          </w:tcPr>
          <w:p w14:paraId="36ED59C1" w14:textId="73CF0539" w:rsidR="00850D4E" w:rsidRPr="00850D4E" w:rsidRDefault="00850D4E" w:rsidP="00850D4E">
            <w:pPr>
              <w:numPr>
                <w:ilvl w:val="0"/>
                <w:numId w:val="11"/>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Identificar los recursos internos</w:t>
            </w:r>
          </w:p>
          <w:p w14:paraId="4A9905A3" w14:textId="77777777" w:rsidR="00850D4E" w:rsidRPr="00850D4E" w:rsidRDefault="00850D4E" w:rsidP="00850D4E">
            <w:pPr>
              <w:numPr>
                <w:ilvl w:val="0"/>
                <w:numId w:val="11"/>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Identificar los recursos externos (si es necesario) </w:t>
            </w:r>
          </w:p>
          <w:p w14:paraId="6B7A0924" w14:textId="77777777" w:rsidR="00850D4E" w:rsidRPr="00850D4E" w:rsidRDefault="00850D4E" w:rsidP="00850D4E">
            <w:pPr>
              <w:numPr>
                <w:ilvl w:val="0"/>
                <w:numId w:val="11"/>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Identificar riesgos y estrategias de adquisición </w:t>
            </w:r>
          </w:p>
          <w:p w14:paraId="43BD9C7E" w14:textId="77777777" w:rsidR="00850D4E" w:rsidRPr="00850D4E" w:rsidRDefault="00850D4E" w:rsidP="00850D4E">
            <w:pPr>
              <w:numPr>
                <w:ilvl w:val="0"/>
                <w:numId w:val="11"/>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Selección o identificación del producto/servicio </w:t>
            </w:r>
          </w:p>
          <w:p w14:paraId="5C2975B3" w14:textId="77777777" w:rsidR="00850D4E" w:rsidRPr="00850D4E" w:rsidRDefault="00850D4E" w:rsidP="00CE64FA">
            <w:pPr>
              <w:numPr>
                <w:ilvl w:val="0"/>
                <w:numId w:val="11"/>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Previsión/cuantificación </w:t>
            </w:r>
          </w:p>
          <w:p w14:paraId="3D952B65" w14:textId="77777777" w:rsidR="00850D4E" w:rsidRPr="00850D4E" w:rsidRDefault="00850D4E" w:rsidP="00CE64FA">
            <w:pPr>
              <w:numPr>
                <w:ilvl w:val="0"/>
                <w:numId w:val="11"/>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Presupuesto </w:t>
            </w:r>
          </w:p>
          <w:p w14:paraId="1EAE9397" w14:textId="77777777" w:rsidR="00850D4E" w:rsidRPr="00850D4E" w:rsidRDefault="00850D4E" w:rsidP="00CE64FA">
            <w:pPr>
              <w:numPr>
                <w:ilvl w:val="0"/>
                <w:numId w:val="11"/>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Identificar las responsabilidades de GCS </w:t>
            </w:r>
          </w:p>
          <w:p w14:paraId="2A60CFCA" w14:textId="77777777" w:rsidR="00850D4E" w:rsidRPr="00850D4E" w:rsidRDefault="00850D4E" w:rsidP="00CE64FA">
            <w:pPr>
              <w:numPr>
                <w:ilvl w:val="0"/>
                <w:numId w:val="11"/>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Evaluar las capacidades de GCS del asociado en la ejecución </w:t>
            </w:r>
          </w:p>
          <w:p w14:paraId="5F103A3E" w14:textId="77777777" w:rsidR="00850D4E" w:rsidRPr="00850D4E" w:rsidRDefault="00850D4E" w:rsidP="00CE64FA">
            <w:pPr>
              <w:numPr>
                <w:ilvl w:val="0"/>
                <w:numId w:val="11"/>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Desarrollar el PLAN DE PEDIDOS </w:t>
            </w:r>
          </w:p>
          <w:p w14:paraId="0C974FC4" w14:textId="77777777" w:rsidR="00850D4E" w:rsidRPr="00850D4E" w:rsidRDefault="00850D4E" w:rsidP="00CE64FA">
            <w:pPr>
              <w:numPr>
                <w:ilvl w:val="0"/>
                <w:numId w:val="11"/>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Identificar la estrategia de gestión de activos</w:t>
            </w:r>
          </w:p>
        </w:tc>
        <w:tc>
          <w:tcPr>
            <w:tcW w:w="0" w:type="auto"/>
            <w:tcMar>
              <w:top w:w="15" w:type="dxa"/>
              <w:left w:w="15" w:type="dxa"/>
              <w:bottom w:w="15" w:type="dxa"/>
              <w:right w:w="15" w:type="dxa"/>
            </w:tcMar>
            <w:hideMark/>
          </w:tcPr>
          <w:p w14:paraId="23DBD39E" w14:textId="77777777" w:rsidR="00850D4E" w:rsidRPr="00850D4E" w:rsidRDefault="00850D4E" w:rsidP="00CE64FA">
            <w:p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PRODOC (Documentos del proyecto)</w:t>
            </w:r>
          </w:p>
          <w:p w14:paraId="43521DD4" w14:textId="77777777" w:rsidR="00850D4E" w:rsidRPr="00850D4E" w:rsidRDefault="00850D4E" w:rsidP="00CE64FA">
            <w:p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EVALUACIÓN DE RIESGOS DE ADQUISICIÓN</w:t>
            </w:r>
          </w:p>
          <w:p w14:paraId="404F2828" w14:textId="77777777" w:rsidR="00850D4E" w:rsidRPr="00850D4E" w:rsidRDefault="00850D4E" w:rsidP="00850D4E">
            <w:p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ESTRATEGIAS DE ADQUISICIÓN (incluidas las estrategias de selección de proveedores)</w:t>
            </w:r>
          </w:p>
          <w:p w14:paraId="37C44DB7" w14:textId="77777777" w:rsidR="00850D4E" w:rsidRPr="00850D4E" w:rsidRDefault="00850D4E" w:rsidP="00CE64FA">
            <w:p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PLAN DE PEDIDOS</w:t>
            </w:r>
          </w:p>
          <w:p w14:paraId="00E62E64" w14:textId="77777777" w:rsidR="00850D4E" w:rsidRPr="00850D4E" w:rsidRDefault="00850D4E" w:rsidP="00850D4E">
            <w:p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PLAN DE GESTIÓN DE LA CADENA DE SUMINISTRO (si corresponde)</w:t>
            </w:r>
          </w:p>
        </w:tc>
      </w:tr>
      <w:tr w:rsidR="00850D4E" w:rsidRPr="00850D4E" w14:paraId="254DBB68" w14:textId="77777777" w:rsidTr="00CE64FA">
        <w:tc>
          <w:tcPr>
            <w:tcW w:w="821" w:type="pct"/>
            <w:tcMar>
              <w:top w:w="15" w:type="dxa"/>
              <w:left w:w="15" w:type="dxa"/>
              <w:bottom w:w="15" w:type="dxa"/>
              <w:right w:w="15" w:type="dxa"/>
            </w:tcMar>
            <w:hideMark/>
          </w:tcPr>
          <w:p w14:paraId="056052F9" w14:textId="77777777" w:rsidR="00850D4E" w:rsidRPr="00850D4E" w:rsidRDefault="00850D4E" w:rsidP="00850D4E">
            <w:p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kern w:val="0"/>
                <w:sz w:val="22"/>
                <w:szCs w:val="22"/>
                <w:u w:val="single"/>
                <w:lang w:val="es-ES" w:eastAsia="es-ES" w:bidi="es-ES"/>
                <w14:ligatures w14:val="none"/>
              </w:rPr>
              <w:t>Comienzo de un proyecto</w:t>
            </w:r>
          </w:p>
        </w:tc>
        <w:tc>
          <w:tcPr>
            <w:tcW w:w="2378" w:type="pct"/>
            <w:tcMar>
              <w:top w:w="15" w:type="dxa"/>
              <w:left w:w="15" w:type="dxa"/>
              <w:bottom w:w="15" w:type="dxa"/>
              <w:right w:w="15" w:type="dxa"/>
            </w:tcMar>
            <w:hideMark/>
          </w:tcPr>
          <w:p w14:paraId="5B5BC5E0" w14:textId="77777777" w:rsidR="00850D4E" w:rsidRPr="00850D4E" w:rsidRDefault="00850D4E" w:rsidP="00CE64FA">
            <w:pPr>
              <w:numPr>
                <w:ilvl w:val="0"/>
                <w:numId w:val="12"/>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Desarrollo de un PLAN DE ADQUISICIONES </w:t>
            </w:r>
          </w:p>
          <w:p w14:paraId="6AC31965" w14:textId="77777777" w:rsidR="00850D4E" w:rsidRPr="00850D4E" w:rsidRDefault="00850D4E" w:rsidP="00CE64FA">
            <w:pPr>
              <w:numPr>
                <w:ilvl w:val="0"/>
                <w:numId w:val="12"/>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Desarrollo de especificaciones/</w:t>
            </w:r>
            <w:proofErr w:type="spellStart"/>
            <w:r w:rsidRPr="00850D4E">
              <w:rPr>
                <w:rFonts w:ascii="Calibri" w:eastAsia="MS Mincho" w:hAnsi="Calibri" w:cs="Times New Roman"/>
                <w:kern w:val="0"/>
                <w:sz w:val="22"/>
                <w:szCs w:val="22"/>
                <w:lang w:val="es-ES" w:eastAsia="es-ES" w:bidi="es-ES"/>
                <w14:ligatures w14:val="none"/>
              </w:rPr>
              <w:t>TdR</w:t>
            </w:r>
            <w:proofErr w:type="spellEnd"/>
            <w:r w:rsidRPr="00850D4E">
              <w:rPr>
                <w:rFonts w:ascii="Calibri" w:eastAsia="MS Mincho" w:hAnsi="Calibri" w:cs="Times New Roman"/>
                <w:kern w:val="0"/>
                <w:sz w:val="22"/>
                <w:szCs w:val="22"/>
                <w:lang w:val="es-ES" w:eastAsia="es-ES" w:bidi="es-ES"/>
                <w14:ligatures w14:val="none"/>
              </w:rPr>
              <w:t>/SOW (alcance de las obras)</w:t>
            </w:r>
          </w:p>
        </w:tc>
        <w:tc>
          <w:tcPr>
            <w:tcW w:w="0" w:type="auto"/>
            <w:tcMar>
              <w:top w:w="15" w:type="dxa"/>
              <w:left w:w="15" w:type="dxa"/>
              <w:bottom w:w="15" w:type="dxa"/>
              <w:right w:w="15" w:type="dxa"/>
            </w:tcMar>
            <w:hideMark/>
          </w:tcPr>
          <w:p w14:paraId="59B23951" w14:textId="77777777" w:rsidR="00850D4E" w:rsidRPr="00850D4E" w:rsidRDefault="00850D4E" w:rsidP="00CE64FA">
            <w:p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PLAN DE ADQUISICIONES</w:t>
            </w:r>
          </w:p>
        </w:tc>
      </w:tr>
      <w:tr w:rsidR="00850D4E" w:rsidRPr="00850D4E" w14:paraId="24330940" w14:textId="77777777" w:rsidTr="00CE64FA">
        <w:tc>
          <w:tcPr>
            <w:tcW w:w="821" w:type="pct"/>
            <w:tcMar>
              <w:top w:w="15" w:type="dxa"/>
              <w:left w:w="15" w:type="dxa"/>
              <w:bottom w:w="15" w:type="dxa"/>
              <w:right w:w="15" w:type="dxa"/>
            </w:tcMar>
            <w:hideMark/>
          </w:tcPr>
          <w:p w14:paraId="321B5C99" w14:textId="77777777" w:rsidR="00850D4E" w:rsidRPr="00850D4E" w:rsidRDefault="00850D4E" w:rsidP="00850D4E">
            <w:p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kern w:val="0"/>
                <w:sz w:val="22"/>
                <w:szCs w:val="22"/>
                <w:u w:val="single"/>
                <w:lang w:val="es-ES" w:eastAsia="es-ES" w:bidi="es-ES"/>
                <w14:ligatures w14:val="none"/>
              </w:rPr>
              <w:t>Ejecución de un proyecto</w:t>
            </w:r>
          </w:p>
        </w:tc>
        <w:tc>
          <w:tcPr>
            <w:tcW w:w="2378" w:type="pct"/>
            <w:tcMar>
              <w:top w:w="15" w:type="dxa"/>
              <w:left w:w="15" w:type="dxa"/>
              <w:bottom w:w="15" w:type="dxa"/>
              <w:right w:w="15" w:type="dxa"/>
            </w:tcMar>
            <w:hideMark/>
          </w:tcPr>
          <w:p w14:paraId="5EBC2EEC" w14:textId="77777777" w:rsidR="00850D4E" w:rsidRPr="00850D4E" w:rsidRDefault="00850D4E" w:rsidP="00CE64FA">
            <w:pPr>
              <w:numPr>
                <w:ilvl w:val="0"/>
                <w:numId w:val="13"/>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Supervisar y revisar el Plan de Adquisiciones o el Plan de Gestión de Adquisiciones y Suministro </w:t>
            </w:r>
          </w:p>
          <w:p w14:paraId="74610FAA" w14:textId="77777777" w:rsidR="00850D4E" w:rsidRPr="00850D4E" w:rsidRDefault="00850D4E" w:rsidP="00CE64FA">
            <w:pPr>
              <w:numPr>
                <w:ilvl w:val="0"/>
                <w:numId w:val="13"/>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Identificar proveedores </w:t>
            </w:r>
          </w:p>
          <w:p w14:paraId="4AA2D73B" w14:textId="77777777" w:rsidR="00850D4E" w:rsidRPr="00850D4E" w:rsidRDefault="00850D4E" w:rsidP="00CE64FA">
            <w:pPr>
              <w:numPr>
                <w:ilvl w:val="0"/>
                <w:numId w:val="13"/>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Seleccionar proveedores </w:t>
            </w:r>
          </w:p>
          <w:p w14:paraId="6427D09E" w14:textId="77777777" w:rsidR="00850D4E" w:rsidRPr="00850D4E" w:rsidRDefault="00850D4E" w:rsidP="00CE64FA">
            <w:pPr>
              <w:numPr>
                <w:ilvl w:val="0"/>
                <w:numId w:val="13"/>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Adjudicación y contratación </w:t>
            </w:r>
          </w:p>
          <w:p w14:paraId="667B2399" w14:textId="77777777" w:rsidR="00850D4E" w:rsidRPr="00850D4E" w:rsidRDefault="00850D4E" w:rsidP="00CE64FA">
            <w:pPr>
              <w:numPr>
                <w:ilvl w:val="0"/>
                <w:numId w:val="13"/>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 xml:space="preserve">Supervisar el desempeño y gestionar los contratos </w:t>
            </w:r>
          </w:p>
          <w:p w14:paraId="1D119B7F" w14:textId="77777777" w:rsidR="00850D4E" w:rsidRPr="00850D4E" w:rsidRDefault="00850D4E" w:rsidP="00CE64FA">
            <w:pPr>
              <w:numPr>
                <w:ilvl w:val="0"/>
                <w:numId w:val="13"/>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En función de las obligaciones de GCS identificadas durante la definición del proyecto, el PNUD será responsable del almacenamiento, la gestión del inventario y la distribución</w:t>
            </w:r>
          </w:p>
        </w:tc>
        <w:tc>
          <w:tcPr>
            <w:tcW w:w="0" w:type="auto"/>
            <w:tcMar>
              <w:top w:w="15" w:type="dxa"/>
              <w:left w:w="15" w:type="dxa"/>
              <w:bottom w:w="15" w:type="dxa"/>
              <w:right w:w="15" w:type="dxa"/>
            </w:tcMar>
            <w:hideMark/>
          </w:tcPr>
          <w:p w14:paraId="478714BA" w14:textId="77777777" w:rsidR="00850D4E" w:rsidRPr="00850D4E" w:rsidRDefault="00850D4E" w:rsidP="00850D4E">
            <w:p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SUPERVISIÓN Y AJUSTE DEL PLAN DE ADQUISICIONES/PLAN DE GESTIÓN DE LA CADENA DE SUMINISTRO</w:t>
            </w:r>
          </w:p>
        </w:tc>
      </w:tr>
      <w:tr w:rsidR="00850D4E" w:rsidRPr="00850D4E" w14:paraId="6D0EAFE7" w14:textId="77777777" w:rsidTr="00CE64FA">
        <w:tc>
          <w:tcPr>
            <w:tcW w:w="821" w:type="pct"/>
            <w:tcMar>
              <w:top w:w="15" w:type="dxa"/>
              <w:left w:w="15" w:type="dxa"/>
              <w:bottom w:w="15" w:type="dxa"/>
              <w:right w:w="15" w:type="dxa"/>
            </w:tcMar>
            <w:hideMark/>
          </w:tcPr>
          <w:p w14:paraId="54F6A262" w14:textId="77777777" w:rsidR="00850D4E" w:rsidRPr="00850D4E" w:rsidRDefault="00850D4E" w:rsidP="00850D4E">
            <w:p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kern w:val="0"/>
                <w:sz w:val="22"/>
                <w:szCs w:val="22"/>
                <w:u w:val="single"/>
                <w:lang w:val="es-ES" w:eastAsia="es-ES" w:bidi="es-ES"/>
                <w14:ligatures w14:val="none"/>
              </w:rPr>
              <w:t>Cierre de un proyecto</w:t>
            </w:r>
          </w:p>
        </w:tc>
        <w:tc>
          <w:tcPr>
            <w:tcW w:w="2378" w:type="pct"/>
            <w:tcMar>
              <w:top w:w="15" w:type="dxa"/>
              <w:left w:w="15" w:type="dxa"/>
              <w:bottom w:w="15" w:type="dxa"/>
              <w:right w:w="15" w:type="dxa"/>
            </w:tcMar>
            <w:hideMark/>
          </w:tcPr>
          <w:p w14:paraId="14C0640B" w14:textId="77777777" w:rsidR="00850D4E" w:rsidRPr="00850D4E" w:rsidRDefault="00850D4E" w:rsidP="00CE64FA">
            <w:pPr>
              <w:numPr>
                <w:ilvl w:val="0"/>
                <w:numId w:val="14"/>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Cerrar el proyecto </w:t>
            </w:r>
          </w:p>
          <w:p w14:paraId="33CAB6B0" w14:textId="77777777" w:rsidR="00850D4E" w:rsidRPr="00850D4E" w:rsidRDefault="00850D4E" w:rsidP="00CE64FA">
            <w:pPr>
              <w:numPr>
                <w:ilvl w:val="0"/>
                <w:numId w:val="14"/>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Ceder/transferir activos </w:t>
            </w:r>
          </w:p>
          <w:p w14:paraId="02CF5CBA" w14:textId="77777777" w:rsidR="00850D4E" w:rsidRPr="00850D4E" w:rsidRDefault="00850D4E" w:rsidP="00CE64FA">
            <w:pPr>
              <w:numPr>
                <w:ilvl w:val="0"/>
                <w:numId w:val="14"/>
              </w:num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Identificar lecciones aprendidas sobre adquisición</w:t>
            </w:r>
          </w:p>
        </w:tc>
        <w:tc>
          <w:tcPr>
            <w:tcW w:w="0" w:type="auto"/>
            <w:tcMar>
              <w:top w:w="15" w:type="dxa"/>
              <w:left w:w="15" w:type="dxa"/>
              <w:bottom w:w="15" w:type="dxa"/>
              <w:right w:w="15" w:type="dxa"/>
            </w:tcMar>
            <w:hideMark/>
          </w:tcPr>
          <w:p w14:paraId="6824F66D" w14:textId="77777777" w:rsidR="00850D4E" w:rsidRPr="00850D4E" w:rsidRDefault="00850D4E" w:rsidP="00CE64FA">
            <w:pPr>
              <w:spacing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w:t>
            </w:r>
          </w:p>
        </w:tc>
      </w:tr>
    </w:tbl>
    <w:p w14:paraId="677F2EDF"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153607E4"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u w:val="single"/>
          <w:lang w:val="es-ES" w:eastAsia="es-ES" w:bidi="es-ES"/>
          <w14:ligatures w14:val="none"/>
        </w:rPr>
        <w:t>La evaluación de los riesgos de adquisición, la definición de estrategias y la planificación de las adquisiciones</w:t>
      </w:r>
      <w:r w:rsidRPr="00850D4E">
        <w:rPr>
          <w:rFonts w:ascii="Calibri" w:eastAsia="MS Mincho" w:hAnsi="Calibri" w:cs="Calibri"/>
          <w:kern w:val="0"/>
          <w:sz w:val="22"/>
          <w:szCs w:val="22"/>
          <w:u w:val="single"/>
          <w:lang w:val="es-ES" w:eastAsia="es-ES" w:bidi="es-ES"/>
          <w14:ligatures w14:val="none"/>
        </w:rPr>
        <w:t xml:space="preserve"> deberán integrarse en la etapa de programación y no como un proceso de la etapa final. </w:t>
      </w:r>
    </w:p>
    <w:p w14:paraId="54D9785D"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35EB6D04" w14:textId="77777777" w:rsidR="00850D4E" w:rsidRPr="00850D4E" w:rsidRDefault="00850D4E" w:rsidP="00850D4E">
      <w:pPr>
        <w:shd w:val="clear" w:color="auto" w:fill="FFFFFF"/>
        <w:spacing w:after="0" w:line="240" w:lineRule="auto"/>
        <w:ind w:firstLine="720"/>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EVALUACIÓN Y GESTIÓN DE RIESGOS DE ADQUISICIÓN</w:t>
      </w:r>
    </w:p>
    <w:p w14:paraId="23C1F524"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62E632E1"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El PNUD debe controlar y gestionar los riesgos (definidos como </w:t>
      </w:r>
      <w:r w:rsidRPr="00850D4E">
        <w:rPr>
          <w:rFonts w:ascii="Calibri" w:eastAsia="MS Mincho" w:hAnsi="Calibri" w:cs="Times New Roman"/>
          <w:kern w:val="0"/>
          <w:sz w:val="22"/>
          <w:szCs w:val="22"/>
          <w:u w:val="single"/>
          <w:lang w:val="es-ES" w:eastAsia="es-ES" w:bidi="es-ES"/>
          <w14:ligatures w14:val="none"/>
        </w:rPr>
        <w:t>amenazas</w:t>
      </w:r>
      <w:r w:rsidRPr="00850D4E">
        <w:rPr>
          <w:rFonts w:ascii="Calibri" w:eastAsia="MS Mincho" w:hAnsi="Calibri" w:cs="Times New Roman"/>
          <w:kern w:val="0"/>
          <w:sz w:val="22"/>
          <w:szCs w:val="22"/>
          <w:lang w:val="es-ES" w:eastAsia="es-ES" w:bidi="es-ES"/>
          <w14:ligatures w14:val="none"/>
        </w:rPr>
        <w:t xml:space="preserve"> y </w:t>
      </w:r>
      <w:r w:rsidRPr="00850D4E">
        <w:rPr>
          <w:rFonts w:ascii="Calibri" w:eastAsia="MS Mincho" w:hAnsi="Calibri" w:cs="Times New Roman"/>
          <w:kern w:val="0"/>
          <w:sz w:val="22"/>
          <w:szCs w:val="22"/>
          <w:u w:val="single"/>
          <w:lang w:val="es-ES" w:eastAsia="es-ES" w:bidi="es-ES"/>
          <w14:ligatures w14:val="none"/>
        </w:rPr>
        <w:t>oportunidades</w:t>
      </w:r>
      <w:r w:rsidRPr="00850D4E">
        <w:rPr>
          <w:rFonts w:ascii="Calibri" w:eastAsia="MS Mincho" w:hAnsi="Calibri" w:cs="Times New Roman"/>
          <w:kern w:val="0"/>
          <w:sz w:val="22"/>
          <w:szCs w:val="22"/>
          <w:lang w:val="es-ES" w:eastAsia="es-ES" w:bidi="es-ES"/>
          <w14:ligatures w14:val="none"/>
        </w:rPr>
        <w:t>) de manera proactiva y sistemática. Entre otros riesgos, el PNUD debe identificar y gestionar cualquier riesgo asociado con la ejecución de sus actividades de adquisición. El PNUD no solo debe conocer y controlar los riesgos de adquisiciones a los que se enfrenta, sino que también debe anticipar y evaluar de manera proactiva dichos riesgos. Este capítulo trata exclusivamente sobre los riesgos «transaccionales» de la adquisición. Por lo tanto, no desarrolla los riesgos corporativos de la adquisición, que forman parte de las estrategias de adquisición corporativa del PNUD.</w:t>
      </w:r>
    </w:p>
    <w:p w14:paraId="343AC28C"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4D464269"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MS Mincho" w:hAnsi="Calibri" w:cs="Times New Roman"/>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El PNUD ha adoptado una estrategia de Gestión de los Riesgos Institucionales (ERM) que proporciona un marco para abordar todos los riesgos, incluidos los riesgos de las adquisiciones. Encontrará más información sobre ERM en: </w:t>
      </w:r>
    </w:p>
    <w:p w14:paraId="1B6E8FE9" w14:textId="77777777" w:rsidR="00850D4E" w:rsidRPr="00850D4E" w:rsidRDefault="00850D4E" w:rsidP="00850D4E">
      <w:pPr>
        <w:numPr>
          <w:ilvl w:val="0"/>
          <w:numId w:val="21"/>
        </w:numPr>
        <w:shd w:val="clear" w:color="auto" w:fill="FFFFFF"/>
        <w:spacing w:after="0" w:line="240" w:lineRule="auto"/>
        <w:contextualSpacing/>
        <w:jc w:val="both"/>
        <w:textAlignment w:val="top"/>
        <w:rPr>
          <w:rFonts w:ascii="Calibri" w:eastAsia="MS Mincho" w:hAnsi="Calibri" w:cs="Times New Roman"/>
          <w:kern w:val="0"/>
          <w:sz w:val="22"/>
          <w:szCs w:val="22"/>
          <w:lang w:val="es-ES" w:eastAsia="es-ES" w:bidi="es-ES"/>
          <w14:ligatures w14:val="none"/>
        </w:rPr>
      </w:pPr>
      <w:hyperlink r:id="rId8" w:history="1">
        <w:r w:rsidRPr="00850D4E">
          <w:rPr>
            <w:rFonts w:ascii="Calibri" w:eastAsia="MS Mincho" w:hAnsi="Calibri" w:cs="Times New Roman"/>
            <w:color w:val="0563C1"/>
            <w:kern w:val="0"/>
            <w:sz w:val="22"/>
            <w:szCs w:val="22"/>
            <w:u w:val="single"/>
            <w:lang w:val="es-ES" w:eastAsia="es-ES" w:bidi="es-ES"/>
            <w14:ligatures w14:val="none"/>
          </w:rPr>
          <w:t>Política de ERM</w:t>
        </w:r>
      </w:hyperlink>
    </w:p>
    <w:p w14:paraId="7B93A858" w14:textId="35DC9B69" w:rsidR="00850D4E" w:rsidRPr="00850D4E" w:rsidRDefault="00850D4E" w:rsidP="00850D4E">
      <w:pPr>
        <w:numPr>
          <w:ilvl w:val="0"/>
          <w:numId w:val="15"/>
        </w:numPr>
        <w:shd w:val="clear" w:color="auto" w:fill="FFFFFF"/>
        <w:spacing w:after="0" w:line="312" w:lineRule="auto"/>
        <w:ind w:left="1134"/>
        <w:jc w:val="both"/>
        <w:textAlignment w:val="top"/>
        <w:rPr>
          <w:rFonts w:ascii="Calibri" w:eastAsia="MS Mincho" w:hAnsi="Calibri" w:cs="Times New Roman"/>
          <w:kern w:val="0"/>
          <w:sz w:val="22"/>
          <w:szCs w:val="22"/>
          <w:lang w:val="es-ES" w:eastAsia="es-ES" w:bidi="es-ES"/>
          <w14:ligatures w14:val="none"/>
        </w:rPr>
      </w:pPr>
      <w:hyperlink r:id="rId9" w:history="1">
        <w:r w:rsidRPr="00850D4E">
          <w:rPr>
            <w:rFonts w:ascii="Calibri" w:eastAsia="MS Mincho" w:hAnsi="Calibri" w:cs="Calibri"/>
            <w:color w:val="0563C1"/>
            <w:kern w:val="0"/>
            <w:sz w:val="22"/>
            <w:szCs w:val="22"/>
            <w:u w:val="single"/>
            <w:lang w:val="es-ES" w:eastAsia="es-ES" w:bidi="es-ES"/>
            <w14:ligatures w14:val="none"/>
          </w:rPr>
          <w:t>Proceso de negocio para la ERM</w:t>
        </w:r>
      </w:hyperlink>
    </w:p>
    <w:p w14:paraId="6AAE3BD7" w14:textId="77777777" w:rsidR="00850D4E" w:rsidRPr="00850D4E" w:rsidRDefault="00850D4E" w:rsidP="00850D4E">
      <w:pPr>
        <w:shd w:val="clear" w:color="auto" w:fill="FFFFFF"/>
        <w:spacing w:after="0" w:line="312" w:lineRule="auto"/>
        <w:ind w:left="1134"/>
        <w:jc w:val="both"/>
        <w:textAlignment w:val="top"/>
        <w:rPr>
          <w:rFonts w:ascii="Calibri" w:eastAsia="MS Mincho" w:hAnsi="Calibri" w:cs="Times New Roman"/>
          <w:kern w:val="0"/>
          <w:sz w:val="22"/>
          <w:szCs w:val="22"/>
          <w:lang w:val="es-ES" w:eastAsia="es-ES" w:bidi="es-ES"/>
          <w14:ligatures w14:val="none"/>
        </w:rPr>
      </w:pPr>
    </w:p>
    <w:p w14:paraId="393A9B52"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El ciclo de gestión de riesgos incluye los siguientes pasos: </w:t>
      </w:r>
    </w:p>
    <w:p w14:paraId="18656811" w14:textId="77777777" w:rsidR="00850D4E" w:rsidRPr="00850D4E" w:rsidRDefault="00850D4E" w:rsidP="00850D4E">
      <w:pPr>
        <w:shd w:val="clear" w:color="auto" w:fill="FFFFFF"/>
        <w:spacing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48"/>
        <w:gridCol w:w="6902"/>
      </w:tblGrid>
      <w:tr w:rsidR="00850D4E" w:rsidRPr="00850D4E" w14:paraId="47611428" w14:textId="77777777" w:rsidTr="00CE64FA">
        <w:tc>
          <w:tcPr>
            <w:tcW w:w="0" w:type="auto"/>
            <w:tcMar>
              <w:top w:w="15" w:type="dxa"/>
              <w:left w:w="15" w:type="dxa"/>
              <w:bottom w:w="15" w:type="dxa"/>
              <w:right w:w="15" w:type="dxa"/>
            </w:tcMar>
            <w:hideMark/>
          </w:tcPr>
          <w:p w14:paraId="05560E66"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1. Identificación de riesgos</w:t>
            </w:r>
          </w:p>
        </w:tc>
        <w:tc>
          <w:tcPr>
            <w:tcW w:w="0" w:type="auto"/>
            <w:tcMar>
              <w:top w:w="15" w:type="dxa"/>
              <w:left w:w="15" w:type="dxa"/>
              <w:bottom w:w="15" w:type="dxa"/>
              <w:right w:w="15" w:type="dxa"/>
            </w:tcMar>
            <w:hideMark/>
          </w:tcPr>
          <w:p w14:paraId="517317B3"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¿Cuáles son los riesgos y las oportunidades clave?</w:t>
            </w:r>
          </w:p>
        </w:tc>
      </w:tr>
      <w:tr w:rsidR="00850D4E" w:rsidRPr="00850D4E" w14:paraId="0A153445" w14:textId="77777777" w:rsidTr="00CE64FA">
        <w:tc>
          <w:tcPr>
            <w:tcW w:w="0" w:type="auto"/>
            <w:tcMar>
              <w:top w:w="15" w:type="dxa"/>
              <w:left w:w="15" w:type="dxa"/>
              <w:bottom w:w="15" w:type="dxa"/>
              <w:right w:w="15" w:type="dxa"/>
            </w:tcMar>
            <w:hideMark/>
          </w:tcPr>
          <w:p w14:paraId="724F0C1C"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2. Evaluación de riesgos</w:t>
            </w:r>
          </w:p>
        </w:tc>
        <w:tc>
          <w:tcPr>
            <w:tcW w:w="0" w:type="auto"/>
            <w:tcMar>
              <w:top w:w="15" w:type="dxa"/>
              <w:left w:w="15" w:type="dxa"/>
              <w:bottom w:w="15" w:type="dxa"/>
              <w:right w:w="15" w:type="dxa"/>
            </w:tcMar>
            <w:hideMark/>
          </w:tcPr>
          <w:p w14:paraId="5D90763F"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¿Cómo se relaciona el impacto potencial con nuestra tolerancia al riesgo? ¿Cuál es la probabilidad de un evento de riesgo y cuál sería el impacto?</w:t>
            </w:r>
          </w:p>
        </w:tc>
      </w:tr>
      <w:tr w:rsidR="00850D4E" w:rsidRPr="00850D4E" w14:paraId="559E9675" w14:textId="77777777" w:rsidTr="00CE64FA">
        <w:tc>
          <w:tcPr>
            <w:tcW w:w="0" w:type="auto"/>
            <w:tcMar>
              <w:top w:w="15" w:type="dxa"/>
              <w:left w:w="15" w:type="dxa"/>
              <w:bottom w:w="15" w:type="dxa"/>
              <w:right w:w="15" w:type="dxa"/>
            </w:tcMar>
            <w:hideMark/>
          </w:tcPr>
          <w:p w14:paraId="6A82E553"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3. Priorización de riesgos</w:t>
            </w:r>
          </w:p>
        </w:tc>
        <w:tc>
          <w:tcPr>
            <w:tcW w:w="0" w:type="auto"/>
            <w:tcMar>
              <w:top w:w="15" w:type="dxa"/>
              <w:left w:w="15" w:type="dxa"/>
              <w:bottom w:w="15" w:type="dxa"/>
              <w:right w:w="15" w:type="dxa"/>
            </w:tcMar>
            <w:hideMark/>
          </w:tcPr>
          <w:p w14:paraId="3AA48C13"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¿Cuáles son los asuntos de riesgos más críticos que requieren nuestra atención?</w:t>
            </w:r>
          </w:p>
        </w:tc>
      </w:tr>
      <w:tr w:rsidR="00850D4E" w:rsidRPr="00850D4E" w14:paraId="4418BA32" w14:textId="77777777" w:rsidTr="00CE64FA">
        <w:tc>
          <w:tcPr>
            <w:tcW w:w="0" w:type="auto"/>
            <w:tcMar>
              <w:top w:w="15" w:type="dxa"/>
              <w:left w:w="15" w:type="dxa"/>
              <w:bottom w:w="15" w:type="dxa"/>
              <w:right w:w="15" w:type="dxa"/>
            </w:tcMar>
            <w:hideMark/>
          </w:tcPr>
          <w:p w14:paraId="3FFEF360"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4. Toma de medidas</w:t>
            </w:r>
          </w:p>
        </w:tc>
        <w:tc>
          <w:tcPr>
            <w:tcW w:w="0" w:type="auto"/>
            <w:tcMar>
              <w:top w:w="15" w:type="dxa"/>
              <w:left w:w="15" w:type="dxa"/>
              <w:bottom w:w="15" w:type="dxa"/>
              <w:right w:w="15" w:type="dxa"/>
            </w:tcMar>
            <w:hideMark/>
          </w:tcPr>
          <w:p w14:paraId="32CB80CB"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¿Cuál es el mejor plan de acción? ¿Cuáles son nuestras estrategias? ¿Cómo sabremos si nuestras medidas de mitigación son eficaces?</w:t>
            </w:r>
          </w:p>
        </w:tc>
      </w:tr>
      <w:tr w:rsidR="00850D4E" w:rsidRPr="00850D4E" w14:paraId="7258A8B5" w14:textId="77777777" w:rsidTr="00CE64FA">
        <w:tc>
          <w:tcPr>
            <w:tcW w:w="0" w:type="auto"/>
            <w:tcMar>
              <w:top w:w="15" w:type="dxa"/>
              <w:left w:w="15" w:type="dxa"/>
              <w:bottom w:w="15" w:type="dxa"/>
              <w:right w:w="15" w:type="dxa"/>
            </w:tcMar>
            <w:hideMark/>
          </w:tcPr>
          <w:p w14:paraId="03ABF0D3"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5. Supervisión y presentación de informes</w:t>
            </w:r>
          </w:p>
        </w:tc>
        <w:tc>
          <w:tcPr>
            <w:tcW w:w="0" w:type="auto"/>
            <w:tcMar>
              <w:top w:w="15" w:type="dxa"/>
              <w:left w:w="15" w:type="dxa"/>
              <w:bottom w:w="15" w:type="dxa"/>
              <w:right w:w="15" w:type="dxa"/>
            </w:tcMar>
            <w:hideMark/>
          </w:tcPr>
          <w:p w14:paraId="76428E43"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¿Se están ejecutando los planes de acción? ¿Son eficaces en la mitigación de los riesgos? ¿Cómo controlamos su ejecución?</w:t>
            </w:r>
          </w:p>
        </w:tc>
      </w:tr>
    </w:tbl>
    <w:p w14:paraId="4E4D1812" w14:textId="77777777" w:rsidR="00850D4E" w:rsidRPr="00850D4E" w:rsidRDefault="00850D4E" w:rsidP="00850D4E">
      <w:pPr>
        <w:shd w:val="clear" w:color="auto" w:fill="FFFFFF"/>
        <w:spacing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850D4E" w:rsidRPr="00850D4E" w14:paraId="502621CE" w14:textId="77777777" w:rsidTr="00FA0166">
        <w:tc>
          <w:tcPr>
            <w:tcW w:w="5000" w:type="pct"/>
            <w:tcBorders>
              <w:top w:val="nil"/>
              <w:left w:val="nil"/>
              <w:bottom w:val="nil"/>
              <w:right w:val="nil"/>
            </w:tcBorders>
            <w:tcMar>
              <w:top w:w="15" w:type="dxa"/>
              <w:left w:w="15" w:type="dxa"/>
              <w:bottom w:w="15" w:type="dxa"/>
              <w:right w:w="15" w:type="dxa"/>
            </w:tcMar>
            <w:vAlign w:val="center"/>
            <w:hideMark/>
          </w:tcPr>
          <w:p w14:paraId="7EA14F2A" w14:textId="77777777" w:rsidR="00850D4E" w:rsidRPr="00850D4E" w:rsidRDefault="00850D4E" w:rsidP="00850D4E">
            <w:pPr>
              <w:numPr>
                <w:ilvl w:val="0"/>
                <w:numId w:val="20"/>
              </w:numPr>
              <w:spacing w:after="0" w:line="240" w:lineRule="auto"/>
              <w:contextualSpacing/>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Al definir las estrategias de adquisición, se debe tener en cuenta una serie de riesgos para la adquisición</w:t>
            </w:r>
            <w:r w:rsidRPr="00850D4E">
              <w:rPr>
                <w:rFonts w:ascii="Calibri" w:eastAsia="MS Mincho" w:hAnsi="Calibri" w:cs="Times New Roman"/>
                <w:kern w:val="0"/>
                <w:sz w:val="22"/>
                <w:szCs w:val="22"/>
                <w:lang w:val="es-ES" w:eastAsia="es-ES" w:bidi="es-ES"/>
                <w14:ligatures w14:val="none"/>
              </w:rPr>
              <w:t>. Estos pueden clasificarse en tres grupos principales:</w:t>
            </w:r>
          </w:p>
          <w:p w14:paraId="0D66FC4A" w14:textId="77777777" w:rsidR="00850D4E" w:rsidRPr="00850D4E" w:rsidRDefault="00850D4E" w:rsidP="00850D4E">
            <w:pPr>
              <w:numPr>
                <w:ilvl w:val="0"/>
                <w:numId w:val="16"/>
              </w:numPr>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Calibri"/>
                <w:i/>
                <w:kern w:val="0"/>
                <w:sz w:val="22"/>
                <w:szCs w:val="22"/>
                <w:lang w:val="es-ES" w:eastAsia="es-ES" w:bidi="es-ES"/>
                <w14:ligatures w14:val="none"/>
              </w:rPr>
              <w:t>Riesgo ambiental</w:t>
            </w:r>
            <w:r w:rsidRPr="00850D4E">
              <w:rPr>
                <w:rFonts w:ascii="Calibri" w:eastAsia="MS Mincho" w:hAnsi="Calibri" w:cs="Times New Roman"/>
                <w:kern w:val="0"/>
                <w:sz w:val="22"/>
                <w:szCs w:val="22"/>
                <w:lang w:val="es-ES" w:eastAsia="es-ES" w:bidi="es-ES"/>
                <w14:ligatures w14:val="none"/>
              </w:rPr>
              <w:t xml:space="preserve">, incluidos el ambiente político, el ambiente natural o el ambiente de infraestructura de entrega, entre otros. </w:t>
            </w:r>
          </w:p>
          <w:p w14:paraId="42E96A71" w14:textId="77777777" w:rsidR="00850D4E" w:rsidRPr="00850D4E" w:rsidRDefault="00850D4E" w:rsidP="00850D4E">
            <w:pPr>
              <w:numPr>
                <w:ilvl w:val="0"/>
                <w:numId w:val="16"/>
              </w:numPr>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Calibri"/>
                <w:i/>
                <w:kern w:val="0"/>
                <w:sz w:val="22"/>
                <w:szCs w:val="22"/>
                <w:lang w:val="es-ES" w:eastAsia="es-ES" w:bidi="es-ES"/>
                <w14:ligatures w14:val="none"/>
              </w:rPr>
              <w:t>Riesgo de programa</w:t>
            </w:r>
            <w:r w:rsidRPr="00850D4E">
              <w:rPr>
                <w:rFonts w:ascii="Calibri" w:eastAsia="MS Mincho" w:hAnsi="Calibri" w:cs="Times New Roman"/>
                <w:kern w:val="0"/>
                <w:sz w:val="22"/>
                <w:szCs w:val="22"/>
                <w:lang w:val="es-ES" w:eastAsia="es-ES" w:bidi="es-ES"/>
                <w14:ligatures w14:val="none"/>
              </w:rPr>
              <w:t xml:space="preserve">, incluidos, entre otros, el riesgo de operar en el mercado, la complejidad de la Gestión de la Cadena de Suministro, o el riesgo asociado con la naturaleza de los servicios o de los bienes adquiridos, entre otros. </w:t>
            </w:r>
          </w:p>
          <w:p w14:paraId="0FA53670" w14:textId="77777777" w:rsidR="00850D4E" w:rsidRPr="00850D4E" w:rsidRDefault="00850D4E" w:rsidP="00850D4E">
            <w:pPr>
              <w:numPr>
                <w:ilvl w:val="0"/>
                <w:numId w:val="16"/>
              </w:numPr>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Calibri"/>
                <w:i/>
                <w:kern w:val="0"/>
                <w:sz w:val="22"/>
                <w:szCs w:val="22"/>
                <w:lang w:val="es-ES" w:eastAsia="es-ES" w:bidi="es-ES"/>
                <w14:ligatures w14:val="none"/>
              </w:rPr>
              <w:t>Riesgo de ejecución</w:t>
            </w:r>
            <w:r w:rsidRPr="00850D4E">
              <w:rPr>
                <w:rFonts w:ascii="Calibri" w:eastAsia="MS Mincho" w:hAnsi="Calibri" w:cs="Times New Roman"/>
                <w:kern w:val="0"/>
                <w:sz w:val="22"/>
                <w:szCs w:val="22"/>
                <w:lang w:val="es-ES" w:eastAsia="es-ES" w:bidi="es-ES"/>
                <w14:ligatures w14:val="none"/>
              </w:rPr>
              <w:t xml:space="preserve">, o el riesgo asociado con la capacidad de ejecución de </w:t>
            </w:r>
            <w:proofErr w:type="spellStart"/>
            <w:r w:rsidRPr="00850D4E">
              <w:rPr>
                <w:rFonts w:ascii="Calibri" w:eastAsia="MS Mincho" w:hAnsi="Calibri" w:cs="Times New Roman"/>
                <w:kern w:val="0"/>
                <w:sz w:val="22"/>
                <w:szCs w:val="22"/>
                <w:lang w:val="es-ES" w:eastAsia="es-ES" w:bidi="es-ES"/>
                <w14:ligatures w14:val="none"/>
              </w:rPr>
              <w:t>launidad</w:t>
            </w:r>
            <w:proofErr w:type="spellEnd"/>
            <w:r w:rsidRPr="00850D4E">
              <w:rPr>
                <w:rFonts w:ascii="Calibri" w:eastAsia="MS Mincho" w:hAnsi="Calibri" w:cs="Times New Roman"/>
                <w:kern w:val="0"/>
                <w:sz w:val="22"/>
                <w:szCs w:val="22"/>
                <w:lang w:val="es-ES" w:eastAsia="es-ES" w:bidi="es-ES"/>
                <w14:ligatures w14:val="none"/>
              </w:rPr>
              <w:t xml:space="preserve"> responsable de la ejecución del proceso.</w:t>
            </w:r>
          </w:p>
        </w:tc>
      </w:tr>
    </w:tbl>
    <w:p w14:paraId="61EBC1BD"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2C744AB3"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En la tabla siguiente, encontrará algunos ejemplos de riesgos potenciales y actividades de mitigación. Tenga en cuenta que esta lista solo debe usarse como referencia y no es exhaustiva.</w:t>
      </w:r>
    </w:p>
    <w:p w14:paraId="0462831B" w14:textId="77777777" w:rsidR="00850D4E" w:rsidRPr="00850D4E" w:rsidRDefault="00850D4E" w:rsidP="00850D4E">
      <w:pPr>
        <w:shd w:val="clear" w:color="auto" w:fill="FFFFFF"/>
        <w:spacing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tbl>
      <w:tblPr>
        <w:tblW w:w="454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36"/>
        <w:gridCol w:w="2682"/>
        <w:gridCol w:w="3387"/>
      </w:tblGrid>
      <w:tr w:rsidR="00850D4E" w:rsidRPr="00850D4E" w14:paraId="66622F01" w14:textId="77777777" w:rsidTr="00CE64FA">
        <w:trPr>
          <w:jc w:val="right"/>
        </w:trPr>
        <w:tc>
          <w:tcPr>
            <w:tcW w:w="1432" w:type="pct"/>
            <w:tcMar>
              <w:top w:w="15" w:type="dxa"/>
              <w:left w:w="15" w:type="dxa"/>
              <w:bottom w:w="15" w:type="dxa"/>
              <w:right w:w="15" w:type="dxa"/>
            </w:tcMar>
            <w:hideMark/>
          </w:tcPr>
          <w:p w14:paraId="524C60A0"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Riesgo</w:t>
            </w:r>
          </w:p>
        </w:tc>
        <w:tc>
          <w:tcPr>
            <w:tcW w:w="1577" w:type="pct"/>
            <w:tcMar>
              <w:top w:w="15" w:type="dxa"/>
              <w:left w:w="15" w:type="dxa"/>
              <w:bottom w:w="15" w:type="dxa"/>
              <w:right w:w="15" w:type="dxa"/>
            </w:tcMar>
            <w:hideMark/>
          </w:tcPr>
          <w:p w14:paraId="5723AE58"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Consecuencias posibles</w:t>
            </w:r>
          </w:p>
        </w:tc>
        <w:tc>
          <w:tcPr>
            <w:tcW w:w="1991" w:type="pct"/>
            <w:tcMar>
              <w:top w:w="15" w:type="dxa"/>
              <w:left w:w="15" w:type="dxa"/>
              <w:bottom w:w="15" w:type="dxa"/>
              <w:right w:w="15" w:type="dxa"/>
            </w:tcMar>
            <w:hideMark/>
          </w:tcPr>
          <w:p w14:paraId="0EE4461B"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Soluciones posibles</w:t>
            </w:r>
          </w:p>
        </w:tc>
      </w:tr>
      <w:tr w:rsidR="00850D4E" w:rsidRPr="00850D4E" w14:paraId="114F8070" w14:textId="77777777" w:rsidTr="00CE64FA">
        <w:trPr>
          <w:jc w:val="right"/>
        </w:trPr>
        <w:tc>
          <w:tcPr>
            <w:tcW w:w="1432" w:type="pct"/>
            <w:tcMar>
              <w:top w:w="15" w:type="dxa"/>
              <w:left w:w="15" w:type="dxa"/>
              <w:bottom w:w="15" w:type="dxa"/>
              <w:right w:w="15" w:type="dxa"/>
            </w:tcMar>
            <w:hideMark/>
          </w:tcPr>
          <w:p w14:paraId="5FB23837"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Actividad de adquisición crítica</w:t>
            </w:r>
          </w:p>
        </w:tc>
        <w:tc>
          <w:tcPr>
            <w:tcW w:w="1577" w:type="pct"/>
            <w:tcMar>
              <w:top w:w="15" w:type="dxa"/>
              <w:left w:w="15" w:type="dxa"/>
              <w:bottom w:w="15" w:type="dxa"/>
              <w:right w:w="15" w:type="dxa"/>
            </w:tcMar>
            <w:hideMark/>
          </w:tcPr>
          <w:p w14:paraId="532383AD"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
        </w:tc>
        <w:tc>
          <w:tcPr>
            <w:tcW w:w="1991" w:type="pct"/>
            <w:tcMar>
              <w:top w:w="15" w:type="dxa"/>
              <w:left w:w="15" w:type="dxa"/>
              <w:bottom w:w="15" w:type="dxa"/>
              <w:right w:w="15" w:type="dxa"/>
            </w:tcMar>
            <w:hideMark/>
          </w:tcPr>
          <w:p w14:paraId="147F5AB1" w14:textId="77777777" w:rsidR="00850D4E" w:rsidRPr="00850D4E" w:rsidRDefault="00850D4E" w:rsidP="00CE64FA">
            <w:pPr>
              <w:spacing w:before="100" w:beforeAutospacing="1" w:after="100" w:afterAutospacing="1"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74C6FFC8" w14:textId="77777777" w:rsidR="00850D4E" w:rsidRPr="00850D4E" w:rsidRDefault="00850D4E" w:rsidP="00CE64FA">
            <w:pPr>
              <w:spacing w:before="100" w:beforeAutospacing="1" w:after="100" w:afterAutospacing="1"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tc>
      </w:tr>
      <w:tr w:rsidR="00850D4E" w:rsidRPr="00850D4E" w14:paraId="6E4E984C" w14:textId="77777777" w:rsidTr="00CE64FA">
        <w:trPr>
          <w:jc w:val="right"/>
        </w:trPr>
        <w:tc>
          <w:tcPr>
            <w:tcW w:w="1432" w:type="pct"/>
            <w:tcMar>
              <w:top w:w="15" w:type="dxa"/>
              <w:left w:w="15" w:type="dxa"/>
              <w:bottom w:w="15" w:type="dxa"/>
              <w:right w:w="15" w:type="dxa"/>
            </w:tcMar>
            <w:hideMark/>
          </w:tcPr>
          <w:p w14:paraId="31FF0801" w14:textId="77777777" w:rsidR="00850D4E" w:rsidRPr="00850D4E" w:rsidRDefault="00850D4E" w:rsidP="00850D4E">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No asegurar el suministro continuo crítico para la organización</w:t>
            </w:r>
          </w:p>
          <w:p w14:paraId="1FE2D480"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 ej., elecciones)</w:t>
            </w:r>
          </w:p>
        </w:tc>
        <w:tc>
          <w:tcPr>
            <w:tcW w:w="1577" w:type="pct"/>
            <w:tcMar>
              <w:top w:w="15" w:type="dxa"/>
              <w:left w:w="15" w:type="dxa"/>
              <w:bottom w:w="15" w:type="dxa"/>
              <w:right w:w="15" w:type="dxa"/>
            </w:tcMar>
            <w:hideMark/>
          </w:tcPr>
          <w:p w14:paraId="5BFEE693" w14:textId="77777777" w:rsidR="00850D4E" w:rsidRPr="00850D4E" w:rsidRDefault="00850D4E" w:rsidP="00850D4E">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No alcanzar los resultados organizacionales clave</w:t>
            </w:r>
          </w:p>
          <w:p w14:paraId="5CE07875" w14:textId="77777777" w:rsidR="00850D4E" w:rsidRPr="00850D4E" w:rsidRDefault="00850D4E" w:rsidP="00850D4E">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Costos totales de adquisición demasiado altos</w:t>
            </w:r>
          </w:p>
        </w:tc>
        <w:tc>
          <w:tcPr>
            <w:tcW w:w="1991" w:type="pct"/>
            <w:tcMar>
              <w:top w:w="15" w:type="dxa"/>
              <w:left w:w="15" w:type="dxa"/>
              <w:bottom w:w="15" w:type="dxa"/>
              <w:right w:w="15" w:type="dxa"/>
            </w:tcMar>
            <w:hideMark/>
          </w:tcPr>
          <w:p w14:paraId="2A79FF4A" w14:textId="77777777" w:rsidR="00850D4E" w:rsidRPr="00850D4E" w:rsidRDefault="00850D4E" w:rsidP="00CE64FA">
            <w:pPr>
              <w:spacing w:before="100" w:beforeAutospacing="1" w:after="100" w:afterAutospacing="1"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Desarrollar el conocimiento del mercado</w:t>
            </w:r>
          </w:p>
          <w:p w14:paraId="25438B1B" w14:textId="77777777" w:rsidR="00850D4E" w:rsidRPr="00850D4E" w:rsidRDefault="00850D4E" w:rsidP="00850D4E">
            <w:pPr>
              <w:spacing w:before="100" w:beforeAutospacing="1" w:after="100" w:afterAutospacing="1"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Identificar fuentes alternativas y diligencias debidas adicionales para comprobar la capacidad de los proveedores</w:t>
            </w:r>
          </w:p>
          <w:p w14:paraId="2B3C60C1" w14:textId="77777777" w:rsidR="00850D4E" w:rsidRPr="00850D4E" w:rsidRDefault="00850D4E" w:rsidP="00CE64FA">
            <w:pPr>
              <w:spacing w:before="100" w:beforeAutospacing="1" w:after="100" w:afterAutospacing="1"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Planificar con anticipación</w:t>
            </w:r>
          </w:p>
          <w:p w14:paraId="46588CB4" w14:textId="77777777" w:rsidR="00850D4E" w:rsidRPr="00850D4E" w:rsidRDefault="00850D4E" w:rsidP="00CE64FA">
            <w:pPr>
              <w:spacing w:before="100" w:beforeAutospacing="1" w:after="100" w:afterAutospacing="1"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Trabajar en forma estrecha con el beneficiario/el asociado para estar al tanto de los rápidos cambios de las necesidades</w:t>
            </w:r>
          </w:p>
          <w:p w14:paraId="4E1A9EE5" w14:textId="77777777" w:rsidR="00850D4E" w:rsidRPr="00850D4E" w:rsidRDefault="00850D4E" w:rsidP="00CE64FA">
            <w:pPr>
              <w:spacing w:before="100" w:beforeAutospacing="1" w:after="100" w:afterAutospacing="1"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Aplicar sanciones y recursos contractuales</w:t>
            </w:r>
          </w:p>
        </w:tc>
      </w:tr>
      <w:tr w:rsidR="00850D4E" w:rsidRPr="00850D4E" w14:paraId="210AF2EA" w14:textId="77777777" w:rsidTr="00CE64FA">
        <w:trPr>
          <w:jc w:val="right"/>
        </w:trPr>
        <w:tc>
          <w:tcPr>
            <w:tcW w:w="1432" w:type="pct"/>
            <w:tcMar>
              <w:top w:w="15" w:type="dxa"/>
              <w:left w:w="15" w:type="dxa"/>
              <w:bottom w:w="15" w:type="dxa"/>
              <w:right w:w="15" w:type="dxa"/>
            </w:tcMar>
            <w:hideMark/>
          </w:tcPr>
          <w:p w14:paraId="58358508"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Selección de la estrategia de adquisición</w:t>
            </w:r>
          </w:p>
        </w:tc>
        <w:tc>
          <w:tcPr>
            <w:tcW w:w="1577" w:type="pct"/>
            <w:tcMar>
              <w:top w:w="15" w:type="dxa"/>
              <w:left w:w="15" w:type="dxa"/>
              <w:bottom w:w="15" w:type="dxa"/>
              <w:right w:w="15" w:type="dxa"/>
            </w:tcMar>
            <w:hideMark/>
          </w:tcPr>
          <w:p w14:paraId="183D73A1"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
        </w:tc>
        <w:tc>
          <w:tcPr>
            <w:tcW w:w="1991" w:type="pct"/>
            <w:tcMar>
              <w:top w:w="15" w:type="dxa"/>
              <w:left w:w="15" w:type="dxa"/>
              <w:bottom w:w="15" w:type="dxa"/>
              <w:right w:w="15" w:type="dxa"/>
            </w:tcMar>
            <w:hideMark/>
          </w:tcPr>
          <w:p w14:paraId="0889944D"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
        </w:tc>
      </w:tr>
      <w:tr w:rsidR="00850D4E" w:rsidRPr="00850D4E" w14:paraId="37E8BDC2" w14:textId="77777777" w:rsidTr="00CE64FA">
        <w:trPr>
          <w:jc w:val="right"/>
        </w:trPr>
        <w:tc>
          <w:tcPr>
            <w:tcW w:w="1432" w:type="pct"/>
            <w:tcMar>
              <w:top w:w="15" w:type="dxa"/>
              <w:left w:w="15" w:type="dxa"/>
              <w:bottom w:w="15" w:type="dxa"/>
              <w:right w:w="15" w:type="dxa"/>
            </w:tcMar>
            <w:hideMark/>
          </w:tcPr>
          <w:p w14:paraId="3C15C38A"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Selección de una estrategia de adquisición inapropiada</w:t>
            </w:r>
          </w:p>
        </w:tc>
        <w:tc>
          <w:tcPr>
            <w:tcW w:w="1577" w:type="pct"/>
            <w:tcMar>
              <w:top w:w="15" w:type="dxa"/>
              <w:left w:w="15" w:type="dxa"/>
              <w:bottom w:w="15" w:type="dxa"/>
              <w:right w:w="15" w:type="dxa"/>
            </w:tcMar>
            <w:hideMark/>
          </w:tcPr>
          <w:p w14:paraId="29FB5861"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Resultados inadecuados o inapropiados</w:t>
            </w:r>
          </w:p>
          <w:p w14:paraId="2A7A5383"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No lograr la mejor relación entre calidad y precio</w:t>
            </w:r>
          </w:p>
          <w:p w14:paraId="31E28D00"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Perjudicar la ejecución del proyecto</w:t>
            </w:r>
          </w:p>
        </w:tc>
        <w:tc>
          <w:tcPr>
            <w:tcW w:w="1991" w:type="pct"/>
            <w:tcMar>
              <w:top w:w="15" w:type="dxa"/>
              <w:left w:w="15" w:type="dxa"/>
              <w:bottom w:w="15" w:type="dxa"/>
              <w:right w:w="15" w:type="dxa"/>
            </w:tcMar>
            <w:hideMark/>
          </w:tcPr>
          <w:p w14:paraId="5B480C9E"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Acordar los resultados/los objetivos deseados y comprender con claridad los objetivos del proyecto</w:t>
            </w:r>
          </w:p>
          <w:p w14:paraId="7618FE82"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Desarrollar una buena comprensión de los riesgos asociados para </w:t>
            </w:r>
            <w:r w:rsidRPr="00850D4E">
              <w:rPr>
                <w:rFonts w:ascii="Calibri" w:eastAsia="MS Mincho" w:hAnsi="Calibri" w:cs="Times New Roman"/>
                <w:kern w:val="0"/>
                <w:sz w:val="22"/>
                <w:szCs w:val="22"/>
                <w:lang w:val="es-ES" w:eastAsia="es-ES" w:bidi="es-ES"/>
                <w14:ligatures w14:val="none"/>
              </w:rPr>
              <w:lastRenderedPageBreak/>
              <w:t>incorporarlos en el desarrollo de estrategias de adquisición</w:t>
            </w:r>
          </w:p>
        </w:tc>
      </w:tr>
      <w:tr w:rsidR="00850D4E" w:rsidRPr="00850D4E" w14:paraId="61C2A2A4" w14:textId="77777777" w:rsidTr="00CE64FA">
        <w:trPr>
          <w:jc w:val="right"/>
        </w:trPr>
        <w:tc>
          <w:tcPr>
            <w:tcW w:w="1432" w:type="pct"/>
            <w:tcMar>
              <w:top w:w="15" w:type="dxa"/>
              <w:left w:w="15" w:type="dxa"/>
              <w:bottom w:w="15" w:type="dxa"/>
              <w:right w:w="15" w:type="dxa"/>
            </w:tcMar>
            <w:hideMark/>
          </w:tcPr>
          <w:p w14:paraId="76C4911E"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lastRenderedPageBreak/>
              <w:t>Planificación</w:t>
            </w:r>
          </w:p>
        </w:tc>
        <w:tc>
          <w:tcPr>
            <w:tcW w:w="1577" w:type="pct"/>
            <w:tcMar>
              <w:top w:w="15" w:type="dxa"/>
              <w:left w:w="15" w:type="dxa"/>
              <w:bottom w:w="15" w:type="dxa"/>
              <w:right w:w="15" w:type="dxa"/>
            </w:tcMar>
            <w:hideMark/>
          </w:tcPr>
          <w:p w14:paraId="6E001D56"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
        </w:tc>
        <w:tc>
          <w:tcPr>
            <w:tcW w:w="1991" w:type="pct"/>
            <w:tcMar>
              <w:top w:w="15" w:type="dxa"/>
              <w:left w:w="15" w:type="dxa"/>
              <w:bottom w:w="15" w:type="dxa"/>
              <w:right w:w="15" w:type="dxa"/>
            </w:tcMar>
            <w:hideMark/>
          </w:tcPr>
          <w:p w14:paraId="15726CBF"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
        </w:tc>
      </w:tr>
      <w:tr w:rsidR="00850D4E" w:rsidRPr="00850D4E" w14:paraId="12755653" w14:textId="77777777" w:rsidTr="00CE64FA">
        <w:trPr>
          <w:jc w:val="right"/>
        </w:trPr>
        <w:tc>
          <w:tcPr>
            <w:tcW w:w="1432" w:type="pct"/>
            <w:tcMar>
              <w:top w:w="15" w:type="dxa"/>
              <w:left w:w="15" w:type="dxa"/>
              <w:bottom w:w="15" w:type="dxa"/>
              <w:right w:w="15" w:type="dxa"/>
            </w:tcMar>
            <w:hideMark/>
          </w:tcPr>
          <w:p w14:paraId="02E663D2"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Falta de planificación</w:t>
            </w:r>
          </w:p>
        </w:tc>
        <w:tc>
          <w:tcPr>
            <w:tcW w:w="1577" w:type="pct"/>
            <w:tcMar>
              <w:top w:w="15" w:type="dxa"/>
              <w:left w:w="15" w:type="dxa"/>
              <w:bottom w:w="15" w:type="dxa"/>
              <w:right w:w="15" w:type="dxa"/>
            </w:tcMar>
            <w:hideMark/>
          </w:tcPr>
          <w:p w14:paraId="5B901487"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Demora en la ejecución del proyecto</w:t>
            </w:r>
          </w:p>
          <w:p w14:paraId="41706373"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Respuesta inadecuada del proveedor</w:t>
            </w:r>
          </w:p>
          <w:p w14:paraId="0FA40C8B"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Atajos en el proceso de adquisición</w:t>
            </w:r>
          </w:p>
          <w:p w14:paraId="2381FB34"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Precios más altos</w:t>
            </w:r>
          </w:p>
        </w:tc>
        <w:tc>
          <w:tcPr>
            <w:tcW w:w="1991" w:type="pct"/>
            <w:tcMar>
              <w:top w:w="15" w:type="dxa"/>
              <w:left w:w="15" w:type="dxa"/>
              <w:bottom w:w="15" w:type="dxa"/>
              <w:right w:w="15" w:type="dxa"/>
            </w:tcMar>
            <w:hideMark/>
          </w:tcPr>
          <w:p w14:paraId="4C8EB10A"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Participación temprana de los oficiales de adquisiciones en la planificación del proyecto</w:t>
            </w:r>
          </w:p>
          <w:p w14:paraId="192A9A7C"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Desarrollar y comunicar un Plan de Pedidos preciso</w:t>
            </w:r>
          </w:p>
        </w:tc>
      </w:tr>
      <w:tr w:rsidR="00850D4E" w:rsidRPr="00850D4E" w14:paraId="35C98287" w14:textId="77777777" w:rsidTr="00CE64FA">
        <w:trPr>
          <w:jc w:val="right"/>
        </w:trPr>
        <w:tc>
          <w:tcPr>
            <w:tcW w:w="1432" w:type="pct"/>
            <w:tcMar>
              <w:top w:w="15" w:type="dxa"/>
              <w:left w:w="15" w:type="dxa"/>
              <w:bottom w:w="15" w:type="dxa"/>
              <w:right w:w="15" w:type="dxa"/>
            </w:tcMar>
            <w:hideMark/>
          </w:tcPr>
          <w:p w14:paraId="3A7D685F"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Plazos totales de ejecución insuficientes</w:t>
            </w:r>
          </w:p>
        </w:tc>
        <w:tc>
          <w:tcPr>
            <w:tcW w:w="1577" w:type="pct"/>
            <w:tcMar>
              <w:top w:w="15" w:type="dxa"/>
              <w:left w:w="15" w:type="dxa"/>
              <w:bottom w:w="15" w:type="dxa"/>
              <w:right w:w="15" w:type="dxa"/>
            </w:tcMar>
            <w:hideMark/>
          </w:tcPr>
          <w:p w14:paraId="7819E385"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Respuesta inadecuada del proveedor</w:t>
            </w:r>
          </w:p>
          <w:p w14:paraId="143A4B72"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Atajos en el proceso de adquisición</w:t>
            </w:r>
          </w:p>
          <w:p w14:paraId="1B6D1E12"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Precios más altos</w:t>
            </w:r>
          </w:p>
        </w:tc>
        <w:tc>
          <w:tcPr>
            <w:tcW w:w="1991" w:type="pct"/>
            <w:tcMar>
              <w:top w:w="15" w:type="dxa"/>
              <w:left w:w="15" w:type="dxa"/>
              <w:bottom w:w="15" w:type="dxa"/>
              <w:right w:w="15" w:type="dxa"/>
            </w:tcMar>
            <w:hideMark/>
          </w:tcPr>
          <w:p w14:paraId="44276138"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Implicar a los oficiales de adquisiciones en la fase de planificación del proyecto</w:t>
            </w:r>
          </w:p>
        </w:tc>
      </w:tr>
      <w:tr w:rsidR="00850D4E" w:rsidRPr="00850D4E" w14:paraId="6053131B" w14:textId="77777777" w:rsidTr="00CE64FA">
        <w:trPr>
          <w:jc w:val="right"/>
        </w:trPr>
        <w:tc>
          <w:tcPr>
            <w:tcW w:w="1432" w:type="pct"/>
            <w:tcMar>
              <w:top w:w="15" w:type="dxa"/>
              <w:left w:w="15" w:type="dxa"/>
              <w:bottom w:w="15" w:type="dxa"/>
              <w:right w:w="15" w:type="dxa"/>
            </w:tcMar>
            <w:hideMark/>
          </w:tcPr>
          <w:p w14:paraId="0EA13F13"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Demorar los pedidos para crear falsas emergencias</w:t>
            </w:r>
          </w:p>
        </w:tc>
        <w:tc>
          <w:tcPr>
            <w:tcW w:w="1577" w:type="pct"/>
            <w:tcMar>
              <w:top w:w="15" w:type="dxa"/>
              <w:left w:w="15" w:type="dxa"/>
              <w:bottom w:w="15" w:type="dxa"/>
              <w:right w:w="15" w:type="dxa"/>
            </w:tcMar>
            <w:hideMark/>
          </w:tcPr>
          <w:p w14:paraId="5AFD810F"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Reclamaciones de transacciones poco éticas o desleales</w:t>
            </w:r>
          </w:p>
          <w:p w14:paraId="4A4D0F64"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Demora de la ejecución del proyecto</w:t>
            </w:r>
          </w:p>
          <w:p w14:paraId="09543B3C"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Costo total más alto de la adquisición</w:t>
            </w:r>
          </w:p>
          <w:p w14:paraId="7F712058"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No lograr la mejor relación entre calidad y precio</w:t>
            </w:r>
          </w:p>
        </w:tc>
        <w:tc>
          <w:tcPr>
            <w:tcW w:w="1991" w:type="pct"/>
            <w:tcMar>
              <w:top w:w="15" w:type="dxa"/>
              <w:left w:w="15" w:type="dxa"/>
              <w:bottom w:w="15" w:type="dxa"/>
              <w:right w:w="15" w:type="dxa"/>
            </w:tcMar>
            <w:hideMark/>
          </w:tcPr>
          <w:p w14:paraId="31F2CEF9"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Participación temprana de los oficiales de adquisiciones en la ejecución del proyecto</w:t>
            </w:r>
          </w:p>
          <w:p w14:paraId="4AFAFBCD"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Solicitar la justificación apropiada en el caso de las emergencias</w:t>
            </w:r>
          </w:p>
          <w:p w14:paraId="199ABD0B"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Capacitación de los solicitantes</w:t>
            </w:r>
          </w:p>
        </w:tc>
      </w:tr>
      <w:tr w:rsidR="00850D4E" w:rsidRPr="00850D4E" w14:paraId="4D35A645" w14:textId="77777777" w:rsidTr="00CE64FA">
        <w:trPr>
          <w:jc w:val="right"/>
        </w:trPr>
        <w:tc>
          <w:tcPr>
            <w:tcW w:w="1432" w:type="pct"/>
            <w:tcMar>
              <w:top w:w="15" w:type="dxa"/>
              <w:left w:w="15" w:type="dxa"/>
              <w:bottom w:w="15" w:type="dxa"/>
              <w:right w:w="15" w:type="dxa"/>
            </w:tcMar>
            <w:hideMark/>
          </w:tcPr>
          <w:p w14:paraId="6E10D0EB"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Definición de requisitos</w:t>
            </w:r>
          </w:p>
        </w:tc>
        <w:tc>
          <w:tcPr>
            <w:tcW w:w="1577" w:type="pct"/>
            <w:tcMar>
              <w:top w:w="15" w:type="dxa"/>
              <w:left w:w="15" w:type="dxa"/>
              <w:bottom w:w="15" w:type="dxa"/>
              <w:right w:w="15" w:type="dxa"/>
            </w:tcMar>
            <w:hideMark/>
          </w:tcPr>
          <w:p w14:paraId="162BA69C"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
        </w:tc>
        <w:tc>
          <w:tcPr>
            <w:tcW w:w="1991" w:type="pct"/>
            <w:tcMar>
              <w:top w:w="15" w:type="dxa"/>
              <w:left w:w="15" w:type="dxa"/>
              <w:bottom w:w="15" w:type="dxa"/>
              <w:right w:w="15" w:type="dxa"/>
            </w:tcMar>
            <w:hideMark/>
          </w:tcPr>
          <w:p w14:paraId="23A35D0E"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
        </w:tc>
      </w:tr>
      <w:tr w:rsidR="00850D4E" w:rsidRPr="00850D4E" w14:paraId="53785A1B" w14:textId="77777777" w:rsidTr="00CE64FA">
        <w:trPr>
          <w:jc w:val="right"/>
        </w:trPr>
        <w:tc>
          <w:tcPr>
            <w:tcW w:w="1432" w:type="pct"/>
            <w:tcMar>
              <w:top w:w="15" w:type="dxa"/>
              <w:left w:w="15" w:type="dxa"/>
              <w:bottom w:w="15" w:type="dxa"/>
              <w:right w:w="15" w:type="dxa"/>
            </w:tcMar>
            <w:hideMark/>
          </w:tcPr>
          <w:p w14:paraId="1E388A26"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Especificaciones/</w:t>
            </w:r>
            <w:proofErr w:type="spellStart"/>
            <w:r w:rsidRPr="00850D4E">
              <w:rPr>
                <w:rFonts w:ascii="Calibri" w:eastAsia="MS Mincho" w:hAnsi="Calibri" w:cs="Times New Roman"/>
                <w:kern w:val="0"/>
                <w:sz w:val="22"/>
                <w:szCs w:val="22"/>
                <w:lang w:val="es-ES" w:eastAsia="es-ES" w:bidi="es-ES"/>
                <w14:ligatures w14:val="none"/>
              </w:rPr>
              <w:t>TdR</w:t>
            </w:r>
            <w:proofErr w:type="spellEnd"/>
            <w:r w:rsidRPr="00850D4E">
              <w:rPr>
                <w:rFonts w:ascii="Calibri" w:eastAsia="MS Mincho" w:hAnsi="Calibri" w:cs="Times New Roman"/>
                <w:kern w:val="0"/>
                <w:sz w:val="22"/>
                <w:szCs w:val="22"/>
                <w:lang w:val="es-ES" w:eastAsia="es-ES" w:bidi="es-ES"/>
                <w14:ligatures w14:val="none"/>
              </w:rPr>
              <w:t>/SOW restrictivos</w:t>
            </w:r>
          </w:p>
        </w:tc>
        <w:tc>
          <w:tcPr>
            <w:tcW w:w="1577" w:type="pct"/>
            <w:tcMar>
              <w:top w:w="15" w:type="dxa"/>
              <w:left w:w="15" w:type="dxa"/>
              <w:bottom w:w="15" w:type="dxa"/>
              <w:right w:w="15" w:type="dxa"/>
            </w:tcMar>
            <w:hideMark/>
          </w:tcPr>
          <w:p w14:paraId="7A18888D"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Reclamaciones de transacciones poco éticas o desleales</w:t>
            </w:r>
          </w:p>
          <w:p w14:paraId="1A3B84A2"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Respuesta inadecuada de los proveedores</w:t>
            </w:r>
          </w:p>
          <w:p w14:paraId="785BF49E"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Limita la competencia</w:t>
            </w:r>
          </w:p>
          <w:p w14:paraId="7AC45352"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Trato injusto de los proveedores</w:t>
            </w:r>
          </w:p>
          <w:p w14:paraId="58BD6FCB"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Falta de transparencia</w:t>
            </w:r>
          </w:p>
        </w:tc>
        <w:tc>
          <w:tcPr>
            <w:tcW w:w="1991" w:type="pct"/>
            <w:tcMar>
              <w:top w:w="15" w:type="dxa"/>
              <w:left w:w="15" w:type="dxa"/>
              <w:bottom w:w="15" w:type="dxa"/>
              <w:right w:w="15" w:type="dxa"/>
            </w:tcMar>
            <w:hideMark/>
          </w:tcPr>
          <w:p w14:paraId="76769416"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Comprensión desarrollada del mercado y el producto</w:t>
            </w:r>
          </w:p>
          <w:p w14:paraId="3E1C0BED"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Incluir especificaciones funcionales y de desempeño genéricas</w:t>
            </w:r>
          </w:p>
          <w:p w14:paraId="5502475B"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Aplicar las normas internacionales pertinentes cuando corresponda</w:t>
            </w:r>
          </w:p>
        </w:tc>
      </w:tr>
      <w:tr w:rsidR="00850D4E" w:rsidRPr="00850D4E" w14:paraId="5AD74494" w14:textId="77777777" w:rsidTr="00CE64FA">
        <w:trPr>
          <w:jc w:val="right"/>
        </w:trPr>
        <w:tc>
          <w:tcPr>
            <w:tcW w:w="1432" w:type="pct"/>
            <w:tcMar>
              <w:top w:w="15" w:type="dxa"/>
              <w:left w:w="15" w:type="dxa"/>
              <w:bottom w:w="15" w:type="dxa"/>
              <w:right w:w="15" w:type="dxa"/>
            </w:tcMar>
            <w:hideMark/>
          </w:tcPr>
          <w:p w14:paraId="4B2594CD"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Especificaciones/</w:t>
            </w:r>
            <w:proofErr w:type="spellStart"/>
            <w:r w:rsidRPr="00850D4E">
              <w:rPr>
                <w:rFonts w:ascii="Calibri" w:eastAsia="MS Mincho" w:hAnsi="Calibri" w:cs="Times New Roman"/>
                <w:kern w:val="0"/>
                <w:sz w:val="22"/>
                <w:szCs w:val="22"/>
                <w:lang w:val="es-ES" w:eastAsia="es-ES" w:bidi="es-ES"/>
                <w14:ligatures w14:val="none"/>
              </w:rPr>
              <w:t>TdR</w:t>
            </w:r>
            <w:proofErr w:type="spellEnd"/>
            <w:r w:rsidRPr="00850D4E">
              <w:rPr>
                <w:rFonts w:ascii="Calibri" w:eastAsia="MS Mincho" w:hAnsi="Calibri" w:cs="Times New Roman"/>
                <w:kern w:val="0"/>
                <w:sz w:val="22"/>
                <w:szCs w:val="22"/>
                <w:lang w:val="es-ES" w:eastAsia="es-ES" w:bidi="es-ES"/>
                <w14:ligatures w14:val="none"/>
              </w:rPr>
              <w:t>/SOW inadecuados</w:t>
            </w:r>
          </w:p>
        </w:tc>
        <w:tc>
          <w:tcPr>
            <w:tcW w:w="1577" w:type="pct"/>
            <w:tcMar>
              <w:top w:w="15" w:type="dxa"/>
              <w:left w:w="15" w:type="dxa"/>
              <w:bottom w:w="15" w:type="dxa"/>
              <w:right w:w="15" w:type="dxa"/>
            </w:tcMar>
            <w:hideMark/>
          </w:tcPr>
          <w:p w14:paraId="7BCA51E3"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Variedad significativa en las ofertas recibidas</w:t>
            </w:r>
          </w:p>
          <w:p w14:paraId="1BB4745E"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Respuestas insuficientes</w:t>
            </w:r>
          </w:p>
          <w:p w14:paraId="74E0FA36"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Oferta de bienes/servicios que no satisfacen las necesidades</w:t>
            </w:r>
          </w:p>
          <w:p w14:paraId="75EBCF11"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Dificultad para evaluar a los oferentes competidores</w:t>
            </w:r>
          </w:p>
        </w:tc>
        <w:tc>
          <w:tcPr>
            <w:tcW w:w="1991" w:type="pct"/>
            <w:tcMar>
              <w:top w:w="15" w:type="dxa"/>
              <w:left w:w="15" w:type="dxa"/>
              <w:bottom w:w="15" w:type="dxa"/>
              <w:right w:w="15" w:type="dxa"/>
            </w:tcMar>
            <w:hideMark/>
          </w:tcPr>
          <w:p w14:paraId="7273BD47"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Familiarizarse con los requisitos de las especificaciones/</w:t>
            </w:r>
            <w:proofErr w:type="spellStart"/>
            <w:r w:rsidRPr="00850D4E">
              <w:rPr>
                <w:rFonts w:ascii="Calibri" w:eastAsia="MS Mincho" w:hAnsi="Calibri" w:cs="Times New Roman"/>
                <w:kern w:val="0"/>
                <w:sz w:val="22"/>
                <w:szCs w:val="22"/>
                <w:lang w:val="es-ES" w:eastAsia="es-ES" w:bidi="es-ES"/>
                <w14:ligatures w14:val="none"/>
              </w:rPr>
              <w:t>TdR</w:t>
            </w:r>
            <w:proofErr w:type="spellEnd"/>
            <w:r w:rsidRPr="00850D4E">
              <w:rPr>
                <w:rFonts w:ascii="Calibri" w:eastAsia="MS Mincho" w:hAnsi="Calibri" w:cs="Times New Roman"/>
                <w:kern w:val="0"/>
                <w:sz w:val="22"/>
                <w:szCs w:val="22"/>
                <w:lang w:val="es-ES" w:eastAsia="es-ES" w:bidi="es-ES"/>
                <w14:ligatures w14:val="none"/>
              </w:rPr>
              <w:t>/SOW</w:t>
            </w:r>
          </w:p>
          <w:p w14:paraId="5D31419B"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Comprensión desarrollada del mercado y el producto</w:t>
            </w:r>
          </w:p>
          <w:p w14:paraId="45AEB80A"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Apoyo externo (consultoría) para desarrollar especificaciones/</w:t>
            </w:r>
            <w:proofErr w:type="spellStart"/>
            <w:r w:rsidRPr="00850D4E">
              <w:rPr>
                <w:rFonts w:ascii="Calibri" w:eastAsia="MS Mincho" w:hAnsi="Calibri" w:cs="Times New Roman"/>
                <w:kern w:val="0"/>
                <w:sz w:val="22"/>
                <w:szCs w:val="22"/>
                <w:lang w:val="es-ES" w:eastAsia="es-ES" w:bidi="es-ES"/>
                <w14:ligatures w14:val="none"/>
              </w:rPr>
              <w:t>TdR</w:t>
            </w:r>
            <w:proofErr w:type="spellEnd"/>
            <w:r w:rsidRPr="00850D4E">
              <w:rPr>
                <w:rFonts w:ascii="Calibri" w:eastAsia="MS Mincho" w:hAnsi="Calibri" w:cs="Times New Roman"/>
                <w:kern w:val="0"/>
                <w:sz w:val="22"/>
                <w:szCs w:val="22"/>
                <w:lang w:val="es-ES" w:eastAsia="es-ES" w:bidi="es-ES"/>
                <w14:ligatures w14:val="none"/>
              </w:rPr>
              <w:t xml:space="preserve">/SOW vinculados con entregables y plazos </w:t>
            </w:r>
            <w:proofErr w:type="gramStart"/>
            <w:r w:rsidRPr="00850D4E">
              <w:rPr>
                <w:rFonts w:ascii="Calibri" w:eastAsia="MS Mincho" w:hAnsi="Calibri" w:cs="Times New Roman"/>
                <w:kern w:val="0"/>
                <w:sz w:val="22"/>
                <w:szCs w:val="22"/>
                <w:lang w:val="es-ES" w:eastAsia="es-ES" w:bidi="es-ES"/>
                <w14:ligatures w14:val="none"/>
              </w:rPr>
              <w:t>objetivo claros</w:t>
            </w:r>
            <w:proofErr w:type="gramEnd"/>
          </w:p>
        </w:tc>
      </w:tr>
      <w:tr w:rsidR="00850D4E" w:rsidRPr="00850D4E" w14:paraId="7485A6A7" w14:textId="77777777" w:rsidTr="00CE64FA">
        <w:trPr>
          <w:jc w:val="right"/>
        </w:trPr>
        <w:tc>
          <w:tcPr>
            <w:tcW w:w="1432" w:type="pct"/>
            <w:tcMar>
              <w:top w:w="15" w:type="dxa"/>
              <w:left w:w="15" w:type="dxa"/>
              <w:bottom w:w="15" w:type="dxa"/>
              <w:right w:w="15" w:type="dxa"/>
            </w:tcMar>
            <w:hideMark/>
          </w:tcPr>
          <w:p w14:paraId="0F6EBFA7"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No incluir requisitos de calidad en las especificaciones/</w:t>
            </w:r>
            <w:proofErr w:type="spellStart"/>
            <w:r w:rsidRPr="00850D4E">
              <w:rPr>
                <w:rFonts w:ascii="Calibri" w:eastAsia="MS Mincho" w:hAnsi="Calibri" w:cs="Times New Roman"/>
                <w:kern w:val="0"/>
                <w:sz w:val="22"/>
                <w:szCs w:val="22"/>
                <w:lang w:val="es-ES" w:eastAsia="es-ES" w:bidi="es-ES"/>
                <w14:ligatures w14:val="none"/>
              </w:rPr>
              <w:t>TdR</w:t>
            </w:r>
            <w:proofErr w:type="spellEnd"/>
            <w:r w:rsidRPr="00850D4E">
              <w:rPr>
                <w:rFonts w:ascii="Calibri" w:eastAsia="MS Mincho" w:hAnsi="Calibri" w:cs="Times New Roman"/>
                <w:kern w:val="0"/>
                <w:sz w:val="22"/>
                <w:szCs w:val="22"/>
                <w:lang w:val="es-ES" w:eastAsia="es-ES" w:bidi="es-ES"/>
                <w14:ligatures w14:val="none"/>
              </w:rPr>
              <w:t>/SOW</w:t>
            </w:r>
          </w:p>
        </w:tc>
        <w:tc>
          <w:tcPr>
            <w:tcW w:w="1577" w:type="pct"/>
            <w:tcMar>
              <w:top w:w="15" w:type="dxa"/>
              <w:left w:w="15" w:type="dxa"/>
              <w:bottom w:w="15" w:type="dxa"/>
              <w:right w:w="15" w:type="dxa"/>
            </w:tcMar>
            <w:hideMark/>
          </w:tcPr>
          <w:p w14:paraId="26BB3400"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Imposibilidad para lograr la mejor relación entre calidad y precio</w:t>
            </w:r>
          </w:p>
          <w:p w14:paraId="76C69EAA"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Dificultad en la comparación y la evaluación general</w:t>
            </w:r>
          </w:p>
          <w:p w14:paraId="3CC1E894"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Calidad deficiente de los artículos adquiridos, lo cual puede conducir a un desperdicio de fondos </w:t>
            </w:r>
          </w:p>
        </w:tc>
        <w:tc>
          <w:tcPr>
            <w:tcW w:w="1991" w:type="pct"/>
            <w:tcMar>
              <w:top w:w="15" w:type="dxa"/>
              <w:left w:w="15" w:type="dxa"/>
              <w:bottom w:w="15" w:type="dxa"/>
              <w:right w:w="15" w:type="dxa"/>
            </w:tcMar>
            <w:hideMark/>
          </w:tcPr>
          <w:p w14:paraId="76044350"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Incluir la calidad en las especificaciones/</w:t>
            </w:r>
            <w:proofErr w:type="spellStart"/>
            <w:r w:rsidRPr="00850D4E">
              <w:rPr>
                <w:rFonts w:ascii="Calibri" w:eastAsia="MS Mincho" w:hAnsi="Calibri" w:cs="Times New Roman"/>
                <w:kern w:val="0"/>
                <w:sz w:val="22"/>
                <w:szCs w:val="22"/>
                <w:lang w:val="es-ES" w:eastAsia="es-ES" w:bidi="es-ES"/>
                <w14:ligatures w14:val="none"/>
              </w:rPr>
              <w:t>TdR</w:t>
            </w:r>
            <w:proofErr w:type="spellEnd"/>
            <w:r w:rsidRPr="00850D4E">
              <w:rPr>
                <w:rFonts w:ascii="Calibri" w:eastAsia="MS Mincho" w:hAnsi="Calibri" w:cs="Times New Roman"/>
                <w:kern w:val="0"/>
                <w:sz w:val="22"/>
                <w:szCs w:val="22"/>
                <w:lang w:val="es-ES" w:eastAsia="es-ES" w:bidi="es-ES"/>
                <w14:ligatures w14:val="none"/>
              </w:rPr>
              <w:t>/SOW, mediante el uso de normas internacionales y nacionales</w:t>
            </w:r>
          </w:p>
          <w:p w14:paraId="1C975431"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Si la calidad es un aspecto fundamental, deberá utilizarse diligencia debida adicional (es decir, comprobación del proceso y las normas de fabricación, visitas a la fábrica, muestro y análisis de laboratorio independientes, inspección previa al envío, etc.)</w:t>
            </w:r>
          </w:p>
        </w:tc>
      </w:tr>
      <w:tr w:rsidR="00850D4E" w:rsidRPr="00850D4E" w14:paraId="22F72793" w14:textId="77777777" w:rsidTr="00CE64FA">
        <w:trPr>
          <w:jc w:val="right"/>
        </w:trPr>
        <w:tc>
          <w:tcPr>
            <w:tcW w:w="1432" w:type="pct"/>
            <w:tcMar>
              <w:top w:w="15" w:type="dxa"/>
              <w:left w:w="15" w:type="dxa"/>
              <w:bottom w:w="15" w:type="dxa"/>
              <w:right w:w="15" w:type="dxa"/>
            </w:tcMar>
            <w:hideMark/>
          </w:tcPr>
          <w:p w14:paraId="4657401D"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Selección de proveedores</w:t>
            </w:r>
          </w:p>
        </w:tc>
        <w:tc>
          <w:tcPr>
            <w:tcW w:w="1577" w:type="pct"/>
            <w:tcMar>
              <w:top w:w="15" w:type="dxa"/>
              <w:left w:w="15" w:type="dxa"/>
              <w:bottom w:w="15" w:type="dxa"/>
              <w:right w:w="15" w:type="dxa"/>
            </w:tcMar>
            <w:hideMark/>
          </w:tcPr>
          <w:p w14:paraId="1C4384A9"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
        </w:tc>
        <w:tc>
          <w:tcPr>
            <w:tcW w:w="1991" w:type="pct"/>
            <w:tcMar>
              <w:top w:w="15" w:type="dxa"/>
              <w:left w:w="15" w:type="dxa"/>
              <w:bottom w:w="15" w:type="dxa"/>
              <w:right w:w="15" w:type="dxa"/>
            </w:tcMar>
            <w:hideMark/>
          </w:tcPr>
          <w:p w14:paraId="6544FEFD"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
        </w:tc>
      </w:tr>
      <w:tr w:rsidR="00850D4E" w:rsidRPr="00850D4E" w14:paraId="4D38C8CA" w14:textId="77777777" w:rsidTr="00CE64FA">
        <w:trPr>
          <w:jc w:val="right"/>
        </w:trPr>
        <w:tc>
          <w:tcPr>
            <w:tcW w:w="1432" w:type="pct"/>
            <w:tcMar>
              <w:top w:w="15" w:type="dxa"/>
              <w:left w:w="15" w:type="dxa"/>
              <w:bottom w:w="15" w:type="dxa"/>
              <w:right w:w="15" w:type="dxa"/>
            </w:tcMar>
            <w:hideMark/>
          </w:tcPr>
          <w:p w14:paraId="7EB5E8F2"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Enfoque incorrecto del mercado</w:t>
            </w:r>
          </w:p>
        </w:tc>
        <w:tc>
          <w:tcPr>
            <w:tcW w:w="1577" w:type="pct"/>
            <w:tcMar>
              <w:top w:w="15" w:type="dxa"/>
              <w:left w:w="15" w:type="dxa"/>
              <w:bottom w:w="15" w:type="dxa"/>
              <w:right w:w="15" w:type="dxa"/>
            </w:tcMar>
            <w:hideMark/>
          </w:tcPr>
          <w:p w14:paraId="23B6951C"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Respuesta inadecuada o inapropiada del proveedor</w:t>
            </w:r>
          </w:p>
          <w:p w14:paraId="2E831D21"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Precios más altos</w:t>
            </w:r>
          </w:p>
          <w:p w14:paraId="7701392D"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Selección del enfoque inapropiado</w:t>
            </w:r>
          </w:p>
        </w:tc>
        <w:tc>
          <w:tcPr>
            <w:tcW w:w="1991" w:type="pct"/>
            <w:tcMar>
              <w:top w:w="15" w:type="dxa"/>
              <w:left w:w="15" w:type="dxa"/>
              <w:bottom w:w="15" w:type="dxa"/>
              <w:right w:w="15" w:type="dxa"/>
            </w:tcMar>
            <w:hideMark/>
          </w:tcPr>
          <w:p w14:paraId="04FB6A6A"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Analizar el mercado de suministros</w:t>
            </w:r>
          </w:p>
          <w:p w14:paraId="3C2E09BF"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Desarrollar estrategias de selección de proveedores</w:t>
            </w:r>
          </w:p>
        </w:tc>
      </w:tr>
      <w:tr w:rsidR="00850D4E" w:rsidRPr="00850D4E" w14:paraId="6C558281" w14:textId="77777777" w:rsidTr="00CE64FA">
        <w:trPr>
          <w:jc w:val="right"/>
        </w:trPr>
        <w:tc>
          <w:tcPr>
            <w:tcW w:w="1432" w:type="pct"/>
            <w:tcMar>
              <w:top w:w="15" w:type="dxa"/>
              <w:left w:w="15" w:type="dxa"/>
              <w:bottom w:w="15" w:type="dxa"/>
              <w:right w:w="15" w:type="dxa"/>
            </w:tcMar>
            <w:hideMark/>
          </w:tcPr>
          <w:p w14:paraId="167BD683"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Identificar una estrategia incorrecta de selección de proveedores o no tener una estrategia de selección de proveedores</w:t>
            </w:r>
          </w:p>
        </w:tc>
        <w:tc>
          <w:tcPr>
            <w:tcW w:w="1577" w:type="pct"/>
            <w:tcMar>
              <w:top w:w="15" w:type="dxa"/>
              <w:left w:w="15" w:type="dxa"/>
              <w:bottom w:w="15" w:type="dxa"/>
              <w:right w:w="15" w:type="dxa"/>
            </w:tcMar>
            <w:hideMark/>
          </w:tcPr>
          <w:p w14:paraId="27E10D00"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Respuesta inadecuada o inapropiada del proveedor</w:t>
            </w:r>
          </w:p>
          <w:p w14:paraId="7FBC6F52"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Competencia limitada</w:t>
            </w:r>
          </w:p>
        </w:tc>
        <w:tc>
          <w:tcPr>
            <w:tcW w:w="1991" w:type="pct"/>
            <w:tcMar>
              <w:top w:w="15" w:type="dxa"/>
              <w:left w:w="15" w:type="dxa"/>
              <w:bottom w:w="15" w:type="dxa"/>
              <w:right w:w="15" w:type="dxa"/>
            </w:tcMar>
            <w:hideMark/>
          </w:tcPr>
          <w:p w14:paraId="7B079113"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Aplicación apropiada de la preselección o la post selección, en función de la complejidad y el riesgo identificados</w:t>
            </w:r>
          </w:p>
        </w:tc>
      </w:tr>
      <w:tr w:rsidR="00850D4E" w:rsidRPr="00850D4E" w14:paraId="38F9B9DB" w14:textId="77777777" w:rsidTr="00CE64FA">
        <w:trPr>
          <w:jc w:val="right"/>
        </w:trPr>
        <w:tc>
          <w:tcPr>
            <w:tcW w:w="1432" w:type="pct"/>
            <w:tcMar>
              <w:top w:w="15" w:type="dxa"/>
              <w:left w:w="15" w:type="dxa"/>
              <w:bottom w:w="15" w:type="dxa"/>
              <w:right w:w="15" w:type="dxa"/>
            </w:tcMar>
            <w:hideMark/>
          </w:tcPr>
          <w:p w14:paraId="277C91C4"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Distorsión de los hechos por parte de los posibles proveedores</w:t>
            </w:r>
          </w:p>
        </w:tc>
        <w:tc>
          <w:tcPr>
            <w:tcW w:w="1577" w:type="pct"/>
            <w:tcMar>
              <w:top w:w="15" w:type="dxa"/>
              <w:left w:w="15" w:type="dxa"/>
              <w:bottom w:w="15" w:type="dxa"/>
              <w:right w:w="15" w:type="dxa"/>
            </w:tcMar>
            <w:hideMark/>
          </w:tcPr>
          <w:p w14:paraId="70F0CC44"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Contrato con empresas inadecuadas</w:t>
            </w:r>
          </w:p>
          <w:p w14:paraId="60D93228"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Reclamaciones de transacciones poco éticas o desleales</w:t>
            </w:r>
          </w:p>
          <w:p w14:paraId="07660047"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Incumplimiento del contrato</w:t>
            </w:r>
          </w:p>
        </w:tc>
        <w:tc>
          <w:tcPr>
            <w:tcW w:w="1991" w:type="pct"/>
            <w:tcMar>
              <w:top w:w="15" w:type="dxa"/>
              <w:left w:w="15" w:type="dxa"/>
              <w:bottom w:w="15" w:type="dxa"/>
              <w:right w:w="15" w:type="dxa"/>
            </w:tcMar>
            <w:hideMark/>
          </w:tcPr>
          <w:p w14:paraId="6F254BCD"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Verificar de manera independiente las aptitudes de los proveedores</w:t>
            </w:r>
          </w:p>
          <w:p w14:paraId="04D9F787"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Realizar verificación de referencias y diligencias debidas con respecto a los proveedores</w:t>
            </w:r>
          </w:p>
        </w:tc>
      </w:tr>
      <w:tr w:rsidR="00850D4E" w:rsidRPr="00850D4E" w14:paraId="19768ABE" w14:textId="77777777" w:rsidTr="00CE64FA">
        <w:trPr>
          <w:jc w:val="right"/>
        </w:trPr>
        <w:tc>
          <w:tcPr>
            <w:tcW w:w="1432" w:type="pct"/>
            <w:tcMar>
              <w:top w:w="15" w:type="dxa"/>
              <w:left w:w="15" w:type="dxa"/>
              <w:bottom w:w="15" w:type="dxa"/>
              <w:right w:w="15" w:type="dxa"/>
            </w:tcMar>
            <w:hideMark/>
          </w:tcPr>
          <w:p w14:paraId="5F5BC8CB"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Información desactualizada sobre posibles proveedores</w:t>
            </w:r>
          </w:p>
        </w:tc>
        <w:tc>
          <w:tcPr>
            <w:tcW w:w="1577" w:type="pct"/>
            <w:tcMar>
              <w:top w:w="15" w:type="dxa"/>
              <w:left w:w="15" w:type="dxa"/>
              <w:bottom w:w="15" w:type="dxa"/>
              <w:right w:w="15" w:type="dxa"/>
            </w:tcMar>
            <w:hideMark/>
          </w:tcPr>
          <w:p w14:paraId="5F330376"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Respuesta inadecuada de los proveedores</w:t>
            </w:r>
          </w:p>
          <w:p w14:paraId="4318BF67"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Competencia limitada</w:t>
            </w:r>
          </w:p>
        </w:tc>
        <w:tc>
          <w:tcPr>
            <w:tcW w:w="1991" w:type="pct"/>
            <w:tcMar>
              <w:top w:w="15" w:type="dxa"/>
              <w:left w:w="15" w:type="dxa"/>
              <w:bottom w:w="15" w:type="dxa"/>
              <w:right w:w="15" w:type="dxa"/>
            </w:tcMar>
            <w:hideMark/>
          </w:tcPr>
          <w:p w14:paraId="27739DB9"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Mantener actualizada la lista de proveedores</w:t>
            </w:r>
          </w:p>
        </w:tc>
      </w:tr>
      <w:tr w:rsidR="00850D4E" w:rsidRPr="00850D4E" w14:paraId="204D4225" w14:textId="77777777" w:rsidTr="00CE64FA">
        <w:trPr>
          <w:jc w:val="right"/>
        </w:trPr>
        <w:tc>
          <w:tcPr>
            <w:tcW w:w="1432" w:type="pct"/>
            <w:tcMar>
              <w:top w:w="15" w:type="dxa"/>
              <w:left w:w="15" w:type="dxa"/>
              <w:bottom w:w="15" w:type="dxa"/>
              <w:right w:w="15" w:type="dxa"/>
            </w:tcMar>
            <w:hideMark/>
          </w:tcPr>
          <w:p w14:paraId="73B547E7"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Publicación de anuncios de adquisiciones en medios inapropiados</w:t>
            </w:r>
          </w:p>
        </w:tc>
        <w:tc>
          <w:tcPr>
            <w:tcW w:w="1577" w:type="pct"/>
            <w:tcMar>
              <w:top w:w="15" w:type="dxa"/>
              <w:left w:w="15" w:type="dxa"/>
              <w:bottom w:w="15" w:type="dxa"/>
              <w:right w:w="15" w:type="dxa"/>
            </w:tcMar>
            <w:hideMark/>
          </w:tcPr>
          <w:p w14:paraId="0C94618E"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Falta de estrategia de selección de proveedores</w:t>
            </w:r>
          </w:p>
          <w:p w14:paraId="336F4925"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Limitar la competencia</w:t>
            </w:r>
          </w:p>
          <w:p w14:paraId="4F55F1FF"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Contrato con empresas inadecuadas</w:t>
            </w:r>
          </w:p>
        </w:tc>
        <w:tc>
          <w:tcPr>
            <w:tcW w:w="1991" w:type="pct"/>
            <w:tcMar>
              <w:top w:w="15" w:type="dxa"/>
              <w:left w:w="15" w:type="dxa"/>
              <w:bottom w:w="15" w:type="dxa"/>
              <w:right w:w="15" w:type="dxa"/>
            </w:tcMar>
            <w:hideMark/>
          </w:tcPr>
          <w:p w14:paraId="2F31B082"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Identificar los medios relevantes para publicar los anuncios de adquisiciones</w:t>
            </w:r>
          </w:p>
        </w:tc>
      </w:tr>
      <w:tr w:rsidR="00850D4E" w:rsidRPr="00850D4E" w14:paraId="5652B92F" w14:textId="77777777" w:rsidTr="00CE64FA">
        <w:trPr>
          <w:jc w:val="right"/>
        </w:trPr>
        <w:tc>
          <w:tcPr>
            <w:tcW w:w="1432" w:type="pct"/>
            <w:tcMar>
              <w:top w:w="15" w:type="dxa"/>
              <w:left w:w="15" w:type="dxa"/>
              <w:bottom w:w="15" w:type="dxa"/>
              <w:right w:w="15" w:type="dxa"/>
            </w:tcMar>
            <w:hideMark/>
          </w:tcPr>
          <w:p w14:paraId="4EEF53E4"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Preparación y emisión de los documentos de solicitud</w:t>
            </w:r>
          </w:p>
        </w:tc>
        <w:tc>
          <w:tcPr>
            <w:tcW w:w="1577" w:type="pct"/>
            <w:tcMar>
              <w:top w:w="15" w:type="dxa"/>
              <w:left w:w="15" w:type="dxa"/>
              <w:bottom w:w="15" w:type="dxa"/>
              <w:right w:w="15" w:type="dxa"/>
            </w:tcMar>
            <w:hideMark/>
          </w:tcPr>
          <w:p w14:paraId="4E72327C"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
        </w:tc>
        <w:tc>
          <w:tcPr>
            <w:tcW w:w="1991" w:type="pct"/>
            <w:tcMar>
              <w:top w:w="15" w:type="dxa"/>
              <w:left w:w="15" w:type="dxa"/>
              <w:bottom w:w="15" w:type="dxa"/>
              <w:right w:w="15" w:type="dxa"/>
            </w:tcMar>
            <w:hideMark/>
          </w:tcPr>
          <w:p w14:paraId="0E07A507"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
        </w:tc>
      </w:tr>
      <w:tr w:rsidR="00850D4E" w:rsidRPr="00850D4E" w14:paraId="3885DE96" w14:textId="77777777" w:rsidTr="00CE64FA">
        <w:trPr>
          <w:jc w:val="right"/>
        </w:trPr>
        <w:tc>
          <w:tcPr>
            <w:tcW w:w="1432" w:type="pct"/>
            <w:tcMar>
              <w:top w:w="15" w:type="dxa"/>
              <w:left w:w="15" w:type="dxa"/>
              <w:bottom w:w="15" w:type="dxa"/>
              <w:right w:w="15" w:type="dxa"/>
            </w:tcMar>
            <w:hideMark/>
          </w:tcPr>
          <w:p w14:paraId="3E973064"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Uso de criterios de evaluación inapropiados</w:t>
            </w:r>
          </w:p>
        </w:tc>
        <w:tc>
          <w:tcPr>
            <w:tcW w:w="1577" w:type="pct"/>
            <w:tcMar>
              <w:top w:w="15" w:type="dxa"/>
              <w:left w:w="15" w:type="dxa"/>
              <w:bottom w:w="15" w:type="dxa"/>
              <w:right w:w="15" w:type="dxa"/>
            </w:tcMar>
            <w:hideMark/>
          </w:tcPr>
          <w:p w14:paraId="492850E2"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Resultados inadecuados o inapropiados</w:t>
            </w:r>
          </w:p>
          <w:p w14:paraId="2AB3BECD"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No lograr la mejor relación entre calidad y precio</w:t>
            </w:r>
          </w:p>
          <w:p w14:paraId="4CAB8A00"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Volver a licitar (tiempo/costo)</w:t>
            </w:r>
          </w:p>
        </w:tc>
        <w:tc>
          <w:tcPr>
            <w:tcW w:w="1991" w:type="pct"/>
            <w:tcMar>
              <w:top w:w="15" w:type="dxa"/>
              <w:left w:w="15" w:type="dxa"/>
              <w:bottom w:w="15" w:type="dxa"/>
              <w:right w:w="15" w:type="dxa"/>
            </w:tcMar>
            <w:hideMark/>
          </w:tcPr>
          <w:p w14:paraId="6BD9FF6F"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Tener un objetivo claro a alcanzar como resultado del proceso de adquisición</w:t>
            </w:r>
          </w:p>
          <w:p w14:paraId="25293292"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Considerar las implicaciones de los criterios de evaluación</w:t>
            </w:r>
          </w:p>
        </w:tc>
      </w:tr>
      <w:tr w:rsidR="00850D4E" w:rsidRPr="00850D4E" w14:paraId="4A86A425" w14:textId="77777777" w:rsidTr="00CE64FA">
        <w:trPr>
          <w:jc w:val="right"/>
        </w:trPr>
        <w:tc>
          <w:tcPr>
            <w:tcW w:w="1432" w:type="pct"/>
            <w:tcMar>
              <w:top w:w="15" w:type="dxa"/>
              <w:left w:w="15" w:type="dxa"/>
              <w:bottom w:w="15" w:type="dxa"/>
              <w:right w:w="15" w:type="dxa"/>
            </w:tcMar>
            <w:hideMark/>
          </w:tcPr>
          <w:p w14:paraId="02B8E847"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Requisitos inaceptables para los proveedores</w:t>
            </w:r>
          </w:p>
        </w:tc>
        <w:tc>
          <w:tcPr>
            <w:tcW w:w="1577" w:type="pct"/>
            <w:tcMar>
              <w:top w:w="15" w:type="dxa"/>
              <w:left w:w="15" w:type="dxa"/>
              <w:bottom w:w="15" w:type="dxa"/>
              <w:right w:w="15" w:type="dxa"/>
            </w:tcMar>
            <w:hideMark/>
          </w:tcPr>
          <w:p w14:paraId="0AB39FB9"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Cargar el costo en las ofertas</w:t>
            </w:r>
          </w:p>
          <w:p w14:paraId="28032AF7"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Competencia limitada</w:t>
            </w:r>
          </w:p>
          <w:p w14:paraId="1C941D64"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Cantidad insuficiente de ofertas</w:t>
            </w:r>
          </w:p>
          <w:p w14:paraId="79383D7C"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Volver a licitar (tiempo/costo)</w:t>
            </w:r>
          </w:p>
        </w:tc>
        <w:tc>
          <w:tcPr>
            <w:tcW w:w="1991" w:type="pct"/>
            <w:tcMar>
              <w:top w:w="15" w:type="dxa"/>
              <w:left w:w="15" w:type="dxa"/>
              <w:bottom w:w="15" w:type="dxa"/>
              <w:right w:w="15" w:type="dxa"/>
            </w:tcMar>
            <w:hideMark/>
          </w:tcPr>
          <w:p w14:paraId="7D9BB06C"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Desarrollar un conocimiento sólido del mercado y de las prácticas de la industria</w:t>
            </w:r>
          </w:p>
          <w:p w14:paraId="58CC16E5"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Desarrollar términos comercialmente aceptables</w:t>
            </w:r>
          </w:p>
          <w:p w14:paraId="28972C2E"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Verificar que la responsabilidad por los riesgos no se asigne a los proveedores por factores fuera de su control</w:t>
            </w:r>
          </w:p>
        </w:tc>
      </w:tr>
      <w:tr w:rsidR="00850D4E" w:rsidRPr="00850D4E" w14:paraId="7A5280EA" w14:textId="77777777" w:rsidTr="00CE64FA">
        <w:trPr>
          <w:jc w:val="right"/>
        </w:trPr>
        <w:tc>
          <w:tcPr>
            <w:tcW w:w="1432" w:type="pct"/>
            <w:tcMar>
              <w:top w:w="15" w:type="dxa"/>
              <w:left w:w="15" w:type="dxa"/>
              <w:bottom w:w="15" w:type="dxa"/>
              <w:right w:w="15" w:type="dxa"/>
            </w:tcMar>
            <w:hideMark/>
          </w:tcPr>
          <w:p w14:paraId="2A540B91"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Suministro de información inadecuada</w:t>
            </w:r>
          </w:p>
        </w:tc>
        <w:tc>
          <w:tcPr>
            <w:tcW w:w="1577" w:type="pct"/>
            <w:tcMar>
              <w:top w:w="15" w:type="dxa"/>
              <w:left w:w="15" w:type="dxa"/>
              <w:bottom w:w="15" w:type="dxa"/>
              <w:right w:w="15" w:type="dxa"/>
            </w:tcMar>
            <w:hideMark/>
          </w:tcPr>
          <w:p w14:paraId="754C7145"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Cargar el costo en las ofertas</w:t>
            </w:r>
          </w:p>
          <w:p w14:paraId="10A25BBB"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Gran variación en las ofertas</w:t>
            </w:r>
          </w:p>
          <w:p w14:paraId="3FA5CB8F"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Crear confusión entre los posibles proveedores</w:t>
            </w:r>
          </w:p>
          <w:p w14:paraId="567EF062"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Volver a licitar (tiempo/costo)</w:t>
            </w:r>
          </w:p>
        </w:tc>
        <w:tc>
          <w:tcPr>
            <w:tcW w:w="1991" w:type="pct"/>
            <w:tcMar>
              <w:top w:w="15" w:type="dxa"/>
              <w:left w:w="15" w:type="dxa"/>
              <w:bottom w:w="15" w:type="dxa"/>
              <w:right w:w="15" w:type="dxa"/>
            </w:tcMar>
            <w:hideMark/>
          </w:tcPr>
          <w:p w14:paraId="5ED8CBB9"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Revisar los documentos antes de su emisión</w:t>
            </w:r>
          </w:p>
          <w:p w14:paraId="3E0C562B"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Conocer el mercado</w:t>
            </w:r>
          </w:p>
        </w:tc>
      </w:tr>
      <w:tr w:rsidR="00850D4E" w:rsidRPr="00850D4E" w14:paraId="392519F8" w14:textId="77777777" w:rsidTr="00CE64FA">
        <w:trPr>
          <w:jc w:val="right"/>
        </w:trPr>
        <w:tc>
          <w:tcPr>
            <w:tcW w:w="1432" w:type="pct"/>
            <w:tcMar>
              <w:top w:w="15" w:type="dxa"/>
              <w:left w:w="15" w:type="dxa"/>
              <w:bottom w:w="15" w:type="dxa"/>
              <w:right w:w="15" w:type="dxa"/>
            </w:tcMar>
            <w:hideMark/>
          </w:tcPr>
          <w:p w14:paraId="4A289448"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Recepción y evaluación</w:t>
            </w:r>
          </w:p>
        </w:tc>
        <w:tc>
          <w:tcPr>
            <w:tcW w:w="1577" w:type="pct"/>
            <w:tcMar>
              <w:top w:w="15" w:type="dxa"/>
              <w:left w:w="15" w:type="dxa"/>
              <w:bottom w:w="15" w:type="dxa"/>
              <w:right w:w="15" w:type="dxa"/>
            </w:tcMar>
            <w:hideMark/>
          </w:tcPr>
          <w:p w14:paraId="11CD70FD"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
        </w:tc>
        <w:tc>
          <w:tcPr>
            <w:tcW w:w="1991" w:type="pct"/>
            <w:tcMar>
              <w:top w:w="15" w:type="dxa"/>
              <w:left w:w="15" w:type="dxa"/>
              <w:bottom w:w="15" w:type="dxa"/>
              <w:right w:w="15" w:type="dxa"/>
            </w:tcMar>
            <w:hideMark/>
          </w:tcPr>
          <w:p w14:paraId="117463CB"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
        </w:tc>
      </w:tr>
      <w:tr w:rsidR="00850D4E" w:rsidRPr="00850D4E" w14:paraId="0C13B82B" w14:textId="77777777" w:rsidTr="00CE64FA">
        <w:trPr>
          <w:jc w:val="right"/>
        </w:trPr>
        <w:tc>
          <w:tcPr>
            <w:tcW w:w="1432" w:type="pct"/>
            <w:tcMar>
              <w:top w:w="15" w:type="dxa"/>
              <w:left w:w="15" w:type="dxa"/>
              <w:bottom w:w="15" w:type="dxa"/>
              <w:right w:w="15" w:type="dxa"/>
            </w:tcMar>
            <w:hideMark/>
          </w:tcPr>
          <w:p w14:paraId="5F6213E9"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Incumplimiento de los procedimientos de evaluación eficaces</w:t>
            </w:r>
          </w:p>
        </w:tc>
        <w:tc>
          <w:tcPr>
            <w:tcW w:w="1577" w:type="pct"/>
            <w:tcMar>
              <w:top w:w="15" w:type="dxa"/>
              <w:left w:w="15" w:type="dxa"/>
              <w:bottom w:w="15" w:type="dxa"/>
              <w:right w:w="15" w:type="dxa"/>
            </w:tcMar>
            <w:hideMark/>
          </w:tcPr>
          <w:p w14:paraId="50A2C329"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Falta de trato justo de los proveedores</w:t>
            </w:r>
          </w:p>
          <w:p w14:paraId="0F25DCDB"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Incongruencia en la evaluación de las ofertas</w:t>
            </w:r>
          </w:p>
          <w:p w14:paraId="3A9672AF"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Subjetividad en el resultado de las evaluaciones</w:t>
            </w:r>
          </w:p>
        </w:tc>
        <w:tc>
          <w:tcPr>
            <w:tcW w:w="1991" w:type="pct"/>
            <w:tcMar>
              <w:top w:w="15" w:type="dxa"/>
              <w:left w:w="15" w:type="dxa"/>
              <w:bottom w:w="15" w:type="dxa"/>
              <w:right w:w="15" w:type="dxa"/>
            </w:tcMar>
            <w:hideMark/>
          </w:tcPr>
          <w:p w14:paraId="38BA7519"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Composición del equipo de evaluación en línea con el alcance y las complejidades del proyecto</w:t>
            </w:r>
          </w:p>
          <w:p w14:paraId="642B0B88"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Para actividades de adquisición muy tecnológicas/muy complejas, garantizar los conocimientos técnicos</w:t>
            </w:r>
          </w:p>
          <w:p w14:paraId="62665D3C"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Garantizar que el personal tenga la capacitación y la experiencia apropiadas</w:t>
            </w:r>
          </w:p>
        </w:tc>
      </w:tr>
      <w:tr w:rsidR="00850D4E" w:rsidRPr="00850D4E" w14:paraId="42FDDA92" w14:textId="77777777" w:rsidTr="00CE64FA">
        <w:trPr>
          <w:jc w:val="right"/>
        </w:trPr>
        <w:tc>
          <w:tcPr>
            <w:tcW w:w="1432" w:type="pct"/>
            <w:tcMar>
              <w:top w:w="15" w:type="dxa"/>
              <w:left w:w="15" w:type="dxa"/>
              <w:bottom w:w="15" w:type="dxa"/>
              <w:right w:w="15" w:type="dxa"/>
            </w:tcMar>
            <w:hideMark/>
          </w:tcPr>
          <w:p w14:paraId="6B8CF647"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Incumplimiento de las ofertas con las necesidades del proyecto</w:t>
            </w:r>
          </w:p>
        </w:tc>
        <w:tc>
          <w:tcPr>
            <w:tcW w:w="1577" w:type="pct"/>
            <w:tcMar>
              <w:top w:w="15" w:type="dxa"/>
              <w:left w:w="15" w:type="dxa"/>
              <w:bottom w:w="15" w:type="dxa"/>
              <w:right w:w="15" w:type="dxa"/>
            </w:tcMar>
            <w:hideMark/>
          </w:tcPr>
          <w:p w14:paraId="19D0E586"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Necesidad de volver a licitar</w:t>
            </w:r>
          </w:p>
        </w:tc>
        <w:tc>
          <w:tcPr>
            <w:tcW w:w="1991" w:type="pct"/>
            <w:tcMar>
              <w:top w:w="15" w:type="dxa"/>
              <w:left w:w="15" w:type="dxa"/>
              <w:bottom w:w="15" w:type="dxa"/>
              <w:right w:w="15" w:type="dxa"/>
            </w:tcMar>
            <w:hideMark/>
          </w:tcPr>
          <w:p w14:paraId="7E021686"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roofErr w:type="gramStart"/>
            <w:r w:rsidRPr="00850D4E">
              <w:rPr>
                <w:rFonts w:ascii="Calibri" w:eastAsia="MS Mincho" w:hAnsi="Calibri" w:cs="Times New Roman"/>
                <w:kern w:val="0"/>
                <w:sz w:val="22"/>
                <w:szCs w:val="22"/>
                <w:lang w:val="es-ES" w:eastAsia="es-ES" w:bidi="es-ES"/>
                <w14:ligatures w14:val="none"/>
              </w:rPr>
              <w:t>Asegurar</w:t>
            </w:r>
            <w:proofErr w:type="gramEnd"/>
            <w:r w:rsidRPr="00850D4E">
              <w:rPr>
                <w:rFonts w:ascii="Calibri" w:eastAsia="MS Mincho" w:hAnsi="Calibri" w:cs="Times New Roman"/>
                <w:kern w:val="0"/>
                <w:sz w:val="22"/>
                <w:szCs w:val="22"/>
                <w:lang w:val="es-ES" w:eastAsia="es-ES" w:bidi="es-ES"/>
                <w14:ligatures w14:val="none"/>
              </w:rPr>
              <w:t xml:space="preserve"> que las especificaciones sean comprensibles, genéricas y coherentes con lo que existe en el mercado</w:t>
            </w:r>
          </w:p>
          <w:p w14:paraId="31271282"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Conocer el mercado</w:t>
            </w:r>
          </w:p>
        </w:tc>
      </w:tr>
      <w:tr w:rsidR="00850D4E" w:rsidRPr="00850D4E" w14:paraId="48CA455B" w14:textId="77777777" w:rsidTr="00CE64FA">
        <w:trPr>
          <w:jc w:val="right"/>
        </w:trPr>
        <w:tc>
          <w:tcPr>
            <w:tcW w:w="1432" w:type="pct"/>
            <w:tcMar>
              <w:top w:w="15" w:type="dxa"/>
              <w:left w:w="15" w:type="dxa"/>
              <w:bottom w:w="15" w:type="dxa"/>
              <w:right w:w="15" w:type="dxa"/>
            </w:tcMar>
            <w:hideMark/>
          </w:tcPr>
          <w:p w14:paraId="1FB6E89C"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Falta de identificación de un ganador claro en la evaluación, los que genera debates subjetivos o el desarrollo de «nuevos criterios»</w:t>
            </w:r>
          </w:p>
        </w:tc>
        <w:tc>
          <w:tcPr>
            <w:tcW w:w="1577" w:type="pct"/>
            <w:tcMar>
              <w:top w:w="15" w:type="dxa"/>
              <w:left w:w="15" w:type="dxa"/>
              <w:bottom w:w="15" w:type="dxa"/>
              <w:right w:w="15" w:type="dxa"/>
            </w:tcMar>
            <w:hideMark/>
          </w:tcPr>
          <w:p w14:paraId="47066CC8"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Reclamaciones de conducta poco ética y desleal</w:t>
            </w:r>
          </w:p>
          <w:p w14:paraId="5C8812C4"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Necesidad de volver a licitar</w:t>
            </w:r>
          </w:p>
        </w:tc>
        <w:tc>
          <w:tcPr>
            <w:tcW w:w="1991" w:type="pct"/>
            <w:tcMar>
              <w:top w:w="15" w:type="dxa"/>
              <w:left w:w="15" w:type="dxa"/>
              <w:bottom w:w="15" w:type="dxa"/>
              <w:right w:w="15" w:type="dxa"/>
            </w:tcMar>
            <w:hideMark/>
          </w:tcPr>
          <w:p w14:paraId="6B44C86F"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roofErr w:type="gramStart"/>
            <w:r w:rsidRPr="00850D4E">
              <w:rPr>
                <w:rFonts w:ascii="Calibri" w:eastAsia="MS Mincho" w:hAnsi="Calibri" w:cs="Times New Roman"/>
                <w:kern w:val="0"/>
                <w:sz w:val="22"/>
                <w:szCs w:val="22"/>
                <w:lang w:val="es-ES" w:eastAsia="es-ES" w:bidi="es-ES"/>
                <w14:ligatures w14:val="none"/>
              </w:rPr>
              <w:t>Asegurar</w:t>
            </w:r>
            <w:proofErr w:type="gramEnd"/>
            <w:r w:rsidRPr="00850D4E">
              <w:rPr>
                <w:rFonts w:ascii="Calibri" w:eastAsia="MS Mincho" w:hAnsi="Calibri" w:cs="Times New Roman"/>
                <w:kern w:val="0"/>
                <w:sz w:val="22"/>
                <w:szCs w:val="22"/>
                <w:lang w:val="es-ES" w:eastAsia="es-ES" w:bidi="es-ES"/>
                <w14:ligatures w14:val="none"/>
              </w:rPr>
              <w:t xml:space="preserve"> que los criterios de selección sean apropiados y estén alineados con las necesidades del proyecto</w:t>
            </w:r>
          </w:p>
        </w:tc>
      </w:tr>
      <w:tr w:rsidR="00850D4E" w:rsidRPr="00850D4E" w14:paraId="06F9DF98" w14:textId="77777777" w:rsidTr="00CE64FA">
        <w:trPr>
          <w:jc w:val="right"/>
        </w:trPr>
        <w:tc>
          <w:tcPr>
            <w:tcW w:w="1432" w:type="pct"/>
            <w:tcMar>
              <w:top w:w="15" w:type="dxa"/>
              <w:left w:w="15" w:type="dxa"/>
              <w:bottom w:w="15" w:type="dxa"/>
              <w:right w:w="15" w:type="dxa"/>
            </w:tcMar>
            <w:hideMark/>
          </w:tcPr>
          <w:p w14:paraId="12D397CB"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Selección del proveedor inapropiado</w:t>
            </w:r>
          </w:p>
        </w:tc>
        <w:tc>
          <w:tcPr>
            <w:tcW w:w="1577" w:type="pct"/>
            <w:tcMar>
              <w:top w:w="15" w:type="dxa"/>
              <w:left w:w="15" w:type="dxa"/>
              <w:bottom w:w="15" w:type="dxa"/>
              <w:right w:w="15" w:type="dxa"/>
            </w:tcMar>
            <w:hideMark/>
          </w:tcPr>
          <w:p w14:paraId="5A72F127"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Incumplimiento del contrato por parte del proveedor</w:t>
            </w:r>
          </w:p>
          <w:p w14:paraId="069A5E08"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Desperdicio de fondos</w:t>
            </w:r>
          </w:p>
          <w:p w14:paraId="6B160BDB"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Disputas sobre el contrato</w:t>
            </w:r>
          </w:p>
          <w:p w14:paraId="47D1BE2E"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Volver a licitar (tiempo/costo)</w:t>
            </w:r>
          </w:p>
        </w:tc>
        <w:tc>
          <w:tcPr>
            <w:tcW w:w="1991" w:type="pct"/>
            <w:tcMar>
              <w:top w:w="15" w:type="dxa"/>
              <w:left w:w="15" w:type="dxa"/>
              <w:bottom w:w="15" w:type="dxa"/>
              <w:right w:w="15" w:type="dxa"/>
            </w:tcMar>
            <w:hideMark/>
          </w:tcPr>
          <w:p w14:paraId="5479BAA9"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Rechazar las ofertas de proveedores inaceptables y documentar los fundamentos del rechazo</w:t>
            </w:r>
          </w:p>
          <w:p w14:paraId="5CFAB7F7"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Desarrollar criterios claros de evaluación alineados con las necesidades del proyecto</w:t>
            </w:r>
          </w:p>
          <w:p w14:paraId="19705F04"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Realizar comprobaciones técnicas y financieras de los proveedores antes de adjudicar el contrato</w:t>
            </w:r>
          </w:p>
        </w:tc>
      </w:tr>
      <w:tr w:rsidR="00850D4E" w:rsidRPr="00850D4E" w14:paraId="1B9F6D26" w14:textId="77777777" w:rsidTr="00CE64FA">
        <w:trPr>
          <w:jc w:val="right"/>
        </w:trPr>
        <w:tc>
          <w:tcPr>
            <w:tcW w:w="1432" w:type="pct"/>
            <w:tcMar>
              <w:top w:w="15" w:type="dxa"/>
              <w:left w:w="15" w:type="dxa"/>
              <w:bottom w:w="15" w:type="dxa"/>
              <w:right w:w="15" w:type="dxa"/>
            </w:tcMar>
            <w:hideMark/>
          </w:tcPr>
          <w:p w14:paraId="3B03741B"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Seleccionar bienes/servicios inapropiados</w:t>
            </w:r>
          </w:p>
        </w:tc>
        <w:tc>
          <w:tcPr>
            <w:tcW w:w="1577" w:type="pct"/>
            <w:tcMar>
              <w:top w:w="15" w:type="dxa"/>
              <w:left w:w="15" w:type="dxa"/>
              <w:bottom w:w="15" w:type="dxa"/>
              <w:right w:w="15" w:type="dxa"/>
            </w:tcMar>
            <w:hideMark/>
          </w:tcPr>
          <w:p w14:paraId="0E89F7E5"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Incumplimiento de los bienes/servicios con las necesidades del proyecto</w:t>
            </w:r>
          </w:p>
          <w:p w14:paraId="5DF7B5A0"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Desperdicio de fondos</w:t>
            </w:r>
          </w:p>
          <w:p w14:paraId="02FFA620"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Volver a licitar (tiempo/costo)</w:t>
            </w:r>
          </w:p>
        </w:tc>
        <w:tc>
          <w:tcPr>
            <w:tcW w:w="1991" w:type="pct"/>
            <w:tcMar>
              <w:top w:w="15" w:type="dxa"/>
              <w:left w:w="15" w:type="dxa"/>
              <w:bottom w:w="15" w:type="dxa"/>
              <w:right w:w="15" w:type="dxa"/>
            </w:tcMar>
            <w:hideMark/>
          </w:tcPr>
          <w:p w14:paraId="2494DBCA"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Desarrollar especificaciones/</w:t>
            </w:r>
            <w:proofErr w:type="spellStart"/>
            <w:r w:rsidRPr="00850D4E">
              <w:rPr>
                <w:rFonts w:ascii="Calibri" w:eastAsia="MS Mincho" w:hAnsi="Calibri" w:cs="Times New Roman"/>
                <w:kern w:val="0"/>
                <w:sz w:val="22"/>
                <w:szCs w:val="22"/>
                <w:lang w:val="es-ES" w:eastAsia="es-ES" w:bidi="es-ES"/>
                <w14:ligatures w14:val="none"/>
              </w:rPr>
              <w:t>TdR</w:t>
            </w:r>
            <w:proofErr w:type="spellEnd"/>
            <w:r w:rsidRPr="00850D4E">
              <w:rPr>
                <w:rFonts w:ascii="Calibri" w:eastAsia="MS Mincho" w:hAnsi="Calibri" w:cs="Times New Roman"/>
                <w:kern w:val="0"/>
                <w:sz w:val="22"/>
                <w:szCs w:val="22"/>
                <w:lang w:val="es-ES" w:eastAsia="es-ES" w:bidi="es-ES"/>
                <w14:ligatures w14:val="none"/>
              </w:rPr>
              <w:t>/SOW apropiados</w:t>
            </w:r>
          </w:p>
          <w:p w14:paraId="7DC096C5"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Contar con los conocimientos técnicos adecuados durante el proceso de evaluación</w:t>
            </w:r>
          </w:p>
          <w:p w14:paraId="6064F1DC"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Asegurar la participación de los usuarios</w:t>
            </w:r>
          </w:p>
        </w:tc>
      </w:tr>
      <w:tr w:rsidR="00850D4E" w:rsidRPr="00850D4E" w14:paraId="3FADBD2B" w14:textId="77777777" w:rsidTr="00CE64FA">
        <w:trPr>
          <w:jc w:val="right"/>
        </w:trPr>
        <w:tc>
          <w:tcPr>
            <w:tcW w:w="1432" w:type="pct"/>
            <w:tcMar>
              <w:top w:w="15" w:type="dxa"/>
              <w:left w:w="15" w:type="dxa"/>
              <w:bottom w:w="15" w:type="dxa"/>
              <w:right w:w="15" w:type="dxa"/>
            </w:tcMar>
            <w:hideMark/>
          </w:tcPr>
          <w:p w14:paraId="4E2B17AE"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Cantidad insuficiente de respuestas</w:t>
            </w:r>
          </w:p>
        </w:tc>
        <w:tc>
          <w:tcPr>
            <w:tcW w:w="1577" w:type="pct"/>
            <w:tcMar>
              <w:top w:w="15" w:type="dxa"/>
              <w:left w:w="15" w:type="dxa"/>
              <w:bottom w:w="15" w:type="dxa"/>
              <w:right w:w="15" w:type="dxa"/>
            </w:tcMar>
            <w:hideMark/>
          </w:tcPr>
          <w:p w14:paraId="663855FC"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Necesidad de iniciar nuevamente la adquisición</w:t>
            </w:r>
          </w:p>
          <w:p w14:paraId="1A479458"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Demoras en el calendario de adquisiciones</w:t>
            </w:r>
          </w:p>
          <w:p w14:paraId="4712A7BE"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Falta de una buena relación entre calidad y precio debido a la competencia limitada</w:t>
            </w:r>
          </w:p>
        </w:tc>
        <w:tc>
          <w:tcPr>
            <w:tcW w:w="1991" w:type="pct"/>
            <w:tcMar>
              <w:top w:w="15" w:type="dxa"/>
              <w:left w:w="15" w:type="dxa"/>
              <w:bottom w:w="15" w:type="dxa"/>
              <w:right w:w="15" w:type="dxa"/>
            </w:tcMar>
            <w:hideMark/>
          </w:tcPr>
          <w:p w14:paraId="31BA1192"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Desarrollar un conocimiento sólido del mercado</w:t>
            </w:r>
          </w:p>
          <w:p w14:paraId="4A40D6F2"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Promover la competencia internacional</w:t>
            </w:r>
          </w:p>
          <w:p w14:paraId="3482D1A4"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Desarrollar listas de proveedores</w:t>
            </w:r>
          </w:p>
          <w:p w14:paraId="19B13E3F"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Otorgar tiempo suficiente a los proveedores para que preparen las ofertas</w:t>
            </w:r>
          </w:p>
        </w:tc>
      </w:tr>
      <w:tr w:rsidR="00850D4E" w:rsidRPr="00850D4E" w14:paraId="2E7AF93E" w14:textId="77777777" w:rsidTr="00CE64FA">
        <w:trPr>
          <w:jc w:val="right"/>
        </w:trPr>
        <w:tc>
          <w:tcPr>
            <w:tcW w:w="1432" w:type="pct"/>
            <w:tcMar>
              <w:top w:w="15" w:type="dxa"/>
              <w:left w:w="15" w:type="dxa"/>
              <w:bottom w:w="15" w:type="dxa"/>
              <w:right w:w="15" w:type="dxa"/>
            </w:tcMar>
            <w:hideMark/>
          </w:tcPr>
          <w:p w14:paraId="073F0300"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Revisión y Adjudicación de Adquisiciones</w:t>
            </w:r>
          </w:p>
        </w:tc>
        <w:tc>
          <w:tcPr>
            <w:tcW w:w="1577" w:type="pct"/>
            <w:tcMar>
              <w:top w:w="15" w:type="dxa"/>
              <w:left w:w="15" w:type="dxa"/>
              <w:bottom w:w="15" w:type="dxa"/>
              <w:right w:w="15" w:type="dxa"/>
            </w:tcMar>
            <w:hideMark/>
          </w:tcPr>
          <w:p w14:paraId="1762CB74"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
        </w:tc>
        <w:tc>
          <w:tcPr>
            <w:tcW w:w="1991" w:type="pct"/>
            <w:tcMar>
              <w:top w:w="15" w:type="dxa"/>
              <w:left w:w="15" w:type="dxa"/>
              <w:bottom w:w="15" w:type="dxa"/>
              <w:right w:w="15" w:type="dxa"/>
            </w:tcMar>
            <w:hideMark/>
          </w:tcPr>
          <w:p w14:paraId="4423DA50"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
        </w:tc>
      </w:tr>
      <w:tr w:rsidR="00850D4E" w:rsidRPr="00850D4E" w14:paraId="2E5B408E" w14:textId="77777777" w:rsidTr="00CE64FA">
        <w:trPr>
          <w:jc w:val="right"/>
        </w:trPr>
        <w:tc>
          <w:tcPr>
            <w:tcW w:w="1432" w:type="pct"/>
            <w:tcMar>
              <w:top w:w="15" w:type="dxa"/>
              <w:left w:w="15" w:type="dxa"/>
              <w:bottom w:w="15" w:type="dxa"/>
              <w:right w:w="15" w:type="dxa"/>
            </w:tcMar>
            <w:hideMark/>
          </w:tcPr>
          <w:p w14:paraId="3EB8929F"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Falta de obtención de la aprobación del contrato</w:t>
            </w:r>
          </w:p>
        </w:tc>
        <w:tc>
          <w:tcPr>
            <w:tcW w:w="1577" w:type="pct"/>
            <w:tcMar>
              <w:top w:w="15" w:type="dxa"/>
              <w:left w:w="15" w:type="dxa"/>
              <w:bottom w:w="15" w:type="dxa"/>
              <w:right w:w="15" w:type="dxa"/>
            </w:tcMar>
            <w:hideMark/>
          </w:tcPr>
          <w:p w14:paraId="49DDA219"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Demora en la adjudicación del contrato</w:t>
            </w:r>
          </w:p>
          <w:p w14:paraId="56A065BC"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Necesidad de volver a licitar (tiempo/costo)</w:t>
            </w:r>
          </w:p>
          <w:p w14:paraId="626BB02A"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Socavar la confianza de la comunidad empresarial </w:t>
            </w:r>
          </w:p>
        </w:tc>
        <w:tc>
          <w:tcPr>
            <w:tcW w:w="1991" w:type="pct"/>
            <w:tcMar>
              <w:top w:w="15" w:type="dxa"/>
              <w:left w:w="15" w:type="dxa"/>
              <w:bottom w:w="15" w:type="dxa"/>
              <w:right w:w="15" w:type="dxa"/>
            </w:tcMar>
            <w:hideMark/>
          </w:tcPr>
          <w:p w14:paraId="5852376A"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Análisis apropiado del riesgo de las adquisiciones</w:t>
            </w:r>
          </w:p>
          <w:p w14:paraId="6524B685"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Estrategias de adquisición apropiadas (incluidas las estrategias de selección de proveedores)</w:t>
            </w:r>
          </w:p>
          <w:p w14:paraId="4C7B046D"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Comprensión del mercado</w:t>
            </w:r>
          </w:p>
          <w:p w14:paraId="2665A9F5"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Planificación apropiada de las adquisiciones</w:t>
            </w:r>
          </w:p>
          <w:p w14:paraId="2535E61C"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Especificaciones/</w:t>
            </w:r>
            <w:proofErr w:type="spellStart"/>
            <w:r w:rsidRPr="00850D4E">
              <w:rPr>
                <w:rFonts w:ascii="Calibri" w:eastAsia="MS Mincho" w:hAnsi="Calibri" w:cs="Times New Roman"/>
                <w:kern w:val="0"/>
                <w:sz w:val="22"/>
                <w:szCs w:val="22"/>
                <w:lang w:val="es-ES" w:eastAsia="es-ES" w:bidi="es-ES"/>
                <w14:ligatures w14:val="none"/>
              </w:rPr>
              <w:t>TdR</w:t>
            </w:r>
            <w:proofErr w:type="spellEnd"/>
            <w:r w:rsidRPr="00850D4E">
              <w:rPr>
                <w:rFonts w:ascii="Calibri" w:eastAsia="MS Mincho" w:hAnsi="Calibri" w:cs="Times New Roman"/>
                <w:kern w:val="0"/>
                <w:sz w:val="22"/>
                <w:szCs w:val="22"/>
                <w:lang w:val="es-ES" w:eastAsia="es-ES" w:bidi="es-ES"/>
                <w14:ligatures w14:val="none"/>
              </w:rPr>
              <w:t>/SOW claros, genéricos y completos</w:t>
            </w:r>
          </w:p>
          <w:p w14:paraId="1FC98C4D"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Promover la competencia internacional</w:t>
            </w:r>
          </w:p>
          <w:p w14:paraId="12182E6E"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Garantizar el cumplimiento de reglamentaciones, reglamentos y procedimientos durante todo el proceso</w:t>
            </w:r>
          </w:p>
          <w:p w14:paraId="44B9FE3D"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Garantizar la documentación adecuada del proceso y su presentación</w:t>
            </w:r>
          </w:p>
        </w:tc>
      </w:tr>
      <w:tr w:rsidR="00850D4E" w:rsidRPr="00850D4E" w14:paraId="004EFF99" w14:textId="77777777" w:rsidTr="00CE64FA">
        <w:trPr>
          <w:jc w:val="right"/>
        </w:trPr>
        <w:tc>
          <w:tcPr>
            <w:tcW w:w="1432" w:type="pct"/>
            <w:tcMar>
              <w:top w:w="15" w:type="dxa"/>
              <w:left w:w="15" w:type="dxa"/>
              <w:bottom w:w="15" w:type="dxa"/>
              <w:right w:w="15" w:type="dxa"/>
            </w:tcMar>
            <w:hideMark/>
          </w:tcPr>
          <w:p w14:paraId="7DC84B9E"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Gestión del contrato</w:t>
            </w:r>
          </w:p>
        </w:tc>
        <w:tc>
          <w:tcPr>
            <w:tcW w:w="1577" w:type="pct"/>
            <w:tcMar>
              <w:top w:w="15" w:type="dxa"/>
              <w:left w:w="15" w:type="dxa"/>
              <w:bottom w:w="15" w:type="dxa"/>
              <w:right w:w="15" w:type="dxa"/>
            </w:tcMar>
            <w:hideMark/>
          </w:tcPr>
          <w:p w14:paraId="0809E9E8"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
        </w:tc>
        <w:tc>
          <w:tcPr>
            <w:tcW w:w="1991" w:type="pct"/>
            <w:tcMar>
              <w:top w:w="15" w:type="dxa"/>
              <w:left w:w="15" w:type="dxa"/>
              <w:bottom w:w="15" w:type="dxa"/>
              <w:right w:w="15" w:type="dxa"/>
            </w:tcMar>
            <w:hideMark/>
          </w:tcPr>
          <w:p w14:paraId="7F5F2658"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p>
        </w:tc>
      </w:tr>
      <w:tr w:rsidR="00850D4E" w:rsidRPr="00850D4E" w14:paraId="32FCE7EF" w14:textId="77777777" w:rsidTr="00CE64FA">
        <w:trPr>
          <w:jc w:val="right"/>
        </w:trPr>
        <w:tc>
          <w:tcPr>
            <w:tcW w:w="1432" w:type="pct"/>
            <w:tcMar>
              <w:top w:w="15" w:type="dxa"/>
              <w:left w:w="15" w:type="dxa"/>
              <w:bottom w:w="15" w:type="dxa"/>
              <w:right w:w="15" w:type="dxa"/>
            </w:tcMar>
            <w:hideMark/>
          </w:tcPr>
          <w:p w14:paraId="71B04D59"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Función de gestión del contrato no estructurada o inexistente</w:t>
            </w:r>
          </w:p>
        </w:tc>
        <w:tc>
          <w:tcPr>
            <w:tcW w:w="1577" w:type="pct"/>
            <w:tcMar>
              <w:top w:w="15" w:type="dxa"/>
              <w:left w:w="15" w:type="dxa"/>
              <w:bottom w:w="15" w:type="dxa"/>
              <w:right w:w="15" w:type="dxa"/>
            </w:tcMar>
            <w:hideMark/>
          </w:tcPr>
          <w:p w14:paraId="13943517"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No lograr la mejor relación entre calidad y precio</w:t>
            </w:r>
          </w:p>
          <w:p w14:paraId="37C5687B"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Desempeño deficiente de los proveedores</w:t>
            </w:r>
          </w:p>
          <w:p w14:paraId="2B460835"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Demoras en la entrega</w:t>
            </w:r>
          </w:p>
          <w:p w14:paraId="38B5A4B5"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Posible variación de costos</w:t>
            </w:r>
          </w:p>
          <w:p w14:paraId="2B7C8A39"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Disputas del contrato</w:t>
            </w:r>
          </w:p>
        </w:tc>
        <w:tc>
          <w:tcPr>
            <w:tcW w:w="1991" w:type="pct"/>
            <w:tcMar>
              <w:top w:w="15" w:type="dxa"/>
              <w:left w:w="15" w:type="dxa"/>
              <w:bottom w:w="15" w:type="dxa"/>
              <w:right w:w="15" w:type="dxa"/>
            </w:tcMar>
            <w:hideMark/>
          </w:tcPr>
          <w:p w14:paraId="63CF77B5"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Identificar recursos para la gestión de contratos</w:t>
            </w:r>
          </w:p>
          <w:p w14:paraId="29305424"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Desarrollar estructuras para la gestión del contrato, incluidos roles y responsabilidades claros</w:t>
            </w:r>
          </w:p>
          <w:p w14:paraId="3E18A672"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Identificar el perfil y las competencias adecuados para la gestión de los contratos</w:t>
            </w:r>
          </w:p>
          <w:p w14:paraId="52B63430"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Desarrollar planes de gestión de contratos</w:t>
            </w:r>
          </w:p>
        </w:tc>
      </w:tr>
      <w:tr w:rsidR="00850D4E" w:rsidRPr="00850D4E" w14:paraId="77FC3CEC" w14:textId="77777777" w:rsidTr="00CE64FA">
        <w:trPr>
          <w:jc w:val="right"/>
        </w:trPr>
        <w:tc>
          <w:tcPr>
            <w:tcW w:w="1432" w:type="pct"/>
            <w:tcMar>
              <w:top w:w="15" w:type="dxa"/>
              <w:left w:w="15" w:type="dxa"/>
              <w:bottom w:w="15" w:type="dxa"/>
              <w:right w:w="15" w:type="dxa"/>
            </w:tcMar>
            <w:hideMark/>
          </w:tcPr>
          <w:p w14:paraId="2B5A9524"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lastRenderedPageBreak/>
              <w:t>Incumplimiento de alguna de las partes de las condiciones del contrato</w:t>
            </w:r>
          </w:p>
        </w:tc>
        <w:tc>
          <w:tcPr>
            <w:tcW w:w="1577" w:type="pct"/>
            <w:tcMar>
              <w:top w:w="15" w:type="dxa"/>
              <w:left w:w="15" w:type="dxa"/>
              <w:bottom w:w="15" w:type="dxa"/>
              <w:right w:w="15" w:type="dxa"/>
            </w:tcMar>
            <w:hideMark/>
          </w:tcPr>
          <w:p w14:paraId="4D184D56"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Disputas del contrato</w:t>
            </w:r>
          </w:p>
          <w:p w14:paraId="385BAC1E"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Incumplimiento total o parcial con las necesidades del proyecto</w:t>
            </w:r>
          </w:p>
          <w:p w14:paraId="2FE6C681"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Demoras</w:t>
            </w:r>
          </w:p>
          <w:p w14:paraId="435A00E7"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Acciones legales</w:t>
            </w:r>
          </w:p>
        </w:tc>
        <w:tc>
          <w:tcPr>
            <w:tcW w:w="1991" w:type="pct"/>
            <w:tcMar>
              <w:top w:w="15" w:type="dxa"/>
              <w:left w:w="15" w:type="dxa"/>
              <w:bottom w:w="15" w:type="dxa"/>
              <w:right w:w="15" w:type="dxa"/>
            </w:tcMar>
            <w:hideMark/>
          </w:tcPr>
          <w:p w14:paraId="6EE1870A"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Garantizar la gestión apropiada de los contratos</w:t>
            </w:r>
          </w:p>
          <w:p w14:paraId="5D0684C4"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Supervisión de los contratos, incluidas inspecciones e informes de progreso regulares</w:t>
            </w:r>
          </w:p>
          <w:p w14:paraId="5E20300A"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Revisar los registros de desempeño anteriores</w:t>
            </w:r>
          </w:p>
          <w:p w14:paraId="13DFCB7F"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Ser proactivos</w:t>
            </w:r>
          </w:p>
          <w:p w14:paraId="0B8E9524" w14:textId="77777777" w:rsidR="00850D4E" w:rsidRPr="00850D4E" w:rsidRDefault="00850D4E" w:rsidP="00CE64FA">
            <w:pPr>
              <w:spacing w:after="0" w:line="240" w:lineRule="auto"/>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Mantener registros y documentos precisos</w:t>
            </w:r>
          </w:p>
        </w:tc>
      </w:tr>
    </w:tbl>
    <w:p w14:paraId="5AAE3085" w14:textId="6B42E488" w:rsidR="00850D4E" w:rsidRPr="00850D4E" w:rsidRDefault="00850D4E" w:rsidP="00850D4E">
      <w:pPr>
        <w:shd w:val="clear" w:color="auto" w:fill="FFFFFF"/>
        <w:spacing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6788445E"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PLANIFICACIÓN DE ADQUISICIONES</w:t>
      </w:r>
    </w:p>
    <w:p w14:paraId="71B3B31F"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15EB9876"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La planificación de las adquisiciones implica más que la selección de un método de adquisición para bienes, obras civiles y servicios o cuándo programar las actividades. Depende en gran medida de los marcos legales e institucionales en los que debe llevarse a cabo la adquisición. </w:t>
      </w:r>
    </w:p>
    <w:p w14:paraId="0A44A570"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068B6081"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PLAN DE PEDIDOS</w:t>
      </w:r>
    </w:p>
    <w:p w14:paraId="2C01EBCA"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60BF5D54"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Durante la etapa de definición del ciclo del proyecto, deberán identificarse y presupuestarse todas las actividades relevantes. Entre estas actividades, deberá tenerse en cuenta la adquisición de bienes, servicios y obras para alcanzar los objetivos del proyecto. Los servicios requeridos identificados también deben incluir los servicios de consultores individuales necesarios para la ejecución exitosa del proyecto (incluidos los servicios para el desarrollo de especificaciones complejas/de alto nivel técnico, si corresponde). Esta información constituirá la base para el establecimiento del Plan de Pedidos. </w:t>
      </w:r>
    </w:p>
    <w:p w14:paraId="286C3B28" w14:textId="77777777" w:rsidR="00850D4E" w:rsidRPr="00850D4E" w:rsidRDefault="00850D4E" w:rsidP="00850D4E">
      <w:pPr>
        <w:shd w:val="clear" w:color="auto" w:fill="FFFFFF"/>
        <w:spacing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850D4E" w:rsidRPr="00850D4E" w14:paraId="68D829CD" w14:textId="77777777" w:rsidTr="00FA0166">
        <w:tc>
          <w:tcPr>
            <w:tcW w:w="5000" w:type="pct"/>
            <w:tcBorders>
              <w:top w:val="nil"/>
              <w:left w:val="nil"/>
              <w:bottom w:val="nil"/>
              <w:right w:val="nil"/>
            </w:tcBorders>
            <w:tcMar>
              <w:top w:w="15" w:type="dxa"/>
              <w:left w:w="15" w:type="dxa"/>
              <w:bottom w:w="15" w:type="dxa"/>
              <w:right w:w="15" w:type="dxa"/>
            </w:tcMar>
            <w:vAlign w:val="center"/>
            <w:hideMark/>
          </w:tcPr>
          <w:p w14:paraId="5B2626A0" w14:textId="77777777" w:rsidR="00850D4E" w:rsidRPr="00850D4E" w:rsidRDefault="00850D4E" w:rsidP="00850D4E">
            <w:pPr>
              <w:numPr>
                <w:ilvl w:val="0"/>
                <w:numId w:val="20"/>
              </w:numPr>
              <w:spacing w:after="0" w:line="240" w:lineRule="auto"/>
              <w:contextualSpacing/>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Calibri"/>
                <w:kern w:val="0"/>
                <w:sz w:val="22"/>
                <w:szCs w:val="22"/>
                <w:u w:val="single"/>
                <w:lang w:val="es-ES" w:eastAsia="es-ES" w:bidi="es-ES"/>
                <w14:ligatures w14:val="none"/>
              </w:rPr>
              <w:t>El Plan de Pedidos deberá desarrollarse en la etapa de definición y registrado en Quantum como parte de las actividades del proyecto. El plan será actualizado tan frecuentemente como sea necesario.</w:t>
            </w:r>
          </w:p>
          <w:p w14:paraId="61A4B1B2" w14:textId="77777777" w:rsidR="00850D4E" w:rsidRPr="00850D4E" w:rsidRDefault="00850D4E" w:rsidP="00850D4E">
            <w:pPr>
              <w:spacing w:after="0" w:line="240" w:lineRule="auto"/>
              <w:ind w:left="720"/>
              <w:contextualSpacing/>
              <w:jc w:val="both"/>
              <w:rPr>
                <w:rFonts w:ascii="Calibri" w:eastAsia="Times New Roman" w:hAnsi="Calibri" w:cs="Calibri"/>
                <w:kern w:val="0"/>
                <w:sz w:val="22"/>
                <w:szCs w:val="22"/>
                <w:lang w:val="es-ES" w:eastAsia="es-ES" w:bidi="es-ES"/>
                <w14:ligatures w14:val="none"/>
              </w:rPr>
            </w:pPr>
          </w:p>
          <w:p w14:paraId="0641F73F" w14:textId="77777777" w:rsidR="00850D4E" w:rsidRPr="00850D4E" w:rsidRDefault="00850D4E" w:rsidP="00850D4E">
            <w:pPr>
              <w:numPr>
                <w:ilvl w:val="0"/>
                <w:numId w:val="20"/>
              </w:numPr>
              <w:spacing w:after="0" w:line="240" w:lineRule="auto"/>
              <w:contextualSpacing/>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El solicitante es responsable de desarrollar el Plan de Pedidos, incluida la siguiente información mínima:</w:t>
            </w:r>
          </w:p>
          <w:p w14:paraId="2BB6EFD9" w14:textId="77777777" w:rsidR="00850D4E" w:rsidRPr="00850D4E" w:rsidRDefault="00850D4E" w:rsidP="00850D4E">
            <w:pPr>
              <w:numPr>
                <w:ilvl w:val="0"/>
                <w:numId w:val="17"/>
              </w:numPr>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Descripción de los bienes, los servicios y/o las obras </w:t>
            </w:r>
          </w:p>
          <w:p w14:paraId="241C2802" w14:textId="77777777" w:rsidR="00850D4E" w:rsidRPr="00850D4E" w:rsidRDefault="00850D4E" w:rsidP="00850D4E">
            <w:pPr>
              <w:numPr>
                <w:ilvl w:val="0"/>
                <w:numId w:val="17"/>
              </w:numPr>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Cantidades requeridas</w:t>
            </w:r>
          </w:p>
          <w:p w14:paraId="673795D6" w14:textId="77777777" w:rsidR="00850D4E" w:rsidRPr="00850D4E" w:rsidRDefault="00850D4E" w:rsidP="00850D4E">
            <w:pPr>
              <w:numPr>
                <w:ilvl w:val="0"/>
                <w:numId w:val="17"/>
              </w:numPr>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Presupuesto estimado </w:t>
            </w:r>
          </w:p>
          <w:p w14:paraId="5A7C2D06" w14:textId="77777777" w:rsidR="00850D4E" w:rsidRPr="00850D4E" w:rsidRDefault="00850D4E" w:rsidP="00850D4E">
            <w:pPr>
              <w:numPr>
                <w:ilvl w:val="0"/>
                <w:numId w:val="17"/>
              </w:numPr>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Fecha prevista de terminación de la actividad</w:t>
            </w:r>
          </w:p>
        </w:tc>
      </w:tr>
    </w:tbl>
    <w:p w14:paraId="47C88985"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73508A4E"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Calibri"/>
          <w:i/>
          <w:kern w:val="0"/>
          <w:sz w:val="22"/>
          <w:szCs w:val="22"/>
          <w:lang w:val="es-ES" w:eastAsia="es-ES" w:bidi="es-ES"/>
          <w14:ligatures w14:val="none"/>
        </w:rPr>
        <w:lastRenderedPageBreak/>
        <w:t>Las categorías de adquisición de baja prioridad</w:t>
      </w:r>
      <w:r w:rsidRPr="00850D4E">
        <w:rPr>
          <w:rFonts w:ascii="Calibri" w:eastAsia="MS Mincho" w:hAnsi="Calibri" w:cs="Times New Roman"/>
          <w:kern w:val="0"/>
          <w:sz w:val="22"/>
          <w:szCs w:val="22"/>
          <w:lang w:val="es-ES" w:eastAsia="es-ES" w:bidi="es-ES"/>
          <w14:ligatures w14:val="none"/>
        </w:rPr>
        <w:t xml:space="preserve"> pueden cuantificarse y presupuestarse en el Plan de Pedidos como una suma fija. Por ejemplo, «lote de papelería» (bolígrafos, lápices, libretas, etc.): </w:t>
      </w:r>
      <w:r w:rsidRPr="00850D4E">
        <w:rPr>
          <w:rFonts w:ascii="Calibri" w:eastAsia="MS Mincho" w:hAnsi="Calibri" w:cs="Calibri"/>
          <w:i/>
          <w:kern w:val="0"/>
          <w:sz w:val="22"/>
          <w:szCs w:val="22"/>
          <w:lang w:val="es-ES" w:eastAsia="es-ES" w:bidi="es-ES"/>
          <w14:ligatures w14:val="none"/>
        </w:rPr>
        <w:t>CANT. 1</w:t>
      </w:r>
      <w:r w:rsidRPr="00850D4E">
        <w:rPr>
          <w:rFonts w:ascii="Calibri" w:eastAsia="MS Mincho" w:hAnsi="Calibri" w:cs="Times New Roman"/>
          <w:kern w:val="0"/>
          <w:sz w:val="22"/>
          <w:szCs w:val="22"/>
          <w:lang w:val="es-ES" w:eastAsia="es-ES" w:bidi="es-ES"/>
          <w14:ligatures w14:val="none"/>
        </w:rPr>
        <w:t xml:space="preserve">: Presupuesto </w:t>
      </w:r>
      <w:r w:rsidRPr="00850D4E">
        <w:rPr>
          <w:rFonts w:ascii="Calibri" w:eastAsia="MS Mincho" w:hAnsi="Calibri" w:cs="Calibri"/>
          <w:i/>
          <w:kern w:val="0"/>
          <w:sz w:val="22"/>
          <w:szCs w:val="22"/>
          <w:lang w:val="es-ES" w:eastAsia="es-ES" w:bidi="es-ES"/>
          <w14:ligatures w14:val="none"/>
        </w:rPr>
        <w:t>USD 2000</w:t>
      </w:r>
    </w:p>
    <w:p w14:paraId="73D6CE1D"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12AE3170"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Calibri"/>
          <w:i/>
          <w:kern w:val="0"/>
          <w:sz w:val="22"/>
          <w:szCs w:val="22"/>
          <w:lang w:val="es-ES" w:eastAsia="es-ES" w:bidi="es-ES"/>
          <w14:ligatures w14:val="none"/>
        </w:rPr>
        <w:t xml:space="preserve">Las categorías de adquisición de prioridad alta/media </w:t>
      </w:r>
      <w:r w:rsidRPr="00850D4E">
        <w:rPr>
          <w:rFonts w:ascii="Calibri" w:eastAsia="MS Mincho" w:hAnsi="Calibri" w:cs="Times New Roman"/>
          <w:kern w:val="0"/>
          <w:sz w:val="22"/>
          <w:szCs w:val="22"/>
          <w:lang w:val="es-ES" w:eastAsia="es-ES" w:bidi="es-ES"/>
          <w14:ligatures w14:val="none"/>
        </w:rPr>
        <w:t xml:space="preserve">deben cuantificarse cuidadosamente y presupuestarse de manera precisa. </w:t>
      </w:r>
    </w:p>
    <w:p w14:paraId="3FAB55C0"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2B058C34"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El Plan de Pedidos se basa en estimaciones de las operaciones de adquisición que deben realizarse. Si bien algunas necesidades de adquisición no pueden anticiparse, </w:t>
      </w:r>
      <w:r w:rsidRPr="00850D4E">
        <w:rPr>
          <w:rFonts w:ascii="Calibri" w:eastAsia="MS Mincho" w:hAnsi="Calibri" w:cs="Calibri"/>
          <w:i/>
          <w:kern w:val="0"/>
          <w:sz w:val="22"/>
          <w:szCs w:val="22"/>
          <w:lang w:val="es-ES" w:eastAsia="es-ES" w:bidi="es-ES"/>
          <w14:ligatures w14:val="none"/>
        </w:rPr>
        <w:t>un Plan de Pedidos basado en estimaciones siempre es mejor que no realizar ningún tipo de planificación.</w:t>
      </w:r>
    </w:p>
    <w:p w14:paraId="0EE07E7C"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55611B7C"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PLAN DE GESTIÓN DE LA CADENA DE SUMINISTRO (GCS)</w:t>
      </w:r>
    </w:p>
    <w:p w14:paraId="096845FB"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0051712C"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En la etapa de planificación, siempre es necesario tener en cuenta toda la GCS, incluidos los requisitos del proyecto y los roles y las responsabilidades del PNUD en relación con la GCS.</w:t>
      </w:r>
    </w:p>
    <w:p w14:paraId="4F6F674C"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7FDA9EEE"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Sin embargo, solamente en ciertas circunstancias, y normalmente debido a la extensión y la complejidad de la GCS, la Oficina de País o la Unidad de Negocio deberán desarrollar un plan de GCS por escrito.</w:t>
      </w:r>
    </w:p>
    <w:p w14:paraId="01101444"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60E6154C"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Para algunos proyectos con una GCS extendida y compleja, recomendamos desarrollar un Plan de GCS antes de proceder al desarrollo del Plan de Adquisiciones transaccional. Un ejemplo de dichos proyectos es el apoyo para el registro de votantes o el apoyo de asistencia electoral, en los que el proceso de cuantificación, la logística, el almacenamiento, el transporte y la distribución son relevantes y críticos para el éxito global del proyecto.</w:t>
      </w:r>
    </w:p>
    <w:p w14:paraId="75CBDEF9"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2935DE02"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En estos casos, es importante analizar cada paso de la GCS, e identificar roles, responsabilidades, infraestructuras existentes, posibles cuellos de botella y las medidas que deben tomarse.</w:t>
      </w:r>
    </w:p>
    <w:p w14:paraId="1292CDC4"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p>
    <w:p w14:paraId="24ECA648"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Los ejemplos incluyen lo siguiente:</w:t>
      </w:r>
    </w:p>
    <w:p w14:paraId="25B3D5F9" w14:textId="77777777" w:rsidR="00850D4E" w:rsidRPr="00850D4E" w:rsidRDefault="00850D4E" w:rsidP="00850D4E">
      <w:pPr>
        <w:numPr>
          <w:ilvl w:val="0"/>
          <w:numId w:val="18"/>
        </w:numPr>
        <w:shd w:val="clear" w:color="auto" w:fill="FFFFFF"/>
        <w:spacing w:before="100" w:beforeAutospacing="1" w:after="100" w:afterAutospacing="1" w:line="240"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Gestión del inventario </w:t>
      </w:r>
    </w:p>
    <w:p w14:paraId="7F2485AC" w14:textId="77777777" w:rsidR="00850D4E" w:rsidRPr="00CE64FA" w:rsidRDefault="00850D4E" w:rsidP="00CE64FA">
      <w:pPr>
        <w:pStyle w:val="ListParagraph"/>
        <w:numPr>
          <w:ilvl w:val="1"/>
          <w:numId w:val="18"/>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¿Hay suficiente espacio de almacenamiento disponible en todos los niveles de la cadena de distribución (central/regional/distrito)? </w:t>
      </w:r>
    </w:p>
    <w:p w14:paraId="37291DFB" w14:textId="77777777" w:rsidR="00850D4E" w:rsidRPr="00CE64FA" w:rsidRDefault="00850D4E" w:rsidP="00CE64FA">
      <w:pPr>
        <w:pStyle w:val="ListParagraph"/>
        <w:numPr>
          <w:ilvl w:val="1"/>
          <w:numId w:val="18"/>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Proporcionar estimaciones del espacio total de almacenamiento que existe. Si no hay espacio suficiente, indicar la solución alternativa. </w:t>
      </w:r>
    </w:p>
    <w:p w14:paraId="3F7001D2" w14:textId="77777777" w:rsidR="00850D4E" w:rsidRPr="00CE64FA" w:rsidRDefault="00850D4E" w:rsidP="00CE64FA">
      <w:pPr>
        <w:pStyle w:val="ListParagraph"/>
        <w:numPr>
          <w:ilvl w:val="1"/>
          <w:numId w:val="18"/>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¿Hay algún artículo que requiera condiciones especiales de almacenamiento? </w:t>
      </w:r>
    </w:p>
    <w:p w14:paraId="4702B4BF" w14:textId="77777777" w:rsidR="00850D4E" w:rsidRPr="00CE64FA" w:rsidRDefault="00850D4E" w:rsidP="00CE64FA">
      <w:pPr>
        <w:pStyle w:val="ListParagraph"/>
        <w:numPr>
          <w:ilvl w:val="1"/>
          <w:numId w:val="18"/>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¿Cuáles son las condiciones de seguridad? ¿De qué manera se tratarían los artículos sensibles? </w:t>
      </w:r>
    </w:p>
    <w:p w14:paraId="4DDCECF6" w14:textId="77777777" w:rsidR="00850D4E" w:rsidRPr="00CE64FA" w:rsidRDefault="00850D4E" w:rsidP="00CE64FA">
      <w:pPr>
        <w:pStyle w:val="ListParagraph"/>
        <w:numPr>
          <w:ilvl w:val="1"/>
          <w:numId w:val="18"/>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¿Quién es responsable de la cobertura contra robo, daños, etc.? </w:t>
      </w:r>
    </w:p>
    <w:p w14:paraId="2F7B7096" w14:textId="77777777" w:rsidR="00850D4E" w:rsidRPr="00CE64FA" w:rsidRDefault="00850D4E" w:rsidP="00CE64FA">
      <w:pPr>
        <w:pStyle w:val="ListParagraph"/>
        <w:numPr>
          <w:ilvl w:val="1"/>
          <w:numId w:val="18"/>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¿Existe algún sistema de gestión del inventario? </w:t>
      </w:r>
    </w:p>
    <w:p w14:paraId="2D9AEE74" w14:textId="77777777" w:rsidR="00850D4E" w:rsidRPr="00CE64FA" w:rsidRDefault="00850D4E" w:rsidP="00CE64FA">
      <w:pPr>
        <w:pStyle w:val="ListParagraph"/>
        <w:numPr>
          <w:ilvl w:val="1"/>
          <w:numId w:val="18"/>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¿Existe un proceso y un procedimiento claros para la recepción de bienes?</w:t>
      </w:r>
    </w:p>
    <w:p w14:paraId="2BBAA851" w14:textId="77777777" w:rsidR="00850D4E" w:rsidRPr="00850D4E" w:rsidRDefault="00850D4E" w:rsidP="00850D4E">
      <w:pPr>
        <w:numPr>
          <w:ilvl w:val="0"/>
          <w:numId w:val="18"/>
        </w:numPr>
        <w:shd w:val="clear" w:color="auto" w:fill="FFFFFF"/>
        <w:spacing w:before="100" w:beforeAutospacing="1" w:after="100" w:afterAutospacing="1" w:line="240" w:lineRule="auto"/>
        <w:ind w:left="1134"/>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Distribución </w:t>
      </w:r>
    </w:p>
    <w:p w14:paraId="32D7EC8A" w14:textId="77777777" w:rsidR="00850D4E" w:rsidRPr="00CE64FA" w:rsidRDefault="00850D4E" w:rsidP="00CE64FA">
      <w:pPr>
        <w:pStyle w:val="ListParagraph"/>
        <w:numPr>
          <w:ilvl w:val="1"/>
          <w:numId w:val="18"/>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¿A cuántos puntos aproximadamente se distribuyen los productos? Distinguir los diferentes puntos de distribución; por ejemplo, almacenamiento central, almacenamiento regional y almacenamiento en el lugar de ejecución. </w:t>
      </w:r>
    </w:p>
    <w:p w14:paraId="209A3E0E" w14:textId="77777777" w:rsidR="00850D4E" w:rsidRPr="00CE64FA" w:rsidRDefault="00850D4E" w:rsidP="00CE64FA">
      <w:pPr>
        <w:pStyle w:val="ListParagraph"/>
        <w:numPr>
          <w:ilvl w:val="1"/>
          <w:numId w:val="18"/>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lastRenderedPageBreak/>
        <w:t xml:space="preserve">¿Existe algún desafío significativo en la distribución a los emplazamientos (p. ej., falta de carreteras, zonas de conflicto, distancias muy grandes, lluvias estacionales, etc.)? </w:t>
      </w:r>
    </w:p>
    <w:p w14:paraId="584B6358" w14:textId="77777777" w:rsidR="00850D4E" w:rsidRPr="00CE64FA" w:rsidRDefault="00850D4E" w:rsidP="00CE64FA">
      <w:pPr>
        <w:pStyle w:val="ListParagraph"/>
        <w:numPr>
          <w:ilvl w:val="1"/>
          <w:numId w:val="18"/>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¿Cuáles son los plazos estimados de distribución de las ubicaciones centrales a las regionales y de las ubicaciones regionales a los Lugares de ejecución? </w:t>
      </w:r>
    </w:p>
    <w:p w14:paraId="5F2F1304" w14:textId="77777777" w:rsidR="00850D4E" w:rsidRPr="00CE64FA" w:rsidRDefault="00850D4E" w:rsidP="00CE64FA">
      <w:pPr>
        <w:pStyle w:val="ListParagraph"/>
        <w:numPr>
          <w:ilvl w:val="1"/>
          <w:numId w:val="18"/>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 xml:space="preserve">¿Se utilizará un sistema </w:t>
      </w:r>
      <w:proofErr w:type="spellStart"/>
      <w:r w:rsidRPr="00CE64FA">
        <w:rPr>
          <w:rFonts w:ascii="Calibri" w:eastAsia="MS Mincho" w:hAnsi="Calibri" w:cs="Times New Roman"/>
          <w:i/>
          <w:kern w:val="0"/>
          <w:sz w:val="22"/>
          <w:szCs w:val="22"/>
          <w:lang w:val="es-ES" w:eastAsia="es-ES" w:bidi="es-ES"/>
          <w14:ligatures w14:val="none"/>
        </w:rPr>
        <w:t>pull</w:t>
      </w:r>
      <w:proofErr w:type="spellEnd"/>
      <w:r w:rsidRPr="00CE64FA">
        <w:rPr>
          <w:rFonts w:ascii="Calibri" w:eastAsia="MS Mincho" w:hAnsi="Calibri" w:cs="Times New Roman"/>
          <w:kern w:val="0"/>
          <w:sz w:val="22"/>
          <w:szCs w:val="22"/>
          <w:lang w:val="es-ES" w:eastAsia="es-ES" w:bidi="es-ES"/>
          <w14:ligatures w14:val="none"/>
        </w:rPr>
        <w:t xml:space="preserve"> (impulsado por la demanda) o </w:t>
      </w:r>
      <w:proofErr w:type="spellStart"/>
      <w:r w:rsidRPr="00CE64FA">
        <w:rPr>
          <w:rFonts w:ascii="Calibri" w:eastAsia="MS Mincho" w:hAnsi="Calibri" w:cs="Times New Roman"/>
          <w:i/>
          <w:kern w:val="0"/>
          <w:sz w:val="22"/>
          <w:szCs w:val="22"/>
          <w:lang w:val="es-ES" w:eastAsia="es-ES" w:bidi="es-ES"/>
          <w14:ligatures w14:val="none"/>
        </w:rPr>
        <w:t>push</w:t>
      </w:r>
      <w:proofErr w:type="spellEnd"/>
      <w:r w:rsidRPr="00CE64FA">
        <w:rPr>
          <w:rFonts w:ascii="Calibri" w:eastAsia="MS Mincho" w:hAnsi="Calibri" w:cs="Times New Roman"/>
          <w:kern w:val="0"/>
          <w:sz w:val="22"/>
          <w:szCs w:val="22"/>
          <w:lang w:val="es-ES" w:eastAsia="es-ES" w:bidi="es-ES"/>
          <w14:ligatures w14:val="none"/>
        </w:rPr>
        <w:t xml:space="preserve"> (impulsado por órdenes de trabajo planificadas)? </w:t>
      </w:r>
    </w:p>
    <w:p w14:paraId="2BF95772" w14:textId="77777777" w:rsidR="00850D4E" w:rsidRPr="00CE64FA" w:rsidRDefault="00850D4E" w:rsidP="00CE64FA">
      <w:pPr>
        <w:pStyle w:val="ListParagraph"/>
        <w:numPr>
          <w:ilvl w:val="1"/>
          <w:numId w:val="18"/>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es-ES" w:bidi="es-ES"/>
          <w14:ligatures w14:val="none"/>
        </w:rPr>
      </w:pPr>
      <w:r w:rsidRPr="00CE64FA">
        <w:rPr>
          <w:rFonts w:ascii="Calibri" w:eastAsia="MS Mincho" w:hAnsi="Calibri" w:cs="Times New Roman"/>
          <w:kern w:val="0"/>
          <w:sz w:val="22"/>
          <w:szCs w:val="22"/>
          <w:lang w:val="es-ES" w:eastAsia="es-ES" w:bidi="es-ES"/>
          <w14:ligatures w14:val="none"/>
        </w:rPr>
        <w:t>¿Quién es responsable de los riesgos que se corren durante la distribución? Si es el PNUD, ¿existe un seguro?</w:t>
      </w:r>
    </w:p>
    <w:p w14:paraId="179C85D6"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Calibri"/>
          <w:b/>
          <w:kern w:val="0"/>
          <w:sz w:val="22"/>
          <w:szCs w:val="22"/>
          <w:lang w:val="es-ES" w:eastAsia="es-ES" w:bidi="es-ES"/>
          <w14:ligatures w14:val="none"/>
        </w:rPr>
        <w:t>PLAN TRANSACCIONAL DE ADQUISICIONES</w:t>
      </w:r>
    </w:p>
    <w:p w14:paraId="6AC718EA" w14:textId="77777777" w:rsidR="00850D4E" w:rsidRPr="00850D4E" w:rsidRDefault="00850D4E" w:rsidP="00850D4E">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es-ES" w:bidi="es-ES"/>
          <w14:ligatures w14:val="none"/>
        </w:rPr>
      </w:pPr>
    </w:p>
    <w:p w14:paraId="7313AF5B" w14:textId="77777777" w:rsidR="00850D4E" w:rsidRPr="00850D4E" w:rsidRDefault="00850D4E" w:rsidP="00850D4E">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Basándose en el Plan de Pedidos el personal del proyecto y el personal de adquisiciones procederán a desarrollar un </w:t>
      </w:r>
      <w:r w:rsidRPr="00850D4E">
        <w:rPr>
          <w:rFonts w:ascii="Calibri" w:eastAsia="MS Mincho" w:hAnsi="Calibri" w:cs="Times New Roman"/>
          <w:b/>
          <w:kern w:val="0"/>
          <w:sz w:val="22"/>
          <w:szCs w:val="22"/>
          <w:lang w:val="es-ES" w:eastAsia="es-ES" w:bidi="es-ES"/>
          <w14:ligatures w14:val="none"/>
        </w:rPr>
        <w:t>Plan de Adquisiciones en Quantum</w:t>
      </w:r>
      <w:r w:rsidRPr="00850D4E">
        <w:rPr>
          <w:rFonts w:ascii="Calibri" w:eastAsia="MS Mincho" w:hAnsi="Calibri" w:cs="Times New Roman"/>
          <w:kern w:val="0"/>
          <w:sz w:val="22"/>
          <w:szCs w:val="22"/>
          <w:lang w:val="es-ES" w:eastAsia="es-ES" w:bidi="es-ES"/>
          <w14:ligatures w14:val="none"/>
        </w:rPr>
        <w:t>.</w:t>
      </w:r>
    </w:p>
    <w:p w14:paraId="553B3B0E" w14:textId="77777777" w:rsidR="00850D4E" w:rsidRPr="00850D4E" w:rsidRDefault="00850D4E" w:rsidP="00850D4E">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es-ES" w:bidi="es-ES"/>
          <w14:ligatures w14:val="none"/>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850D4E" w:rsidRPr="00850D4E" w14:paraId="79D9997B" w14:textId="77777777" w:rsidTr="00FA0166">
        <w:tc>
          <w:tcPr>
            <w:tcW w:w="5000" w:type="pct"/>
            <w:tcBorders>
              <w:top w:val="nil"/>
              <w:left w:val="nil"/>
              <w:bottom w:val="nil"/>
              <w:right w:val="nil"/>
            </w:tcBorders>
            <w:tcMar>
              <w:top w:w="15" w:type="dxa"/>
              <w:left w:w="15" w:type="dxa"/>
              <w:bottom w:w="15" w:type="dxa"/>
              <w:right w:w="15" w:type="dxa"/>
            </w:tcMar>
            <w:vAlign w:val="center"/>
            <w:hideMark/>
          </w:tcPr>
          <w:p w14:paraId="5C5571CF" w14:textId="77777777" w:rsidR="00850D4E" w:rsidRPr="00850D4E" w:rsidRDefault="00850D4E" w:rsidP="00850D4E">
            <w:pPr>
              <w:numPr>
                <w:ilvl w:val="0"/>
                <w:numId w:val="20"/>
              </w:numPr>
              <w:spacing w:after="0" w:line="240" w:lineRule="auto"/>
              <w:contextualSpacing/>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Calibri"/>
                <w:kern w:val="0"/>
                <w:sz w:val="22"/>
                <w:szCs w:val="22"/>
                <w:u w:val="single"/>
                <w:lang w:val="es-ES" w:eastAsia="es-ES" w:bidi="es-ES"/>
                <w14:ligatures w14:val="none"/>
              </w:rPr>
              <w:t>Todos los Planes de Pedidos para adquisiciones significativas deben convertirse en un Plan de Adquisiciones.</w:t>
            </w:r>
          </w:p>
          <w:p w14:paraId="54FBF75A" w14:textId="77777777" w:rsidR="00850D4E" w:rsidRPr="00850D4E" w:rsidRDefault="00850D4E" w:rsidP="00850D4E">
            <w:pPr>
              <w:spacing w:after="0" w:line="240" w:lineRule="auto"/>
              <w:jc w:val="both"/>
              <w:rPr>
                <w:rFonts w:ascii="Calibri" w:eastAsia="Times New Roman" w:hAnsi="Calibri" w:cs="Calibri"/>
                <w:kern w:val="0"/>
                <w:sz w:val="22"/>
                <w:szCs w:val="22"/>
                <w:lang w:val="es-ES" w:eastAsia="es-ES" w:bidi="es-ES"/>
                <w14:ligatures w14:val="none"/>
              </w:rPr>
            </w:pPr>
          </w:p>
          <w:p w14:paraId="614D19C6" w14:textId="77777777" w:rsidR="00850D4E" w:rsidRPr="00850D4E" w:rsidRDefault="00850D4E" w:rsidP="00850D4E">
            <w:pPr>
              <w:numPr>
                <w:ilvl w:val="0"/>
                <w:numId w:val="20"/>
              </w:numPr>
              <w:spacing w:after="0" w:line="240" w:lineRule="auto"/>
              <w:contextualSpacing/>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Al desarrollar Planes de Adquisiciones Consolidados o Individuales, es importante tener en cuenta cualquier acuerdo existente a largo plazo o de otro tipo. La información mínima incluida en el plan de adquisiciones debe ser la siguiente:</w:t>
            </w:r>
          </w:p>
          <w:p w14:paraId="65E2B837" w14:textId="77777777" w:rsidR="00850D4E" w:rsidRPr="00850D4E" w:rsidRDefault="00850D4E" w:rsidP="00850D4E">
            <w:pPr>
              <w:numPr>
                <w:ilvl w:val="0"/>
                <w:numId w:val="19"/>
              </w:numPr>
              <w:tabs>
                <w:tab w:val="num" w:pos="1261"/>
              </w:tabs>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Tipo de bienes/servicios/obras que deben proporcionarse </w:t>
            </w:r>
          </w:p>
          <w:p w14:paraId="45C1F66A" w14:textId="77777777" w:rsidR="00850D4E" w:rsidRPr="00850D4E" w:rsidRDefault="00850D4E" w:rsidP="00850D4E">
            <w:pPr>
              <w:numPr>
                <w:ilvl w:val="0"/>
                <w:numId w:val="19"/>
              </w:numPr>
              <w:tabs>
                <w:tab w:val="num" w:pos="1261"/>
              </w:tabs>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Método de adquisición </w:t>
            </w:r>
          </w:p>
          <w:p w14:paraId="3D171195" w14:textId="77777777" w:rsidR="00850D4E" w:rsidRPr="00850D4E" w:rsidRDefault="00850D4E" w:rsidP="00850D4E">
            <w:pPr>
              <w:numPr>
                <w:ilvl w:val="0"/>
                <w:numId w:val="19"/>
              </w:numPr>
              <w:tabs>
                <w:tab w:val="num" w:pos="1261"/>
              </w:tabs>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Costo estimado (unitario y total) </w:t>
            </w:r>
          </w:p>
          <w:p w14:paraId="390A4923" w14:textId="77777777" w:rsidR="00850D4E" w:rsidRPr="00850D4E" w:rsidRDefault="00850D4E" w:rsidP="00850D4E">
            <w:pPr>
              <w:numPr>
                <w:ilvl w:val="0"/>
                <w:numId w:val="19"/>
              </w:numPr>
              <w:tabs>
                <w:tab w:val="num" w:pos="1261"/>
              </w:tabs>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Fecha prevista para la finalización de las especificaciones/</w:t>
            </w:r>
            <w:proofErr w:type="spellStart"/>
            <w:r w:rsidRPr="00850D4E">
              <w:rPr>
                <w:rFonts w:ascii="Calibri" w:eastAsia="MS Mincho" w:hAnsi="Calibri" w:cs="Times New Roman"/>
                <w:kern w:val="0"/>
                <w:sz w:val="22"/>
                <w:szCs w:val="22"/>
                <w:lang w:val="es-ES" w:eastAsia="es-ES" w:bidi="es-ES"/>
                <w14:ligatures w14:val="none"/>
              </w:rPr>
              <w:t>TdR</w:t>
            </w:r>
            <w:proofErr w:type="spellEnd"/>
            <w:r w:rsidRPr="00850D4E">
              <w:rPr>
                <w:rFonts w:ascii="Calibri" w:eastAsia="MS Mincho" w:hAnsi="Calibri" w:cs="Times New Roman"/>
                <w:kern w:val="0"/>
                <w:sz w:val="22"/>
                <w:szCs w:val="22"/>
                <w:lang w:val="es-ES" w:eastAsia="es-ES" w:bidi="es-ES"/>
                <w14:ligatures w14:val="none"/>
              </w:rPr>
              <w:t xml:space="preserve">/SOW </w:t>
            </w:r>
          </w:p>
          <w:p w14:paraId="5AA48C8B" w14:textId="77777777" w:rsidR="00850D4E" w:rsidRPr="00850D4E" w:rsidRDefault="00850D4E" w:rsidP="00850D4E">
            <w:pPr>
              <w:numPr>
                <w:ilvl w:val="0"/>
                <w:numId w:val="19"/>
              </w:numPr>
              <w:tabs>
                <w:tab w:val="num" w:pos="1261"/>
              </w:tabs>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Período de selección de proveedores </w:t>
            </w:r>
          </w:p>
          <w:p w14:paraId="75B09F9D" w14:textId="77777777" w:rsidR="00850D4E" w:rsidRPr="00850D4E" w:rsidRDefault="00850D4E" w:rsidP="00850D4E">
            <w:pPr>
              <w:numPr>
                <w:ilvl w:val="0"/>
                <w:numId w:val="19"/>
              </w:numPr>
              <w:tabs>
                <w:tab w:val="num" w:pos="1261"/>
              </w:tabs>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Período de licitación </w:t>
            </w:r>
          </w:p>
          <w:p w14:paraId="13E83230" w14:textId="77777777" w:rsidR="00850D4E" w:rsidRPr="00850D4E" w:rsidRDefault="00850D4E" w:rsidP="00850D4E">
            <w:pPr>
              <w:numPr>
                <w:ilvl w:val="0"/>
                <w:numId w:val="19"/>
              </w:numPr>
              <w:tabs>
                <w:tab w:val="num" w:pos="1261"/>
              </w:tabs>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Período de evaluación </w:t>
            </w:r>
          </w:p>
          <w:p w14:paraId="4DDA217F" w14:textId="77777777" w:rsidR="00850D4E" w:rsidRPr="00850D4E" w:rsidRDefault="00850D4E" w:rsidP="00850D4E">
            <w:pPr>
              <w:numPr>
                <w:ilvl w:val="0"/>
                <w:numId w:val="19"/>
              </w:numPr>
              <w:tabs>
                <w:tab w:val="num" w:pos="1261"/>
              </w:tabs>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xml:space="preserve">Adjudicación (CAP [Contratos, Activos y Adquisiciones o ACP [Comité Consultivo sobre Adquisiciones] si corresponde) </w:t>
            </w:r>
          </w:p>
          <w:p w14:paraId="4443D89B" w14:textId="77777777" w:rsidR="00850D4E" w:rsidRPr="00850D4E" w:rsidRDefault="00850D4E" w:rsidP="00850D4E">
            <w:pPr>
              <w:numPr>
                <w:ilvl w:val="0"/>
                <w:numId w:val="19"/>
              </w:numPr>
              <w:tabs>
                <w:tab w:val="num" w:pos="1261"/>
              </w:tabs>
              <w:spacing w:after="0" w:line="240" w:lineRule="auto"/>
              <w:ind w:left="1261"/>
              <w:jc w:val="both"/>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Plazo de entrega</w:t>
            </w:r>
          </w:p>
        </w:tc>
      </w:tr>
    </w:tbl>
    <w:p w14:paraId="2BE20875" w14:textId="77777777" w:rsidR="00850D4E" w:rsidRPr="00850D4E" w:rsidRDefault="00850D4E" w:rsidP="00850D4E">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850D4E">
        <w:rPr>
          <w:rFonts w:ascii="Calibri" w:eastAsia="MS Mincho" w:hAnsi="Calibri" w:cs="Times New Roman"/>
          <w:kern w:val="0"/>
          <w:sz w:val="22"/>
          <w:szCs w:val="22"/>
          <w:lang w:val="es-ES" w:eastAsia="es-ES" w:bidi="es-ES"/>
          <w14:ligatures w14:val="none"/>
        </w:rPr>
        <w:t> </w:t>
      </w:r>
      <w:bookmarkStart w:id="0" w:name="TemplatesForms"/>
      <w:bookmarkEnd w:id="0"/>
      <w:r w:rsidRPr="00850D4E">
        <w:rPr>
          <w:rFonts w:ascii="Calibri" w:eastAsia="MS Mincho" w:hAnsi="Calibri" w:cs="Calibri"/>
          <w:vanish/>
          <w:kern w:val="0"/>
          <w:sz w:val="22"/>
          <w:szCs w:val="22"/>
          <w:lang w:val="es-ES" w:eastAsia="es-ES" w:bidi="es-ES"/>
          <w14:ligatures w14:val="none"/>
        </w:rPr>
        <w:t>Structure Element - Templates and Forms</w:t>
      </w:r>
    </w:p>
    <w:p w14:paraId="196B4540" w14:textId="77777777" w:rsidR="00850D4E" w:rsidRPr="00850D4E" w:rsidRDefault="00850D4E" w:rsidP="00850D4E">
      <w:pPr>
        <w:spacing w:line="259" w:lineRule="auto"/>
        <w:jc w:val="both"/>
        <w:rPr>
          <w:rFonts w:ascii="Calibri" w:eastAsia="MS Mincho" w:hAnsi="Calibri" w:cs="Calibri"/>
          <w:kern w:val="0"/>
          <w:sz w:val="22"/>
          <w:szCs w:val="22"/>
          <w:lang w:val="es-ES" w:eastAsia="es-ES" w:bidi="es-ES"/>
          <w14:ligatures w14:val="none"/>
        </w:rPr>
      </w:pPr>
    </w:p>
    <w:p w14:paraId="56B28E6D" w14:textId="77777777" w:rsidR="00850D4E" w:rsidRPr="0040094B" w:rsidRDefault="00850D4E" w:rsidP="00850D4E">
      <w:pPr>
        <w:shd w:val="clear" w:color="auto" w:fill="FFFFFF"/>
        <w:spacing w:after="0" w:line="240" w:lineRule="auto"/>
        <w:jc w:val="center"/>
        <w:textAlignment w:val="top"/>
        <w:rPr>
          <w:rFonts w:ascii="Calibri" w:eastAsia="Calibri" w:hAnsi="Calibri" w:cs="Times New Roman"/>
          <w:i/>
          <w:iCs/>
          <w:kern w:val="0"/>
          <w:sz w:val="22"/>
          <w:szCs w:val="22"/>
          <w:lang w:val="es-ES" w:eastAsia="es-ES" w:bidi="es-ES"/>
          <w14:ligatures w14:val="none"/>
        </w:rPr>
      </w:pPr>
    </w:p>
    <w:p w14:paraId="1B0EBD92" w14:textId="77777777" w:rsidR="00850D4E" w:rsidRPr="00C26DC6" w:rsidRDefault="00850D4E" w:rsidP="00850D4E">
      <w:pPr>
        <w:shd w:val="clear" w:color="auto" w:fill="FFFFFF"/>
        <w:spacing w:after="0" w:line="240" w:lineRule="auto"/>
        <w:rPr>
          <w:rFonts w:ascii="Calibri" w:eastAsia="Times New Roman" w:hAnsi="Calibri" w:cs="Times New Roman"/>
          <w:color w:val="201F1E"/>
          <w:kern w:val="0"/>
          <w:sz w:val="22"/>
          <w:szCs w:val="22"/>
          <w14:ligatures w14:val="none"/>
        </w:rPr>
      </w:pPr>
      <w:r w:rsidRPr="00C26DC6">
        <w:rPr>
          <w:rFonts w:ascii="Calibri" w:eastAsia="Times New Roman" w:hAnsi="Calibri" w:cs="Times New Roman"/>
          <w:b/>
          <w:bCs/>
          <w:i/>
          <w:iCs/>
          <w:color w:val="000000"/>
          <w:kern w:val="0"/>
          <w:sz w:val="22"/>
          <w:szCs w:val="22"/>
          <w:bdr w:val="none" w:sz="0" w:space="0" w:color="auto" w:frame="1"/>
          <w14:ligatures w14:val="none"/>
        </w:rPr>
        <w:t>Disclaimer:</w:t>
      </w:r>
      <w:r w:rsidRPr="00C26DC6">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1F8B58F1" w14:textId="77777777" w:rsidR="00850D4E" w:rsidRPr="00C26DC6" w:rsidRDefault="00850D4E" w:rsidP="00850D4E">
      <w:pPr>
        <w:shd w:val="clear" w:color="auto" w:fill="FFFFFF"/>
        <w:spacing w:after="0" w:line="240" w:lineRule="auto"/>
        <w:rPr>
          <w:rFonts w:ascii="Calibri" w:eastAsia="Times New Roman" w:hAnsi="Calibri" w:cs="Times New Roman"/>
          <w:color w:val="201F1E"/>
          <w:kern w:val="0"/>
          <w:sz w:val="22"/>
          <w:szCs w:val="22"/>
          <w14:ligatures w14:val="none"/>
        </w:rPr>
      </w:pPr>
      <w:r w:rsidRPr="00C26DC6">
        <w:rPr>
          <w:rFonts w:ascii="Calibri" w:eastAsia="Times New Roman" w:hAnsi="Calibri" w:cs="Times New Roman"/>
          <w:i/>
          <w:iCs/>
          <w:color w:val="000000"/>
          <w:kern w:val="0"/>
          <w:sz w:val="22"/>
          <w:szCs w:val="22"/>
          <w:bdr w:val="none" w:sz="0" w:space="0" w:color="auto" w:frame="1"/>
          <w14:ligatures w14:val="none"/>
        </w:rPr>
        <w:t> </w:t>
      </w:r>
    </w:p>
    <w:p w14:paraId="3F36ED44" w14:textId="6D5F0D2C" w:rsidR="00DA504D" w:rsidRPr="00CE64FA" w:rsidRDefault="00850D4E" w:rsidP="00CE64FA">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C26DC6">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C26DC6">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C26DC6">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r w:rsidRPr="0040094B">
        <w:rPr>
          <w:rFonts w:ascii="Calibri" w:eastAsia="Calibri" w:hAnsi="Calibri" w:cs="Times New Roman"/>
          <w:kern w:val="0"/>
          <w:sz w:val="22"/>
          <w:szCs w:val="22"/>
          <w:lang w:val="es-ES" w:eastAsia="es-ES" w:bidi="es-ES"/>
          <w14:ligatures w14:val="none"/>
        </w:rPr>
        <w:t> </w:t>
      </w:r>
    </w:p>
    <w:sectPr w:rsidR="00DA504D" w:rsidRPr="00CE64FA" w:rsidSect="00CE64FA">
      <w:headerReference w:type="default" r:id="rId10"/>
      <w:footerReference w:type="default" r:id="rId11"/>
      <w:pgSz w:w="12240" w:h="15840"/>
      <w:pgMar w:top="169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1A847" w14:textId="77777777" w:rsidR="00910F68" w:rsidRDefault="00910F68" w:rsidP="00850D4E">
      <w:pPr>
        <w:spacing w:after="0" w:line="240" w:lineRule="auto"/>
      </w:pPr>
      <w:r>
        <w:separator/>
      </w:r>
    </w:p>
  </w:endnote>
  <w:endnote w:type="continuationSeparator" w:id="0">
    <w:p w14:paraId="33CDB52A" w14:textId="77777777" w:rsidR="00910F68" w:rsidRDefault="00910F68" w:rsidP="00850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1A2AF" w14:textId="7656EBF7" w:rsidR="00850D4E" w:rsidRPr="00CE64FA" w:rsidRDefault="00850D4E">
    <w:pPr>
      <w:pStyle w:val="Footer"/>
      <w:rPr>
        <w:rFonts w:ascii="Calibri" w:hAnsi="Calibri" w:cs="Calibri"/>
        <w:sz w:val="22"/>
        <w:szCs w:val="22"/>
      </w:rPr>
    </w:pPr>
    <w:r w:rsidRPr="00CE64FA">
      <w:rPr>
        <w:rFonts w:ascii="Calibri" w:hAnsi="Calibri" w:cs="Calibri"/>
        <w:sz w:val="22"/>
        <w:szCs w:val="22"/>
      </w:rPr>
      <w:t xml:space="preserve">Página </w:t>
    </w:r>
    <w:r w:rsidRPr="00CE64FA">
      <w:rPr>
        <w:rFonts w:ascii="Calibri" w:hAnsi="Calibri" w:cs="Calibri"/>
        <w:b/>
        <w:bCs/>
        <w:sz w:val="22"/>
        <w:szCs w:val="22"/>
      </w:rPr>
      <w:fldChar w:fldCharType="begin"/>
    </w:r>
    <w:r w:rsidRPr="00CE64FA">
      <w:rPr>
        <w:rFonts w:ascii="Calibri" w:hAnsi="Calibri" w:cs="Calibri"/>
        <w:b/>
        <w:bCs/>
        <w:sz w:val="22"/>
        <w:szCs w:val="22"/>
      </w:rPr>
      <w:instrText>PAGE  \* Arabic  \* MERGEFORMAT</w:instrText>
    </w:r>
    <w:r w:rsidRPr="00CE64FA">
      <w:rPr>
        <w:rFonts w:ascii="Calibri" w:hAnsi="Calibri" w:cs="Calibri"/>
        <w:b/>
        <w:bCs/>
        <w:sz w:val="22"/>
        <w:szCs w:val="22"/>
      </w:rPr>
      <w:fldChar w:fldCharType="separate"/>
    </w:r>
    <w:r w:rsidRPr="00CE64FA">
      <w:rPr>
        <w:rFonts w:ascii="Calibri" w:hAnsi="Calibri" w:cs="Calibri"/>
        <w:b/>
        <w:bCs/>
        <w:noProof/>
        <w:sz w:val="22"/>
        <w:szCs w:val="22"/>
      </w:rPr>
      <w:t>8</w:t>
    </w:r>
    <w:r w:rsidRPr="00CE64FA">
      <w:rPr>
        <w:rFonts w:ascii="Calibri" w:hAnsi="Calibri" w:cs="Calibri"/>
        <w:b/>
        <w:bCs/>
        <w:sz w:val="22"/>
        <w:szCs w:val="22"/>
      </w:rPr>
      <w:fldChar w:fldCharType="end"/>
    </w:r>
    <w:r w:rsidRPr="00CE64FA">
      <w:rPr>
        <w:rFonts w:ascii="Calibri" w:hAnsi="Calibri" w:cs="Calibri"/>
        <w:sz w:val="22"/>
        <w:szCs w:val="22"/>
      </w:rPr>
      <w:t xml:space="preserve"> de </w:t>
    </w:r>
    <w:r w:rsidRPr="00CE64FA">
      <w:rPr>
        <w:rFonts w:ascii="Calibri" w:hAnsi="Calibri" w:cs="Calibri"/>
        <w:b/>
        <w:bCs/>
        <w:sz w:val="22"/>
        <w:szCs w:val="22"/>
      </w:rPr>
      <w:fldChar w:fldCharType="begin"/>
    </w:r>
    <w:r w:rsidRPr="00CE64FA">
      <w:rPr>
        <w:rFonts w:ascii="Calibri" w:hAnsi="Calibri" w:cs="Calibri"/>
        <w:b/>
        <w:bCs/>
        <w:sz w:val="22"/>
        <w:szCs w:val="22"/>
      </w:rPr>
      <w:instrText>NUMPAGES  \* Arabic  \* MERGEFORMAT</w:instrText>
    </w:r>
    <w:r w:rsidRPr="00CE64FA">
      <w:rPr>
        <w:rFonts w:ascii="Calibri" w:hAnsi="Calibri" w:cs="Calibri"/>
        <w:b/>
        <w:bCs/>
        <w:sz w:val="22"/>
        <w:szCs w:val="22"/>
      </w:rPr>
      <w:fldChar w:fldCharType="separate"/>
    </w:r>
    <w:r w:rsidRPr="00CE64FA">
      <w:rPr>
        <w:rFonts w:ascii="Calibri" w:hAnsi="Calibri" w:cs="Calibri"/>
        <w:b/>
        <w:bCs/>
        <w:noProof/>
        <w:sz w:val="22"/>
        <w:szCs w:val="22"/>
      </w:rPr>
      <w:t>16</w:t>
    </w:r>
    <w:r w:rsidRPr="00CE64FA">
      <w:rPr>
        <w:rFonts w:ascii="Calibri" w:hAnsi="Calibri" w:cs="Calibri"/>
        <w:b/>
        <w:bCs/>
        <w:sz w:val="22"/>
        <w:szCs w:val="22"/>
      </w:rPr>
      <w:fldChar w:fldCharType="end"/>
    </w:r>
    <w:r w:rsidRPr="00CE64FA">
      <w:rPr>
        <w:rFonts w:ascii="Calibri" w:hAnsi="Calibri" w:cs="Calibri"/>
        <w:sz w:val="22"/>
        <w:szCs w:val="22"/>
      </w:rPr>
      <w:ptab w:relativeTo="margin" w:alignment="center" w:leader="none"/>
    </w:r>
    <w:proofErr w:type="spellStart"/>
    <w:r w:rsidRPr="00CE64FA">
      <w:rPr>
        <w:rFonts w:ascii="Calibri" w:hAnsi="Calibri" w:cs="Calibri"/>
        <w:sz w:val="22"/>
        <w:szCs w:val="22"/>
      </w:rPr>
      <w:t>Fecha</w:t>
    </w:r>
    <w:proofErr w:type="spellEnd"/>
    <w:r w:rsidRPr="00CE64FA">
      <w:rPr>
        <w:rFonts w:ascii="Calibri" w:hAnsi="Calibri" w:cs="Calibri"/>
        <w:sz w:val="22"/>
        <w:szCs w:val="22"/>
      </w:rPr>
      <w:t xml:space="preserve"> de entrada </w:t>
    </w:r>
    <w:proofErr w:type="spellStart"/>
    <w:r w:rsidRPr="00CE64FA">
      <w:rPr>
        <w:rFonts w:ascii="Calibri" w:hAnsi="Calibri" w:cs="Calibri"/>
        <w:sz w:val="22"/>
        <w:szCs w:val="22"/>
      </w:rPr>
      <w:t>en</w:t>
    </w:r>
    <w:proofErr w:type="spellEnd"/>
    <w:r w:rsidRPr="00CE64FA">
      <w:rPr>
        <w:rFonts w:ascii="Calibri" w:hAnsi="Calibri" w:cs="Calibri"/>
        <w:sz w:val="22"/>
        <w:szCs w:val="22"/>
      </w:rPr>
      <w:t xml:space="preserve"> vigor: </w:t>
    </w:r>
    <w:sdt>
      <w:sdtPr>
        <w:rPr>
          <w:rFonts w:ascii="Calibri" w:hAnsi="Calibri" w:cs="Calibri"/>
          <w:sz w:val="22"/>
          <w:szCs w:val="22"/>
        </w:rPr>
        <w:alias w:val="Effective Date"/>
        <w:tag w:val="UNDP_POPP_EFFECTIVEDATE"/>
        <w:id w:val="-101314439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86256408-C0F4-4B60-9277-E6413E01ACF4}"/>
        <w:date w:fullDate="2022-04-29T00:00:00Z">
          <w:dateFormat w:val="M/d/yyyy"/>
          <w:lid w:val="en-US"/>
          <w:storeMappedDataAs w:val="dateTime"/>
          <w:calendar w:val="gregorian"/>
        </w:date>
      </w:sdtPr>
      <w:sdtContent>
        <w:r w:rsidR="00277D44" w:rsidRPr="00CE64FA">
          <w:rPr>
            <w:rFonts w:ascii="Calibri" w:hAnsi="Calibri" w:cs="Calibri"/>
            <w:sz w:val="22"/>
            <w:szCs w:val="22"/>
          </w:rPr>
          <w:t>4/29/2022</w:t>
        </w:r>
      </w:sdtContent>
    </w:sdt>
    <w:r w:rsidRPr="00CE64FA">
      <w:rPr>
        <w:rFonts w:ascii="Calibri" w:hAnsi="Calibri" w:cs="Calibri"/>
        <w:sz w:val="22"/>
        <w:szCs w:val="22"/>
      </w:rPr>
      <w:ptab w:relativeTo="margin" w:alignment="right" w:leader="none"/>
    </w:r>
    <w:proofErr w:type="spellStart"/>
    <w:r w:rsidRPr="00CE64FA">
      <w:rPr>
        <w:rFonts w:ascii="Calibri" w:hAnsi="Calibri" w:cs="Calibri"/>
        <w:sz w:val="22"/>
        <w:szCs w:val="22"/>
      </w:rPr>
      <w:t>Versión</w:t>
    </w:r>
    <w:proofErr w:type="spellEnd"/>
    <w:r w:rsidRPr="00CE64FA">
      <w:rPr>
        <w:rFonts w:ascii="Calibri" w:hAnsi="Calibri" w:cs="Calibri"/>
        <w:sz w:val="22"/>
        <w:szCs w:val="22"/>
      </w:rPr>
      <w:t xml:space="preserve"> </w:t>
    </w:r>
    <w:r>
      <w:rPr>
        <w:rFonts w:ascii="Calibri" w:hAnsi="Calibri" w:cs="Calibri"/>
        <w:sz w:val="22"/>
        <w:szCs w:val="22"/>
      </w:rPr>
      <w:t>#</w:t>
    </w:r>
    <w:r w:rsidRPr="00CE64FA">
      <w:rPr>
        <w:rFonts w:ascii="Calibri" w:hAnsi="Calibri" w:cs="Calibri"/>
        <w:sz w:val="22"/>
        <w:szCs w:val="22"/>
      </w:rPr>
      <w:t>: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216E4" w14:textId="77777777" w:rsidR="00910F68" w:rsidRDefault="00910F68" w:rsidP="00850D4E">
      <w:pPr>
        <w:spacing w:after="0" w:line="240" w:lineRule="auto"/>
      </w:pPr>
      <w:r>
        <w:separator/>
      </w:r>
    </w:p>
  </w:footnote>
  <w:footnote w:type="continuationSeparator" w:id="0">
    <w:p w14:paraId="1E91D2B5" w14:textId="77777777" w:rsidR="00910F68" w:rsidRDefault="00910F68" w:rsidP="00850D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D2188" w14:textId="7C8011E4" w:rsidR="00850D4E" w:rsidRDefault="00850D4E" w:rsidP="00732B17">
    <w:pPr>
      <w:pStyle w:val="Header"/>
      <w:jc w:val="right"/>
    </w:pPr>
    <w:r>
      <w:rPr>
        <w:noProof/>
      </w:rPr>
      <w:drawing>
        <wp:anchor distT="0" distB="0" distL="114300" distR="114300" simplePos="0" relativeHeight="251659264" behindDoc="0" locked="0" layoutInCell="1" allowOverlap="1" wp14:anchorId="1F6CE525" wp14:editId="1C6384D8">
          <wp:simplePos x="0" y="0"/>
          <wp:positionH relativeFrom="margin">
            <wp:posOffset>5688330</wp:posOffset>
          </wp:positionH>
          <wp:positionV relativeFrom="paragraph">
            <wp:posOffset>-96520</wp:posOffset>
          </wp:positionV>
          <wp:extent cx="283210" cy="553085"/>
          <wp:effectExtent l="0" t="0" r="2540" b="0"/>
          <wp:wrapNone/>
          <wp:docPr id="2112773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001C3374" w14:textId="3C7A5E08" w:rsidR="00850D4E" w:rsidRDefault="00850D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119A"/>
    <w:multiLevelType w:val="hybridMultilevel"/>
    <w:tmpl w:val="D1320A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02D6E"/>
    <w:multiLevelType w:val="multilevel"/>
    <w:tmpl w:val="1E60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74020"/>
    <w:multiLevelType w:val="multilevel"/>
    <w:tmpl w:val="BBDE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31D6E"/>
    <w:multiLevelType w:val="multilevel"/>
    <w:tmpl w:val="89FC2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E3605"/>
    <w:multiLevelType w:val="multilevel"/>
    <w:tmpl w:val="2480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25630"/>
    <w:multiLevelType w:val="multilevel"/>
    <w:tmpl w:val="54A6F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4C3E9C"/>
    <w:multiLevelType w:val="multilevel"/>
    <w:tmpl w:val="44CC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70283E"/>
    <w:multiLevelType w:val="multilevel"/>
    <w:tmpl w:val="3728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C90DA6"/>
    <w:multiLevelType w:val="multilevel"/>
    <w:tmpl w:val="BC40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752F0"/>
    <w:multiLevelType w:val="multilevel"/>
    <w:tmpl w:val="F860309A"/>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A94E8B"/>
    <w:multiLevelType w:val="hybridMultilevel"/>
    <w:tmpl w:val="DDC46074"/>
    <w:lvl w:ilvl="0" w:tplc="04090001">
      <w:start w:val="1"/>
      <w:numFmt w:val="bullet"/>
      <w:lvlText w:val=""/>
      <w:lvlJc w:val="left"/>
      <w:pPr>
        <w:ind w:left="1134" w:hanging="360"/>
      </w:pPr>
      <w:rPr>
        <w:rFonts w:ascii="Symbol" w:hAnsi="Symbol"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11" w15:restartNumberingAfterBreak="0">
    <w:nsid w:val="1D020971"/>
    <w:multiLevelType w:val="hybridMultilevel"/>
    <w:tmpl w:val="C5B2E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4E186F"/>
    <w:multiLevelType w:val="multilevel"/>
    <w:tmpl w:val="18C6B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9B4682"/>
    <w:multiLevelType w:val="multilevel"/>
    <w:tmpl w:val="67A8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94778D"/>
    <w:multiLevelType w:val="multilevel"/>
    <w:tmpl w:val="556C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9A36A7"/>
    <w:multiLevelType w:val="multilevel"/>
    <w:tmpl w:val="D70C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344FDD"/>
    <w:multiLevelType w:val="hybridMultilevel"/>
    <w:tmpl w:val="52D4D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60730A"/>
    <w:multiLevelType w:val="multilevel"/>
    <w:tmpl w:val="2190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3E271F"/>
    <w:multiLevelType w:val="multilevel"/>
    <w:tmpl w:val="36B8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625211"/>
    <w:multiLevelType w:val="multilevel"/>
    <w:tmpl w:val="5208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A35F3F"/>
    <w:multiLevelType w:val="hybridMultilevel"/>
    <w:tmpl w:val="4AF2A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B96D35"/>
    <w:multiLevelType w:val="multilevel"/>
    <w:tmpl w:val="B132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D52EE7"/>
    <w:multiLevelType w:val="multilevel"/>
    <w:tmpl w:val="FB7ED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CB019E"/>
    <w:multiLevelType w:val="multilevel"/>
    <w:tmpl w:val="95A0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4881654">
    <w:abstractNumId w:val="13"/>
  </w:num>
  <w:num w:numId="2" w16cid:durableId="871724736">
    <w:abstractNumId w:val="23"/>
  </w:num>
  <w:num w:numId="3" w16cid:durableId="968322503">
    <w:abstractNumId w:val="18"/>
  </w:num>
  <w:num w:numId="4" w16cid:durableId="120733489">
    <w:abstractNumId w:val="3"/>
  </w:num>
  <w:num w:numId="5" w16cid:durableId="468135973">
    <w:abstractNumId w:val="14"/>
  </w:num>
  <w:num w:numId="6" w16cid:durableId="83646564">
    <w:abstractNumId w:val="8"/>
  </w:num>
  <w:num w:numId="7" w16cid:durableId="2103721027">
    <w:abstractNumId w:val="15"/>
  </w:num>
  <w:num w:numId="8" w16cid:durableId="139344647">
    <w:abstractNumId w:val="12"/>
  </w:num>
  <w:num w:numId="9" w16cid:durableId="422453135">
    <w:abstractNumId w:val="19"/>
  </w:num>
  <w:num w:numId="10" w16cid:durableId="733628667">
    <w:abstractNumId w:val="2"/>
  </w:num>
  <w:num w:numId="11" w16cid:durableId="72777041">
    <w:abstractNumId w:val="17"/>
  </w:num>
  <w:num w:numId="12" w16cid:durableId="160779796">
    <w:abstractNumId w:val="22"/>
  </w:num>
  <w:num w:numId="13" w16cid:durableId="765687132">
    <w:abstractNumId w:val="6"/>
  </w:num>
  <w:num w:numId="14" w16cid:durableId="934753647">
    <w:abstractNumId w:val="21"/>
  </w:num>
  <w:num w:numId="15" w16cid:durableId="666130661">
    <w:abstractNumId w:val="9"/>
  </w:num>
  <w:num w:numId="16" w16cid:durableId="411777573">
    <w:abstractNumId w:val="4"/>
  </w:num>
  <w:num w:numId="17" w16cid:durableId="1486387137">
    <w:abstractNumId w:val="1"/>
  </w:num>
  <w:num w:numId="18" w16cid:durableId="1808621870">
    <w:abstractNumId w:val="5"/>
  </w:num>
  <w:num w:numId="19" w16cid:durableId="1931155355">
    <w:abstractNumId w:val="7"/>
  </w:num>
  <w:num w:numId="20" w16cid:durableId="2118985347">
    <w:abstractNumId w:val="20"/>
  </w:num>
  <w:num w:numId="21" w16cid:durableId="498039447">
    <w:abstractNumId w:val="10"/>
  </w:num>
  <w:num w:numId="22" w16cid:durableId="2018651376">
    <w:abstractNumId w:val="11"/>
  </w:num>
  <w:num w:numId="23" w16cid:durableId="855315167">
    <w:abstractNumId w:val="16"/>
  </w:num>
  <w:num w:numId="24" w16cid:durableId="98331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D4E"/>
    <w:rsid w:val="00277D44"/>
    <w:rsid w:val="00352B3E"/>
    <w:rsid w:val="006D7206"/>
    <w:rsid w:val="00702C06"/>
    <w:rsid w:val="00850D4E"/>
    <w:rsid w:val="00910F68"/>
    <w:rsid w:val="009A533E"/>
    <w:rsid w:val="00C61B9D"/>
    <w:rsid w:val="00CE64FA"/>
    <w:rsid w:val="00D4384B"/>
    <w:rsid w:val="00DA504D"/>
    <w:rsid w:val="00DF1DF5"/>
    <w:rsid w:val="00E62DC6"/>
    <w:rsid w:val="00F04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B736F"/>
  <w15:chartTrackingRefBased/>
  <w15:docId w15:val="{C1EAE000-0AC2-436F-94B4-1CD21C730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D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0D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D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D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D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D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D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D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D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D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D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D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D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D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D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D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D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D4E"/>
    <w:rPr>
      <w:rFonts w:eastAsiaTheme="majorEastAsia" w:cstheme="majorBidi"/>
      <w:color w:val="272727" w:themeColor="text1" w:themeTint="D8"/>
    </w:rPr>
  </w:style>
  <w:style w:type="paragraph" w:styleId="Title">
    <w:name w:val="Title"/>
    <w:basedOn w:val="Normal"/>
    <w:next w:val="Normal"/>
    <w:link w:val="TitleChar"/>
    <w:uiPriority w:val="10"/>
    <w:qFormat/>
    <w:rsid w:val="00850D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D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D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D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D4E"/>
    <w:pPr>
      <w:spacing w:before="160"/>
      <w:jc w:val="center"/>
    </w:pPr>
    <w:rPr>
      <w:i/>
      <w:iCs/>
      <w:color w:val="404040" w:themeColor="text1" w:themeTint="BF"/>
    </w:rPr>
  </w:style>
  <w:style w:type="character" w:customStyle="1" w:styleId="QuoteChar">
    <w:name w:val="Quote Char"/>
    <w:basedOn w:val="DefaultParagraphFont"/>
    <w:link w:val="Quote"/>
    <w:uiPriority w:val="29"/>
    <w:rsid w:val="00850D4E"/>
    <w:rPr>
      <w:i/>
      <w:iCs/>
      <w:color w:val="404040" w:themeColor="text1" w:themeTint="BF"/>
    </w:rPr>
  </w:style>
  <w:style w:type="paragraph" w:styleId="ListParagraph">
    <w:name w:val="List Paragraph"/>
    <w:basedOn w:val="Normal"/>
    <w:uiPriority w:val="34"/>
    <w:qFormat/>
    <w:rsid w:val="00850D4E"/>
    <w:pPr>
      <w:ind w:left="720"/>
      <w:contextualSpacing/>
    </w:pPr>
  </w:style>
  <w:style w:type="character" w:styleId="IntenseEmphasis">
    <w:name w:val="Intense Emphasis"/>
    <w:basedOn w:val="DefaultParagraphFont"/>
    <w:uiPriority w:val="21"/>
    <w:qFormat/>
    <w:rsid w:val="00850D4E"/>
    <w:rPr>
      <w:i/>
      <w:iCs/>
      <w:color w:val="0F4761" w:themeColor="accent1" w:themeShade="BF"/>
    </w:rPr>
  </w:style>
  <w:style w:type="paragraph" w:styleId="IntenseQuote">
    <w:name w:val="Intense Quote"/>
    <w:basedOn w:val="Normal"/>
    <w:next w:val="Normal"/>
    <w:link w:val="IntenseQuoteChar"/>
    <w:uiPriority w:val="30"/>
    <w:qFormat/>
    <w:rsid w:val="00850D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D4E"/>
    <w:rPr>
      <w:i/>
      <w:iCs/>
      <w:color w:val="0F4761" w:themeColor="accent1" w:themeShade="BF"/>
    </w:rPr>
  </w:style>
  <w:style w:type="character" w:styleId="IntenseReference">
    <w:name w:val="Intense Reference"/>
    <w:basedOn w:val="DefaultParagraphFont"/>
    <w:uiPriority w:val="32"/>
    <w:qFormat/>
    <w:rsid w:val="00850D4E"/>
    <w:rPr>
      <w:b/>
      <w:bCs/>
      <w:smallCaps/>
      <w:color w:val="0F4761" w:themeColor="accent1" w:themeShade="BF"/>
      <w:spacing w:val="5"/>
    </w:rPr>
  </w:style>
  <w:style w:type="paragraph" w:styleId="Header">
    <w:name w:val="header"/>
    <w:basedOn w:val="Normal"/>
    <w:link w:val="HeaderChar"/>
    <w:uiPriority w:val="99"/>
    <w:unhideWhenUsed/>
    <w:rsid w:val="00850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D4E"/>
  </w:style>
  <w:style w:type="paragraph" w:styleId="Footer">
    <w:name w:val="footer"/>
    <w:basedOn w:val="Normal"/>
    <w:link w:val="FooterChar"/>
    <w:uiPriority w:val="99"/>
    <w:unhideWhenUsed/>
    <w:rsid w:val="00850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D4E"/>
  </w:style>
  <w:style w:type="paragraph" w:styleId="Revision">
    <w:name w:val="Revision"/>
    <w:hidden/>
    <w:uiPriority w:val="99"/>
    <w:semiHidden/>
    <w:rsid w:val="00850D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es/node/107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pp.undp.org/es/accountability/gestion-de-riesg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15</Pages>
  <Words>4711</Words>
  <Characters>26855</Characters>
  <Application>Microsoft Office Word</Application>
  <DocSecurity>0</DocSecurity>
  <Lines>223</Lines>
  <Paragraphs>63</Paragraphs>
  <ScaleCrop>false</ScaleCrop>
  <Company/>
  <LinksUpToDate>false</LinksUpToDate>
  <CharactersWithSpaces>31503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16</cp:revision>
  <dcterms:created xsi:type="dcterms:W3CDTF">2026-05-12T23:08:00Z</dcterms:created>
  <dcterms:modified xsi:type="dcterms:W3CDTF">2026-05-12T23:19:00Z</dcterms:modified>
</cp:coreProperties>
</file>