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AABD" w14:textId="013E20D6" w:rsidR="00463F76" w:rsidRDefault="00FA5766">
      <w:pPr>
        <w:pStyle w:val="BodyText"/>
        <w:ind w:left="8263"/>
        <w:rPr>
          <w:rFonts w:ascii="Times New Roman"/>
          <w:sz w:val="20"/>
        </w:rPr>
      </w:pPr>
      <w:r>
        <w:rPr>
          <w:noProof/>
        </w:rPr>
        <w:drawing>
          <wp:inline distT="0" distB="0" distL="0" distR="0" wp14:anchorId="477E5841" wp14:editId="550C9D64">
            <wp:extent cx="294640" cy="589280"/>
            <wp:effectExtent l="0" t="0" r="0" b="127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p w14:paraId="5188AABE" w14:textId="77777777" w:rsidR="00463F76" w:rsidRDefault="00463F76">
      <w:pPr>
        <w:pStyle w:val="BodyText"/>
        <w:rPr>
          <w:rFonts w:ascii="Times New Roman"/>
          <w:sz w:val="20"/>
        </w:rPr>
      </w:pPr>
    </w:p>
    <w:p w14:paraId="5188AABF" w14:textId="77777777" w:rsidR="00463F76" w:rsidRDefault="00463F76">
      <w:pPr>
        <w:pStyle w:val="BodyText"/>
        <w:rPr>
          <w:rFonts w:ascii="Times New Roman"/>
          <w:sz w:val="20"/>
        </w:rPr>
      </w:pPr>
    </w:p>
    <w:p w14:paraId="5188AAC0" w14:textId="77777777" w:rsidR="00463F76" w:rsidRDefault="00463F76">
      <w:pPr>
        <w:pStyle w:val="BodyText"/>
        <w:rPr>
          <w:rFonts w:ascii="Times New Roman"/>
          <w:sz w:val="20"/>
        </w:rPr>
      </w:pPr>
    </w:p>
    <w:p w14:paraId="5188AAC1" w14:textId="77777777" w:rsidR="00463F76" w:rsidRDefault="000A0C36">
      <w:pPr>
        <w:spacing w:before="278" w:line="338" w:lineRule="auto"/>
        <w:ind w:left="1656" w:right="1652"/>
        <w:jc w:val="center"/>
        <w:rPr>
          <w:b/>
          <w:sz w:val="48"/>
        </w:rPr>
      </w:pPr>
      <w:r>
        <w:rPr>
          <w:b/>
          <w:color w:val="2D74B5"/>
          <w:sz w:val="48"/>
        </w:rPr>
        <w:t>UNDP Quality Assurance Policy for Health Products</w:t>
      </w:r>
    </w:p>
    <w:p w14:paraId="5188AAC2" w14:textId="77777777" w:rsidR="00463F76" w:rsidRDefault="000A0C36">
      <w:pPr>
        <w:spacing w:before="2"/>
        <w:ind w:left="1656" w:right="1605"/>
        <w:jc w:val="center"/>
        <w:rPr>
          <w:b/>
          <w:sz w:val="24"/>
        </w:rPr>
      </w:pPr>
      <w:r>
        <w:rPr>
          <w:b/>
          <w:color w:val="2D74B5"/>
          <w:sz w:val="24"/>
        </w:rPr>
        <w:t>2 July 2018</w:t>
      </w:r>
    </w:p>
    <w:p w14:paraId="5188AAC3" w14:textId="77777777" w:rsidR="00463F76" w:rsidRDefault="00463F76">
      <w:pPr>
        <w:jc w:val="center"/>
        <w:rPr>
          <w:sz w:val="24"/>
        </w:rPr>
        <w:sectPr w:rsidR="00463F76">
          <w:footerReference w:type="default" r:id="rId13"/>
          <w:type w:val="continuous"/>
          <w:pgSz w:w="11900" w:h="16840"/>
          <w:pgMar w:top="1420" w:right="1200" w:bottom="940" w:left="1200" w:header="720" w:footer="752" w:gutter="0"/>
          <w:pgNumType w:start="1"/>
          <w:cols w:space="720"/>
        </w:sectPr>
      </w:pPr>
    </w:p>
    <w:p w14:paraId="5188AAC4" w14:textId="77777777" w:rsidR="00463F76" w:rsidRDefault="000A0C36">
      <w:pPr>
        <w:pStyle w:val="Heading1"/>
      </w:pPr>
      <w:r>
        <w:rPr>
          <w:color w:val="2D74B5"/>
        </w:rPr>
        <w:lastRenderedPageBreak/>
        <w:t>Abbreviations and acronyms</w:t>
      </w:r>
    </w:p>
    <w:p w14:paraId="5188AAC5" w14:textId="77777777" w:rsidR="00463F76" w:rsidRDefault="00463F76">
      <w:pPr>
        <w:pStyle w:val="BodyText"/>
        <w:spacing w:after="1"/>
      </w:pPr>
    </w:p>
    <w:tbl>
      <w:tblPr>
        <w:tblW w:w="0" w:type="auto"/>
        <w:tblInd w:w="133" w:type="dxa"/>
        <w:tblLayout w:type="fixed"/>
        <w:tblCellMar>
          <w:left w:w="0" w:type="dxa"/>
          <w:right w:w="0" w:type="dxa"/>
        </w:tblCellMar>
        <w:tblLook w:val="01E0" w:firstRow="1" w:lastRow="1" w:firstColumn="1" w:lastColumn="1" w:noHBand="0" w:noVBand="0"/>
      </w:tblPr>
      <w:tblGrid>
        <w:gridCol w:w="2121"/>
        <w:gridCol w:w="6637"/>
      </w:tblGrid>
      <w:tr w:rsidR="00463F76" w14:paraId="5188AACA" w14:textId="77777777">
        <w:trPr>
          <w:trHeight w:val="804"/>
        </w:trPr>
        <w:tc>
          <w:tcPr>
            <w:tcW w:w="2121" w:type="dxa"/>
          </w:tcPr>
          <w:p w14:paraId="5188AAC6" w14:textId="77777777" w:rsidR="00463F76" w:rsidRDefault="000A0C36">
            <w:pPr>
              <w:pStyle w:val="TableParagraph"/>
              <w:spacing w:line="240" w:lineRule="auto"/>
              <w:ind w:left="200" w:right="1466"/>
              <w:rPr>
                <w:b/>
              </w:rPr>
            </w:pPr>
            <w:r>
              <w:rPr>
                <w:b/>
              </w:rPr>
              <w:t>AIDS BMS</w:t>
            </w:r>
          </w:p>
          <w:p w14:paraId="5188AAC7" w14:textId="77777777" w:rsidR="00463F76" w:rsidRDefault="000A0C36">
            <w:pPr>
              <w:pStyle w:val="TableParagraph"/>
              <w:spacing w:line="248" w:lineRule="exact"/>
              <w:ind w:left="200"/>
              <w:rPr>
                <w:b/>
              </w:rPr>
            </w:pPr>
            <w:r>
              <w:rPr>
                <w:b/>
              </w:rPr>
              <w:t>BP</w:t>
            </w:r>
          </w:p>
        </w:tc>
        <w:tc>
          <w:tcPr>
            <w:tcW w:w="6637" w:type="dxa"/>
          </w:tcPr>
          <w:p w14:paraId="5188AAC8" w14:textId="77777777" w:rsidR="00463F76" w:rsidRDefault="000A0C36">
            <w:pPr>
              <w:pStyle w:val="TableParagraph"/>
              <w:spacing w:line="240" w:lineRule="auto"/>
              <w:ind w:right="2649"/>
            </w:pPr>
            <w:r>
              <w:t>Acquired immunodeficiency syndrome Bureau of Management Services (UNDP)</w:t>
            </w:r>
          </w:p>
          <w:p w14:paraId="5188AAC9" w14:textId="77777777" w:rsidR="00463F76" w:rsidRDefault="000A0C36">
            <w:pPr>
              <w:pStyle w:val="TableParagraph"/>
              <w:spacing w:line="248" w:lineRule="exact"/>
            </w:pPr>
            <w:r>
              <w:t>British Pharmacopoeia</w:t>
            </w:r>
          </w:p>
        </w:tc>
      </w:tr>
      <w:tr w:rsidR="00463F76" w14:paraId="5188AACE" w14:textId="77777777">
        <w:trPr>
          <w:trHeight w:val="540"/>
        </w:trPr>
        <w:tc>
          <w:tcPr>
            <w:tcW w:w="2121" w:type="dxa"/>
          </w:tcPr>
          <w:p w14:paraId="5188AACB" w14:textId="77777777" w:rsidR="00463F76" w:rsidRDefault="000A0C36">
            <w:pPr>
              <w:pStyle w:val="TableParagraph"/>
              <w:spacing w:line="240" w:lineRule="auto"/>
              <w:ind w:left="200"/>
              <w:rPr>
                <w:b/>
              </w:rPr>
            </w:pPr>
            <w:r>
              <w:rPr>
                <w:b/>
              </w:rPr>
              <w:t>BPPS-HHD</w:t>
            </w:r>
          </w:p>
        </w:tc>
        <w:tc>
          <w:tcPr>
            <w:tcW w:w="6637" w:type="dxa"/>
          </w:tcPr>
          <w:p w14:paraId="5188AACC" w14:textId="77777777" w:rsidR="00463F76" w:rsidRDefault="000A0C36">
            <w:pPr>
              <w:pStyle w:val="TableParagraph"/>
              <w:spacing w:line="240" w:lineRule="auto"/>
            </w:pPr>
            <w:r>
              <w:t xml:space="preserve">Bureau for Policy and </w:t>
            </w:r>
            <w:proofErr w:type="spellStart"/>
            <w:r>
              <w:t>Programme</w:t>
            </w:r>
            <w:proofErr w:type="spellEnd"/>
            <w:r>
              <w:t xml:space="preserve"> Support – HIV, Health and</w:t>
            </w:r>
          </w:p>
          <w:p w14:paraId="5188AACD" w14:textId="77777777" w:rsidR="00463F76" w:rsidRDefault="000A0C36">
            <w:pPr>
              <w:pStyle w:val="TableParagraph"/>
              <w:spacing w:before="2"/>
            </w:pPr>
            <w:r>
              <w:t>Development Group (UNDP)</w:t>
            </w:r>
          </w:p>
        </w:tc>
      </w:tr>
      <w:tr w:rsidR="00463F76" w14:paraId="5188AAD1" w14:textId="77777777">
        <w:trPr>
          <w:trHeight w:val="267"/>
        </w:trPr>
        <w:tc>
          <w:tcPr>
            <w:tcW w:w="2121" w:type="dxa"/>
          </w:tcPr>
          <w:p w14:paraId="5188AACF" w14:textId="77777777" w:rsidR="00463F76" w:rsidRDefault="000A0C36">
            <w:pPr>
              <w:pStyle w:val="TableParagraph"/>
              <w:spacing w:line="247" w:lineRule="exact"/>
              <w:ind w:left="200"/>
              <w:rPr>
                <w:b/>
              </w:rPr>
            </w:pPr>
            <w:r>
              <w:rPr>
                <w:b/>
              </w:rPr>
              <w:t>CAB</w:t>
            </w:r>
          </w:p>
        </w:tc>
        <w:tc>
          <w:tcPr>
            <w:tcW w:w="6637" w:type="dxa"/>
          </w:tcPr>
          <w:p w14:paraId="5188AAD0" w14:textId="77777777" w:rsidR="00463F76" w:rsidRDefault="000A0C36">
            <w:pPr>
              <w:pStyle w:val="TableParagraph"/>
              <w:spacing w:line="247" w:lineRule="exact"/>
            </w:pPr>
            <w:r>
              <w:t>Conformity Assessment Body</w:t>
            </w:r>
          </w:p>
        </w:tc>
      </w:tr>
      <w:tr w:rsidR="00463F76" w14:paraId="5188AAD4" w14:textId="77777777">
        <w:trPr>
          <w:trHeight w:val="267"/>
        </w:trPr>
        <w:tc>
          <w:tcPr>
            <w:tcW w:w="2121" w:type="dxa"/>
          </w:tcPr>
          <w:p w14:paraId="5188AAD2" w14:textId="77777777" w:rsidR="00463F76" w:rsidRDefault="000A0C36">
            <w:pPr>
              <w:pStyle w:val="TableParagraph"/>
              <w:spacing w:line="248" w:lineRule="exact"/>
              <w:ind w:left="200"/>
              <w:rPr>
                <w:b/>
              </w:rPr>
            </w:pPr>
            <w:r>
              <w:rPr>
                <w:b/>
              </w:rPr>
              <w:t>EMA</w:t>
            </w:r>
          </w:p>
        </w:tc>
        <w:tc>
          <w:tcPr>
            <w:tcW w:w="6637" w:type="dxa"/>
          </w:tcPr>
          <w:p w14:paraId="5188AAD3" w14:textId="77777777" w:rsidR="00463F76" w:rsidRDefault="000A0C36">
            <w:pPr>
              <w:pStyle w:val="TableParagraph"/>
              <w:spacing w:line="248" w:lineRule="exact"/>
            </w:pPr>
            <w:r>
              <w:t>European Medicines Agency</w:t>
            </w:r>
          </w:p>
        </w:tc>
      </w:tr>
      <w:tr w:rsidR="00463F76" w14:paraId="5188AAD7" w14:textId="77777777">
        <w:trPr>
          <w:trHeight w:val="270"/>
        </w:trPr>
        <w:tc>
          <w:tcPr>
            <w:tcW w:w="2121" w:type="dxa"/>
          </w:tcPr>
          <w:p w14:paraId="5188AAD5" w14:textId="77777777" w:rsidR="00463F76" w:rsidRDefault="000A0C36">
            <w:pPr>
              <w:pStyle w:val="TableParagraph"/>
              <w:spacing w:line="250" w:lineRule="exact"/>
              <w:ind w:left="200"/>
              <w:rPr>
                <w:b/>
              </w:rPr>
            </w:pPr>
            <w:r>
              <w:rPr>
                <w:b/>
              </w:rPr>
              <w:t>EML</w:t>
            </w:r>
          </w:p>
        </w:tc>
        <w:tc>
          <w:tcPr>
            <w:tcW w:w="6637" w:type="dxa"/>
          </w:tcPr>
          <w:p w14:paraId="5188AAD6" w14:textId="77777777" w:rsidR="00463F76" w:rsidRDefault="000A0C36">
            <w:pPr>
              <w:pStyle w:val="TableParagraph"/>
              <w:spacing w:line="250" w:lineRule="exact"/>
            </w:pPr>
            <w:r>
              <w:t>Essential Medicines List</w:t>
            </w:r>
          </w:p>
        </w:tc>
      </w:tr>
      <w:tr w:rsidR="00463F76" w14:paraId="5188AADA" w14:textId="77777777">
        <w:trPr>
          <w:trHeight w:val="267"/>
        </w:trPr>
        <w:tc>
          <w:tcPr>
            <w:tcW w:w="2121" w:type="dxa"/>
          </w:tcPr>
          <w:p w14:paraId="5188AAD8" w14:textId="77777777" w:rsidR="00463F76" w:rsidRDefault="000A0C36">
            <w:pPr>
              <w:pStyle w:val="TableParagraph"/>
              <w:spacing w:before="1" w:line="247" w:lineRule="exact"/>
              <w:ind w:left="200"/>
              <w:rPr>
                <w:b/>
              </w:rPr>
            </w:pPr>
            <w:r>
              <w:rPr>
                <w:b/>
              </w:rPr>
              <w:t>EOI</w:t>
            </w:r>
          </w:p>
        </w:tc>
        <w:tc>
          <w:tcPr>
            <w:tcW w:w="6637" w:type="dxa"/>
          </w:tcPr>
          <w:p w14:paraId="5188AAD9" w14:textId="77777777" w:rsidR="00463F76" w:rsidRDefault="000A0C36">
            <w:pPr>
              <w:pStyle w:val="TableParagraph"/>
              <w:spacing w:before="1" w:line="247" w:lineRule="exact"/>
            </w:pPr>
            <w:r>
              <w:t>Expression of Interest</w:t>
            </w:r>
          </w:p>
        </w:tc>
      </w:tr>
      <w:tr w:rsidR="00463F76" w14:paraId="5188AADD" w14:textId="77777777">
        <w:trPr>
          <w:trHeight w:val="267"/>
        </w:trPr>
        <w:tc>
          <w:tcPr>
            <w:tcW w:w="2121" w:type="dxa"/>
          </w:tcPr>
          <w:p w14:paraId="5188AADB" w14:textId="77777777" w:rsidR="00463F76" w:rsidRDefault="000A0C36">
            <w:pPr>
              <w:pStyle w:val="TableParagraph"/>
              <w:spacing w:line="248" w:lineRule="exact"/>
              <w:ind w:left="200"/>
              <w:rPr>
                <w:b/>
              </w:rPr>
            </w:pPr>
            <w:r>
              <w:rPr>
                <w:b/>
              </w:rPr>
              <w:t>ERP</w:t>
            </w:r>
          </w:p>
        </w:tc>
        <w:tc>
          <w:tcPr>
            <w:tcW w:w="6637" w:type="dxa"/>
          </w:tcPr>
          <w:p w14:paraId="5188AADC" w14:textId="77777777" w:rsidR="00463F76" w:rsidRDefault="000A0C36">
            <w:pPr>
              <w:pStyle w:val="TableParagraph"/>
              <w:spacing w:line="248" w:lineRule="exact"/>
            </w:pPr>
            <w:r>
              <w:t>Expert Review Panel (WHO)</w:t>
            </w:r>
          </w:p>
        </w:tc>
      </w:tr>
      <w:tr w:rsidR="00463F76" w14:paraId="5188AAE0" w14:textId="77777777">
        <w:trPr>
          <w:trHeight w:val="269"/>
        </w:trPr>
        <w:tc>
          <w:tcPr>
            <w:tcW w:w="2121" w:type="dxa"/>
          </w:tcPr>
          <w:p w14:paraId="5188AADE" w14:textId="77777777" w:rsidR="00463F76" w:rsidRDefault="000A0C36">
            <w:pPr>
              <w:pStyle w:val="TableParagraph"/>
              <w:ind w:left="200"/>
              <w:rPr>
                <w:b/>
              </w:rPr>
            </w:pPr>
            <w:r>
              <w:rPr>
                <w:b/>
              </w:rPr>
              <w:t>FDA</w:t>
            </w:r>
          </w:p>
        </w:tc>
        <w:tc>
          <w:tcPr>
            <w:tcW w:w="6637" w:type="dxa"/>
          </w:tcPr>
          <w:p w14:paraId="5188AADF" w14:textId="77777777" w:rsidR="00463F76" w:rsidRDefault="000A0C36">
            <w:pPr>
              <w:pStyle w:val="TableParagraph"/>
            </w:pPr>
            <w:r>
              <w:t>Food and Drug Administration (United States NRA in this document)</w:t>
            </w:r>
          </w:p>
        </w:tc>
      </w:tr>
      <w:tr w:rsidR="00463F76" w14:paraId="5188AAE3" w14:textId="77777777">
        <w:trPr>
          <w:trHeight w:val="267"/>
        </w:trPr>
        <w:tc>
          <w:tcPr>
            <w:tcW w:w="2121" w:type="dxa"/>
          </w:tcPr>
          <w:p w14:paraId="5188AAE1" w14:textId="77777777" w:rsidR="00463F76" w:rsidRDefault="000A0C36">
            <w:pPr>
              <w:pStyle w:val="TableParagraph"/>
              <w:spacing w:line="247" w:lineRule="exact"/>
              <w:ind w:left="200"/>
              <w:rPr>
                <w:b/>
              </w:rPr>
            </w:pPr>
            <w:r>
              <w:rPr>
                <w:b/>
              </w:rPr>
              <w:t>FPP</w:t>
            </w:r>
          </w:p>
        </w:tc>
        <w:tc>
          <w:tcPr>
            <w:tcW w:w="6637" w:type="dxa"/>
          </w:tcPr>
          <w:p w14:paraId="5188AAE2" w14:textId="77777777" w:rsidR="00463F76" w:rsidRDefault="000A0C36">
            <w:pPr>
              <w:pStyle w:val="TableParagraph"/>
              <w:spacing w:line="247" w:lineRule="exact"/>
            </w:pPr>
            <w:r>
              <w:t>Finished Pharmaceutical Product</w:t>
            </w:r>
          </w:p>
        </w:tc>
      </w:tr>
      <w:tr w:rsidR="00463F76" w14:paraId="5188AAE6" w14:textId="77777777">
        <w:trPr>
          <w:trHeight w:val="267"/>
        </w:trPr>
        <w:tc>
          <w:tcPr>
            <w:tcW w:w="2121" w:type="dxa"/>
          </w:tcPr>
          <w:p w14:paraId="5188AAE4" w14:textId="77777777" w:rsidR="00463F76" w:rsidRDefault="000A0C36">
            <w:pPr>
              <w:pStyle w:val="TableParagraph"/>
              <w:spacing w:line="248" w:lineRule="exact"/>
              <w:ind w:left="200"/>
              <w:rPr>
                <w:b/>
              </w:rPr>
            </w:pPr>
            <w:r>
              <w:rPr>
                <w:b/>
              </w:rPr>
              <w:t>GDF</w:t>
            </w:r>
          </w:p>
        </w:tc>
        <w:tc>
          <w:tcPr>
            <w:tcW w:w="6637" w:type="dxa"/>
          </w:tcPr>
          <w:p w14:paraId="5188AAE5" w14:textId="77777777" w:rsidR="00463F76" w:rsidRDefault="000A0C36">
            <w:pPr>
              <w:pStyle w:val="TableParagraph"/>
              <w:spacing w:line="248" w:lineRule="exact"/>
            </w:pPr>
            <w:r>
              <w:t>Global Drug Facility</w:t>
            </w:r>
          </w:p>
        </w:tc>
      </w:tr>
      <w:tr w:rsidR="00463F76" w14:paraId="5188AAE9" w14:textId="77777777">
        <w:trPr>
          <w:trHeight w:val="270"/>
        </w:trPr>
        <w:tc>
          <w:tcPr>
            <w:tcW w:w="2121" w:type="dxa"/>
          </w:tcPr>
          <w:p w14:paraId="5188AAE7" w14:textId="77777777" w:rsidR="00463F76" w:rsidRDefault="000A0C36">
            <w:pPr>
              <w:pStyle w:val="TableParagraph"/>
              <w:ind w:left="200"/>
              <w:rPr>
                <w:b/>
              </w:rPr>
            </w:pPr>
            <w:r>
              <w:rPr>
                <w:b/>
              </w:rPr>
              <w:t>GDP</w:t>
            </w:r>
          </w:p>
        </w:tc>
        <w:tc>
          <w:tcPr>
            <w:tcW w:w="6637" w:type="dxa"/>
          </w:tcPr>
          <w:p w14:paraId="5188AAE8" w14:textId="77777777" w:rsidR="00463F76" w:rsidRDefault="000A0C36">
            <w:pPr>
              <w:pStyle w:val="TableParagraph"/>
            </w:pPr>
            <w:r>
              <w:t>Good Distribution Practices</w:t>
            </w:r>
          </w:p>
        </w:tc>
      </w:tr>
      <w:tr w:rsidR="00463F76" w14:paraId="5188AAEC" w14:textId="77777777">
        <w:trPr>
          <w:trHeight w:val="270"/>
        </w:trPr>
        <w:tc>
          <w:tcPr>
            <w:tcW w:w="2121" w:type="dxa"/>
          </w:tcPr>
          <w:p w14:paraId="5188AAEA" w14:textId="77777777" w:rsidR="00463F76" w:rsidRDefault="000A0C36">
            <w:pPr>
              <w:pStyle w:val="TableParagraph"/>
              <w:spacing w:before="1"/>
              <w:ind w:left="200"/>
              <w:rPr>
                <w:b/>
              </w:rPr>
            </w:pPr>
            <w:r>
              <w:rPr>
                <w:b/>
              </w:rPr>
              <w:t>GF</w:t>
            </w:r>
          </w:p>
        </w:tc>
        <w:tc>
          <w:tcPr>
            <w:tcW w:w="6637" w:type="dxa"/>
          </w:tcPr>
          <w:p w14:paraId="5188AAEB" w14:textId="77777777" w:rsidR="00463F76" w:rsidRDefault="000A0C36">
            <w:pPr>
              <w:pStyle w:val="TableParagraph"/>
              <w:spacing w:before="1"/>
            </w:pPr>
            <w:r>
              <w:t>Global Fund</w:t>
            </w:r>
          </w:p>
        </w:tc>
      </w:tr>
      <w:tr w:rsidR="00463F76" w14:paraId="5188AAEF" w14:textId="77777777">
        <w:trPr>
          <w:trHeight w:val="267"/>
        </w:trPr>
        <w:tc>
          <w:tcPr>
            <w:tcW w:w="2121" w:type="dxa"/>
          </w:tcPr>
          <w:p w14:paraId="5188AAED" w14:textId="77777777" w:rsidR="00463F76" w:rsidRDefault="000A0C36">
            <w:pPr>
              <w:pStyle w:val="TableParagraph"/>
              <w:spacing w:line="247" w:lineRule="exact"/>
              <w:ind w:left="200"/>
              <w:rPr>
                <w:b/>
              </w:rPr>
            </w:pPr>
            <w:r>
              <w:rPr>
                <w:b/>
              </w:rPr>
              <w:t>GF/HIST</w:t>
            </w:r>
          </w:p>
        </w:tc>
        <w:tc>
          <w:tcPr>
            <w:tcW w:w="6637" w:type="dxa"/>
          </w:tcPr>
          <w:p w14:paraId="5188AAEE" w14:textId="77777777" w:rsidR="00463F76" w:rsidRDefault="000A0C36">
            <w:pPr>
              <w:pStyle w:val="TableParagraph"/>
              <w:spacing w:line="247" w:lineRule="exact"/>
            </w:pPr>
            <w:r>
              <w:t>Global Fund/Health Implementation Support Team (UNDP)</w:t>
            </w:r>
          </w:p>
        </w:tc>
      </w:tr>
      <w:tr w:rsidR="00463F76" w14:paraId="5188AAF2" w14:textId="77777777">
        <w:trPr>
          <w:trHeight w:val="267"/>
        </w:trPr>
        <w:tc>
          <w:tcPr>
            <w:tcW w:w="2121" w:type="dxa"/>
          </w:tcPr>
          <w:p w14:paraId="5188AAF0" w14:textId="77777777" w:rsidR="00463F76" w:rsidRDefault="000A0C36">
            <w:pPr>
              <w:pStyle w:val="TableParagraph"/>
              <w:spacing w:line="248" w:lineRule="exact"/>
              <w:ind w:left="200"/>
              <w:rPr>
                <w:b/>
              </w:rPr>
            </w:pPr>
            <w:r>
              <w:rPr>
                <w:b/>
              </w:rPr>
              <w:t>GHTF</w:t>
            </w:r>
          </w:p>
        </w:tc>
        <w:tc>
          <w:tcPr>
            <w:tcW w:w="6637" w:type="dxa"/>
          </w:tcPr>
          <w:p w14:paraId="5188AAF1" w14:textId="77777777" w:rsidR="00463F76" w:rsidRDefault="000A0C36">
            <w:pPr>
              <w:pStyle w:val="TableParagraph"/>
              <w:spacing w:line="248" w:lineRule="exact"/>
            </w:pPr>
            <w:r>
              <w:t>Global Harmonization Task Force (on Medical Devices)</w:t>
            </w:r>
          </w:p>
        </w:tc>
      </w:tr>
      <w:tr w:rsidR="00463F76" w14:paraId="5188AAF5" w14:textId="77777777">
        <w:trPr>
          <w:trHeight w:val="270"/>
        </w:trPr>
        <w:tc>
          <w:tcPr>
            <w:tcW w:w="2121" w:type="dxa"/>
          </w:tcPr>
          <w:p w14:paraId="5188AAF3" w14:textId="77777777" w:rsidR="00463F76" w:rsidRDefault="000A0C36">
            <w:pPr>
              <w:pStyle w:val="TableParagraph"/>
              <w:ind w:left="200"/>
              <w:rPr>
                <w:b/>
              </w:rPr>
            </w:pPr>
            <w:r>
              <w:rPr>
                <w:b/>
              </w:rPr>
              <w:t>GMP</w:t>
            </w:r>
          </w:p>
        </w:tc>
        <w:tc>
          <w:tcPr>
            <w:tcW w:w="6637" w:type="dxa"/>
          </w:tcPr>
          <w:p w14:paraId="5188AAF4" w14:textId="77777777" w:rsidR="00463F76" w:rsidRDefault="000A0C36">
            <w:pPr>
              <w:pStyle w:val="TableParagraph"/>
            </w:pPr>
            <w:r>
              <w:t>Good Manufacturing Practices</w:t>
            </w:r>
          </w:p>
        </w:tc>
      </w:tr>
      <w:tr w:rsidR="00463F76" w14:paraId="5188AAF8" w14:textId="77777777">
        <w:trPr>
          <w:trHeight w:val="267"/>
        </w:trPr>
        <w:tc>
          <w:tcPr>
            <w:tcW w:w="2121" w:type="dxa"/>
          </w:tcPr>
          <w:p w14:paraId="5188AAF6" w14:textId="77777777" w:rsidR="00463F76" w:rsidRDefault="000A0C36">
            <w:pPr>
              <w:pStyle w:val="TableParagraph"/>
              <w:spacing w:line="247" w:lineRule="exact"/>
              <w:ind w:left="200"/>
              <w:rPr>
                <w:b/>
              </w:rPr>
            </w:pPr>
            <w:r>
              <w:rPr>
                <w:b/>
              </w:rPr>
              <w:t>HEALTH CANADA</w:t>
            </w:r>
          </w:p>
        </w:tc>
        <w:tc>
          <w:tcPr>
            <w:tcW w:w="6637" w:type="dxa"/>
          </w:tcPr>
          <w:p w14:paraId="5188AAF7" w14:textId="77777777" w:rsidR="00463F76" w:rsidRDefault="000A0C36">
            <w:pPr>
              <w:pStyle w:val="TableParagraph"/>
              <w:spacing w:line="247" w:lineRule="exact"/>
            </w:pPr>
            <w:r>
              <w:t>Canadian NRA</w:t>
            </w:r>
          </w:p>
        </w:tc>
      </w:tr>
      <w:tr w:rsidR="00463F76" w14:paraId="5188AAFD" w14:textId="77777777">
        <w:trPr>
          <w:trHeight w:val="537"/>
        </w:trPr>
        <w:tc>
          <w:tcPr>
            <w:tcW w:w="2121" w:type="dxa"/>
          </w:tcPr>
          <w:p w14:paraId="5188AAF9" w14:textId="77777777" w:rsidR="00463F76" w:rsidRDefault="000A0C36">
            <w:pPr>
              <w:pStyle w:val="TableParagraph"/>
              <w:spacing w:line="267" w:lineRule="exact"/>
              <w:ind w:left="200"/>
              <w:rPr>
                <w:b/>
              </w:rPr>
            </w:pPr>
            <w:r>
              <w:rPr>
                <w:b/>
              </w:rPr>
              <w:t>HIV</w:t>
            </w:r>
          </w:p>
          <w:p w14:paraId="5188AAFA" w14:textId="77777777" w:rsidR="00463F76" w:rsidRDefault="000A0C36">
            <w:pPr>
              <w:pStyle w:val="TableParagraph"/>
              <w:spacing w:before="2"/>
              <w:ind w:left="200"/>
              <w:rPr>
                <w:b/>
              </w:rPr>
            </w:pPr>
            <w:r>
              <w:rPr>
                <w:b/>
              </w:rPr>
              <w:t>IAPQ</w:t>
            </w:r>
          </w:p>
        </w:tc>
        <w:tc>
          <w:tcPr>
            <w:tcW w:w="6637" w:type="dxa"/>
          </w:tcPr>
          <w:p w14:paraId="5188AAFB" w14:textId="77777777" w:rsidR="00463F76" w:rsidRDefault="000A0C36">
            <w:pPr>
              <w:pStyle w:val="TableParagraph"/>
              <w:spacing w:line="267" w:lineRule="exact"/>
            </w:pPr>
            <w:r>
              <w:t>Human immunodeficiency virus</w:t>
            </w:r>
          </w:p>
          <w:p w14:paraId="5188AAFC" w14:textId="77777777" w:rsidR="00463F76" w:rsidRDefault="000A0C36">
            <w:pPr>
              <w:pStyle w:val="TableParagraph"/>
              <w:spacing w:before="2"/>
            </w:pPr>
            <w:r>
              <w:t>Inter-Agency Product Questionnaire</w:t>
            </w:r>
          </w:p>
        </w:tc>
      </w:tr>
      <w:tr w:rsidR="00463F76" w14:paraId="5188AB00" w14:textId="77777777">
        <w:trPr>
          <w:trHeight w:val="270"/>
        </w:trPr>
        <w:tc>
          <w:tcPr>
            <w:tcW w:w="2121" w:type="dxa"/>
          </w:tcPr>
          <w:p w14:paraId="5188AAFE" w14:textId="77777777" w:rsidR="00463F76" w:rsidRDefault="000A0C36">
            <w:pPr>
              <w:pStyle w:val="TableParagraph"/>
              <w:ind w:left="200"/>
              <w:rPr>
                <w:b/>
              </w:rPr>
            </w:pPr>
            <w:r>
              <w:rPr>
                <w:b/>
              </w:rPr>
              <w:t>IMDRF</w:t>
            </w:r>
          </w:p>
        </w:tc>
        <w:tc>
          <w:tcPr>
            <w:tcW w:w="6637" w:type="dxa"/>
          </w:tcPr>
          <w:p w14:paraId="5188AAFF" w14:textId="77777777" w:rsidR="00463F76" w:rsidRDefault="000A0C36">
            <w:pPr>
              <w:pStyle w:val="TableParagraph"/>
            </w:pPr>
            <w:r>
              <w:t>International Medical Devices Regulator Forum</w:t>
            </w:r>
          </w:p>
        </w:tc>
      </w:tr>
      <w:tr w:rsidR="00463F76" w14:paraId="5188AB03" w14:textId="77777777">
        <w:trPr>
          <w:trHeight w:val="267"/>
        </w:trPr>
        <w:tc>
          <w:tcPr>
            <w:tcW w:w="2121" w:type="dxa"/>
          </w:tcPr>
          <w:p w14:paraId="5188AB01" w14:textId="77777777" w:rsidR="00463F76" w:rsidRDefault="000A0C36">
            <w:pPr>
              <w:pStyle w:val="TableParagraph"/>
              <w:spacing w:line="247" w:lineRule="exact"/>
              <w:ind w:left="200"/>
              <w:rPr>
                <w:b/>
              </w:rPr>
            </w:pPr>
            <w:r>
              <w:rPr>
                <w:b/>
              </w:rPr>
              <w:t>IVD</w:t>
            </w:r>
          </w:p>
        </w:tc>
        <w:tc>
          <w:tcPr>
            <w:tcW w:w="6637" w:type="dxa"/>
          </w:tcPr>
          <w:p w14:paraId="5188AB02" w14:textId="77777777" w:rsidR="00463F76" w:rsidRDefault="000A0C36">
            <w:pPr>
              <w:pStyle w:val="TableParagraph"/>
              <w:spacing w:line="247" w:lineRule="exact"/>
            </w:pPr>
            <w:r>
              <w:t>In Vitro Diagnostic</w:t>
            </w:r>
          </w:p>
        </w:tc>
      </w:tr>
      <w:tr w:rsidR="00463F76" w14:paraId="5188AB06" w14:textId="77777777">
        <w:trPr>
          <w:trHeight w:val="267"/>
        </w:trPr>
        <w:tc>
          <w:tcPr>
            <w:tcW w:w="2121" w:type="dxa"/>
          </w:tcPr>
          <w:p w14:paraId="5188AB04" w14:textId="77777777" w:rsidR="00463F76" w:rsidRDefault="000A0C36">
            <w:pPr>
              <w:pStyle w:val="TableParagraph"/>
              <w:spacing w:line="248" w:lineRule="exact"/>
              <w:ind w:left="200"/>
              <w:rPr>
                <w:b/>
              </w:rPr>
            </w:pPr>
            <w:r>
              <w:rPr>
                <w:b/>
              </w:rPr>
              <w:t>MD</w:t>
            </w:r>
          </w:p>
        </w:tc>
        <w:tc>
          <w:tcPr>
            <w:tcW w:w="6637" w:type="dxa"/>
          </w:tcPr>
          <w:p w14:paraId="5188AB05" w14:textId="77777777" w:rsidR="00463F76" w:rsidRDefault="000A0C36">
            <w:pPr>
              <w:pStyle w:val="TableParagraph"/>
              <w:spacing w:line="248" w:lineRule="exact"/>
            </w:pPr>
            <w:r>
              <w:t>Medical Device</w:t>
            </w:r>
          </w:p>
        </w:tc>
      </w:tr>
      <w:tr w:rsidR="00463F76" w14:paraId="5188AB09" w14:textId="77777777">
        <w:trPr>
          <w:trHeight w:val="270"/>
        </w:trPr>
        <w:tc>
          <w:tcPr>
            <w:tcW w:w="2121" w:type="dxa"/>
          </w:tcPr>
          <w:p w14:paraId="5188AB07" w14:textId="77777777" w:rsidR="00463F76" w:rsidRDefault="000A0C36">
            <w:pPr>
              <w:pStyle w:val="TableParagraph"/>
              <w:ind w:left="200"/>
              <w:rPr>
                <w:b/>
              </w:rPr>
            </w:pPr>
            <w:r>
              <w:rPr>
                <w:b/>
              </w:rPr>
              <w:t>MHRA</w:t>
            </w:r>
          </w:p>
        </w:tc>
        <w:tc>
          <w:tcPr>
            <w:tcW w:w="6637" w:type="dxa"/>
          </w:tcPr>
          <w:p w14:paraId="5188AB08" w14:textId="77777777" w:rsidR="00463F76" w:rsidRDefault="000A0C36">
            <w:pPr>
              <w:pStyle w:val="TableParagraph"/>
            </w:pPr>
            <w:r>
              <w:t>Medicines and Healthcare products Regulatory Authority (UK NRA)</w:t>
            </w:r>
          </w:p>
        </w:tc>
      </w:tr>
      <w:tr w:rsidR="00463F76" w14:paraId="5188AB0C" w14:textId="77777777">
        <w:trPr>
          <w:trHeight w:val="267"/>
        </w:trPr>
        <w:tc>
          <w:tcPr>
            <w:tcW w:w="2121" w:type="dxa"/>
          </w:tcPr>
          <w:p w14:paraId="5188AB0A" w14:textId="77777777" w:rsidR="00463F76" w:rsidRDefault="000A0C36">
            <w:pPr>
              <w:pStyle w:val="TableParagraph"/>
              <w:spacing w:line="247" w:lineRule="exact"/>
              <w:ind w:left="200"/>
              <w:rPr>
                <w:b/>
              </w:rPr>
            </w:pPr>
            <w:r>
              <w:rPr>
                <w:b/>
              </w:rPr>
              <w:t>MIF</w:t>
            </w:r>
          </w:p>
        </w:tc>
        <w:tc>
          <w:tcPr>
            <w:tcW w:w="6637" w:type="dxa"/>
          </w:tcPr>
          <w:p w14:paraId="5188AB0B" w14:textId="77777777" w:rsidR="00463F76" w:rsidRDefault="000A0C36">
            <w:pPr>
              <w:pStyle w:val="TableParagraph"/>
              <w:spacing w:line="247" w:lineRule="exact"/>
            </w:pPr>
            <w:r>
              <w:t>Manufacturer Information File</w:t>
            </w:r>
          </w:p>
        </w:tc>
      </w:tr>
      <w:tr w:rsidR="00463F76" w14:paraId="5188AB0F" w14:textId="77777777">
        <w:trPr>
          <w:trHeight w:val="267"/>
        </w:trPr>
        <w:tc>
          <w:tcPr>
            <w:tcW w:w="2121" w:type="dxa"/>
          </w:tcPr>
          <w:p w14:paraId="5188AB0D" w14:textId="77777777" w:rsidR="00463F76" w:rsidRDefault="000A0C36">
            <w:pPr>
              <w:pStyle w:val="TableParagraph"/>
              <w:spacing w:line="248" w:lineRule="exact"/>
              <w:ind w:left="200"/>
              <w:rPr>
                <w:b/>
              </w:rPr>
            </w:pPr>
            <w:r>
              <w:rPr>
                <w:b/>
              </w:rPr>
              <w:t>MQAS</w:t>
            </w:r>
          </w:p>
        </w:tc>
        <w:tc>
          <w:tcPr>
            <w:tcW w:w="6637" w:type="dxa"/>
          </w:tcPr>
          <w:p w14:paraId="5188AB0E" w14:textId="77777777" w:rsidR="00463F76" w:rsidRDefault="000A0C36">
            <w:pPr>
              <w:pStyle w:val="TableParagraph"/>
              <w:spacing w:line="248" w:lineRule="exact"/>
            </w:pPr>
            <w:r>
              <w:t>Model Quality Assurance System (for Procurement Agencies) - WHO</w:t>
            </w:r>
          </w:p>
        </w:tc>
      </w:tr>
      <w:tr w:rsidR="00463F76" w14:paraId="5188AB12" w14:textId="77777777">
        <w:trPr>
          <w:trHeight w:val="270"/>
        </w:trPr>
        <w:tc>
          <w:tcPr>
            <w:tcW w:w="2121" w:type="dxa"/>
          </w:tcPr>
          <w:p w14:paraId="5188AB10" w14:textId="77777777" w:rsidR="00463F76" w:rsidRDefault="000A0C36">
            <w:pPr>
              <w:pStyle w:val="TableParagraph"/>
              <w:spacing w:before="1"/>
              <w:ind w:left="200"/>
              <w:rPr>
                <w:b/>
              </w:rPr>
            </w:pPr>
            <w:r>
              <w:rPr>
                <w:b/>
              </w:rPr>
              <w:t>MSF</w:t>
            </w:r>
          </w:p>
        </w:tc>
        <w:tc>
          <w:tcPr>
            <w:tcW w:w="6637" w:type="dxa"/>
          </w:tcPr>
          <w:p w14:paraId="5188AB11" w14:textId="77777777" w:rsidR="00463F76" w:rsidRDefault="000A0C36">
            <w:pPr>
              <w:pStyle w:val="TableParagraph"/>
              <w:spacing w:before="1"/>
            </w:pPr>
            <w:r>
              <w:t>Médecins Sans Frontières</w:t>
            </w:r>
          </w:p>
        </w:tc>
      </w:tr>
      <w:tr w:rsidR="00463F76" w14:paraId="5188AB15" w14:textId="77777777">
        <w:trPr>
          <w:trHeight w:val="270"/>
        </w:trPr>
        <w:tc>
          <w:tcPr>
            <w:tcW w:w="2121" w:type="dxa"/>
          </w:tcPr>
          <w:p w14:paraId="5188AB13" w14:textId="77777777" w:rsidR="00463F76" w:rsidRDefault="000A0C36">
            <w:pPr>
              <w:pStyle w:val="TableParagraph"/>
              <w:ind w:left="200"/>
              <w:rPr>
                <w:b/>
              </w:rPr>
            </w:pPr>
            <w:r>
              <w:rPr>
                <w:b/>
              </w:rPr>
              <w:t>NCD</w:t>
            </w:r>
          </w:p>
        </w:tc>
        <w:tc>
          <w:tcPr>
            <w:tcW w:w="6637" w:type="dxa"/>
          </w:tcPr>
          <w:p w14:paraId="5188AB14" w14:textId="77777777" w:rsidR="00463F76" w:rsidRDefault="000A0C36">
            <w:pPr>
              <w:pStyle w:val="TableParagraph"/>
            </w:pPr>
            <w:r>
              <w:t>Non-Communicable Diseases</w:t>
            </w:r>
          </w:p>
        </w:tc>
      </w:tr>
      <w:tr w:rsidR="00463F76" w14:paraId="5188AB18" w14:textId="77777777">
        <w:trPr>
          <w:trHeight w:val="267"/>
        </w:trPr>
        <w:tc>
          <w:tcPr>
            <w:tcW w:w="2121" w:type="dxa"/>
          </w:tcPr>
          <w:p w14:paraId="5188AB16" w14:textId="77777777" w:rsidR="00463F76" w:rsidRDefault="000A0C36">
            <w:pPr>
              <w:pStyle w:val="TableParagraph"/>
              <w:spacing w:line="247" w:lineRule="exact"/>
              <w:ind w:left="200"/>
              <w:rPr>
                <w:b/>
              </w:rPr>
            </w:pPr>
            <w:r>
              <w:rPr>
                <w:b/>
              </w:rPr>
              <w:t>NRA</w:t>
            </w:r>
          </w:p>
        </w:tc>
        <w:tc>
          <w:tcPr>
            <w:tcW w:w="6637" w:type="dxa"/>
          </w:tcPr>
          <w:p w14:paraId="5188AB17" w14:textId="77777777" w:rsidR="00463F76" w:rsidRDefault="000A0C36">
            <w:pPr>
              <w:pStyle w:val="TableParagraph"/>
              <w:spacing w:line="247" w:lineRule="exact"/>
            </w:pPr>
            <w:r>
              <w:t>National Regulatory Authority (Pharmaceutical Authority)</w:t>
            </w:r>
          </w:p>
        </w:tc>
      </w:tr>
      <w:tr w:rsidR="00463F76" w14:paraId="5188AB1B" w14:textId="77777777">
        <w:trPr>
          <w:trHeight w:val="267"/>
        </w:trPr>
        <w:tc>
          <w:tcPr>
            <w:tcW w:w="2121" w:type="dxa"/>
          </w:tcPr>
          <w:p w14:paraId="5188AB19" w14:textId="77777777" w:rsidR="00463F76" w:rsidRDefault="000A0C36">
            <w:pPr>
              <w:pStyle w:val="TableParagraph"/>
              <w:spacing w:line="248" w:lineRule="exact"/>
              <w:ind w:left="200"/>
              <w:rPr>
                <w:b/>
              </w:rPr>
            </w:pPr>
            <w:r>
              <w:rPr>
                <w:b/>
              </w:rPr>
              <w:t>OOS</w:t>
            </w:r>
          </w:p>
        </w:tc>
        <w:tc>
          <w:tcPr>
            <w:tcW w:w="6637" w:type="dxa"/>
          </w:tcPr>
          <w:p w14:paraId="5188AB1A" w14:textId="77777777" w:rsidR="00463F76" w:rsidRDefault="000A0C36">
            <w:pPr>
              <w:pStyle w:val="TableParagraph"/>
              <w:spacing w:line="248" w:lineRule="exact"/>
            </w:pPr>
            <w:r>
              <w:t>Out of Specification</w:t>
            </w:r>
          </w:p>
        </w:tc>
      </w:tr>
      <w:tr w:rsidR="00463F76" w14:paraId="5188AB1E" w14:textId="77777777">
        <w:trPr>
          <w:trHeight w:val="270"/>
        </w:trPr>
        <w:tc>
          <w:tcPr>
            <w:tcW w:w="2121" w:type="dxa"/>
          </w:tcPr>
          <w:p w14:paraId="5188AB1C" w14:textId="77777777" w:rsidR="00463F76" w:rsidRDefault="000A0C36">
            <w:pPr>
              <w:pStyle w:val="TableParagraph"/>
              <w:ind w:left="200"/>
              <w:rPr>
                <w:b/>
              </w:rPr>
            </w:pPr>
            <w:r>
              <w:rPr>
                <w:b/>
              </w:rPr>
              <w:t>PA</w:t>
            </w:r>
          </w:p>
        </w:tc>
        <w:tc>
          <w:tcPr>
            <w:tcW w:w="6637" w:type="dxa"/>
          </w:tcPr>
          <w:p w14:paraId="5188AB1D" w14:textId="77777777" w:rsidR="00463F76" w:rsidRDefault="000A0C36">
            <w:pPr>
              <w:pStyle w:val="TableParagraph"/>
            </w:pPr>
            <w:r>
              <w:t>Procurement Agency</w:t>
            </w:r>
          </w:p>
        </w:tc>
      </w:tr>
      <w:tr w:rsidR="00463F76" w14:paraId="5188AB21" w14:textId="77777777">
        <w:trPr>
          <w:trHeight w:val="267"/>
        </w:trPr>
        <w:tc>
          <w:tcPr>
            <w:tcW w:w="2121" w:type="dxa"/>
          </w:tcPr>
          <w:p w14:paraId="5188AB1F" w14:textId="77777777" w:rsidR="00463F76" w:rsidRDefault="000A0C36">
            <w:pPr>
              <w:pStyle w:val="TableParagraph"/>
              <w:spacing w:line="247" w:lineRule="exact"/>
              <w:ind w:left="200"/>
              <w:rPr>
                <w:b/>
              </w:rPr>
            </w:pPr>
            <w:r>
              <w:rPr>
                <w:b/>
              </w:rPr>
              <w:t>PAIF</w:t>
            </w:r>
          </w:p>
        </w:tc>
        <w:tc>
          <w:tcPr>
            <w:tcW w:w="6637" w:type="dxa"/>
          </w:tcPr>
          <w:p w14:paraId="5188AB20" w14:textId="77777777" w:rsidR="00463F76" w:rsidRDefault="000A0C36">
            <w:pPr>
              <w:pStyle w:val="TableParagraph"/>
              <w:spacing w:line="247" w:lineRule="exact"/>
            </w:pPr>
            <w:r>
              <w:t>Procurement Agency Information File</w:t>
            </w:r>
          </w:p>
        </w:tc>
      </w:tr>
      <w:tr w:rsidR="00463F76" w14:paraId="5188AB24" w14:textId="77777777">
        <w:trPr>
          <w:trHeight w:val="267"/>
        </w:trPr>
        <w:tc>
          <w:tcPr>
            <w:tcW w:w="2121" w:type="dxa"/>
          </w:tcPr>
          <w:p w14:paraId="5188AB22" w14:textId="77777777" w:rsidR="00463F76" w:rsidRDefault="000A0C36">
            <w:pPr>
              <w:pStyle w:val="TableParagraph"/>
              <w:spacing w:line="248" w:lineRule="exact"/>
              <w:ind w:left="200"/>
              <w:rPr>
                <w:b/>
              </w:rPr>
            </w:pPr>
            <w:r>
              <w:rPr>
                <w:b/>
              </w:rPr>
              <w:t>PQ</w:t>
            </w:r>
          </w:p>
        </w:tc>
        <w:tc>
          <w:tcPr>
            <w:tcW w:w="6637" w:type="dxa"/>
          </w:tcPr>
          <w:p w14:paraId="5188AB23" w14:textId="77777777" w:rsidR="00463F76" w:rsidRDefault="000A0C36">
            <w:pPr>
              <w:pStyle w:val="TableParagraph"/>
              <w:spacing w:line="248" w:lineRule="exact"/>
            </w:pPr>
            <w:r>
              <w:t>Pre-Qualification</w:t>
            </w:r>
          </w:p>
        </w:tc>
      </w:tr>
      <w:tr w:rsidR="00463F76" w14:paraId="5188AB27" w14:textId="77777777">
        <w:trPr>
          <w:trHeight w:val="270"/>
        </w:trPr>
        <w:tc>
          <w:tcPr>
            <w:tcW w:w="2121" w:type="dxa"/>
          </w:tcPr>
          <w:p w14:paraId="5188AB25" w14:textId="77777777" w:rsidR="00463F76" w:rsidRDefault="000A0C36">
            <w:pPr>
              <w:pStyle w:val="TableParagraph"/>
              <w:ind w:left="200"/>
              <w:rPr>
                <w:b/>
              </w:rPr>
            </w:pPr>
            <w:r>
              <w:rPr>
                <w:b/>
              </w:rPr>
              <w:t>PSM</w:t>
            </w:r>
          </w:p>
        </w:tc>
        <w:tc>
          <w:tcPr>
            <w:tcW w:w="6637" w:type="dxa"/>
          </w:tcPr>
          <w:p w14:paraId="5188AB26" w14:textId="77777777" w:rsidR="00463F76" w:rsidRDefault="000A0C36">
            <w:pPr>
              <w:pStyle w:val="TableParagraph"/>
            </w:pPr>
            <w:r>
              <w:t>Procurement and Supply Management</w:t>
            </w:r>
          </w:p>
        </w:tc>
      </w:tr>
      <w:tr w:rsidR="00463F76" w14:paraId="5188AB2C" w14:textId="77777777">
        <w:trPr>
          <w:trHeight w:val="537"/>
        </w:trPr>
        <w:tc>
          <w:tcPr>
            <w:tcW w:w="2121" w:type="dxa"/>
          </w:tcPr>
          <w:p w14:paraId="5188AB28" w14:textId="77777777" w:rsidR="00463F76" w:rsidRDefault="000A0C36">
            <w:pPr>
              <w:pStyle w:val="TableParagraph"/>
              <w:spacing w:line="240" w:lineRule="auto"/>
              <w:ind w:left="200"/>
              <w:rPr>
                <w:b/>
              </w:rPr>
            </w:pPr>
            <w:r>
              <w:rPr>
                <w:b/>
              </w:rPr>
              <w:t>PSU</w:t>
            </w:r>
          </w:p>
          <w:p w14:paraId="5188AB29" w14:textId="77777777" w:rsidR="00463F76" w:rsidRDefault="000A0C36">
            <w:pPr>
              <w:pStyle w:val="TableParagraph"/>
              <w:spacing w:before="2" w:line="247" w:lineRule="exact"/>
              <w:ind w:left="200"/>
              <w:rPr>
                <w:b/>
              </w:rPr>
            </w:pPr>
            <w:r>
              <w:rPr>
                <w:b/>
              </w:rPr>
              <w:t>QA</w:t>
            </w:r>
          </w:p>
        </w:tc>
        <w:tc>
          <w:tcPr>
            <w:tcW w:w="6637" w:type="dxa"/>
          </w:tcPr>
          <w:p w14:paraId="5188AB2A" w14:textId="77777777" w:rsidR="00463F76" w:rsidRDefault="000A0C36">
            <w:pPr>
              <w:pStyle w:val="TableParagraph"/>
              <w:spacing w:line="240" w:lineRule="auto"/>
            </w:pPr>
            <w:r>
              <w:t>Procurement Support Unit (UNDP)</w:t>
            </w:r>
          </w:p>
          <w:p w14:paraId="5188AB2B" w14:textId="77777777" w:rsidR="00463F76" w:rsidRDefault="000A0C36">
            <w:pPr>
              <w:pStyle w:val="TableParagraph"/>
              <w:spacing w:before="2" w:line="247" w:lineRule="exact"/>
            </w:pPr>
            <w:r>
              <w:t>Quality Assurance</w:t>
            </w:r>
          </w:p>
        </w:tc>
      </w:tr>
      <w:tr w:rsidR="00463F76" w14:paraId="5188AB2F" w14:textId="77777777">
        <w:trPr>
          <w:trHeight w:val="267"/>
        </w:trPr>
        <w:tc>
          <w:tcPr>
            <w:tcW w:w="2121" w:type="dxa"/>
          </w:tcPr>
          <w:p w14:paraId="5188AB2D" w14:textId="77777777" w:rsidR="00463F76" w:rsidRDefault="000A0C36">
            <w:pPr>
              <w:pStyle w:val="TableParagraph"/>
              <w:spacing w:line="248" w:lineRule="exact"/>
              <w:ind w:left="200"/>
              <w:rPr>
                <w:b/>
              </w:rPr>
            </w:pPr>
            <w:r>
              <w:rPr>
                <w:b/>
              </w:rPr>
              <w:t>QC</w:t>
            </w:r>
          </w:p>
        </w:tc>
        <w:tc>
          <w:tcPr>
            <w:tcW w:w="6637" w:type="dxa"/>
          </w:tcPr>
          <w:p w14:paraId="5188AB2E" w14:textId="77777777" w:rsidR="00463F76" w:rsidRDefault="000A0C36">
            <w:pPr>
              <w:pStyle w:val="TableParagraph"/>
              <w:spacing w:line="248" w:lineRule="exact"/>
            </w:pPr>
            <w:r>
              <w:t>Quality Control</w:t>
            </w:r>
          </w:p>
        </w:tc>
      </w:tr>
      <w:tr w:rsidR="00463F76" w14:paraId="5188AB32" w14:textId="77777777">
        <w:trPr>
          <w:trHeight w:val="270"/>
        </w:trPr>
        <w:tc>
          <w:tcPr>
            <w:tcW w:w="2121" w:type="dxa"/>
          </w:tcPr>
          <w:p w14:paraId="5188AB30" w14:textId="77777777" w:rsidR="00463F76" w:rsidRDefault="000A0C36">
            <w:pPr>
              <w:pStyle w:val="TableParagraph"/>
              <w:spacing w:line="250" w:lineRule="exact"/>
              <w:ind w:left="200"/>
              <w:rPr>
                <w:b/>
              </w:rPr>
            </w:pPr>
            <w:r>
              <w:rPr>
                <w:b/>
              </w:rPr>
              <w:t>QMS</w:t>
            </w:r>
          </w:p>
        </w:tc>
        <w:tc>
          <w:tcPr>
            <w:tcW w:w="6637" w:type="dxa"/>
          </w:tcPr>
          <w:p w14:paraId="5188AB31" w14:textId="77777777" w:rsidR="00463F76" w:rsidRDefault="000A0C36">
            <w:pPr>
              <w:pStyle w:val="TableParagraph"/>
              <w:spacing w:line="250" w:lineRule="exact"/>
            </w:pPr>
            <w:r>
              <w:t>Quality Management System</w:t>
            </w:r>
          </w:p>
        </w:tc>
      </w:tr>
      <w:tr w:rsidR="00463F76" w14:paraId="5188AB35" w14:textId="77777777">
        <w:trPr>
          <w:trHeight w:val="267"/>
        </w:trPr>
        <w:tc>
          <w:tcPr>
            <w:tcW w:w="2121" w:type="dxa"/>
          </w:tcPr>
          <w:p w14:paraId="5188AB33" w14:textId="77777777" w:rsidR="00463F76" w:rsidRDefault="000A0C36">
            <w:pPr>
              <w:pStyle w:val="TableParagraph"/>
              <w:spacing w:before="1" w:line="247" w:lineRule="exact"/>
              <w:ind w:left="200"/>
              <w:rPr>
                <w:b/>
              </w:rPr>
            </w:pPr>
            <w:r>
              <w:rPr>
                <w:b/>
              </w:rPr>
              <w:t>SRA</w:t>
            </w:r>
          </w:p>
        </w:tc>
        <w:tc>
          <w:tcPr>
            <w:tcW w:w="6637" w:type="dxa"/>
          </w:tcPr>
          <w:p w14:paraId="5188AB34" w14:textId="77777777" w:rsidR="00463F76" w:rsidRDefault="000A0C36">
            <w:pPr>
              <w:pStyle w:val="TableParagraph"/>
              <w:spacing w:before="1" w:line="247" w:lineRule="exact"/>
            </w:pPr>
            <w:r>
              <w:t>Stringent Regulatory Authorities</w:t>
            </w:r>
          </w:p>
        </w:tc>
      </w:tr>
      <w:tr w:rsidR="00463F76" w14:paraId="5188AB38" w14:textId="77777777">
        <w:trPr>
          <w:trHeight w:val="267"/>
        </w:trPr>
        <w:tc>
          <w:tcPr>
            <w:tcW w:w="2121" w:type="dxa"/>
          </w:tcPr>
          <w:p w14:paraId="5188AB36" w14:textId="77777777" w:rsidR="00463F76" w:rsidRDefault="000A0C36">
            <w:pPr>
              <w:pStyle w:val="TableParagraph"/>
              <w:spacing w:line="248" w:lineRule="exact"/>
              <w:ind w:left="200"/>
              <w:rPr>
                <w:b/>
              </w:rPr>
            </w:pPr>
            <w:r>
              <w:rPr>
                <w:b/>
              </w:rPr>
              <w:t>STG</w:t>
            </w:r>
          </w:p>
        </w:tc>
        <w:tc>
          <w:tcPr>
            <w:tcW w:w="6637" w:type="dxa"/>
          </w:tcPr>
          <w:p w14:paraId="5188AB37" w14:textId="77777777" w:rsidR="00463F76" w:rsidRDefault="000A0C36">
            <w:pPr>
              <w:pStyle w:val="TableParagraph"/>
              <w:spacing w:line="248" w:lineRule="exact"/>
            </w:pPr>
            <w:r>
              <w:t>Standard Treatment Guidelines</w:t>
            </w:r>
          </w:p>
        </w:tc>
      </w:tr>
      <w:tr w:rsidR="00463F76" w14:paraId="5188AB3B" w14:textId="77777777">
        <w:trPr>
          <w:trHeight w:val="270"/>
        </w:trPr>
        <w:tc>
          <w:tcPr>
            <w:tcW w:w="2121" w:type="dxa"/>
          </w:tcPr>
          <w:p w14:paraId="5188AB39" w14:textId="77777777" w:rsidR="00463F76" w:rsidRDefault="000A0C36">
            <w:pPr>
              <w:pStyle w:val="TableParagraph"/>
              <w:ind w:left="200"/>
              <w:rPr>
                <w:b/>
              </w:rPr>
            </w:pPr>
            <w:r>
              <w:rPr>
                <w:b/>
              </w:rPr>
              <w:t>SWISS MEDIC</w:t>
            </w:r>
          </w:p>
        </w:tc>
        <w:tc>
          <w:tcPr>
            <w:tcW w:w="6637" w:type="dxa"/>
          </w:tcPr>
          <w:p w14:paraId="5188AB3A" w14:textId="77777777" w:rsidR="00463F76" w:rsidRDefault="000A0C36">
            <w:pPr>
              <w:pStyle w:val="TableParagraph"/>
            </w:pPr>
            <w:r>
              <w:t>Swiss NRA</w:t>
            </w:r>
          </w:p>
        </w:tc>
      </w:tr>
      <w:tr w:rsidR="00463F76" w14:paraId="5188AB40" w14:textId="77777777">
        <w:trPr>
          <w:trHeight w:val="537"/>
        </w:trPr>
        <w:tc>
          <w:tcPr>
            <w:tcW w:w="2121" w:type="dxa"/>
          </w:tcPr>
          <w:p w14:paraId="5188AB3C" w14:textId="77777777" w:rsidR="00463F76" w:rsidRDefault="000A0C36">
            <w:pPr>
              <w:pStyle w:val="TableParagraph"/>
              <w:spacing w:line="240" w:lineRule="auto"/>
              <w:ind w:left="200"/>
              <w:rPr>
                <w:b/>
              </w:rPr>
            </w:pPr>
            <w:r>
              <w:rPr>
                <w:b/>
              </w:rPr>
              <w:t>TB</w:t>
            </w:r>
          </w:p>
          <w:p w14:paraId="5188AB3D" w14:textId="77777777" w:rsidR="00463F76" w:rsidRDefault="000A0C36">
            <w:pPr>
              <w:pStyle w:val="TableParagraph"/>
              <w:spacing w:before="2" w:line="247" w:lineRule="exact"/>
              <w:ind w:left="200"/>
              <w:rPr>
                <w:b/>
              </w:rPr>
            </w:pPr>
            <w:r>
              <w:rPr>
                <w:b/>
              </w:rPr>
              <w:t>TGA</w:t>
            </w:r>
          </w:p>
        </w:tc>
        <w:tc>
          <w:tcPr>
            <w:tcW w:w="6637" w:type="dxa"/>
          </w:tcPr>
          <w:p w14:paraId="5188AB3E" w14:textId="77777777" w:rsidR="00463F76" w:rsidRDefault="000A0C36">
            <w:pPr>
              <w:pStyle w:val="TableParagraph"/>
              <w:spacing w:line="240" w:lineRule="auto"/>
            </w:pPr>
            <w:r>
              <w:t>Tuberculosis</w:t>
            </w:r>
          </w:p>
          <w:p w14:paraId="5188AB3F" w14:textId="77777777" w:rsidR="00463F76" w:rsidRDefault="000A0C36">
            <w:pPr>
              <w:pStyle w:val="TableParagraph"/>
              <w:spacing w:before="2" w:line="247" w:lineRule="exact"/>
            </w:pPr>
            <w:r>
              <w:t>Therapeutic Goods Administration (Australian NRA)</w:t>
            </w:r>
          </w:p>
        </w:tc>
      </w:tr>
      <w:tr w:rsidR="00463F76" w14:paraId="5188AB43" w14:textId="77777777">
        <w:trPr>
          <w:trHeight w:val="267"/>
        </w:trPr>
        <w:tc>
          <w:tcPr>
            <w:tcW w:w="2121" w:type="dxa"/>
          </w:tcPr>
          <w:p w14:paraId="5188AB41" w14:textId="77777777" w:rsidR="00463F76" w:rsidRDefault="000A0C36">
            <w:pPr>
              <w:pStyle w:val="TableParagraph"/>
              <w:spacing w:line="248" w:lineRule="exact"/>
              <w:ind w:left="200"/>
              <w:rPr>
                <w:b/>
              </w:rPr>
            </w:pPr>
            <w:r>
              <w:rPr>
                <w:b/>
              </w:rPr>
              <w:t>TRS</w:t>
            </w:r>
          </w:p>
        </w:tc>
        <w:tc>
          <w:tcPr>
            <w:tcW w:w="6637" w:type="dxa"/>
          </w:tcPr>
          <w:p w14:paraId="5188AB42" w14:textId="77777777" w:rsidR="00463F76" w:rsidRDefault="000A0C36">
            <w:pPr>
              <w:pStyle w:val="TableParagraph"/>
              <w:spacing w:line="248" w:lineRule="exact"/>
            </w:pPr>
            <w:r>
              <w:t>Technical Report Series (WHO)</w:t>
            </w:r>
          </w:p>
        </w:tc>
      </w:tr>
      <w:tr w:rsidR="00463F76" w14:paraId="5188AB46" w14:textId="77777777">
        <w:trPr>
          <w:trHeight w:val="270"/>
        </w:trPr>
        <w:tc>
          <w:tcPr>
            <w:tcW w:w="2121" w:type="dxa"/>
          </w:tcPr>
          <w:p w14:paraId="5188AB44" w14:textId="77777777" w:rsidR="00463F76" w:rsidRDefault="000A0C36">
            <w:pPr>
              <w:pStyle w:val="TableParagraph"/>
              <w:ind w:left="200"/>
              <w:rPr>
                <w:b/>
              </w:rPr>
            </w:pPr>
            <w:r>
              <w:rPr>
                <w:b/>
              </w:rPr>
              <w:t>USP</w:t>
            </w:r>
          </w:p>
        </w:tc>
        <w:tc>
          <w:tcPr>
            <w:tcW w:w="6637" w:type="dxa"/>
          </w:tcPr>
          <w:p w14:paraId="5188AB45" w14:textId="77777777" w:rsidR="00463F76" w:rsidRDefault="000A0C36">
            <w:pPr>
              <w:pStyle w:val="TableParagraph"/>
            </w:pPr>
            <w:r>
              <w:t>United States Pharmacopoeia</w:t>
            </w:r>
          </w:p>
        </w:tc>
      </w:tr>
      <w:tr w:rsidR="00463F76" w14:paraId="5188AB49" w14:textId="77777777">
        <w:trPr>
          <w:trHeight w:val="267"/>
        </w:trPr>
        <w:tc>
          <w:tcPr>
            <w:tcW w:w="2121" w:type="dxa"/>
          </w:tcPr>
          <w:p w14:paraId="5188AB47" w14:textId="77777777" w:rsidR="00463F76" w:rsidRDefault="000A0C36">
            <w:pPr>
              <w:pStyle w:val="TableParagraph"/>
              <w:spacing w:before="1" w:line="247" w:lineRule="exact"/>
              <w:ind w:left="200"/>
              <w:rPr>
                <w:b/>
              </w:rPr>
            </w:pPr>
            <w:r>
              <w:rPr>
                <w:b/>
              </w:rPr>
              <w:t>WHOPES</w:t>
            </w:r>
          </w:p>
        </w:tc>
        <w:tc>
          <w:tcPr>
            <w:tcW w:w="6637" w:type="dxa"/>
          </w:tcPr>
          <w:p w14:paraId="5188AB48" w14:textId="77777777" w:rsidR="00463F76" w:rsidRDefault="000A0C36">
            <w:pPr>
              <w:pStyle w:val="TableParagraph"/>
              <w:spacing w:before="1" w:line="247" w:lineRule="exact"/>
            </w:pPr>
            <w:r>
              <w:t>WHO Pesticide Evaluation Scheme</w:t>
            </w:r>
          </w:p>
        </w:tc>
      </w:tr>
      <w:tr w:rsidR="00463F76" w14:paraId="5188AB4C" w14:textId="77777777">
        <w:trPr>
          <w:trHeight w:val="267"/>
        </w:trPr>
        <w:tc>
          <w:tcPr>
            <w:tcW w:w="2121" w:type="dxa"/>
          </w:tcPr>
          <w:p w14:paraId="5188AB4A" w14:textId="77777777" w:rsidR="00463F76" w:rsidRDefault="000A0C36">
            <w:pPr>
              <w:pStyle w:val="TableParagraph"/>
              <w:spacing w:line="248" w:lineRule="exact"/>
              <w:ind w:left="200"/>
              <w:rPr>
                <w:b/>
              </w:rPr>
            </w:pPr>
            <w:r>
              <w:rPr>
                <w:b/>
              </w:rPr>
              <w:t>WHOPIR</w:t>
            </w:r>
          </w:p>
        </w:tc>
        <w:tc>
          <w:tcPr>
            <w:tcW w:w="6637" w:type="dxa"/>
          </w:tcPr>
          <w:p w14:paraId="5188AB4B" w14:textId="77777777" w:rsidR="00463F76" w:rsidRDefault="000A0C36">
            <w:pPr>
              <w:pStyle w:val="TableParagraph"/>
              <w:spacing w:line="248" w:lineRule="exact"/>
            </w:pPr>
            <w:r>
              <w:t>Public Inspection Report (as published on the WHO PQ website)</w:t>
            </w:r>
          </w:p>
        </w:tc>
      </w:tr>
      <w:tr w:rsidR="00463F76" w14:paraId="5188AB4F" w14:textId="77777777">
        <w:trPr>
          <w:trHeight w:val="269"/>
        </w:trPr>
        <w:tc>
          <w:tcPr>
            <w:tcW w:w="2121" w:type="dxa"/>
          </w:tcPr>
          <w:p w14:paraId="5188AB4D" w14:textId="77777777" w:rsidR="00463F76" w:rsidRDefault="000A0C36">
            <w:pPr>
              <w:pStyle w:val="TableParagraph"/>
              <w:ind w:left="200"/>
              <w:rPr>
                <w:b/>
              </w:rPr>
            </w:pPr>
            <w:r>
              <w:rPr>
                <w:b/>
              </w:rPr>
              <w:t>WHO PQT</w:t>
            </w:r>
          </w:p>
        </w:tc>
        <w:tc>
          <w:tcPr>
            <w:tcW w:w="6637" w:type="dxa"/>
          </w:tcPr>
          <w:p w14:paraId="5188AB4E" w14:textId="77777777" w:rsidR="00463F76" w:rsidRDefault="000A0C36">
            <w:pPr>
              <w:pStyle w:val="TableParagraph"/>
            </w:pPr>
            <w:r>
              <w:t>WHO Pre-Qualification Team</w:t>
            </w:r>
          </w:p>
        </w:tc>
      </w:tr>
    </w:tbl>
    <w:p w14:paraId="5188AB50" w14:textId="77777777" w:rsidR="00463F76" w:rsidRDefault="00463F76">
      <w:pPr>
        <w:sectPr w:rsidR="00463F76">
          <w:pgSz w:w="11900" w:h="16840"/>
          <w:pgMar w:top="1340" w:right="1200" w:bottom="940" w:left="1200" w:header="0" w:footer="752" w:gutter="0"/>
          <w:cols w:space="720"/>
        </w:sectPr>
      </w:pPr>
    </w:p>
    <w:p w14:paraId="5188AB51" w14:textId="77777777" w:rsidR="00463F76" w:rsidRDefault="000A0C36">
      <w:pPr>
        <w:spacing w:before="76"/>
        <w:ind w:left="215"/>
        <w:rPr>
          <w:sz w:val="32"/>
        </w:rPr>
      </w:pPr>
      <w:r>
        <w:rPr>
          <w:color w:val="2D74B5"/>
          <w:sz w:val="32"/>
        </w:rPr>
        <w:lastRenderedPageBreak/>
        <w:t>Contents</w:t>
      </w:r>
    </w:p>
    <w:sdt>
      <w:sdtPr>
        <w:id w:val="-1091079512"/>
        <w:docPartObj>
          <w:docPartGallery w:val="Table of Contents"/>
          <w:docPartUnique/>
        </w:docPartObj>
      </w:sdtPr>
      <w:sdtEndPr/>
      <w:sdtContent>
        <w:p w14:paraId="5188AB52" w14:textId="77777777" w:rsidR="00463F76" w:rsidRDefault="00FA5766">
          <w:pPr>
            <w:pStyle w:val="TOC1"/>
            <w:numPr>
              <w:ilvl w:val="0"/>
              <w:numId w:val="8"/>
            </w:numPr>
            <w:tabs>
              <w:tab w:val="left" w:pos="925"/>
              <w:tab w:val="left" w:pos="926"/>
              <w:tab w:val="right" w:leader="dot" w:pos="9275"/>
            </w:tabs>
            <w:spacing w:before="284"/>
          </w:pPr>
          <w:hyperlink w:anchor="_bookmark0" w:history="1">
            <w:r w:rsidR="000A0C36">
              <w:t>Introduction</w:t>
            </w:r>
            <w:r w:rsidR="000A0C36">
              <w:tab/>
              <w:t>4</w:t>
            </w:r>
          </w:hyperlink>
        </w:p>
        <w:p w14:paraId="5188AB53" w14:textId="77777777" w:rsidR="00463F76" w:rsidRDefault="00FA5766">
          <w:pPr>
            <w:pStyle w:val="TOC1"/>
            <w:numPr>
              <w:ilvl w:val="0"/>
              <w:numId w:val="8"/>
            </w:numPr>
            <w:tabs>
              <w:tab w:val="left" w:pos="925"/>
              <w:tab w:val="left" w:pos="926"/>
              <w:tab w:val="right" w:leader="dot" w:pos="9275"/>
            </w:tabs>
            <w:spacing w:before="97"/>
          </w:pPr>
          <w:hyperlink w:anchor="_bookmark1" w:history="1">
            <w:r w:rsidR="000A0C36">
              <w:t>Scope</w:t>
            </w:r>
            <w:r w:rsidR="000A0C36">
              <w:tab/>
              <w:t>5</w:t>
            </w:r>
          </w:hyperlink>
        </w:p>
        <w:p w14:paraId="5188AB54" w14:textId="77777777" w:rsidR="00463F76" w:rsidRDefault="00FA5766">
          <w:pPr>
            <w:pStyle w:val="TOC1"/>
            <w:numPr>
              <w:ilvl w:val="0"/>
              <w:numId w:val="8"/>
            </w:numPr>
            <w:tabs>
              <w:tab w:val="left" w:pos="925"/>
              <w:tab w:val="left" w:pos="926"/>
              <w:tab w:val="right" w:leader="dot" w:pos="9275"/>
            </w:tabs>
            <w:spacing w:before="101"/>
          </w:pPr>
          <w:hyperlink w:anchor="_bookmark2" w:history="1">
            <w:r w:rsidR="000A0C36">
              <w:t>Responsibilities</w:t>
            </w:r>
            <w:r w:rsidR="000A0C36">
              <w:tab/>
              <w:t>5</w:t>
            </w:r>
          </w:hyperlink>
        </w:p>
        <w:p w14:paraId="5188AB55" w14:textId="77777777" w:rsidR="00463F76" w:rsidRDefault="00FA5766">
          <w:pPr>
            <w:pStyle w:val="TOC1"/>
            <w:numPr>
              <w:ilvl w:val="0"/>
              <w:numId w:val="8"/>
            </w:numPr>
            <w:tabs>
              <w:tab w:val="left" w:pos="925"/>
              <w:tab w:val="left" w:pos="926"/>
              <w:tab w:val="right" w:leader="dot" w:pos="9275"/>
            </w:tabs>
          </w:pPr>
          <w:hyperlink w:anchor="_bookmark3" w:history="1">
            <w:r w:rsidR="000A0C36">
              <w:t>Norms</w:t>
            </w:r>
            <w:r w:rsidR="000A0C36">
              <w:rPr>
                <w:spacing w:val="-3"/>
              </w:rPr>
              <w:t xml:space="preserve"> </w:t>
            </w:r>
            <w:r w:rsidR="000A0C36">
              <w:t>and</w:t>
            </w:r>
            <w:r w:rsidR="000A0C36">
              <w:rPr>
                <w:spacing w:val="-1"/>
              </w:rPr>
              <w:t xml:space="preserve"> </w:t>
            </w:r>
            <w:r w:rsidR="000A0C36">
              <w:t>standards</w:t>
            </w:r>
            <w:r w:rsidR="000A0C36">
              <w:tab/>
              <w:t>6</w:t>
            </w:r>
          </w:hyperlink>
        </w:p>
        <w:p w14:paraId="5188AB56" w14:textId="77777777" w:rsidR="00463F76" w:rsidRDefault="00FA5766">
          <w:pPr>
            <w:pStyle w:val="TOC2"/>
            <w:numPr>
              <w:ilvl w:val="1"/>
              <w:numId w:val="8"/>
            </w:numPr>
            <w:tabs>
              <w:tab w:val="left" w:pos="1175"/>
              <w:tab w:val="left" w:pos="1176"/>
              <w:tab w:val="right" w:leader="dot" w:pos="9275"/>
            </w:tabs>
          </w:pPr>
          <w:hyperlink w:anchor="_bookmark4" w:history="1">
            <w:r w:rsidR="000A0C36">
              <w:t>Selection of health products</w:t>
            </w:r>
            <w:r w:rsidR="000A0C36">
              <w:rPr>
                <w:spacing w:val="-8"/>
              </w:rPr>
              <w:t xml:space="preserve"> </w:t>
            </w:r>
            <w:r w:rsidR="000A0C36">
              <w:t>to</w:t>
            </w:r>
            <w:r w:rsidR="000A0C36">
              <w:rPr>
                <w:spacing w:val="-1"/>
              </w:rPr>
              <w:t xml:space="preserve"> </w:t>
            </w:r>
            <w:r w:rsidR="000A0C36">
              <w:t>procure</w:t>
            </w:r>
            <w:r w:rsidR="000A0C36">
              <w:tab/>
              <w:t>6</w:t>
            </w:r>
          </w:hyperlink>
        </w:p>
        <w:p w14:paraId="5188AB57" w14:textId="77777777" w:rsidR="00463F76" w:rsidRDefault="00FA5766">
          <w:pPr>
            <w:pStyle w:val="TOC2"/>
            <w:numPr>
              <w:ilvl w:val="1"/>
              <w:numId w:val="8"/>
            </w:numPr>
            <w:tabs>
              <w:tab w:val="left" w:pos="1415"/>
              <w:tab w:val="left" w:pos="1416"/>
              <w:tab w:val="right" w:leader="dot" w:pos="9275"/>
            </w:tabs>
            <w:spacing w:before="97"/>
            <w:ind w:left="1416" w:hanging="760"/>
          </w:pPr>
          <w:hyperlink w:anchor="_bookmark5" w:history="1">
            <w:r w:rsidR="000A0C36">
              <w:t>Quality</w:t>
            </w:r>
            <w:r w:rsidR="000A0C36">
              <w:rPr>
                <w:spacing w:val="-1"/>
              </w:rPr>
              <w:t xml:space="preserve"> </w:t>
            </w:r>
            <w:r w:rsidR="000A0C36">
              <w:t>Assurance</w:t>
            </w:r>
            <w:r w:rsidR="000A0C36">
              <w:tab/>
              <w:t>6</w:t>
            </w:r>
          </w:hyperlink>
        </w:p>
        <w:p w14:paraId="5188AB58" w14:textId="77777777" w:rsidR="00463F76" w:rsidRDefault="00FA5766">
          <w:pPr>
            <w:pStyle w:val="TOC3"/>
            <w:numPr>
              <w:ilvl w:val="2"/>
              <w:numId w:val="8"/>
            </w:numPr>
            <w:tabs>
              <w:tab w:val="left" w:pos="1655"/>
              <w:tab w:val="left" w:pos="1656"/>
              <w:tab w:val="right" w:leader="dot" w:pos="9275"/>
            </w:tabs>
            <w:spacing w:before="102"/>
          </w:pPr>
          <w:hyperlink w:anchor="_bookmark6" w:history="1">
            <w:r w:rsidR="000A0C36">
              <w:t>Finished Pharmaceutical</w:t>
            </w:r>
            <w:r w:rsidR="000A0C36">
              <w:rPr>
                <w:spacing w:val="-3"/>
              </w:rPr>
              <w:t xml:space="preserve"> </w:t>
            </w:r>
            <w:r w:rsidR="000A0C36">
              <w:t>Products</w:t>
            </w:r>
            <w:r w:rsidR="000A0C36">
              <w:rPr>
                <w:spacing w:val="-2"/>
              </w:rPr>
              <w:t xml:space="preserve"> </w:t>
            </w:r>
            <w:r w:rsidR="000A0C36">
              <w:t>(FPP)</w:t>
            </w:r>
            <w:r w:rsidR="000A0C36">
              <w:tab/>
              <w:t>7</w:t>
            </w:r>
          </w:hyperlink>
        </w:p>
        <w:p w14:paraId="5188AB59" w14:textId="77777777" w:rsidR="00463F76" w:rsidRDefault="00FA5766">
          <w:pPr>
            <w:pStyle w:val="TOC3"/>
            <w:numPr>
              <w:ilvl w:val="2"/>
              <w:numId w:val="8"/>
            </w:numPr>
            <w:tabs>
              <w:tab w:val="left" w:pos="1896"/>
              <w:tab w:val="left" w:pos="1897"/>
              <w:tab w:val="right" w:leader="dot" w:pos="9275"/>
            </w:tabs>
            <w:ind w:left="1896" w:hanging="1020"/>
          </w:pPr>
          <w:hyperlink w:anchor="_bookmark7" w:history="1">
            <w:r w:rsidR="000A0C36">
              <w:t>Medical</w:t>
            </w:r>
            <w:r w:rsidR="000A0C36">
              <w:rPr>
                <w:spacing w:val="-1"/>
              </w:rPr>
              <w:t xml:space="preserve"> </w:t>
            </w:r>
            <w:r w:rsidR="000A0C36">
              <w:t>devices</w:t>
            </w:r>
            <w:r w:rsidR="000A0C36">
              <w:tab/>
              <w:t>8</w:t>
            </w:r>
          </w:hyperlink>
        </w:p>
        <w:p w14:paraId="5188AB5A" w14:textId="77777777" w:rsidR="00463F76" w:rsidRDefault="00FA5766">
          <w:pPr>
            <w:pStyle w:val="TOC3"/>
            <w:numPr>
              <w:ilvl w:val="2"/>
              <w:numId w:val="8"/>
            </w:numPr>
            <w:tabs>
              <w:tab w:val="left" w:pos="1896"/>
              <w:tab w:val="left" w:pos="1897"/>
              <w:tab w:val="right" w:leader="dot" w:pos="9275"/>
            </w:tabs>
            <w:spacing w:before="97"/>
            <w:ind w:left="1896" w:hanging="1020"/>
          </w:pPr>
          <w:hyperlink w:anchor="_bookmark8" w:history="1">
            <w:r w:rsidR="000A0C36">
              <w:t>Pesticides for</w:t>
            </w:r>
            <w:r w:rsidR="000A0C36">
              <w:rPr>
                <w:spacing w:val="-3"/>
              </w:rPr>
              <w:t xml:space="preserve"> </w:t>
            </w:r>
            <w:r w:rsidR="000A0C36">
              <w:t>public</w:t>
            </w:r>
            <w:r w:rsidR="000A0C36">
              <w:rPr>
                <w:spacing w:val="1"/>
              </w:rPr>
              <w:t xml:space="preserve"> </w:t>
            </w:r>
            <w:r w:rsidR="000A0C36">
              <w:t>health</w:t>
            </w:r>
            <w:r w:rsidR="000A0C36">
              <w:tab/>
              <w:t>9</w:t>
            </w:r>
          </w:hyperlink>
        </w:p>
        <w:p w14:paraId="5188AB5B" w14:textId="77777777" w:rsidR="00463F76" w:rsidRDefault="00FA5766">
          <w:pPr>
            <w:pStyle w:val="TOC3"/>
            <w:numPr>
              <w:ilvl w:val="2"/>
              <w:numId w:val="8"/>
            </w:numPr>
            <w:tabs>
              <w:tab w:val="left" w:pos="1896"/>
              <w:tab w:val="left" w:pos="1897"/>
              <w:tab w:val="right" w:leader="dot" w:pos="9275"/>
            </w:tabs>
            <w:ind w:left="1896" w:hanging="1020"/>
          </w:pPr>
          <w:hyperlink w:anchor="_bookmark9" w:history="1">
            <w:r w:rsidR="000A0C36">
              <w:t>Procurement Agencies (=</w:t>
            </w:r>
            <w:r w:rsidR="000A0C36">
              <w:rPr>
                <w:spacing w:val="-3"/>
              </w:rPr>
              <w:t xml:space="preserve"> </w:t>
            </w:r>
            <w:r w:rsidR="000A0C36">
              <w:t>Non-manufacturing</w:t>
            </w:r>
            <w:r w:rsidR="000A0C36">
              <w:rPr>
                <w:spacing w:val="1"/>
              </w:rPr>
              <w:t xml:space="preserve"> </w:t>
            </w:r>
            <w:r w:rsidR="000A0C36">
              <w:t>suppliers)</w:t>
            </w:r>
            <w:r w:rsidR="000A0C36">
              <w:tab/>
              <w:t>9</w:t>
            </w:r>
          </w:hyperlink>
        </w:p>
        <w:p w14:paraId="5188AB5C" w14:textId="77777777" w:rsidR="00463F76" w:rsidRDefault="00FA5766">
          <w:pPr>
            <w:pStyle w:val="TOC1"/>
            <w:numPr>
              <w:ilvl w:val="0"/>
              <w:numId w:val="8"/>
            </w:numPr>
            <w:tabs>
              <w:tab w:val="left" w:pos="925"/>
              <w:tab w:val="left" w:pos="926"/>
              <w:tab w:val="right" w:leader="dot" w:pos="9275"/>
            </w:tabs>
          </w:pPr>
          <w:hyperlink w:anchor="_bookmark10" w:history="1">
            <w:r w:rsidR="000A0C36">
              <w:t>Participation in the UNDP</w:t>
            </w:r>
            <w:r w:rsidR="000A0C36">
              <w:rPr>
                <w:spacing w:val="-4"/>
              </w:rPr>
              <w:t xml:space="preserve"> </w:t>
            </w:r>
            <w:r w:rsidR="000A0C36">
              <w:t>qualification</w:t>
            </w:r>
            <w:r w:rsidR="000A0C36">
              <w:rPr>
                <w:spacing w:val="-1"/>
              </w:rPr>
              <w:t xml:space="preserve"> </w:t>
            </w:r>
            <w:r w:rsidR="000A0C36">
              <w:t>process</w:t>
            </w:r>
            <w:r w:rsidR="000A0C36">
              <w:tab/>
              <w:t>9</w:t>
            </w:r>
          </w:hyperlink>
        </w:p>
        <w:p w14:paraId="5188AB5D" w14:textId="77777777" w:rsidR="00463F76" w:rsidRDefault="00FA5766">
          <w:pPr>
            <w:pStyle w:val="TOC1"/>
            <w:numPr>
              <w:ilvl w:val="0"/>
              <w:numId w:val="8"/>
            </w:numPr>
            <w:tabs>
              <w:tab w:val="left" w:pos="925"/>
              <w:tab w:val="left" w:pos="926"/>
              <w:tab w:val="right" w:leader="dot" w:pos="9269"/>
            </w:tabs>
          </w:pPr>
          <w:hyperlink w:anchor="_bookmark11" w:history="1">
            <w:r w:rsidR="000A0C36">
              <w:t>Outcome of the UNDP</w:t>
            </w:r>
            <w:r w:rsidR="000A0C36">
              <w:rPr>
                <w:spacing w:val="-5"/>
              </w:rPr>
              <w:t xml:space="preserve"> </w:t>
            </w:r>
            <w:r w:rsidR="000A0C36">
              <w:t>qualification</w:t>
            </w:r>
            <w:r w:rsidR="000A0C36">
              <w:rPr>
                <w:spacing w:val="-2"/>
              </w:rPr>
              <w:t xml:space="preserve"> </w:t>
            </w:r>
            <w:r w:rsidR="000A0C36">
              <w:t>process</w:t>
            </w:r>
            <w:r w:rsidR="000A0C36">
              <w:tab/>
              <w:t>10</w:t>
            </w:r>
          </w:hyperlink>
        </w:p>
        <w:p w14:paraId="5188AB5E" w14:textId="77777777" w:rsidR="00463F76" w:rsidRDefault="00FA5766">
          <w:pPr>
            <w:pStyle w:val="TOC1"/>
            <w:numPr>
              <w:ilvl w:val="0"/>
              <w:numId w:val="8"/>
            </w:numPr>
            <w:tabs>
              <w:tab w:val="left" w:pos="925"/>
              <w:tab w:val="left" w:pos="926"/>
              <w:tab w:val="right" w:leader="dot" w:pos="9269"/>
            </w:tabs>
            <w:spacing w:before="96"/>
          </w:pPr>
          <w:hyperlink w:anchor="_bookmark12" w:history="1">
            <w:r w:rsidR="000A0C36">
              <w:t>Monitoring activities</w:t>
            </w:r>
            <w:r w:rsidR="000A0C36">
              <w:tab/>
              <w:t>10</w:t>
            </w:r>
          </w:hyperlink>
        </w:p>
        <w:p w14:paraId="5188AB5F" w14:textId="77777777" w:rsidR="00463F76" w:rsidRDefault="00FA5766">
          <w:pPr>
            <w:pStyle w:val="TOC2"/>
            <w:numPr>
              <w:ilvl w:val="1"/>
              <w:numId w:val="8"/>
            </w:numPr>
            <w:tabs>
              <w:tab w:val="left" w:pos="1175"/>
              <w:tab w:val="left" w:pos="1176"/>
              <w:tab w:val="right" w:leader="dot" w:pos="9269"/>
            </w:tabs>
          </w:pPr>
          <w:hyperlink w:anchor="_bookmark13" w:history="1">
            <w:r w:rsidR="000A0C36">
              <w:t>Quality</w:t>
            </w:r>
            <w:r w:rsidR="000A0C36">
              <w:rPr>
                <w:spacing w:val="-1"/>
              </w:rPr>
              <w:t xml:space="preserve"> </w:t>
            </w:r>
            <w:r w:rsidR="000A0C36">
              <w:t>Control</w:t>
            </w:r>
            <w:r w:rsidR="000A0C36">
              <w:tab/>
              <w:t>10</w:t>
            </w:r>
          </w:hyperlink>
        </w:p>
        <w:p w14:paraId="5188AB60" w14:textId="77777777" w:rsidR="00463F76" w:rsidRDefault="00FA5766">
          <w:pPr>
            <w:pStyle w:val="TOC2"/>
            <w:numPr>
              <w:ilvl w:val="1"/>
              <w:numId w:val="8"/>
            </w:numPr>
            <w:tabs>
              <w:tab w:val="left" w:pos="1415"/>
              <w:tab w:val="left" w:pos="1416"/>
              <w:tab w:val="right" w:leader="dot" w:pos="9269"/>
            </w:tabs>
            <w:spacing w:before="102"/>
            <w:ind w:left="1416" w:hanging="760"/>
          </w:pPr>
          <w:hyperlink w:anchor="_bookmark14" w:history="1">
            <w:r w:rsidR="000A0C36">
              <w:t>Variations</w:t>
            </w:r>
            <w:r w:rsidR="000A0C36">
              <w:tab/>
              <w:t>10</w:t>
            </w:r>
          </w:hyperlink>
        </w:p>
        <w:p w14:paraId="5188AB61" w14:textId="77777777" w:rsidR="00463F76" w:rsidRDefault="00FA5766">
          <w:pPr>
            <w:pStyle w:val="TOC2"/>
            <w:numPr>
              <w:ilvl w:val="1"/>
              <w:numId w:val="8"/>
            </w:numPr>
            <w:tabs>
              <w:tab w:val="left" w:pos="1415"/>
              <w:tab w:val="left" w:pos="1416"/>
              <w:tab w:val="right" w:leader="dot" w:pos="9269"/>
            </w:tabs>
            <w:spacing w:before="97"/>
            <w:ind w:left="1416" w:hanging="760"/>
          </w:pPr>
          <w:hyperlink w:anchor="_bookmark15" w:history="1">
            <w:r w:rsidR="000A0C36">
              <w:t>Traceability</w:t>
            </w:r>
            <w:r w:rsidR="000A0C36">
              <w:tab/>
              <w:t>11</w:t>
            </w:r>
          </w:hyperlink>
        </w:p>
        <w:p w14:paraId="5188AB62" w14:textId="77777777" w:rsidR="00463F76" w:rsidRDefault="00FA5766">
          <w:pPr>
            <w:pStyle w:val="TOC2"/>
            <w:numPr>
              <w:ilvl w:val="1"/>
              <w:numId w:val="8"/>
            </w:numPr>
            <w:tabs>
              <w:tab w:val="left" w:pos="1415"/>
              <w:tab w:val="left" w:pos="1416"/>
              <w:tab w:val="right" w:leader="dot" w:pos="9269"/>
            </w:tabs>
            <w:ind w:left="1416" w:hanging="760"/>
          </w:pPr>
          <w:hyperlink w:anchor="_bookmark16" w:history="1">
            <w:r w:rsidR="000A0C36">
              <w:t>Complaints</w:t>
            </w:r>
            <w:r w:rsidR="000A0C36">
              <w:tab/>
              <w:t>11</w:t>
            </w:r>
          </w:hyperlink>
        </w:p>
        <w:p w14:paraId="5188AB63" w14:textId="77777777" w:rsidR="00463F76" w:rsidRDefault="00FA5766">
          <w:pPr>
            <w:pStyle w:val="TOC2"/>
            <w:numPr>
              <w:ilvl w:val="1"/>
              <w:numId w:val="8"/>
            </w:numPr>
            <w:tabs>
              <w:tab w:val="left" w:pos="1415"/>
              <w:tab w:val="left" w:pos="1416"/>
              <w:tab w:val="right" w:leader="dot" w:pos="9269"/>
            </w:tabs>
            <w:spacing w:before="102"/>
            <w:ind w:left="1416" w:hanging="760"/>
          </w:pPr>
          <w:hyperlink w:anchor="_bookmark17" w:history="1">
            <w:r w:rsidR="000A0C36">
              <w:t>Re-assessment</w:t>
            </w:r>
            <w:r w:rsidR="000A0C36">
              <w:tab/>
              <w:t>11</w:t>
            </w:r>
          </w:hyperlink>
        </w:p>
        <w:p w14:paraId="5188AB64" w14:textId="77777777" w:rsidR="00463F76" w:rsidRDefault="00FA5766">
          <w:pPr>
            <w:pStyle w:val="TOC2"/>
            <w:numPr>
              <w:ilvl w:val="1"/>
              <w:numId w:val="8"/>
            </w:numPr>
            <w:tabs>
              <w:tab w:val="left" w:pos="1415"/>
              <w:tab w:val="left" w:pos="1416"/>
              <w:tab w:val="right" w:leader="dot" w:pos="9269"/>
            </w:tabs>
            <w:ind w:left="1416" w:hanging="760"/>
          </w:pPr>
          <w:hyperlink w:anchor="_bookmark18" w:history="1">
            <w:r w:rsidR="000A0C36">
              <w:t>Regulatory</w:t>
            </w:r>
            <w:r w:rsidR="000A0C36">
              <w:rPr>
                <w:spacing w:val="-1"/>
              </w:rPr>
              <w:t xml:space="preserve"> </w:t>
            </w:r>
            <w:r w:rsidR="000A0C36">
              <w:t>watch</w:t>
            </w:r>
            <w:r w:rsidR="000A0C36">
              <w:rPr>
                <w:spacing w:val="-1"/>
              </w:rPr>
              <w:t xml:space="preserve"> </w:t>
            </w:r>
            <w:r w:rsidR="000A0C36">
              <w:t>procedure</w:t>
            </w:r>
            <w:r w:rsidR="000A0C36">
              <w:tab/>
              <w:t>11</w:t>
            </w:r>
          </w:hyperlink>
        </w:p>
        <w:p w14:paraId="5188AB65" w14:textId="77777777" w:rsidR="00463F76" w:rsidRDefault="00FA5766">
          <w:pPr>
            <w:pStyle w:val="TOC1"/>
            <w:numPr>
              <w:ilvl w:val="0"/>
              <w:numId w:val="8"/>
            </w:numPr>
            <w:tabs>
              <w:tab w:val="left" w:pos="925"/>
              <w:tab w:val="left" w:pos="926"/>
              <w:tab w:val="right" w:leader="dot" w:pos="9269"/>
            </w:tabs>
            <w:spacing w:before="96"/>
          </w:pPr>
          <w:hyperlink w:anchor="_bookmark19" w:history="1">
            <w:r w:rsidR="000A0C36">
              <w:t>Post-procurement</w:t>
            </w:r>
            <w:r w:rsidR="000A0C36">
              <w:rPr>
                <w:spacing w:val="-1"/>
              </w:rPr>
              <w:t xml:space="preserve"> </w:t>
            </w:r>
            <w:r w:rsidR="000A0C36">
              <w:t>Quality Assurance</w:t>
            </w:r>
            <w:r w:rsidR="000A0C36">
              <w:tab/>
              <w:t>11</w:t>
            </w:r>
          </w:hyperlink>
        </w:p>
        <w:p w14:paraId="5188AB66" w14:textId="77777777" w:rsidR="00463F76" w:rsidRDefault="00FA5766">
          <w:pPr>
            <w:pStyle w:val="TOC1"/>
            <w:numPr>
              <w:ilvl w:val="0"/>
              <w:numId w:val="8"/>
            </w:numPr>
            <w:tabs>
              <w:tab w:val="left" w:pos="925"/>
              <w:tab w:val="left" w:pos="926"/>
              <w:tab w:val="right" w:leader="dot" w:pos="9269"/>
            </w:tabs>
            <w:spacing w:before="103"/>
          </w:pPr>
          <w:hyperlink w:anchor="_bookmark20" w:history="1">
            <w:r w:rsidR="000A0C36">
              <w:t>Implementation of</w:t>
            </w:r>
            <w:r w:rsidR="000A0C36">
              <w:rPr>
                <w:spacing w:val="-5"/>
              </w:rPr>
              <w:t xml:space="preserve"> </w:t>
            </w:r>
            <w:r w:rsidR="000A0C36">
              <w:t>the</w:t>
            </w:r>
            <w:r w:rsidR="000A0C36">
              <w:rPr>
                <w:spacing w:val="-1"/>
              </w:rPr>
              <w:t xml:space="preserve"> </w:t>
            </w:r>
            <w:r w:rsidR="000A0C36">
              <w:t>policy</w:t>
            </w:r>
            <w:r w:rsidR="000A0C36">
              <w:tab/>
              <w:t>11</w:t>
            </w:r>
          </w:hyperlink>
        </w:p>
        <w:p w14:paraId="5188AB67" w14:textId="77777777" w:rsidR="00463F76" w:rsidRDefault="00FA5766">
          <w:pPr>
            <w:pStyle w:val="TOC1"/>
            <w:numPr>
              <w:ilvl w:val="0"/>
              <w:numId w:val="8"/>
            </w:numPr>
            <w:tabs>
              <w:tab w:val="left" w:pos="925"/>
              <w:tab w:val="left" w:pos="926"/>
              <w:tab w:val="right" w:leader="dot" w:pos="9269"/>
            </w:tabs>
            <w:spacing w:before="101"/>
          </w:pPr>
          <w:hyperlink w:anchor="_bookmark21" w:history="1">
            <w:r w:rsidR="000A0C36">
              <w:t>Reporting</w:t>
            </w:r>
            <w:r w:rsidR="000A0C36">
              <w:tab/>
              <w:t>12</w:t>
            </w:r>
          </w:hyperlink>
        </w:p>
      </w:sdtContent>
    </w:sdt>
    <w:p w14:paraId="5188AB68" w14:textId="77777777" w:rsidR="00463F76" w:rsidRDefault="00463F76">
      <w:pPr>
        <w:sectPr w:rsidR="00463F76">
          <w:pgSz w:w="11900" w:h="16840"/>
          <w:pgMar w:top="1340" w:right="1200" w:bottom="940" w:left="1200" w:header="0" w:footer="752" w:gutter="0"/>
          <w:cols w:space="720"/>
        </w:sectPr>
      </w:pPr>
    </w:p>
    <w:p w14:paraId="5188AB69" w14:textId="77777777" w:rsidR="00463F76" w:rsidRDefault="000A0C36">
      <w:pPr>
        <w:pStyle w:val="Heading2"/>
        <w:numPr>
          <w:ilvl w:val="0"/>
          <w:numId w:val="7"/>
        </w:numPr>
        <w:tabs>
          <w:tab w:val="left" w:pos="501"/>
        </w:tabs>
        <w:spacing w:before="73"/>
        <w:jc w:val="both"/>
        <w:rPr>
          <w:rFonts w:ascii="Calibri Light"/>
          <w:color w:val="2D74B5"/>
        </w:rPr>
      </w:pPr>
      <w:bookmarkStart w:id="0" w:name="1._Introduction"/>
      <w:bookmarkStart w:id="1" w:name="_bookmark0"/>
      <w:bookmarkEnd w:id="0"/>
      <w:bookmarkEnd w:id="1"/>
      <w:r>
        <w:rPr>
          <w:rFonts w:ascii="Calibri Light"/>
          <w:color w:val="2D74B5"/>
        </w:rPr>
        <w:lastRenderedPageBreak/>
        <w:t>Introduction</w:t>
      </w:r>
    </w:p>
    <w:p w14:paraId="5188AB6A" w14:textId="77777777" w:rsidR="00463F76" w:rsidRDefault="000A0C36">
      <w:pPr>
        <w:pStyle w:val="BodyText"/>
        <w:spacing w:before="270"/>
        <w:ind w:left="215"/>
        <w:jc w:val="both"/>
      </w:pPr>
      <w:r>
        <w:t>In line with the UNDP Strategic Plan (2018-2021)</w:t>
      </w:r>
      <w:r>
        <w:rPr>
          <w:position w:val="7"/>
          <w:sz w:val="14"/>
        </w:rPr>
        <w:t xml:space="preserve">1 </w:t>
      </w:r>
      <w:r>
        <w:t>and UNDP’s HIV, Health and Development Strategy</w:t>
      </w:r>
    </w:p>
    <w:p w14:paraId="5188AB6B" w14:textId="77777777" w:rsidR="00463F76" w:rsidRDefault="000A0C36">
      <w:pPr>
        <w:pStyle w:val="BodyText"/>
        <w:spacing w:before="2"/>
        <w:ind w:left="215" w:right="214"/>
        <w:jc w:val="both"/>
      </w:pPr>
      <w:r>
        <w:t>– Connecting the Dots (2016-2021)</w:t>
      </w:r>
      <w:r>
        <w:rPr>
          <w:position w:val="7"/>
          <w:sz w:val="14"/>
        </w:rPr>
        <w:t>2</w:t>
      </w:r>
      <w:r>
        <w:t xml:space="preserve">, UNDP supports countries to implement large-scale health </w:t>
      </w:r>
      <w:proofErr w:type="spellStart"/>
      <w:r>
        <w:t>programmes</w:t>
      </w:r>
      <w:proofErr w:type="spellEnd"/>
      <w:r>
        <w:rPr>
          <w:spacing w:val="-4"/>
        </w:rPr>
        <w:t xml:space="preserve"> </w:t>
      </w:r>
      <w:r>
        <w:t>for</w:t>
      </w:r>
      <w:r>
        <w:rPr>
          <w:spacing w:val="-5"/>
        </w:rPr>
        <w:t xml:space="preserve"> </w:t>
      </w:r>
      <w:r>
        <w:t>increasing</w:t>
      </w:r>
      <w:r>
        <w:rPr>
          <w:spacing w:val="-2"/>
        </w:rPr>
        <w:t xml:space="preserve"> </w:t>
      </w:r>
      <w:r>
        <w:t>access</w:t>
      </w:r>
      <w:r>
        <w:rPr>
          <w:spacing w:val="-5"/>
        </w:rPr>
        <w:t xml:space="preserve"> </w:t>
      </w:r>
      <w:r>
        <w:t>to</w:t>
      </w:r>
      <w:r>
        <w:rPr>
          <w:spacing w:val="-3"/>
        </w:rPr>
        <w:t xml:space="preserve"> </w:t>
      </w:r>
      <w:r>
        <w:t>inclusive</w:t>
      </w:r>
      <w:r>
        <w:rPr>
          <w:spacing w:val="-3"/>
        </w:rPr>
        <w:t xml:space="preserve"> </w:t>
      </w:r>
      <w:r>
        <w:t>basic</w:t>
      </w:r>
      <w:r>
        <w:rPr>
          <w:spacing w:val="-1"/>
        </w:rPr>
        <w:t xml:space="preserve"> </w:t>
      </w:r>
      <w:r>
        <w:t>services</w:t>
      </w:r>
      <w:r>
        <w:rPr>
          <w:spacing w:val="-3"/>
        </w:rPr>
        <w:t xml:space="preserve"> </w:t>
      </w:r>
      <w:r>
        <w:t>within</w:t>
      </w:r>
      <w:r>
        <w:rPr>
          <w:spacing w:val="-4"/>
        </w:rPr>
        <w:t xml:space="preserve"> </w:t>
      </w:r>
      <w:r>
        <w:t>the</w:t>
      </w:r>
      <w:r>
        <w:rPr>
          <w:spacing w:val="-4"/>
        </w:rPr>
        <w:t xml:space="preserve"> </w:t>
      </w:r>
      <w:r>
        <w:t>framework</w:t>
      </w:r>
      <w:r>
        <w:rPr>
          <w:spacing w:val="-3"/>
        </w:rPr>
        <w:t xml:space="preserve"> </w:t>
      </w:r>
      <w:r>
        <w:t>of</w:t>
      </w:r>
      <w:r>
        <w:rPr>
          <w:spacing w:val="-6"/>
        </w:rPr>
        <w:t xml:space="preserve"> </w:t>
      </w:r>
      <w:r>
        <w:t>national</w:t>
      </w:r>
      <w:r>
        <w:rPr>
          <w:spacing w:val="-4"/>
        </w:rPr>
        <w:t xml:space="preserve"> </w:t>
      </w:r>
      <w:r>
        <w:t>policies and priorities. This is done to support countries in achieving the Sustainable Development Goals, in close cooperation with the World Health Organization (WHO</w:t>
      </w:r>
      <w:r>
        <w:rPr>
          <w:position w:val="7"/>
          <w:sz w:val="14"/>
        </w:rPr>
        <w:t>3</w:t>
      </w:r>
      <w:r>
        <w:t>) and other UN agencies. More specifically,</w:t>
      </w:r>
      <w:r>
        <w:rPr>
          <w:spacing w:val="-3"/>
        </w:rPr>
        <w:t xml:space="preserve"> </w:t>
      </w:r>
      <w:r>
        <w:t>this</w:t>
      </w:r>
      <w:r>
        <w:rPr>
          <w:spacing w:val="-4"/>
        </w:rPr>
        <w:t xml:space="preserve"> </w:t>
      </w:r>
      <w:r>
        <w:t>helps</w:t>
      </w:r>
      <w:r>
        <w:rPr>
          <w:spacing w:val="-5"/>
        </w:rPr>
        <w:t xml:space="preserve"> </w:t>
      </w:r>
      <w:r>
        <w:t>countries</w:t>
      </w:r>
      <w:r>
        <w:rPr>
          <w:spacing w:val="-3"/>
        </w:rPr>
        <w:t xml:space="preserve"> </w:t>
      </w:r>
      <w:r>
        <w:t>to</w:t>
      </w:r>
      <w:r>
        <w:rPr>
          <w:spacing w:val="-1"/>
        </w:rPr>
        <w:t xml:space="preserve"> </w:t>
      </w:r>
      <w:r>
        <w:t>build</w:t>
      </w:r>
      <w:r>
        <w:rPr>
          <w:spacing w:val="-3"/>
        </w:rPr>
        <w:t xml:space="preserve"> </w:t>
      </w:r>
      <w:r>
        <w:t>a</w:t>
      </w:r>
      <w:r>
        <w:rPr>
          <w:spacing w:val="-3"/>
        </w:rPr>
        <w:t xml:space="preserve"> </w:t>
      </w:r>
      <w:r>
        <w:t>solid</w:t>
      </w:r>
      <w:r>
        <w:rPr>
          <w:spacing w:val="-3"/>
        </w:rPr>
        <w:t xml:space="preserve"> </w:t>
      </w:r>
      <w:r>
        <w:t>foundation</w:t>
      </w:r>
      <w:r>
        <w:rPr>
          <w:spacing w:val="-3"/>
        </w:rPr>
        <w:t xml:space="preserve"> </w:t>
      </w:r>
      <w:r>
        <w:t>for</w:t>
      </w:r>
      <w:r>
        <w:rPr>
          <w:spacing w:val="-4"/>
        </w:rPr>
        <w:t xml:space="preserve"> </w:t>
      </w:r>
      <w:r>
        <w:t>universal</w:t>
      </w:r>
      <w:r>
        <w:rPr>
          <w:spacing w:val="-3"/>
        </w:rPr>
        <w:t xml:space="preserve"> </w:t>
      </w:r>
      <w:r>
        <w:t>health</w:t>
      </w:r>
      <w:r>
        <w:rPr>
          <w:spacing w:val="-3"/>
        </w:rPr>
        <w:t xml:space="preserve"> </w:t>
      </w:r>
      <w:r>
        <w:t>coverage</w:t>
      </w:r>
      <w:r>
        <w:rPr>
          <w:spacing w:val="-2"/>
        </w:rPr>
        <w:t xml:space="preserve"> </w:t>
      </w:r>
      <w:r>
        <w:t>and</w:t>
      </w:r>
      <w:r>
        <w:rPr>
          <w:spacing w:val="-3"/>
        </w:rPr>
        <w:t xml:space="preserve"> </w:t>
      </w:r>
      <w:r>
        <w:t>ensuring no one is left</w:t>
      </w:r>
      <w:r>
        <w:rPr>
          <w:spacing w:val="-4"/>
        </w:rPr>
        <w:t xml:space="preserve"> </w:t>
      </w:r>
      <w:r>
        <w:t>behind.</w:t>
      </w:r>
    </w:p>
    <w:p w14:paraId="5188AB6C" w14:textId="77777777" w:rsidR="00463F76" w:rsidRDefault="00463F76">
      <w:pPr>
        <w:pStyle w:val="BodyText"/>
        <w:spacing w:before="1"/>
      </w:pPr>
    </w:p>
    <w:p w14:paraId="5188AB6D" w14:textId="77777777" w:rsidR="00463F76" w:rsidRDefault="000A0C36">
      <w:pPr>
        <w:pStyle w:val="BodyText"/>
        <w:ind w:left="215" w:right="212"/>
        <w:jc w:val="both"/>
      </w:pPr>
      <w:r>
        <w:t>Since</w:t>
      </w:r>
      <w:r>
        <w:rPr>
          <w:spacing w:val="-4"/>
        </w:rPr>
        <w:t xml:space="preserve"> </w:t>
      </w:r>
      <w:r>
        <w:t>2003,</w:t>
      </w:r>
      <w:r>
        <w:rPr>
          <w:spacing w:val="-3"/>
        </w:rPr>
        <w:t xml:space="preserve"> </w:t>
      </w:r>
      <w:r>
        <w:t>UNDP</w:t>
      </w:r>
      <w:r>
        <w:rPr>
          <w:spacing w:val="-3"/>
        </w:rPr>
        <w:t xml:space="preserve"> </w:t>
      </w:r>
      <w:r>
        <w:t>has</w:t>
      </w:r>
      <w:r>
        <w:rPr>
          <w:spacing w:val="-4"/>
        </w:rPr>
        <w:t xml:space="preserve"> </w:t>
      </w:r>
      <w:r>
        <w:t>worked</w:t>
      </w:r>
      <w:r>
        <w:rPr>
          <w:spacing w:val="-5"/>
        </w:rPr>
        <w:t xml:space="preserve"> </w:t>
      </w:r>
      <w:r>
        <w:t>as</w:t>
      </w:r>
      <w:r>
        <w:rPr>
          <w:spacing w:val="-5"/>
        </w:rPr>
        <w:t xml:space="preserve"> </w:t>
      </w:r>
      <w:r>
        <w:t>interim</w:t>
      </w:r>
      <w:r>
        <w:rPr>
          <w:spacing w:val="-5"/>
        </w:rPr>
        <w:t xml:space="preserve"> </w:t>
      </w:r>
      <w:r>
        <w:t>Principal</w:t>
      </w:r>
      <w:r>
        <w:rPr>
          <w:spacing w:val="-5"/>
        </w:rPr>
        <w:t xml:space="preserve"> </w:t>
      </w:r>
      <w:r>
        <w:t>Recipient</w:t>
      </w:r>
      <w:r>
        <w:rPr>
          <w:spacing w:val="-2"/>
        </w:rPr>
        <w:t xml:space="preserve"> </w:t>
      </w:r>
      <w:r>
        <w:t>for</w:t>
      </w:r>
      <w:r>
        <w:rPr>
          <w:spacing w:val="-5"/>
        </w:rPr>
        <w:t xml:space="preserve"> </w:t>
      </w:r>
      <w:r>
        <w:t>funding</w:t>
      </w:r>
      <w:r>
        <w:rPr>
          <w:spacing w:val="-3"/>
        </w:rPr>
        <w:t xml:space="preserve"> </w:t>
      </w:r>
      <w:r>
        <w:t>from</w:t>
      </w:r>
      <w:r>
        <w:rPr>
          <w:spacing w:val="-4"/>
        </w:rPr>
        <w:t xml:space="preserve"> </w:t>
      </w:r>
      <w:r>
        <w:t>The</w:t>
      </w:r>
      <w:r>
        <w:rPr>
          <w:spacing w:val="-5"/>
        </w:rPr>
        <w:t xml:space="preserve"> </w:t>
      </w:r>
      <w:r>
        <w:t>Global</w:t>
      </w:r>
      <w:r>
        <w:rPr>
          <w:spacing w:val="-3"/>
        </w:rPr>
        <w:t xml:space="preserve"> </w:t>
      </w:r>
      <w:r>
        <w:t>Fund</w:t>
      </w:r>
      <w:r>
        <w:rPr>
          <w:spacing w:val="-5"/>
        </w:rPr>
        <w:t xml:space="preserve"> </w:t>
      </w:r>
      <w:r>
        <w:t>to</w:t>
      </w:r>
      <w:r>
        <w:rPr>
          <w:spacing w:val="-4"/>
        </w:rPr>
        <w:t xml:space="preserve"> </w:t>
      </w:r>
      <w:r>
        <w:t>Fight AIDS, TB and Malaria (Global Fund) in over 50 countries. In these countries, UNDP provides a broad range of implementation support, including procurement of medicines and other health products for HIV/AIDS, tuberculosis and malaria (accounting for 50-60% of the budgets), which are complemented by longer-term capacity-building efforts which include strengthening procurement systems for health products.</w:t>
      </w:r>
    </w:p>
    <w:p w14:paraId="5188AB6E" w14:textId="77777777" w:rsidR="00463F76" w:rsidRDefault="00463F76">
      <w:pPr>
        <w:pStyle w:val="BodyText"/>
      </w:pPr>
    </w:p>
    <w:p w14:paraId="5188AB6F" w14:textId="77777777" w:rsidR="00463F76" w:rsidRDefault="000A0C36">
      <w:pPr>
        <w:pStyle w:val="BodyText"/>
        <w:spacing w:before="1"/>
        <w:ind w:left="215" w:right="219"/>
        <w:jc w:val="both"/>
      </w:pPr>
      <w:r>
        <w:t>A rapidly increasing number of governments are requesting UNDP to help strengthen national capacities and systems for the provision of health services, especially for the procurement and supply management of health products</w:t>
      </w:r>
      <w:r>
        <w:rPr>
          <w:position w:val="7"/>
          <w:sz w:val="14"/>
        </w:rPr>
        <w:t xml:space="preserve">4 </w:t>
      </w:r>
      <w:r>
        <w:t>for communicable and more recently for non-communicable diseases (NCD)</w:t>
      </w:r>
      <w:r>
        <w:rPr>
          <w:position w:val="7"/>
          <w:sz w:val="14"/>
        </w:rPr>
        <w:t>5</w:t>
      </w:r>
      <w:r>
        <w:t>. In 2017 alone, UNDP procured over US$ 350 million of health products.</w:t>
      </w:r>
    </w:p>
    <w:p w14:paraId="5188AB70" w14:textId="77777777" w:rsidR="00463F76" w:rsidRDefault="00463F76">
      <w:pPr>
        <w:pStyle w:val="BodyText"/>
        <w:spacing w:before="2"/>
      </w:pPr>
    </w:p>
    <w:p w14:paraId="5188AB71" w14:textId="77777777" w:rsidR="00463F76" w:rsidRDefault="000A0C36">
      <w:pPr>
        <w:pStyle w:val="BodyText"/>
        <w:ind w:left="215" w:right="213"/>
        <w:jc w:val="both"/>
      </w:pPr>
      <w:r>
        <w:t>Conducting procurement of health products in a globalized pharmaceutical market places the organization</w:t>
      </w:r>
      <w:r>
        <w:rPr>
          <w:spacing w:val="-4"/>
        </w:rPr>
        <w:t xml:space="preserve"> </w:t>
      </w:r>
      <w:r>
        <w:t>at</w:t>
      </w:r>
      <w:r>
        <w:rPr>
          <w:spacing w:val="-3"/>
        </w:rPr>
        <w:t xml:space="preserve"> </w:t>
      </w:r>
      <w:r>
        <w:t>special</w:t>
      </w:r>
      <w:r>
        <w:rPr>
          <w:spacing w:val="-3"/>
        </w:rPr>
        <w:t xml:space="preserve"> </w:t>
      </w:r>
      <w:r>
        <w:t>risk</w:t>
      </w:r>
      <w:r>
        <w:rPr>
          <w:spacing w:val="-3"/>
        </w:rPr>
        <w:t xml:space="preserve"> </w:t>
      </w:r>
      <w:r>
        <w:t>of</w:t>
      </w:r>
      <w:r>
        <w:rPr>
          <w:spacing w:val="-6"/>
        </w:rPr>
        <w:t xml:space="preserve"> </w:t>
      </w:r>
      <w:r>
        <w:t>providing</w:t>
      </w:r>
      <w:r>
        <w:rPr>
          <w:spacing w:val="-3"/>
        </w:rPr>
        <w:t xml:space="preserve"> </w:t>
      </w:r>
      <w:r>
        <w:t>substandard products</w:t>
      </w:r>
      <w:r>
        <w:rPr>
          <w:spacing w:val="-5"/>
        </w:rPr>
        <w:t xml:space="preserve"> </w:t>
      </w:r>
      <w:r>
        <w:t>which</w:t>
      </w:r>
      <w:r>
        <w:rPr>
          <w:spacing w:val="-3"/>
        </w:rPr>
        <w:t xml:space="preserve"> </w:t>
      </w:r>
      <w:r>
        <w:t>could</w:t>
      </w:r>
      <w:r>
        <w:rPr>
          <w:spacing w:val="-4"/>
        </w:rPr>
        <w:t xml:space="preserve"> </w:t>
      </w:r>
      <w:r>
        <w:t>put</w:t>
      </w:r>
      <w:r>
        <w:rPr>
          <w:spacing w:val="-3"/>
        </w:rPr>
        <w:t xml:space="preserve"> </w:t>
      </w:r>
      <w:r>
        <w:t>patients’</w:t>
      </w:r>
      <w:r>
        <w:rPr>
          <w:spacing w:val="-3"/>
        </w:rPr>
        <w:t xml:space="preserve"> </w:t>
      </w:r>
      <w:r>
        <w:t>health</w:t>
      </w:r>
      <w:r>
        <w:rPr>
          <w:spacing w:val="-4"/>
        </w:rPr>
        <w:t xml:space="preserve"> </w:t>
      </w:r>
      <w:r>
        <w:t>at</w:t>
      </w:r>
      <w:r>
        <w:rPr>
          <w:spacing w:val="-3"/>
        </w:rPr>
        <w:t xml:space="preserve"> </w:t>
      </w:r>
      <w:r>
        <w:t>risk, expose UNDP to legal actions, cause loss of money and severely damage the reputation of the organization.</w:t>
      </w:r>
    </w:p>
    <w:p w14:paraId="5188AB72" w14:textId="77777777" w:rsidR="00463F76" w:rsidRDefault="00463F76">
      <w:pPr>
        <w:pStyle w:val="BodyText"/>
        <w:spacing w:before="9"/>
        <w:rPr>
          <w:sz w:val="21"/>
        </w:rPr>
      </w:pPr>
    </w:p>
    <w:p w14:paraId="5188AB73" w14:textId="77777777" w:rsidR="00463F76" w:rsidRDefault="000A0C36">
      <w:pPr>
        <w:pStyle w:val="BodyText"/>
        <w:spacing w:before="1"/>
        <w:ind w:left="215" w:right="213"/>
        <w:jc w:val="both"/>
      </w:pPr>
      <w:r>
        <w:t>Consequently,</w:t>
      </w:r>
      <w:r>
        <w:rPr>
          <w:spacing w:val="-7"/>
        </w:rPr>
        <w:t xml:space="preserve"> </w:t>
      </w:r>
      <w:r>
        <w:t>and</w:t>
      </w:r>
      <w:r>
        <w:rPr>
          <w:spacing w:val="-2"/>
        </w:rPr>
        <w:t xml:space="preserve"> </w:t>
      </w:r>
      <w:r>
        <w:t>in</w:t>
      </w:r>
      <w:r>
        <w:rPr>
          <w:spacing w:val="-7"/>
        </w:rPr>
        <w:t xml:space="preserve"> </w:t>
      </w:r>
      <w:r>
        <w:t>line</w:t>
      </w:r>
      <w:r>
        <w:rPr>
          <w:spacing w:val="-3"/>
        </w:rPr>
        <w:t xml:space="preserve"> </w:t>
      </w:r>
      <w:r>
        <w:t>with</w:t>
      </w:r>
      <w:r>
        <w:rPr>
          <w:spacing w:val="-6"/>
        </w:rPr>
        <w:t xml:space="preserve"> </w:t>
      </w:r>
      <w:r>
        <w:t>established</w:t>
      </w:r>
      <w:r>
        <w:rPr>
          <w:spacing w:val="-7"/>
        </w:rPr>
        <w:t xml:space="preserve"> </w:t>
      </w:r>
      <w:r>
        <w:t>best</w:t>
      </w:r>
      <w:r>
        <w:rPr>
          <w:spacing w:val="-6"/>
        </w:rPr>
        <w:t xml:space="preserve"> </w:t>
      </w:r>
      <w:r>
        <w:t>practice,</w:t>
      </w:r>
      <w:r>
        <w:rPr>
          <w:spacing w:val="-6"/>
        </w:rPr>
        <w:t xml:space="preserve"> </w:t>
      </w:r>
      <w:r>
        <w:t>UNDP</w:t>
      </w:r>
      <w:r>
        <w:rPr>
          <w:spacing w:val="-5"/>
        </w:rPr>
        <w:t xml:space="preserve"> </w:t>
      </w:r>
      <w:r>
        <w:t>has</w:t>
      </w:r>
      <w:r>
        <w:rPr>
          <w:spacing w:val="-8"/>
        </w:rPr>
        <w:t xml:space="preserve"> </w:t>
      </w:r>
      <w:r>
        <w:t>taken</w:t>
      </w:r>
      <w:r>
        <w:rPr>
          <w:spacing w:val="-7"/>
        </w:rPr>
        <w:t xml:space="preserve"> </w:t>
      </w:r>
      <w:r>
        <w:t>the</w:t>
      </w:r>
      <w:r>
        <w:rPr>
          <w:spacing w:val="-2"/>
        </w:rPr>
        <w:t xml:space="preserve"> </w:t>
      </w:r>
      <w:r>
        <w:t>decision</w:t>
      </w:r>
      <w:r>
        <w:rPr>
          <w:position w:val="7"/>
          <w:sz w:val="14"/>
        </w:rPr>
        <w:t>6</w:t>
      </w:r>
      <w:r>
        <w:rPr>
          <w:spacing w:val="10"/>
          <w:position w:val="7"/>
          <w:sz w:val="14"/>
        </w:rPr>
        <w:t xml:space="preserve"> </w:t>
      </w:r>
      <w:r>
        <w:t>to</w:t>
      </w:r>
      <w:r>
        <w:rPr>
          <w:spacing w:val="-7"/>
        </w:rPr>
        <w:t xml:space="preserve"> </w:t>
      </w:r>
      <w:r>
        <w:t>develop</w:t>
      </w:r>
      <w:r>
        <w:rPr>
          <w:spacing w:val="-7"/>
        </w:rPr>
        <w:t xml:space="preserve"> </w:t>
      </w:r>
      <w:r>
        <w:t>and implement</w:t>
      </w:r>
      <w:r>
        <w:rPr>
          <w:spacing w:val="-7"/>
        </w:rPr>
        <w:t xml:space="preserve"> </w:t>
      </w:r>
      <w:r>
        <w:t>a</w:t>
      </w:r>
      <w:r>
        <w:rPr>
          <w:spacing w:val="-8"/>
        </w:rPr>
        <w:t xml:space="preserve"> </w:t>
      </w:r>
      <w:r>
        <w:t>UNDP</w:t>
      </w:r>
      <w:r>
        <w:rPr>
          <w:spacing w:val="-6"/>
        </w:rPr>
        <w:t xml:space="preserve"> </w:t>
      </w:r>
      <w:r>
        <w:t>Quality</w:t>
      </w:r>
      <w:r>
        <w:rPr>
          <w:spacing w:val="-2"/>
        </w:rPr>
        <w:t xml:space="preserve"> </w:t>
      </w:r>
      <w:r>
        <w:t>Assurance</w:t>
      </w:r>
      <w:r>
        <w:rPr>
          <w:spacing w:val="-6"/>
        </w:rPr>
        <w:t xml:space="preserve"> </w:t>
      </w:r>
      <w:r>
        <w:t>(QA)</w:t>
      </w:r>
      <w:r>
        <w:rPr>
          <w:spacing w:val="-9"/>
        </w:rPr>
        <w:t xml:space="preserve"> </w:t>
      </w:r>
      <w:r>
        <w:t>Policy</w:t>
      </w:r>
      <w:r>
        <w:rPr>
          <w:spacing w:val="-7"/>
        </w:rPr>
        <w:t xml:space="preserve"> </w:t>
      </w:r>
      <w:r>
        <w:t>for</w:t>
      </w:r>
      <w:r>
        <w:rPr>
          <w:spacing w:val="-9"/>
        </w:rPr>
        <w:t xml:space="preserve"> </w:t>
      </w:r>
      <w:r>
        <w:t>all</w:t>
      </w:r>
      <w:r>
        <w:rPr>
          <w:spacing w:val="-4"/>
        </w:rPr>
        <w:t xml:space="preserve"> </w:t>
      </w:r>
      <w:r>
        <w:t>health</w:t>
      </w:r>
      <w:r>
        <w:rPr>
          <w:spacing w:val="-8"/>
        </w:rPr>
        <w:t xml:space="preserve"> </w:t>
      </w:r>
      <w:r>
        <w:t>products</w:t>
      </w:r>
      <w:r>
        <w:rPr>
          <w:spacing w:val="-8"/>
        </w:rPr>
        <w:t xml:space="preserve"> </w:t>
      </w:r>
      <w:r>
        <w:t>supplied</w:t>
      </w:r>
      <w:r>
        <w:rPr>
          <w:spacing w:val="-4"/>
        </w:rPr>
        <w:t xml:space="preserve"> </w:t>
      </w:r>
      <w:r>
        <w:t>by</w:t>
      </w:r>
      <w:r>
        <w:rPr>
          <w:spacing w:val="-8"/>
        </w:rPr>
        <w:t xml:space="preserve"> </w:t>
      </w:r>
      <w:r>
        <w:t>UNDP.</w:t>
      </w:r>
      <w:r>
        <w:rPr>
          <w:spacing w:val="-9"/>
        </w:rPr>
        <w:t xml:space="preserve"> </w:t>
      </w:r>
      <w:r>
        <w:t>This</w:t>
      </w:r>
      <w:r>
        <w:rPr>
          <w:spacing w:val="-3"/>
        </w:rPr>
        <w:t xml:space="preserve"> </w:t>
      </w:r>
      <w:r>
        <w:t>policy is indispensable given the immediate risk to human life associated with the distribution of sub- standard or falsified health products to individuals (inefficacy or toxicity of medicines, inappropriateness</w:t>
      </w:r>
      <w:r>
        <w:rPr>
          <w:spacing w:val="-12"/>
        </w:rPr>
        <w:t xml:space="preserve"> </w:t>
      </w:r>
      <w:r>
        <w:t>of</w:t>
      </w:r>
      <w:r>
        <w:rPr>
          <w:spacing w:val="-12"/>
        </w:rPr>
        <w:t xml:space="preserve"> </w:t>
      </w:r>
      <w:r>
        <w:t>medical</w:t>
      </w:r>
      <w:r>
        <w:rPr>
          <w:spacing w:val="-11"/>
        </w:rPr>
        <w:t xml:space="preserve"> </w:t>
      </w:r>
      <w:r>
        <w:t>devices,</w:t>
      </w:r>
      <w:r>
        <w:rPr>
          <w:spacing w:val="-11"/>
        </w:rPr>
        <w:t xml:space="preserve"> </w:t>
      </w:r>
      <w:r>
        <w:t>lack</w:t>
      </w:r>
      <w:r>
        <w:rPr>
          <w:spacing w:val="-10"/>
        </w:rPr>
        <w:t xml:space="preserve"> </w:t>
      </w:r>
      <w:r>
        <w:t>of</w:t>
      </w:r>
      <w:r>
        <w:rPr>
          <w:spacing w:val="-12"/>
        </w:rPr>
        <w:t xml:space="preserve"> </w:t>
      </w:r>
      <w:r>
        <w:t>sterility,</w:t>
      </w:r>
      <w:r>
        <w:rPr>
          <w:spacing w:val="-10"/>
        </w:rPr>
        <w:t xml:space="preserve"> </w:t>
      </w:r>
      <w:r>
        <w:t>etc.)</w:t>
      </w:r>
      <w:r>
        <w:rPr>
          <w:spacing w:val="-12"/>
        </w:rPr>
        <w:t xml:space="preserve"> </w:t>
      </w:r>
      <w:r>
        <w:t>and</w:t>
      </w:r>
      <w:r>
        <w:rPr>
          <w:spacing w:val="-6"/>
        </w:rPr>
        <w:t xml:space="preserve"> </w:t>
      </w:r>
      <w:r>
        <w:t>to</w:t>
      </w:r>
      <w:r>
        <w:rPr>
          <w:spacing w:val="-11"/>
        </w:rPr>
        <w:t xml:space="preserve"> </w:t>
      </w:r>
      <w:r>
        <w:t>the</w:t>
      </w:r>
      <w:r>
        <w:rPr>
          <w:spacing w:val="-10"/>
        </w:rPr>
        <w:t xml:space="preserve"> </w:t>
      </w:r>
      <w:r>
        <w:t>community</w:t>
      </w:r>
      <w:r>
        <w:rPr>
          <w:spacing w:val="-10"/>
        </w:rPr>
        <w:t xml:space="preserve"> </w:t>
      </w:r>
      <w:r>
        <w:t>(risk</w:t>
      </w:r>
      <w:r>
        <w:rPr>
          <w:spacing w:val="-10"/>
        </w:rPr>
        <w:t xml:space="preserve"> </w:t>
      </w:r>
      <w:r>
        <w:t>of</w:t>
      </w:r>
      <w:r>
        <w:rPr>
          <w:spacing w:val="-12"/>
        </w:rPr>
        <w:t xml:space="preserve"> </w:t>
      </w:r>
      <w:r>
        <w:t>development of resistances to anti-infectious</w:t>
      </w:r>
      <w:r>
        <w:rPr>
          <w:spacing w:val="-7"/>
        </w:rPr>
        <w:t xml:space="preserve"> </w:t>
      </w:r>
      <w:r>
        <w:t>agents).</w:t>
      </w:r>
    </w:p>
    <w:p w14:paraId="5188AB74" w14:textId="77777777" w:rsidR="00463F76" w:rsidRDefault="00463F76">
      <w:pPr>
        <w:pStyle w:val="BodyText"/>
      </w:pPr>
    </w:p>
    <w:p w14:paraId="5188AB75" w14:textId="77777777" w:rsidR="00463F76" w:rsidRDefault="000A0C36">
      <w:pPr>
        <w:pStyle w:val="BodyText"/>
        <w:ind w:left="215" w:right="213"/>
        <w:jc w:val="both"/>
        <w:rPr>
          <w:sz w:val="14"/>
        </w:rPr>
      </w:pPr>
      <w:r>
        <w:t>For HIV, tuberculosis and malaria, the UNDP QA Policy is consistent with the Global Fund QA policy, which has been the basis for UNDP procurement in the role of interim Principal Recipient. This UNDP policy will now extend to include all other health products procured by UNDP beyond these three diseases.</w:t>
      </w:r>
      <w:r>
        <w:rPr>
          <w:position w:val="7"/>
          <w:sz w:val="14"/>
        </w:rPr>
        <w:t>7</w:t>
      </w:r>
    </w:p>
    <w:p w14:paraId="5188AB76" w14:textId="77777777" w:rsidR="00463F76" w:rsidRDefault="00463F76">
      <w:pPr>
        <w:pStyle w:val="BodyText"/>
        <w:rPr>
          <w:sz w:val="20"/>
        </w:rPr>
      </w:pPr>
    </w:p>
    <w:p w14:paraId="5188AB77" w14:textId="77777777" w:rsidR="00463F76" w:rsidRDefault="00463F76">
      <w:pPr>
        <w:pStyle w:val="BodyText"/>
        <w:rPr>
          <w:sz w:val="20"/>
        </w:rPr>
      </w:pPr>
    </w:p>
    <w:p w14:paraId="5188AB78" w14:textId="77777777" w:rsidR="00463F76" w:rsidRDefault="00463F76">
      <w:pPr>
        <w:pStyle w:val="BodyText"/>
        <w:rPr>
          <w:sz w:val="20"/>
        </w:rPr>
      </w:pPr>
    </w:p>
    <w:p w14:paraId="5188AB79" w14:textId="77777777" w:rsidR="00463F76" w:rsidRDefault="00EA6ADB">
      <w:pPr>
        <w:pStyle w:val="BodyText"/>
        <w:spacing w:before="4"/>
        <w:rPr>
          <w:sz w:val="16"/>
        </w:rPr>
      </w:pPr>
      <w:r>
        <w:rPr>
          <w:noProof/>
          <w:lang w:bidi="ar-SA"/>
        </w:rPr>
        <mc:AlternateContent>
          <mc:Choice Requires="wps">
            <w:drawing>
              <wp:anchor distT="0" distB="0" distL="0" distR="0" simplePos="0" relativeHeight="251653632" behindDoc="1" locked="0" layoutInCell="1" allowOverlap="1" wp14:anchorId="5188AC81" wp14:editId="5188AC82">
                <wp:simplePos x="0" y="0"/>
                <wp:positionH relativeFrom="page">
                  <wp:posOffset>899160</wp:posOffset>
                </wp:positionH>
                <wp:positionV relativeFrom="paragraph">
                  <wp:posOffset>154940</wp:posOffset>
                </wp:positionV>
                <wp:extent cx="1829435" cy="0"/>
                <wp:effectExtent l="13335" t="12065" r="5080" b="698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9270D" id="Line 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2pt" to="214.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yJHgIAAEM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" strokeweight=".5pt">
                <w10:wrap type="topAndBottom" anchorx="page"/>
              </v:line>
            </w:pict>
          </mc:Fallback>
        </mc:AlternateContent>
      </w:r>
    </w:p>
    <w:p w14:paraId="5188AB7A" w14:textId="74E2D4D4" w:rsidR="00463F76" w:rsidRDefault="000A0C36">
      <w:pPr>
        <w:spacing w:before="75"/>
        <w:ind w:left="215"/>
        <w:rPr>
          <w:sz w:val="18"/>
        </w:rPr>
      </w:pPr>
      <w:r>
        <w:rPr>
          <w:position w:val="5"/>
          <w:sz w:val="12"/>
        </w:rPr>
        <w:t xml:space="preserve">1 </w:t>
      </w:r>
      <w:r>
        <w:rPr>
          <w:sz w:val="18"/>
        </w:rPr>
        <w:t>UNDP Strategic Plan 2018-2021, Available at</w:t>
      </w:r>
      <w:r w:rsidR="00904212" w:rsidRPr="00C124D2">
        <w:rPr>
          <w:sz w:val="18"/>
        </w:rPr>
        <w:t xml:space="preserve"> </w:t>
      </w:r>
      <w:hyperlink r:id="rId14" w:history="1">
        <w:r w:rsidR="00C124D2" w:rsidRPr="00EE74A2">
          <w:rPr>
            <w:rStyle w:val="Hyperlink"/>
            <w:color w:val="0070C0"/>
            <w:sz w:val="18"/>
          </w:rPr>
          <w:t>http://strategicplan.undp.org/</w:t>
        </w:r>
      </w:hyperlink>
      <w:r w:rsidR="00C124D2" w:rsidRPr="00EE74A2">
        <w:rPr>
          <w:color w:val="0070C0"/>
          <w:sz w:val="18"/>
        </w:rPr>
        <w:t xml:space="preserve"> </w:t>
      </w:r>
    </w:p>
    <w:p w14:paraId="5188AB7B" w14:textId="77777777" w:rsidR="00463F76" w:rsidRDefault="000A0C36">
      <w:pPr>
        <w:ind w:left="215"/>
        <w:rPr>
          <w:sz w:val="18"/>
        </w:rPr>
      </w:pPr>
      <w:r>
        <w:rPr>
          <w:position w:val="5"/>
          <w:sz w:val="12"/>
        </w:rPr>
        <w:t xml:space="preserve">2 </w:t>
      </w:r>
      <w:r>
        <w:rPr>
          <w:sz w:val="18"/>
        </w:rPr>
        <w:t xml:space="preserve">UNDP. HIV, Health and Development Strategy 2016-2021: </w:t>
      </w:r>
      <w:r>
        <w:rPr>
          <w:i/>
          <w:sz w:val="18"/>
        </w:rPr>
        <w:t>Connecting the</w:t>
      </w:r>
      <w:r>
        <w:rPr>
          <w:i/>
          <w:spacing w:val="-11"/>
          <w:sz w:val="18"/>
        </w:rPr>
        <w:t xml:space="preserve"> </w:t>
      </w:r>
      <w:r>
        <w:rPr>
          <w:i/>
          <w:sz w:val="18"/>
        </w:rPr>
        <w:t>Dots</w:t>
      </w:r>
      <w:r>
        <w:rPr>
          <w:sz w:val="18"/>
        </w:rPr>
        <w:t>.</w:t>
      </w:r>
    </w:p>
    <w:p w14:paraId="5188AB7C" w14:textId="77777777" w:rsidR="00463F76" w:rsidRDefault="000A0C36">
      <w:pPr>
        <w:ind w:left="215"/>
        <w:rPr>
          <w:sz w:val="18"/>
        </w:rPr>
      </w:pPr>
      <w:r>
        <w:rPr>
          <w:position w:val="5"/>
          <w:sz w:val="12"/>
        </w:rPr>
        <w:t xml:space="preserve">3 </w:t>
      </w:r>
      <w:r>
        <w:rPr>
          <w:sz w:val="18"/>
        </w:rPr>
        <w:t>Memorandum of Understanding between UNDP and WHO. Signed 4 May</w:t>
      </w:r>
      <w:r>
        <w:rPr>
          <w:spacing w:val="-28"/>
          <w:sz w:val="18"/>
        </w:rPr>
        <w:t xml:space="preserve"> </w:t>
      </w:r>
      <w:r>
        <w:rPr>
          <w:sz w:val="18"/>
        </w:rPr>
        <w:t>2018.</w:t>
      </w:r>
    </w:p>
    <w:p w14:paraId="5188AB7D" w14:textId="77777777" w:rsidR="00463F76" w:rsidRDefault="000A0C36">
      <w:pPr>
        <w:spacing w:before="14"/>
        <w:ind w:left="215" w:right="131"/>
        <w:rPr>
          <w:sz w:val="18"/>
        </w:rPr>
      </w:pPr>
      <w:r>
        <w:rPr>
          <w:rFonts w:ascii="Georgia" w:hAnsi="Georgia"/>
          <w:position w:val="6"/>
          <w:sz w:val="14"/>
        </w:rPr>
        <w:t xml:space="preserve">4 </w:t>
      </w:r>
      <w:r>
        <w:rPr>
          <w:sz w:val="18"/>
        </w:rPr>
        <w:t>“Health products” in the context of UNDP QA policy include medicines, medical devices, medical equipment and pesticides for public health.</w:t>
      </w:r>
    </w:p>
    <w:p w14:paraId="5188AB7E" w14:textId="77777777" w:rsidR="00463F76" w:rsidRPr="00286BA1" w:rsidRDefault="000A0C36">
      <w:pPr>
        <w:ind w:left="215" w:right="452"/>
        <w:rPr>
          <w:sz w:val="18"/>
        </w:rPr>
      </w:pPr>
      <w:r w:rsidRPr="00286BA1">
        <w:rPr>
          <w:position w:val="5"/>
          <w:sz w:val="12"/>
        </w:rPr>
        <w:t xml:space="preserve">5 </w:t>
      </w:r>
      <w:r w:rsidRPr="00286BA1">
        <w:rPr>
          <w:sz w:val="18"/>
        </w:rPr>
        <w:t>“Non-communicable diseases, also known as chronic diseases, are not passed from person to person. They are of long duration and generally slow progression. The four main types of non-communicable diseases are cardiovascular diseases (like heart attacks and stroke), cancers, chronic respiratory diseases (such as chronic obstructed pulmonary disease and asthma) and diabetes” (WHO – Global status report on non-communicable diseases – 2014).</w:t>
      </w:r>
    </w:p>
    <w:p w14:paraId="5188AB7F" w14:textId="77777777" w:rsidR="00463F76" w:rsidRDefault="000A0C36">
      <w:pPr>
        <w:spacing w:before="2"/>
        <w:ind w:left="215"/>
        <w:rPr>
          <w:sz w:val="18"/>
        </w:rPr>
      </w:pPr>
      <w:r>
        <w:rPr>
          <w:rFonts w:ascii="Georgia"/>
          <w:position w:val="5"/>
          <w:sz w:val="12"/>
        </w:rPr>
        <w:t xml:space="preserve">6 </w:t>
      </w:r>
      <w:r>
        <w:rPr>
          <w:sz w:val="18"/>
        </w:rPr>
        <w:t>OPG Decision, 16 November 2017</w:t>
      </w:r>
    </w:p>
    <w:p w14:paraId="5188AB80" w14:textId="77777777" w:rsidR="00463F76" w:rsidRDefault="000A0C36">
      <w:pPr>
        <w:ind w:left="215" w:right="330"/>
        <w:rPr>
          <w:sz w:val="18"/>
        </w:rPr>
      </w:pPr>
      <w:r>
        <w:rPr>
          <w:rFonts w:ascii="Georgia"/>
          <w:position w:val="5"/>
          <w:sz w:val="12"/>
        </w:rPr>
        <w:t xml:space="preserve">7 </w:t>
      </w:r>
      <w:r>
        <w:rPr>
          <w:sz w:val="18"/>
        </w:rPr>
        <w:t>It is to be noted UN and other international organizations procuring health products have a Quality Assurance Policy, and a specialized health procurement function at corporate level.</w:t>
      </w:r>
    </w:p>
    <w:p w14:paraId="5188AB81" w14:textId="77777777" w:rsidR="00463F76" w:rsidRDefault="00463F76">
      <w:pPr>
        <w:rPr>
          <w:sz w:val="18"/>
        </w:rPr>
        <w:sectPr w:rsidR="00463F76">
          <w:pgSz w:w="11900" w:h="16840"/>
          <w:pgMar w:top="1340" w:right="1200" w:bottom="940" w:left="1200" w:header="0" w:footer="752" w:gutter="0"/>
          <w:cols w:space="720"/>
        </w:sectPr>
      </w:pPr>
    </w:p>
    <w:p w14:paraId="5188AB82" w14:textId="77777777" w:rsidR="00463F76" w:rsidRDefault="000A0C36">
      <w:pPr>
        <w:pStyle w:val="BodyText"/>
        <w:spacing w:before="76"/>
        <w:ind w:left="215" w:right="213"/>
        <w:jc w:val="both"/>
      </w:pPr>
      <w:r>
        <w:lastRenderedPageBreak/>
        <w:t>The</w:t>
      </w:r>
      <w:r>
        <w:rPr>
          <w:spacing w:val="-4"/>
        </w:rPr>
        <w:t xml:space="preserve"> </w:t>
      </w:r>
      <w:r>
        <w:t>UNDP</w:t>
      </w:r>
      <w:r>
        <w:rPr>
          <w:spacing w:val="-2"/>
        </w:rPr>
        <w:t xml:space="preserve"> </w:t>
      </w:r>
      <w:r>
        <w:t>QA</w:t>
      </w:r>
      <w:r>
        <w:rPr>
          <w:spacing w:val="-7"/>
        </w:rPr>
        <w:t xml:space="preserve"> </w:t>
      </w:r>
      <w:r>
        <w:t>Policy</w:t>
      </w:r>
      <w:r>
        <w:rPr>
          <w:spacing w:val="-3"/>
        </w:rPr>
        <w:t xml:space="preserve"> </w:t>
      </w:r>
      <w:r>
        <w:t>is</w:t>
      </w:r>
      <w:r>
        <w:rPr>
          <w:spacing w:val="-4"/>
        </w:rPr>
        <w:t xml:space="preserve"> </w:t>
      </w:r>
      <w:r>
        <w:t>based</w:t>
      </w:r>
      <w:r>
        <w:rPr>
          <w:spacing w:val="-4"/>
        </w:rPr>
        <w:t xml:space="preserve"> </w:t>
      </w:r>
      <w:r>
        <w:t>on</w:t>
      </w:r>
      <w:r>
        <w:rPr>
          <w:spacing w:val="-4"/>
        </w:rPr>
        <w:t xml:space="preserve"> </w:t>
      </w:r>
      <w:r>
        <w:t>international/WHO</w:t>
      </w:r>
      <w:r>
        <w:rPr>
          <w:spacing w:val="-3"/>
        </w:rPr>
        <w:t xml:space="preserve"> </w:t>
      </w:r>
      <w:r>
        <w:t>guidelines</w:t>
      </w:r>
      <w:r>
        <w:rPr>
          <w:spacing w:val="-3"/>
        </w:rPr>
        <w:t xml:space="preserve"> </w:t>
      </w:r>
      <w:r>
        <w:t>for</w:t>
      </w:r>
      <w:r>
        <w:rPr>
          <w:spacing w:val="-5"/>
        </w:rPr>
        <w:t xml:space="preserve"> </w:t>
      </w:r>
      <w:r>
        <w:t>medicines</w:t>
      </w:r>
      <w:r>
        <w:rPr>
          <w:spacing w:val="-4"/>
        </w:rPr>
        <w:t xml:space="preserve"> </w:t>
      </w:r>
      <w:r>
        <w:t>and</w:t>
      </w:r>
      <w:r>
        <w:rPr>
          <w:spacing w:val="-4"/>
        </w:rPr>
        <w:t xml:space="preserve"> </w:t>
      </w:r>
      <w:r>
        <w:t>health</w:t>
      </w:r>
      <w:r>
        <w:rPr>
          <w:spacing w:val="-4"/>
        </w:rPr>
        <w:t xml:space="preserve"> </w:t>
      </w:r>
      <w:r>
        <w:t>products</w:t>
      </w:r>
      <w:r>
        <w:rPr>
          <w:spacing w:val="-6"/>
        </w:rPr>
        <w:t xml:space="preserve"> </w:t>
      </w:r>
      <w:r>
        <w:t>and is aligned with QA policies from other UN organizations and other international organizations such as The Global</w:t>
      </w:r>
      <w:r>
        <w:rPr>
          <w:spacing w:val="-1"/>
        </w:rPr>
        <w:t xml:space="preserve"> </w:t>
      </w:r>
      <w:r>
        <w:t>Fund.</w:t>
      </w:r>
    </w:p>
    <w:p w14:paraId="5188AB83" w14:textId="77777777" w:rsidR="00463F76" w:rsidRDefault="00463F76">
      <w:pPr>
        <w:pStyle w:val="BodyText"/>
        <w:spacing w:before="1"/>
      </w:pPr>
    </w:p>
    <w:p w14:paraId="5188AB84" w14:textId="77777777" w:rsidR="00463F76" w:rsidRDefault="000A0C36">
      <w:pPr>
        <w:pStyle w:val="BodyText"/>
        <w:ind w:left="215" w:right="209"/>
        <w:jc w:val="both"/>
      </w:pPr>
      <w:r>
        <w:t>Consistent observance of this policy is essential to ensure UNDP health procurement is safe. Regular monitoring and oversight of the compliance of the QA policy, and support to its implementation, will be</w:t>
      </w:r>
      <w:r>
        <w:rPr>
          <w:spacing w:val="-3"/>
        </w:rPr>
        <w:t xml:space="preserve"> </w:t>
      </w:r>
      <w:r>
        <w:t>the</w:t>
      </w:r>
      <w:r>
        <w:rPr>
          <w:spacing w:val="-4"/>
        </w:rPr>
        <w:t xml:space="preserve"> </w:t>
      </w:r>
      <w:r>
        <w:t>responsibility</w:t>
      </w:r>
      <w:r>
        <w:rPr>
          <w:spacing w:val="-2"/>
        </w:rPr>
        <w:t xml:space="preserve"> </w:t>
      </w:r>
      <w:r>
        <w:t>of</w:t>
      </w:r>
      <w:r>
        <w:rPr>
          <w:spacing w:val="-5"/>
        </w:rPr>
        <w:t xml:space="preserve"> </w:t>
      </w:r>
      <w:r>
        <w:t>BPPS-HHD</w:t>
      </w:r>
      <w:r>
        <w:rPr>
          <w:spacing w:val="-3"/>
        </w:rPr>
        <w:t xml:space="preserve"> </w:t>
      </w:r>
      <w:r>
        <w:t>as</w:t>
      </w:r>
      <w:r>
        <w:rPr>
          <w:spacing w:val="-4"/>
        </w:rPr>
        <w:t xml:space="preserve"> </w:t>
      </w:r>
      <w:r>
        <w:t>part</w:t>
      </w:r>
      <w:r>
        <w:rPr>
          <w:spacing w:val="-2"/>
        </w:rPr>
        <w:t xml:space="preserve"> </w:t>
      </w:r>
      <w:r>
        <w:t>of</w:t>
      </w:r>
      <w:r>
        <w:rPr>
          <w:spacing w:val="-4"/>
        </w:rPr>
        <w:t xml:space="preserve"> </w:t>
      </w:r>
      <w:r>
        <w:t>its</w:t>
      </w:r>
      <w:r>
        <w:rPr>
          <w:spacing w:val="-4"/>
        </w:rPr>
        <w:t xml:space="preserve"> </w:t>
      </w:r>
      <w:r>
        <w:t>overall</w:t>
      </w:r>
      <w:r>
        <w:rPr>
          <w:spacing w:val="-3"/>
        </w:rPr>
        <w:t xml:space="preserve"> </w:t>
      </w:r>
      <w:r>
        <w:t>technical</w:t>
      </w:r>
      <w:r>
        <w:rPr>
          <w:spacing w:val="-2"/>
        </w:rPr>
        <w:t xml:space="preserve"> </w:t>
      </w:r>
      <w:r>
        <w:t>support</w:t>
      </w:r>
      <w:r>
        <w:rPr>
          <w:spacing w:val="-2"/>
        </w:rPr>
        <w:t xml:space="preserve"> </w:t>
      </w:r>
      <w:r>
        <w:t>to</w:t>
      </w:r>
      <w:r>
        <w:rPr>
          <w:spacing w:val="-4"/>
        </w:rPr>
        <w:t xml:space="preserve"> </w:t>
      </w:r>
      <w:r>
        <w:t>Country</w:t>
      </w:r>
      <w:r>
        <w:rPr>
          <w:spacing w:val="-1"/>
        </w:rPr>
        <w:t xml:space="preserve"> </w:t>
      </w:r>
      <w:r>
        <w:t>Offices</w:t>
      </w:r>
      <w:r>
        <w:rPr>
          <w:spacing w:val="-3"/>
        </w:rPr>
        <w:t xml:space="preserve"> </w:t>
      </w:r>
      <w:r>
        <w:t>and</w:t>
      </w:r>
      <w:r>
        <w:rPr>
          <w:spacing w:val="-4"/>
        </w:rPr>
        <w:t xml:space="preserve"> </w:t>
      </w:r>
      <w:r>
        <w:t>to</w:t>
      </w:r>
      <w:r>
        <w:rPr>
          <w:spacing w:val="-3"/>
        </w:rPr>
        <w:t xml:space="preserve"> </w:t>
      </w:r>
      <w:r>
        <w:t>the Procurement Support Unit (PSU)/Bureau of Management Services (BMS), as per OPG decision</w:t>
      </w:r>
      <w:r>
        <w:rPr>
          <w:position w:val="7"/>
          <w:sz w:val="14"/>
        </w:rPr>
        <w:t>8</w:t>
      </w:r>
      <w:r>
        <w:t>. This policy will also serve as a guide for the development of national quality assurance systems through longer-term UNDP capacity-building activities in</w:t>
      </w:r>
      <w:r>
        <w:rPr>
          <w:spacing w:val="-6"/>
        </w:rPr>
        <w:t xml:space="preserve"> </w:t>
      </w:r>
      <w:r>
        <w:t>countries.</w:t>
      </w:r>
    </w:p>
    <w:p w14:paraId="5188AB85" w14:textId="77777777" w:rsidR="00463F76" w:rsidRDefault="00463F76">
      <w:pPr>
        <w:pStyle w:val="BodyText"/>
        <w:spacing w:before="1"/>
      </w:pPr>
    </w:p>
    <w:p w14:paraId="5188AB86" w14:textId="77777777" w:rsidR="00463F76" w:rsidRDefault="000A0C36">
      <w:pPr>
        <w:pStyle w:val="BodyText"/>
        <w:ind w:left="215" w:right="212"/>
        <w:jc w:val="both"/>
      </w:pPr>
      <w:r>
        <w:t>The UNDP Quality Assurance Policy is a key document for all parties involved in health procurement activities across UNDP as well as for national partners, suppliers and donors as it details UNDP’s requirements for health procurement, in line with international best practice.</w:t>
      </w:r>
    </w:p>
    <w:p w14:paraId="5188AB87" w14:textId="77777777" w:rsidR="00463F76" w:rsidRDefault="00463F76">
      <w:pPr>
        <w:pStyle w:val="BodyText"/>
        <w:spacing w:before="1"/>
        <w:rPr>
          <w:sz w:val="25"/>
        </w:rPr>
      </w:pPr>
    </w:p>
    <w:p w14:paraId="5188AB88" w14:textId="77777777" w:rsidR="00463F76" w:rsidRDefault="000A0C36">
      <w:pPr>
        <w:pStyle w:val="Heading2"/>
        <w:numPr>
          <w:ilvl w:val="0"/>
          <w:numId w:val="7"/>
        </w:numPr>
        <w:tabs>
          <w:tab w:val="left" w:pos="501"/>
        </w:tabs>
        <w:jc w:val="both"/>
        <w:rPr>
          <w:rFonts w:ascii="Calibri Light"/>
          <w:color w:val="2D74B5"/>
        </w:rPr>
      </w:pPr>
      <w:bookmarkStart w:id="2" w:name="2._Scope"/>
      <w:bookmarkStart w:id="3" w:name="_bookmark1"/>
      <w:bookmarkEnd w:id="2"/>
      <w:bookmarkEnd w:id="3"/>
      <w:r>
        <w:rPr>
          <w:rFonts w:ascii="Calibri Light"/>
          <w:color w:val="2D74B5"/>
        </w:rPr>
        <w:t>Scope</w:t>
      </w:r>
    </w:p>
    <w:p w14:paraId="5188AB89" w14:textId="77777777" w:rsidR="00463F76" w:rsidRDefault="000A0C36">
      <w:pPr>
        <w:pStyle w:val="BodyText"/>
        <w:spacing w:before="271"/>
        <w:ind w:left="215" w:right="211"/>
        <w:jc w:val="both"/>
      </w:pPr>
      <w:r>
        <w:t>The UNDP Quality Assurance Policy applies to all health products</w:t>
      </w:r>
      <w:r>
        <w:rPr>
          <w:position w:val="7"/>
          <w:sz w:val="14"/>
        </w:rPr>
        <w:t xml:space="preserve">9 </w:t>
      </w:r>
      <w:r>
        <w:t>procured and/or supplied</w:t>
      </w:r>
      <w:r>
        <w:rPr>
          <w:position w:val="7"/>
          <w:sz w:val="14"/>
        </w:rPr>
        <w:t xml:space="preserve">10 </w:t>
      </w:r>
      <w:r>
        <w:t>by UNDP, whether through its specialized procurement services at corporate level, Country Offices or other business units.</w:t>
      </w:r>
    </w:p>
    <w:p w14:paraId="5188AB8A" w14:textId="77777777" w:rsidR="00463F76" w:rsidRDefault="00463F76">
      <w:pPr>
        <w:pStyle w:val="BodyText"/>
        <w:spacing w:before="4"/>
        <w:rPr>
          <w:sz w:val="28"/>
        </w:rPr>
      </w:pPr>
    </w:p>
    <w:p w14:paraId="5188AB8B" w14:textId="77777777" w:rsidR="00463F76" w:rsidRDefault="000A0C36">
      <w:pPr>
        <w:pStyle w:val="Heading2"/>
        <w:numPr>
          <w:ilvl w:val="0"/>
          <w:numId w:val="7"/>
        </w:numPr>
        <w:tabs>
          <w:tab w:val="left" w:pos="501"/>
        </w:tabs>
        <w:jc w:val="both"/>
        <w:rPr>
          <w:rFonts w:ascii="Calibri Light"/>
          <w:color w:val="2D74B5"/>
        </w:rPr>
      </w:pPr>
      <w:bookmarkStart w:id="4" w:name="3._Responsibilities"/>
      <w:bookmarkStart w:id="5" w:name="_bookmark2"/>
      <w:bookmarkEnd w:id="4"/>
      <w:bookmarkEnd w:id="5"/>
      <w:r>
        <w:rPr>
          <w:rFonts w:ascii="Calibri Light"/>
          <w:color w:val="2D74B5"/>
        </w:rPr>
        <w:t>Responsibilities</w:t>
      </w:r>
    </w:p>
    <w:p w14:paraId="5188AB8C" w14:textId="77777777" w:rsidR="00463F76" w:rsidRDefault="000A0C36">
      <w:pPr>
        <w:pStyle w:val="BodyText"/>
        <w:spacing w:before="271"/>
        <w:ind w:left="215" w:right="213"/>
        <w:jc w:val="both"/>
      </w:pPr>
      <w:r>
        <w:t>UNDP has established a QA system</w:t>
      </w:r>
      <w:r>
        <w:rPr>
          <w:position w:val="7"/>
          <w:sz w:val="14"/>
        </w:rPr>
        <w:t xml:space="preserve">11 </w:t>
      </w:r>
      <w:r>
        <w:t>that ensures that all health products procured and/or supplied by UNDP will be of appropriate quality and will not expose the consumer (patient) to avoidable risks. The QA system includes clear quality requirements for health products, manufacturing sites and all entities involved in the storage, distribution and transportation of such health products. The responsibility of UNDP under this QA Policy terminates when health products are delivered to the consignee in the recipient country.</w:t>
      </w:r>
    </w:p>
    <w:p w14:paraId="5188AB8D" w14:textId="77777777" w:rsidR="00463F76" w:rsidRDefault="00463F76">
      <w:pPr>
        <w:pStyle w:val="BodyText"/>
        <w:spacing w:before="1"/>
      </w:pPr>
    </w:p>
    <w:p w14:paraId="5188AB8E" w14:textId="77777777" w:rsidR="00463F76" w:rsidRDefault="000A0C36">
      <w:pPr>
        <w:pStyle w:val="BodyText"/>
        <w:ind w:left="215" w:right="209"/>
        <w:jc w:val="both"/>
      </w:pPr>
      <w:r>
        <w:t>In line with international best practices and WHO recommendations, the QA function will be independent from the health procurement function of UNDP. BPPS-HHD is responsible for the implementation, monitoring and the compliance to the QA policy.</w:t>
      </w:r>
    </w:p>
    <w:p w14:paraId="5188AB8F" w14:textId="77777777" w:rsidR="00463F76" w:rsidRDefault="00463F76">
      <w:pPr>
        <w:pStyle w:val="BodyText"/>
        <w:spacing w:before="1"/>
      </w:pPr>
    </w:p>
    <w:p w14:paraId="5188AB90" w14:textId="77777777" w:rsidR="00463F76" w:rsidRDefault="000A0C36">
      <w:pPr>
        <w:pStyle w:val="BodyText"/>
        <w:ind w:left="215"/>
        <w:jc w:val="both"/>
      </w:pPr>
      <w:r>
        <w:t>All UNDP business units undertaking health procurement shall apply the QA Policy.</w:t>
      </w:r>
    </w:p>
    <w:p w14:paraId="5188AB91" w14:textId="77777777" w:rsidR="00463F76" w:rsidRDefault="00463F76">
      <w:pPr>
        <w:pStyle w:val="BodyText"/>
        <w:spacing w:before="10"/>
        <w:rPr>
          <w:sz w:val="21"/>
        </w:rPr>
      </w:pPr>
    </w:p>
    <w:p w14:paraId="5188AB92" w14:textId="77777777" w:rsidR="00463F76" w:rsidRDefault="000A0C36">
      <w:pPr>
        <w:pStyle w:val="BodyText"/>
        <w:ind w:left="215" w:right="207"/>
        <w:jc w:val="both"/>
      </w:pPr>
      <w:r>
        <w:t>The UNDP QA system includes provisions to prevent or mitigate potential or perceived conflicts of interest related to:</w:t>
      </w:r>
    </w:p>
    <w:p w14:paraId="5188AB93" w14:textId="77777777" w:rsidR="00463F76" w:rsidRDefault="000A0C36">
      <w:pPr>
        <w:pStyle w:val="ListParagraph"/>
        <w:numPr>
          <w:ilvl w:val="1"/>
          <w:numId w:val="7"/>
        </w:numPr>
        <w:tabs>
          <w:tab w:val="left" w:pos="935"/>
          <w:tab w:val="left" w:pos="936"/>
        </w:tabs>
        <w:spacing w:before="2" w:line="280" w:lineRule="exact"/>
      </w:pPr>
      <w:r>
        <w:t>UNDP staff involved in QA work and related</w:t>
      </w:r>
      <w:r>
        <w:rPr>
          <w:spacing w:val="-8"/>
        </w:rPr>
        <w:t xml:space="preserve"> </w:t>
      </w:r>
      <w:r>
        <w:t>activities</w:t>
      </w:r>
    </w:p>
    <w:p w14:paraId="5188AB94" w14:textId="77777777" w:rsidR="00463F76" w:rsidRDefault="000A0C36">
      <w:pPr>
        <w:pStyle w:val="ListParagraph"/>
        <w:numPr>
          <w:ilvl w:val="1"/>
          <w:numId w:val="7"/>
        </w:numPr>
        <w:tabs>
          <w:tab w:val="left" w:pos="935"/>
          <w:tab w:val="left" w:pos="936"/>
        </w:tabs>
        <w:spacing w:line="280" w:lineRule="exact"/>
      </w:pPr>
      <w:r>
        <w:t>UNDP staff involved in procurement and purchasing activities;</w:t>
      </w:r>
      <w:r>
        <w:rPr>
          <w:spacing w:val="-4"/>
        </w:rPr>
        <w:t xml:space="preserve"> </w:t>
      </w:r>
      <w:r>
        <w:t>and</w:t>
      </w:r>
    </w:p>
    <w:p w14:paraId="5188AB95" w14:textId="77777777" w:rsidR="00463F76" w:rsidRDefault="000A0C36">
      <w:pPr>
        <w:pStyle w:val="ListParagraph"/>
        <w:numPr>
          <w:ilvl w:val="1"/>
          <w:numId w:val="7"/>
        </w:numPr>
        <w:tabs>
          <w:tab w:val="left" w:pos="935"/>
          <w:tab w:val="left" w:pos="936"/>
        </w:tabs>
        <w:spacing w:line="242" w:lineRule="auto"/>
        <w:ind w:right="208"/>
      </w:pPr>
      <w:r>
        <w:t>Individual Consultants, Service Providers who participate in the identification, evaluation and qualification of sources.</w:t>
      </w:r>
    </w:p>
    <w:p w14:paraId="5188AB96" w14:textId="77777777" w:rsidR="00463F76" w:rsidRDefault="00463F76">
      <w:pPr>
        <w:pStyle w:val="BodyText"/>
        <w:rPr>
          <w:sz w:val="20"/>
        </w:rPr>
      </w:pPr>
    </w:p>
    <w:p w14:paraId="5188AB97" w14:textId="77777777" w:rsidR="00463F76" w:rsidRDefault="00463F76">
      <w:pPr>
        <w:pStyle w:val="BodyText"/>
        <w:rPr>
          <w:sz w:val="20"/>
        </w:rPr>
      </w:pPr>
    </w:p>
    <w:p w14:paraId="5188AB98" w14:textId="77777777" w:rsidR="00463F76" w:rsidRDefault="00EA6ADB">
      <w:pPr>
        <w:pStyle w:val="BodyText"/>
        <w:spacing w:before="2"/>
        <w:rPr>
          <w:sz w:val="17"/>
        </w:rPr>
      </w:pPr>
      <w:r>
        <w:rPr>
          <w:noProof/>
          <w:lang w:bidi="ar-SA"/>
        </w:rPr>
        <mc:AlternateContent>
          <mc:Choice Requires="wps">
            <w:drawing>
              <wp:anchor distT="0" distB="0" distL="0" distR="0" simplePos="0" relativeHeight="251654656" behindDoc="1" locked="0" layoutInCell="1" allowOverlap="1" wp14:anchorId="5188AC83" wp14:editId="5188AC84">
                <wp:simplePos x="0" y="0"/>
                <wp:positionH relativeFrom="page">
                  <wp:posOffset>899160</wp:posOffset>
                </wp:positionH>
                <wp:positionV relativeFrom="paragraph">
                  <wp:posOffset>161290</wp:posOffset>
                </wp:positionV>
                <wp:extent cx="1829435" cy="0"/>
                <wp:effectExtent l="13335" t="11430" r="5080" b="762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7A06" id="Line 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7pt" to="214.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vx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" strokeweight=".5pt">
                <w10:wrap type="topAndBottom" anchorx="page"/>
              </v:line>
            </w:pict>
          </mc:Fallback>
        </mc:AlternateContent>
      </w:r>
    </w:p>
    <w:p w14:paraId="5188AB99" w14:textId="77777777" w:rsidR="00463F76" w:rsidRDefault="000A0C36">
      <w:pPr>
        <w:spacing w:before="74"/>
        <w:ind w:left="215"/>
        <w:rPr>
          <w:sz w:val="18"/>
        </w:rPr>
      </w:pPr>
      <w:r>
        <w:rPr>
          <w:position w:val="5"/>
          <w:sz w:val="12"/>
        </w:rPr>
        <w:t xml:space="preserve">8 </w:t>
      </w:r>
      <w:r>
        <w:rPr>
          <w:sz w:val="18"/>
        </w:rPr>
        <w:t>OPG Decision OPG-2017.11.19-4.4, November 2017</w:t>
      </w:r>
    </w:p>
    <w:p w14:paraId="5188AB9A" w14:textId="77777777" w:rsidR="00463F76" w:rsidRDefault="000A0C36">
      <w:pPr>
        <w:pStyle w:val="ListParagraph"/>
        <w:numPr>
          <w:ilvl w:val="0"/>
          <w:numId w:val="6"/>
        </w:numPr>
        <w:tabs>
          <w:tab w:val="left" w:pos="351"/>
        </w:tabs>
        <w:spacing w:before="3"/>
        <w:rPr>
          <w:sz w:val="18"/>
        </w:rPr>
      </w:pPr>
      <w:r>
        <w:t>“</w:t>
      </w:r>
      <w:r>
        <w:rPr>
          <w:sz w:val="18"/>
        </w:rPr>
        <w:t>Health</w:t>
      </w:r>
      <w:r>
        <w:rPr>
          <w:spacing w:val="-2"/>
          <w:sz w:val="18"/>
        </w:rPr>
        <w:t xml:space="preserve"> </w:t>
      </w:r>
      <w:r>
        <w:rPr>
          <w:sz w:val="18"/>
        </w:rPr>
        <w:t>products”</w:t>
      </w:r>
      <w:r>
        <w:rPr>
          <w:spacing w:val="-3"/>
          <w:sz w:val="18"/>
        </w:rPr>
        <w:t xml:space="preserve"> </w:t>
      </w:r>
      <w:r>
        <w:rPr>
          <w:sz w:val="18"/>
        </w:rPr>
        <w:t>in</w:t>
      </w:r>
      <w:r>
        <w:rPr>
          <w:spacing w:val="-3"/>
          <w:sz w:val="18"/>
        </w:rPr>
        <w:t xml:space="preserve"> </w:t>
      </w:r>
      <w:r>
        <w:rPr>
          <w:sz w:val="18"/>
        </w:rPr>
        <w:t>the</w:t>
      </w:r>
      <w:r>
        <w:rPr>
          <w:spacing w:val="-1"/>
          <w:sz w:val="18"/>
        </w:rPr>
        <w:t xml:space="preserve"> </w:t>
      </w:r>
      <w:r>
        <w:rPr>
          <w:sz w:val="18"/>
        </w:rPr>
        <w:t>context</w:t>
      </w:r>
      <w:r>
        <w:rPr>
          <w:spacing w:val="-2"/>
          <w:sz w:val="18"/>
        </w:rPr>
        <w:t xml:space="preserve"> </w:t>
      </w:r>
      <w:r>
        <w:rPr>
          <w:sz w:val="18"/>
        </w:rPr>
        <w:t>of</w:t>
      </w:r>
      <w:r>
        <w:rPr>
          <w:spacing w:val="-3"/>
          <w:sz w:val="18"/>
        </w:rPr>
        <w:t xml:space="preserve"> </w:t>
      </w:r>
      <w:r>
        <w:rPr>
          <w:sz w:val="18"/>
        </w:rPr>
        <w:t>UNDP QA</w:t>
      </w:r>
      <w:r>
        <w:rPr>
          <w:spacing w:val="-2"/>
          <w:sz w:val="18"/>
        </w:rPr>
        <w:t xml:space="preserve"> </w:t>
      </w:r>
      <w:r>
        <w:rPr>
          <w:sz w:val="18"/>
        </w:rPr>
        <w:t>policy</w:t>
      </w:r>
      <w:r>
        <w:rPr>
          <w:spacing w:val="-5"/>
          <w:sz w:val="18"/>
        </w:rPr>
        <w:t xml:space="preserve"> </w:t>
      </w:r>
      <w:r>
        <w:rPr>
          <w:sz w:val="18"/>
        </w:rPr>
        <w:t>include</w:t>
      </w:r>
      <w:r>
        <w:rPr>
          <w:spacing w:val="-1"/>
          <w:sz w:val="18"/>
        </w:rPr>
        <w:t xml:space="preserve"> </w:t>
      </w:r>
      <w:r>
        <w:rPr>
          <w:sz w:val="18"/>
        </w:rPr>
        <w:t>medicines,</w:t>
      </w:r>
      <w:r>
        <w:rPr>
          <w:spacing w:val="-3"/>
          <w:sz w:val="18"/>
        </w:rPr>
        <w:t xml:space="preserve"> </w:t>
      </w:r>
      <w:r>
        <w:rPr>
          <w:sz w:val="18"/>
        </w:rPr>
        <w:t>medical</w:t>
      </w:r>
      <w:r>
        <w:rPr>
          <w:spacing w:val="-5"/>
          <w:sz w:val="18"/>
        </w:rPr>
        <w:t xml:space="preserve"> </w:t>
      </w:r>
      <w:r>
        <w:rPr>
          <w:sz w:val="18"/>
        </w:rPr>
        <w:t>devices,</w:t>
      </w:r>
      <w:r>
        <w:rPr>
          <w:spacing w:val="3"/>
          <w:sz w:val="18"/>
        </w:rPr>
        <w:t xml:space="preserve"> </w:t>
      </w:r>
      <w:r>
        <w:rPr>
          <w:sz w:val="18"/>
        </w:rPr>
        <w:t>medical</w:t>
      </w:r>
      <w:r>
        <w:rPr>
          <w:spacing w:val="-4"/>
          <w:sz w:val="18"/>
        </w:rPr>
        <w:t xml:space="preserve"> </w:t>
      </w:r>
      <w:r>
        <w:rPr>
          <w:sz w:val="18"/>
        </w:rPr>
        <w:t>equipment</w:t>
      </w:r>
      <w:r>
        <w:rPr>
          <w:spacing w:val="-3"/>
          <w:sz w:val="18"/>
        </w:rPr>
        <w:t xml:space="preserve"> </w:t>
      </w:r>
      <w:r>
        <w:rPr>
          <w:sz w:val="18"/>
        </w:rPr>
        <w:t>and</w:t>
      </w:r>
    </w:p>
    <w:p w14:paraId="5188AB9B" w14:textId="77777777" w:rsidR="00463F76" w:rsidRDefault="000A0C36">
      <w:pPr>
        <w:ind w:left="215"/>
        <w:rPr>
          <w:sz w:val="18"/>
        </w:rPr>
      </w:pPr>
      <w:r>
        <w:rPr>
          <w:sz w:val="18"/>
        </w:rPr>
        <w:t>pesticides for public health</w:t>
      </w:r>
    </w:p>
    <w:p w14:paraId="5188AB9C" w14:textId="77777777" w:rsidR="00463F76" w:rsidRDefault="000A0C36">
      <w:pPr>
        <w:pStyle w:val="ListParagraph"/>
        <w:numPr>
          <w:ilvl w:val="0"/>
          <w:numId w:val="6"/>
        </w:numPr>
        <w:tabs>
          <w:tab w:val="left" w:pos="416"/>
        </w:tabs>
        <w:spacing w:before="13"/>
        <w:ind w:left="415" w:hanging="200"/>
        <w:rPr>
          <w:sz w:val="18"/>
        </w:rPr>
      </w:pPr>
      <w:r>
        <w:rPr>
          <w:sz w:val="18"/>
        </w:rPr>
        <w:t>In case of donations, they will be handled in accordance to WHO Guidelines for medicine donations</w:t>
      </w:r>
      <w:r>
        <w:rPr>
          <w:spacing w:val="-26"/>
          <w:sz w:val="18"/>
        </w:rPr>
        <w:t xml:space="preserve"> </w:t>
      </w:r>
      <w:r>
        <w:rPr>
          <w:sz w:val="18"/>
        </w:rPr>
        <w:t>(2011)</w:t>
      </w:r>
    </w:p>
    <w:p w14:paraId="5188AB9D" w14:textId="77777777" w:rsidR="00463F76" w:rsidRDefault="000A0C36">
      <w:pPr>
        <w:ind w:left="215"/>
        <w:rPr>
          <w:sz w:val="18"/>
        </w:rPr>
      </w:pPr>
      <w:r>
        <w:rPr>
          <w:position w:val="5"/>
          <w:sz w:val="12"/>
        </w:rPr>
        <w:t xml:space="preserve">11 </w:t>
      </w:r>
      <w:r>
        <w:rPr>
          <w:sz w:val="18"/>
        </w:rPr>
        <w:t>“An appropriate infrastructure, encompassing the organizational structure, procedures, processes and resources, and systematic actions necessary to ensure adequate confidence that a product (or services) will satisfy given requirements for quality.” (WHO TRS 957 – Annex 4)</w:t>
      </w:r>
    </w:p>
    <w:p w14:paraId="5188AB9E" w14:textId="77777777" w:rsidR="00463F76" w:rsidRDefault="00463F76">
      <w:pPr>
        <w:rPr>
          <w:sz w:val="18"/>
        </w:rPr>
        <w:sectPr w:rsidR="00463F76">
          <w:pgSz w:w="11900" w:h="16840"/>
          <w:pgMar w:top="1340" w:right="1200" w:bottom="940" w:left="1200" w:header="0" w:footer="752" w:gutter="0"/>
          <w:cols w:space="720"/>
        </w:sectPr>
      </w:pPr>
    </w:p>
    <w:p w14:paraId="5188AB9F" w14:textId="77777777" w:rsidR="00463F76" w:rsidRDefault="000A0C36">
      <w:pPr>
        <w:pStyle w:val="BodyText"/>
        <w:spacing w:before="76"/>
        <w:ind w:left="215" w:right="215"/>
        <w:jc w:val="both"/>
      </w:pPr>
      <w:r>
        <w:lastRenderedPageBreak/>
        <w:t>The QA system ensures that all information submitted to UNDP or observed by UNDP experts during the assessment of product dossiers and technical visits of procurement agencies premises and manufacturing sites is considered strictly confidential.</w:t>
      </w:r>
    </w:p>
    <w:p w14:paraId="5188ABA0" w14:textId="77777777" w:rsidR="00463F76" w:rsidRDefault="00463F76">
      <w:pPr>
        <w:pStyle w:val="BodyText"/>
        <w:spacing w:before="2"/>
        <w:rPr>
          <w:sz w:val="29"/>
        </w:rPr>
      </w:pPr>
    </w:p>
    <w:p w14:paraId="5188ABA1" w14:textId="77777777" w:rsidR="00463F76" w:rsidRDefault="000A0C36">
      <w:pPr>
        <w:pStyle w:val="Heading2"/>
        <w:numPr>
          <w:ilvl w:val="0"/>
          <w:numId w:val="7"/>
        </w:numPr>
        <w:tabs>
          <w:tab w:val="left" w:pos="501"/>
        </w:tabs>
        <w:rPr>
          <w:rFonts w:ascii="Calibri Light"/>
          <w:color w:val="2D74B5"/>
        </w:rPr>
      </w:pPr>
      <w:bookmarkStart w:id="6" w:name="4._Norms_and_standards"/>
      <w:bookmarkStart w:id="7" w:name="_bookmark3"/>
      <w:bookmarkEnd w:id="6"/>
      <w:bookmarkEnd w:id="7"/>
      <w:r>
        <w:rPr>
          <w:rFonts w:ascii="Calibri Light"/>
          <w:color w:val="2D74B5"/>
        </w:rPr>
        <w:t>Norms and</w:t>
      </w:r>
      <w:r>
        <w:rPr>
          <w:rFonts w:ascii="Calibri Light"/>
          <w:color w:val="2D74B5"/>
          <w:spacing w:val="-1"/>
        </w:rPr>
        <w:t xml:space="preserve"> </w:t>
      </w:r>
      <w:r>
        <w:rPr>
          <w:rFonts w:ascii="Calibri Light"/>
          <w:color w:val="2D74B5"/>
        </w:rPr>
        <w:t>standards</w:t>
      </w:r>
    </w:p>
    <w:p w14:paraId="5188ABA2" w14:textId="77777777" w:rsidR="00463F76" w:rsidRDefault="00463F76">
      <w:pPr>
        <w:pStyle w:val="BodyText"/>
        <w:spacing w:before="6"/>
        <w:rPr>
          <w:rFonts w:ascii="Calibri Light"/>
          <w:sz w:val="25"/>
        </w:rPr>
      </w:pPr>
    </w:p>
    <w:p w14:paraId="5188ABA3" w14:textId="77777777" w:rsidR="00463F76" w:rsidRDefault="000A0C36">
      <w:pPr>
        <w:pStyle w:val="ListParagraph"/>
        <w:numPr>
          <w:ilvl w:val="1"/>
          <w:numId w:val="5"/>
        </w:numPr>
        <w:tabs>
          <w:tab w:val="left" w:pos="780"/>
          <w:tab w:val="left" w:pos="781"/>
        </w:tabs>
        <w:rPr>
          <w:rFonts w:ascii="Calibri Light"/>
          <w:i/>
        </w:rPr>
      </w:pPr>
      <w:bookmarkStart w:id="8" w:name="4.1_Selection_of_health_products_to_proc"/>
      <w:bookmarkStart w:id="9" w:name="_bookmark4"/>
      <w:bookmarkEnd w:id="8"/>
      <w:bookmarkEnd w:id="9"/>
      <w:r>
        <w:rPr>
          <w:rFonts w:ascii="Calibri Light"/>
          <w:i/>
          <w:color w:val="1F4D78"/>
        </w:rPr>
        <w:t xml:space="preserve">Selection of health products </w:t>
      </w:r>
      <w:r>
        <w:rPr>
          <w:rFonts w:ascii="Calibri Light"/>
          <w:i/>
          <w:color w:val="1F4D78"/>
          <w:spacing w:val="-3"/>
        </w:rPr>
        <w:t>to</w:t>
      </w:r>
      <w:r>
        <w:rPr>
          <w:rFonts w:ascii="Calibri Light"/>
          <w:i/>
          <w:color w:val="1F4D78"/>
          <w:spacing w:val="5"/>
        </w:rPr>
        <w:t xml:space="preserve"> </w:t>
      </w:r>
      <w:r>
        <w:rPr>
          <w:rFonts w:ascii="Calibri Light"/>
          <w:i/>
          <w:color w:val="1F4D78"/>
        </w:rPr>
        <w:t xml:space="preserve">procure </w:t>
      </w:r>
    </w:p>
    <w:p w14:paraId="5188ABA4" w14:textId="77777777" w:rsidR="00463F76" w:rsidRDefault="00463F76">
      <w:pPr>
        <w:pStyle w:val="BodyText"/>
        <w:spacing w:before="10"/>
        <w:rPr>
          <w:rFonts w:ascii="Calibri Light"/>
          <w:i/>
          <w:sz w:val="21"/>
        </w:rPr>
      </w:pPr>
    </w:p>
    <w:p w14:paraId="5188ABA5" w14:textId="77777777" w:rsidR="00463F76" w:rsidRDefault="000A0C36">
      <w:pPr>
        <w:pStyle w:val="BodyText"/>
        <w:spacing w:line="242" w:lineRule="auto"/>
        <w:ind w:left="215" w:right="211"/>
        <w:jc w:val="both"/>
      </w:pPr>
      <w:r>
        <w:t>For the selection of medicines to be procured, UNDP refers to the latest editions of the WHO Model Essential Medicines Lists (WHO EMLs for adults and for children)</w:t>
      </w:r>
      <w:r>
        <w:rPr>
          <w:position w:val="7"/>
          <w:sz w:val="14"/>
        </w:rPr>
        <w:t>12</w:t>
      </w:r>
      <w:r>
        <w:t>, WHO treatment guidelines and other institutional treatment guidelines.</w:t>
      </w:r>
    </w:p>
    <w:p w14:paraId="5188ABA6" w14:textId="77777777" w:rsidR="00463F76" w:rsidRDefault="00463F76">
      <w:pPr>
        <w:pStyle w:val="BodyText"/>
        <w:spacing w:before="5"/>
        <w:rPr>
          <w:sz w:val="21"/>
        </w:rPr>
      </w:pPr>
    </w:p>
    <w:p w14:paraId="5188ABA7" w14:textId="77777777" w:rsidR="00463F76" w:rsidRDefault="000A0C36">
      <w:pPr>
        <w:pStyle w:val="BodyText"/>
        <w:spacing w:before="1"/>
        <w:ind w:left="215" w:right="214"/>
        <w:jc w:val="both"/>
      </w:pPr>
      <w:r>
        <w:t xml:space="preserve">Requests for medicines submitted to UNDP that are not included in the WHO EMLs should be supported by appropriate documents (e.g. National List of Essential Medicines, National Treatment Guidelines, etc.). Such requests are assessed by the </w:t>
      </w:r>
      <w:r>
        <w:rPr>
          <w:b/>
        </w:rPr>
        <w:t xml:space="preserve">UNDP Experts Committee, </w:t>
      </w:r>
      <w:r>
        <w:t>to determine compliance with UNDP’s general principles for the procurement of medicines.</w:t>
      </w:r>
    </w:p>
    <w:p w14:paraId="5188ABA8" w14:textId="77777777" w:rsidR="00463F76" w:rsidRDefault="00EA6ADB">
      <w:pPr>
        <w:pStyle w:val="BodyText"/>
        <w:spacing w:before="11"/>
        <w:rPr>
          <w:sz w:val="18"/>
        </w:rPr>
      </w:pPr>
      <w:r>
        <w:rPr>
          <w:noProof/>
          <w:lang w:bidi="ar-SA"/>
        </w:rPr>
        <mc:AlternateContent>
          <mc:Choice Requires="wps">
            <w:drawing>
              <wp:anchor distT="0" distB="0" distL="0" distR="0" simplePos="0" relativeHeight="251655680" behindDoc="1" locked="0" layoutInCell="1" allowOverlap="1" wp14:anchorId="5188AC85" wp14:editId="5188AC86">
                <wp:simplePos x="0" y="0"/>
                <wp:positionH relativeFrom="page">
                  <wp:posOffset>826135</wp:posOffset>
                </wp:positionH>
                <wp:positionV relativeFrom="paragraph">
                  <wp:posOffset>175260</wp:posOffset>
                </wp:positionV>
                <wp:extent cx="5905500" cy="714375"/>
                <wp:effectExtent l="6985" t="10160" r="12065" b="889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143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88AC9A" w14:textId="77777777" w:rsidR="00463F76" w:rsidRDefault="000A0C36">
                            <w:pPr>
                              <w:spacing w:before="20" w:line="267" w:lineRule="exact"/>
                              <w:ind w:left="110"/>
                              <w:rPr>
                                <w:b/>
                              </w:rPr>
                            </w:pPr>
                            <w:r>
                              <w:rPr>
                                <w:b/>
                              </w:rPr>
                              <w:t>UNDP Experts Committee</w:t>
                            </w:r>
                          </w:p>
                          <w:p w14:paraId="5188AC9B" w14:textId="77777777" w:rsidR="00463F76" w:rsidRDefault="000A0C36">
                            <w:pPr>
                              <w:pStyle w:val="BodyText"/>
                              <w:ind w:left="110" w:right="110"/>
                              <w:jc w:val="both"/>
                              <w:rPr>
                                <w:rFonts w:ascii="Georgia"/>
                                <w:sz w:val="16"/>
                              </w:rPr>
                            </w:pPr>
                            <w:r>
                              <w:t>The UNDP Experts Committee shall be comprised of the UNDP Senior Health PSM Advisor, UNDP QA expert, two UNDP pharmacists, one UNDP physician and external experts who can be consulted on specific</w:t>
                            </w:r>
                            <w:r>
                              <w:rPr>
                                <w:spacing w:val="-1"/>
                              </w:rPr>
                              <w:t xml:space="preserve"> </w:t>
                            </w:r>
                            <w:r>
                              <w:t>quality</w:t>
                            </w:r>
                            <w:r>
                              <w:rPr>
                                <w:spacing w:val="-2"/>
                              </w:rPr>
                              <w:t xml:space="preserve"> </w:t>
                            </w:r>
                            <w:r>
                              <w:t>issues</w:t>
                            </w:r>
                            <w:r>
                              <w:rPr>
                                <w:spacing w:val="-4"/>
                              </w:rPr>
                              <w:t xml:space="preserve"> </w:t>
                            </w:r>
                            <w:r>
                              <w:t>on</w:t>
                            </w:r>
                            <w:r>
                              <w:rPr>
                                <w:spacing w:val="-3"/>
                              </w:rPr>
                              <w:t xml:space="preserve"> </w:t>
                            </w:r>
                            <w:r>
                              <w:t>an</w:t>
                            </w:r>
                            <w:r>
                              <w:rPr>
                                <w:spacing w:val="-3"/>
                              </w:rPr>
                              <w:t xml:space="preserve"> </w:t>
                            </w:r>
                            <w:r>
                              <w:t>ad</w:t>
                            </w:r>
                            <w:r>
                              <w:rPr>
                                <w:spacing w:val="-3"/>
                              </w:rPr>
                              <w:t xml:space="preserve"> </w:t>
                            </w:r>
                            <w:r>
                              <w:t>hoc</w:t>
                            </w:r>
                            <w:r>
                              <w:rPr>
                                <w:spacing w:val="-1"/>
                              </w:rPr>
                              <w:t xml:space="preserve"> </w:t>
                            </w:r>
                            <w:r>
                              <w:t>basis. Decisions</w:t>
                            </w:r>
                            <w:r>
                              <w:rPr>
                                <w:spacing w:val="-4"/>
                              </w:rPr>
                              <w:t xml:space="preserve"> </w:t>
                            </w:r>
                            <w:r>
                              <w:t>of</w:t>
                            </w:r>
                            <w:r>
                              <w:rPr>
                                <w:spacing w:val="-4"/>
                              </w:rPr>
                              <w:t xml:space="preserve"> </w:t>
                            </w:r>
                            <w:r>
                              <w:t>the</w:t>
                            </w:r>
                            <w:r>
                              <w:rPr>
                                <w:spacing w:val="-3"/>
                              </w:rPr>
                              <w:t xml:space="preserve"> </w:t>
                            </w:r>
                            <w:r>
                              <w:t>Experts</w:t>
                            </w:r>
                            <w:r>
                              <w:rPr>
                                <w:spacing w:val="-4"/>
                              </w:rPr>
                              <w:t xml:space="preserve"> </w:t>
                            </w:r>
                            <w:r>
                              <w:t>Committee</w:t>
                            </w:r>
                            <w:r>
                              <w:rPr>
                                <w:spacing w:val="-2"/>
                              </w:rPr>
                              <w:t xml:space="preserve"> </w:t>
                            </w:r>
                            <w:r>
                              <w:t>are</w:t>
                            </w:r>
                            <w:r>
                              <w:rPr>
                                <w:spacing w:val="-1"/>
                              </w:rPr>
                              <w:t xml:space="preserve"> </w:t>
                            </w:r>
                            <w:r>
                              <w:t>taken</w:t>
                            </w:r>
                            <w:r>
                              <w:rPr>
                                <w:spacing w:val="-3"/>
                              </w:rPr>
                              <w:t xml:space="preserve"> </w:t>
                            </w:r>
                            <w:r>
                              <w:t>by</w:t>
                            </w:r>
                            <w:r>
                              <w:rPr>
                                <w:spacing w:val="-2"/>
                              </w:rPr>
                              <w:t xml:space="preserve"> </w:t>
                            </w:r>
                            <w:r>
                              <w:t>consensus</w:t>
                            </w:r>
                            <w:r>
                              <w:rPr>
                                <w:rFonts w:ascii="Georgia"/>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8AC85" id="_x0000_t202" coordsize="21600,21600" o:spt="202" path="m,l,21600r21600,l21600,xe">
                <v:stroke joinstyle="miter"/>
                <v:path gradientshapeok="t" o:connecttype="rect"/>
              </v:shapetype>
              <v:shape id="Text Box 8" o:spid="_x0000_s1026" type="#_x0000_t202" style="position:absolute;margin-left:65.05pt;margin-top:13.8pt;width:465pt;height:56.2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" filled="f" strokeweight=".5pt">
                <v:textbox inset="0,0,0,0">
                  <w:txbxContent>
                    <w:p w14:paraId="5188AC9A" w14:textId="77777777" w:rsidR="00463F76" w:rsidRDefault="000A0C36">
                      <w:pPr>
                        <w:spacing w:before="20" w:line="267" w:lineRule="exact"/>
                        <w:ind w:left="110"/>
                        <w:rPr>
                          <w:b/>
                        </w:rPr>
                      </w:pPr>
                      <w:r>
                        <w:rPr>
                          <w:b/>
                        </w:rPr>
                        <w:t>UNDP Experts Committee</w:t>
                      </w:r>
                    </w:p>
                    <w:p w14:paraId="5188AC9B" w14:textId="77777777" w:rsidR="00463F76" w:rsidRDefault="000A0C36">
                      <w:pPr>
                        <w:pStyle w:val="BodyText"/>
                        <w:ind w:left="110" w:right="110"/>
                        <w:jc w:val="both"/>
                        <w:rPr>
                          <w:rFonts w:ascii="Georgia"/>
                          <w:sz w:val="16"/>
                        </w:rPr>
                      </w:pPr>
                      <w:r>
                        <w:t>The UNDP Experts Committee shall be comprised of the UNDP Senior Health PSM Advisor, UNDP QA expert, two UNDP pharmacists, one UNDP physician and external experts who can be consulted on specific</w:t>
                      </w:r>
                      <w:r>
                        <w:rPr>
                          <w:spacing w:val="-1"/>
                        </w:rPr>
                        <w:t xml:space="preserve"> </w:t>
                      </w:r>
                      <w:r>
                        <w:t>quality</w:t>
                      </w:r>
                      <w:r>
                        <w:rPr>
                          <w:spacing w:val="-2"/>
                        </w:rPr>
                        <w:t xml:space="preserve"> </w:t>
                      </w:r>
                      <w:r>
                        <w:t>issues</w:t>
                      </w:r>
                      <w:r>
                        <w:rPr>
                          <w:spacing w:val="-4"/>
                        </w:rPr>
                        <w:t xml:space="preserve"> </w:t>
                      </w:r>
                      <w:r>
                        <w:t>on</w:t>
                      </w:r>
                      <w:r>
                        <w:rPr>
                          <w:spacing w:val="-3"/>
                        </w:rPr>
                        <w:t xml:space="preserve"> </w:t>
                      </w:r>
                      <w:r>
                        <w:t>an</w:t>
                      </w:r>
                      <w:r>
                        <w:rPr>
                          <w:spacing w:val="-3"/>
                        </w:rPr>
                        <w:t xml:space="preserve"> </w:t>
                      </w:r>
                      <w:r>
                        <w:t>ad</w:t>
                      </w:r>
                      <w:r>
                        <w:rPr>
                          <w:spacing w:val="-3"/>
                        </w:rPr>
                        <w:t xml:space="preserve"> </w:t>
                      </w:r>
                      <w:r>
                        <w:t>hoc</w:t>
                      </w:r>
                      <w:r>
                        <w:rPr>
                          <w:spacing w:val="-1"/>
                        </w:rPr>
                        <w:t xml:space="preserve"> </w:t>
                      </w:r>
                      <w:r>
                        <w:t>basis. Decisions</w:t>
                      </w:r>
                      <w:r>
                        <w:rPr>
                          <w:spacing w:val="-4"/>
                        </w:rPr>
                        <w:t xml:space="preserve"> </w:t>
                      </w:r>
                      <w:r>
                        <w:t>of</w:t>
                      </w:r>
                      <w:r>
                        <w:rPr>
                          <w:spacing w:val="-4"/>
                        </w:rPr>
                        <w:t xml:space="preserve"> </w:t>
                      </w:r>
                      <w:r>
                        <w:t>the</w:t>
                      </w:r>
                      <w:r>
                        <w:rPr>
                          <w:spacing w:val="-3"/>
                        </w:rPr>
                        <w:t xml:space="preserve"> </w:t>
                      </w:r>
                      <w:r>
                        <w:t>Experts</w:t>
                      </w:r>
                      <w:r>
                        <w:rPr>
                          <w:spacing w:val="-4"/>
                        </w:rPr>
                        <w:t xml:space="preserve"> </w:t>
                      </w:r>
                      <w:r>
                        <w:t>Committee</w:t>
                      </w:r>
                      <w:r>
                        <w:rPr>
                          <w:spacing w:val="-2"/>
                        </w:rPr>
                        <w:t xml:space="preserve"> </w:t>
                      </w:r>
                      <w:r>
                        <w:t>are</w:t>
                      </w:r>
                      <w:r>
                        <w:rPr>
                          <w:spacing w:val="-1"/>
                        </w:rPr>
                        <w:t xml:space="preserve"> </w:t>
                      </w:r>
                      <w:r>
                        <w:t>taken</w:t>
                      </w:r>
                      <w:r>
                        <w:rPr>
                          <w:spacing w:val="-3"/>
                        </w:rPr>
                        <w:t xml:space="preserve"> </w:t>
                      </w:r>
                      <w:r>
                        <w:t>by</w:t>
                      </w:r>
                      <w:r>
                        <w:rPr>
                          <w:spacing w:val="-2"/>
                        </w:rPr>
                        <w:t xml:space="preserve"> </w:t>
                      </w:r>
                      <w:r>
                        <w:t>consensus</w:t>
                      </w:r>
                      <w:r>
                        <w:rPr>
                          <w:rFonts w:ascii="Georgia"/>
                          <w:sz w:val="16"/>
                        </w:rPr>
                        <w:t>.</w:t>
                      </w:r>
                    </w:p>
                  </w:txbxContent>
                </v:textbox>
                <w10:wrap type="topAndBottom" anchorx="page"/>
              </v:shape>
            </w:pict>
          </mc:Fallback>
        </mc:AlternateContent>
      </w:r>
    </w:p>
    <w:p w14:paraId="5188ABA9" w14:textId="77777777" w:rsidR="00463F76" w:rsidRDefault="00463F76">
      <w:pPr>
        <w:pStyle w:val="BodyText"/>
        <w:spacing w:before="2"/>
        <w:rPr>
          <w:sz w:val="11"/>
        </w:rPr>
      </w:pPr>
    </w:p>
    <w:p w14:paraId="5188ABAA" w14:textId="77777777" w:rsidR="00463F76" w:rsidRDefault="000A0C36">
      <w:pPr>
        <w:pStyle w:val="BodyText"/>
        <w:spacing w:before="100"/>
        <w:ind w:left="215" w:right="208"/>
        <w:jc w:val="both"/>
      </w:pPr>
      <w:r>
        <w:t>Requests for other health products (non-pharmaceutical) such as medical devices, insecticides, etc. should be submitted with specifications that are explicit and relevant to their intended use.</w:t>
      </w:r>
    </w:p>
    <w:p w14:paraId="5188ABAB" w14:textId="77777777" w:rsidR="00463F76" w:rsidRDefault="00463F76">
      <w:pPr>
        <w:pStyle w:val="BodyText"/>
        <w:spacing w:before="12"/>
        <w:rPr>
          <w:sz w:val="21"/>
        </w:rPr>
      </w:pPr>
    </w:p>
    <w:p w14:paraId="5188ABAC" w14:textId="77777777" w:rsidR="00463F76" w:rsidRDefault="000A0C36">
      <w:pPr>
        <w:pStyle w:val="BodyText"/>
        <w:ind w:left="215" w:right="214"/>
        <w:jc w:val="both"/>
      </w:pPr>
      <w:r>
        <w:t>Specifications will be reviewed by UNDP technical specialists against WHO specifications for Pharmaceutical Preparations, GHTF/IMDRF guidelines and other WHO and international guidelines as appropriate.</w:t>
      </w:r>
    </w:p>
    <w:p w14:paraId="5188ABAD" w14:textId="77777777" w:rsidR="00463F76" w:rsidRDefault="00463F76">
      <w:pPr>
        <w:pStyle w:val="BodyText"/>
        <w:spacing w:before="8"/>
        <w:rPr>
          <w:sz w:val="28"/>
        </w:rPr>
      </w:pPr>
    </w:p>
    <w:p w14:paraId="5188ABAE" w14:textId="77777777" w:rsidR="00463F76" w:rsidRDefault="000A0C36">
      <w:pPr>
        <w:pStyle w:val="ListParagraph"/>
        <w:numPr>
          <w:ilvl w:val="1"/>
          <w:numId w:val="5"/>
        </w:numPr>
        <w:tabs>
          <w:tab w:val="left" w:pos="780"/>
          <w:tab w:val="left" w:pos="781"/>
        </w:tabs>
        <w:rPr>
          <w:rFonts w:ascii="Calibri Light"/>
          <w:i/>
        </w:rPr>
      </w:pPr>
      <w:bookmarkStart w:id="10" w:name="4.2_Quality_Assurance"/>
      <w:bookmarkStart w:id="11" w:name="_bookmark5"/>
      <w:bookmarkEnd w:id="10"/>
      <w:bookmarkEnd w:id="11"/>
      <w:r>
        <w:rPr>
          <w:rFonts w:ascii="Calibri Light"/>
          <w:i/>
          <w:color w:val="1F4D78"/>
        </w:rPr>
        <w:t>Quality</w:t>
      </w:r>
      <w:r>
        <w:rPr>
          <w:rFonts w:ascii="Calibri Light"/>
          <w:i/>
          <w:color w:val="1F4D78"/>
          <w:spacing w:val="-2"/>
        </w:rPr>
        <w:t xml:space="preserve"> </w:t>
      </w:r>
      <w:r>
        <w:rPr>
          <w:rFonts w:ascii="Calibri Light"/>
          <w:i/>
          <w:color w:val="1F4D78"/>
        </w:rPr>
        <w:t xml:space="preserve">Assurance </w:t>
      </w:r>
    </w:p>
    <w:p w14:paraId="5188ABAF" w14:textId="77777777" w:rsidR="00463F76" w:rsidRDefault="00463F76">
      <w:pPr>
        <w:pStyle w:val="BodyText"/>
        <w:spacing w:before="3"/>
        <w:rPr>
          <w:rFonts w:ascii="Calibri Light"/>
          <w:i/>
        </w:rPr>
      </w:pPr>
    </w:p>
    <w:p w14:paraId="5188ABB0" w14:textId="77777777" w:rsidR="00463F76" w:rsidRDefault="000A0C36">
      <w:pPr>
        <w:pStyle w:val="Heading3"/>
      </w:pPr>
      <w:r>
        <w:t>References</w:t>
      </w:r>
    </w:p>
    <w:p w14:paraId="5188ABB1" w14:textId="77777777" w:rsidR="00463F76" w:rsidRDefault="00463F76">
      <w:pPr>
        <w:pStyle w:val="BodyText"/>
        <w:spacing w:before="10"/>
        <w:rPr>
          <w:b/>
          <w:sz w:val="21"/>
        </w:rPr>
      </w:pPr>
    </w:p>
    <w:p w14:paraId="5188ABB2" w14:textId="77777777" w:rsidR="00463F76" w:rsidRDefault="000A0C36">
      <w:pPr>
        <w:pStyle w:val="BodyText"/>
        <w:ind w:left="215"/>
      </w:pPr>
      <w:r>
        <w:t>The UNDP QA system is based on the:</w:t>
      </w:r>
    </w:p>
    <w:p w14:paraId="5188ABB3" w14:textId="77777777" w:rsidR="00463F76" w:rsidRDefault="000A0C36">
      <w:pPr>
        <w:pStyle w:val="ListParagraph"/>
        <w:numPr>
          <w:ilvl w:val="2"/>
          <w:numId w:val="5"/>
        </w:numPr>
        <w:tabs>
          <w:tab w:val="left" w:pos="990"/>
          <w:tab w:val="left" w:pos="991"/>
        </w:tabs>
        <w:ind w:right="217"/>
      </w:pPr>
      <w:r>
        <w:t>WHO International Pharmacopoeia and WHO standards for pharmaceutical preparations, as published and regularly updated in the WHO Technical Report Series</w:t>
      </w:r>
      <w:r>
        <w:rPr>
          <w:spacing w:val="-6"/>
        </w:rPr>
        <w:t xml:space="preserve"> </w:t>
      </w:r>
      <w:r>
        <w:t>(TRS);</w:t>
      </w:r>
    </w:p>
    <w:p w14:paraId="5188ABB4" w14:textId="77777777" w:rsidR="00463F76" w:rsidRDefault="000A0C36">
      <w:pPr>
        <w:pStyle w:val="ListParagraph"/>
        <w:numPr>
          <w:ilvl w:val="2"/>
          <w:numId w:val="5"/>
        </w:numPr>
        <w:tabs>
          <w:tab w:val="left" w:pos="990"/>
          <w:tab w:val="left" w:pos="991"/>
        </w:tabs>
        <w:spacing w:before="1"/>
        <w:ind w:right="214"/>
      </w:pPr>
      <w:r>
        <w:t>Guidelines of the International Medical Devices Regulator Forum</w:t>
      </w:r>
      <w:r>
        <w:rPr>
          <w:position w:val="7"/>
          <w:sz w:val="14"/>
        </w:rPr>
        <w:t xml:space="preserve">13 </w:t>
      </w:r>
      <w:r>
        <w:t>(IMDRF) for Medical Devices; and</w:t>
      </w:r>
    </w:p>
    <w:p w14:paraId="5188ABB5" w14:textId="77777777" w:rsidR="00463F76" w:rsidRDefault="000A0C36">
      <w:pPr>
        <w:pStyle w:val="ListParagraph"/>
        <w:numPr>
          <w:ilvl w:val="2"/>
          <w:numId w:val="5"/>
        </w:numPr>
        <w:tabs>
          <w:tab w:val="left" w:pos="990"/>
          <w:tab w:val="left" w:pos="991"/>
        </w:tabs>
        <w:spacing w:before="2"/>
        <w:rPr>
          <w:sz w:val="14"/>
        </w:rPr>
      </w:pPr>
      <w:r>
        <w:t>WHO specifications for pesticides used in public</w:t>
      </w:r>
      <w:r>
        <w:rPr>
          <w:spacing w:val="-2"/>
        </w:rPr>
        <w:t xml:space="preserve"> </w:t>
      </w:r>
      <w:r>
        <w:t>health.</w:t>
      </w:r>
      <w:r>
        <w:rPr>
          <w:position w:val="7"/>
          <w:sz w:val="14"/>
        </w:rPr>
        <w:t>14</w:t>
      </w:r>
    </w:p>
    <w:p w14:paraId="5188ABB6" w14:textId="77777777" w:rsidR="00463F76" w:rsidRDefault="00463F76">
      <w:pPr>
        <w:pStyle w:val="BodyText"/>
        <w:spacing w:before="9"/>
        <w:rPr>
          <w:sz w:val="21"/>
        </w:rPr>
      </w:pPr>
    </w:p>
    <w:p w14:paraId="5188ABB7" w14:textId="77777777" w:rsidR="00463F76" w:rsidRDefault="000A0C36">
      <w:pPr>
        <w:pStyle w:val="BodyText"/>
        <w:spacing w:before="1"/>
        <w:ind w:left="215" w:right="208"/>
        <w:jc w:val="both"/>
      </w:pPr>
      <w:r>
        <w:t>UNDP also refers to the European Pharmacopoeia, the British Pharmacopoeia (BP) and the United States</w:t>
      </w:r>
      <w:r>
        <w:rPr>
          <w:spacing w:val="-14"/>
        </w:rPr>
        <w:t xml:space="preserve"> </w:t>
      </w:r>
      <w:r>
        <w:t>Pharmacopoeias</w:t>
      </w:r>
      <w:r>
        <w:rPr>
          <w:spacing w:val="-13"/>
        </w:rPr>
        <w:t xml:space="preserve"> </w:t>
      </w:r>
      <w:r>
        <w:t>(USP)</w:t>
      </w:r>
      <w:r>
        <w:rPr>
          <w:spacing w:val="-15"/>
        </w:rPr>
        <w:t xml:space="preserve"> </w:t>
      </w:r>
      <w:r>
        <w:t>and</w:t>
      </w:r>
      <w:r>
        <w:rPr>
          <w:spacing w:val="-14"/>
        </w:rPr>
        <w:t xml:space="preserve"> </w:t>
      </w:r>
      <w:r>
        <w:t>other</w:t>
      </w:r>
      <w:r>
        <w:rPr>
          <w:spacing w:val="-15"/>
        </w:rPr>
        <w:t xml:space="preserve"> </w:t>
      </w:r>
      <w:r>
        <w:t>reputed</w:t>
      </w:r>
      <w:r>
        <w:rPr>
          <w:spacing w:val="-13"/>
        </w:rPr>
        <w:t xml:space="preserve"> </w:t>
      </w:r>
      <w:r>
        <w:t>international</w:t>
      </w:r>
      <w:r>
        <w:rPr>
          <w:spacing w:val="-12"/>
        </w:rPr>
        <w:t xml:space="preserve"> </w:t>
      </w:r>
      <w:r>
        <w:t>guidelines</w:t>
      </w:r>
      <w:r>
        <w:rPr>
          <w:spacing w:val="-13"/>
        </w:rPr>
        <w:t xml:space="preserve"> </w:t>
      </w:r>
      <w:r>
        <w:t>(European</w:t>
      </w:r>
      <w:r>
        <w:rPr>
          <w:spacing w:val="-14"/>
        </w:rPr>
        <w:t xml:space="preserve"> </w:t>
      </w:r>
      <w:r>
        <w:t>Medicines</w:t>
      </w:r>
      <w:r>
        <w:rPr>
          <w:spacing w:val="-14"/>
        </w:rPr>
        <w:t xml:space="preserve"> </w:t>
      </w:r>
      <w:r>
        <w:t>Agency, US Food and Drug Administration, Australian Therapeutic Goods Administration, etc.) when appropriate.</w:t>
      </w:r>
    </w:p>
    <w:p w14:paraId="5188ABB8" w14:textId="77777777" w:rsidR="00463F76" w:rsidRDefault="00463F76">
      <w:pPr>
        <w:pStyle w:val="BodyText"/>
        <w:spacing w:before="4"/>
      </w:pPr>
    </w:p>
    <w:p w14:paraId="5188ABB9" w14:textId="77777777" w:rsidR="00463F76" w:rsidRDefault="000A0C36">
      <w:pPr>
        <w:pStyle w:val="BodyText"/>
        <w:spacing w:before="1" w:line="237" w:lineRule="auto"/>
        <w:ind w:left="215" w:right="214"/>
        <w:jc w:val="both"/>
      </w:pPr>
      <w:r>
        <w:t>UNDP refers to the latest editions of the pharmacopoeias and latest versions of technical documents published by WHO or regulatory authorities or international bodies.</w:t>
      </w:r>
    </w:p>
    <w:p w14:paraId="5188ABBA" w14:textId="77777777" w:rsidR="00463F76" w:rsidRDefault="00EA6ADB">
      <w:pPr>
        <w:pStyle w:val="BodyText"/>
        <w:spacing w:before="2"/>
        <w:rPr>
          <w:sz w:val="18"/>
        </w:rPr>
      </w:pPr>
      <w:r>
        <w:rPr>
          <w:noProof/>
          <w:lang w:bidi="ar-SA"/>
        </w:rPr>
        <mc:AlternateContent>
          <mc:Choice Requires="wps">
            <w:drawing>
              <wp:anchor distT="0" distB="0" distL="0" distR="0" simplePos="0" relativeHeight="251656704" behindDoc="1" locked="0" layoutInCell="1" allowOverlap="1" wp14:anchorId="5188AC87" wp14:editId="5188AC88">
                <wp:simplePos x="0" y="0"/>
                <wp:positionH relativeFrom="page">
                  <wp:posOffset>899160</wp:posOffset>
                </wp:positionH>
                <wp:positionV relativeFrom="paragraph">
                  <wp:posOffset>168910</wp:posOffset>
                </wp:positionV>
                <wp:extent cx="1829435" cy="0"/>
                <wp:effectExtent l="13335" t="13970" r="5080" b="508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CBBF7" id="Line 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3pt" to="214.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Zz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" strokeweight=".5pt">
                <w10:wrap type="topAndBottom" anchorx="page"/>
              </v:line>
            </w:pict>
          </mc:Fallback>
        </mc:AlternateContent>
      </w:r>
    </w:p>
    <w:p w14:paraId="5188ABBB" w14:textId="77777777" w:rsidR="00463F76" w:rsidRDefault="000A0C36">
      <w:pPr>
        <w:spacing w:before="74"/>
        <w:ind w:left="215"/>
        <w:rPr>
          <w:sz w:val="18"/>
        </w:rPr>
      </w:pPr>
      <w:r>
        <w:rPr>
          <w:position w:val="5"/>
          <w:sz w:val="12"/>
        </w:rPr>
        <w:t xml:space="preserve">12 </w:t>
      </w:r>
      <w:hyperlink r:id="rId15">
        <w:r>
          <w:rPr>
            <w:color w:val="0462C1"/>
            <w:sz w:val="18"/>
            <w:u w:val="single" w:color="0462C1"/>
          </w:rPr>
          <w:t>www.who.int/selection_medicines/list/en/</w:t>
        </w:r>
      </w:hyperlink>
    </w:p>
    <w:p w14:paraId="5188ABBC" w14:textId="77777777" w:rsidR="00463F76" w:rsidRDefault="000A0C36">
      <w:pPr>
        <w:ind w:left="215"/>
        <w:rPr>
          <w:sz w:val="18"/>
        </w:rPr>
      </w:pPr>
      <w:r>
        <w:rPr>
          <w:position w:val="5"/>
          <w:sz w:val="12"/>
        </w:rPr>
        <w:t xml:space="preserve">13 </w:t>
      </w:r>
      <w:r>
        <w:rPr>
          <w:sz w:val="18"/>
        </w:rPr>
        <w:t>WHO is an official observer to the Management Committee of the IMDRF</w:t>
      </w:r>
    </w:p>
    <w:p w14:paraId="5188ABBD" w14:textId="72B5A916" w:rsidR="00463F76" w:rsidRPr="00D47761" w:rsidRDefault="000A0C36">
      <w:pPr>
        <w:spacing w:before="1"/>
        <w:ind w:left="215"/>
        <w:rPr>
          <w:color w:val="0070C0"/>
          <w:sz w:val="18"/>
          <w:szCs w:val="18"/>
        </w:rPr>
      </w:pPr>
      <w:r>
        <w:rPr>
          <w:position w:val="5"/>
          <w:sz w:val="12"/>
        </w:rPr>
        <w:t xml:space="preserve">14 </w:t>
      </w:r>
      <w:hyperlink r:id="rId16" w:history="1">
        <w:r w:rsidR="00D47761" w:rsidRPr="00D47761">
          <w:rPr>
            <w:rStyle w:val="Hyperlink"/>
            <w:color w:val="0070C0"/>
            <w:position w:val="5"/>
            <w:sz w:val="18"/>
            <w:szCs w:val="18"/>
          </w:rPr>
          <w:t>https://www.who.int/neglected_diseases/vector_ecology/pesticide-specifications/newspecif/en/</w:t>
        </w:r>
      </w:hyperlink>
      <w:r w:rsidR="00D47761" w:rsidRPr="00D47761">
        <w:rPr>
          <w:color w:val="0070C0"/>
          <w:position w:val="5"/>
          <w:sz w:val="18"/>
          <w:szCs w:val="18"/>
        </w:rPr>
        <w:t xml:space="preserve"> </w:t>
      </w:r>
    </w:p>
    <w:p w14:paraId="5188ABBE" w14:textId="77777777" w:rsidR="00463F76" w:rsidRDefault="00463F76">
      <w:pPr>
        <w:rPr>
          <w:sz w:val="18"/>
        </w:rPr>
        <w:sectPr w:rsidR="00463F76">
          <w:pgSz w:w="11900" w:h="16840"/>
          <w:pgMar w:top="1340" w:right="1200" w:bottom="940" w:left="1200" w:header="0" w:footer="752" w:gutter="0"/>
          <w:cols w:space="720"/>
        </w:sectPr>
      </w:pPr>
    </w:p>
    <w:p w14:paraId="5188ABBF" w14:textId="1F4A9ED2" w:rsidR="00463F76" w:rsidRDefault="003476E0">
      <w:pPr>
        <w:pStyle w:val="BodyText"/>
        <w:rPr>
          <w:sz w:val="20"/>
        </w:rPr>
      </w:pPr>
      <w:r>
        <w:rPr>
          <w:sz w:val="20"/>
        </w:rPr>
        <w:lastRenderedPageBreak/>
        <w:t xml:space="preserve"> </w:t>
      </w:r>
    </w:p>
    <w:p w14:paraId="5188ABC0" w14:textId="77777777" w:rsidR="00463F76" w:rsidRDefault="00463F76">
      <w:pPr>
        <w:pStyle w:val="BodyText"/>
        <w:rPr>
          <w:sz w:val="20"/>
        </w:rPr>
      </w:pPr>
    </w:p>
    <w:p w14:paraId="5188ABC1" w14:textId="77777777" w:rsidR="00463F76" w:rsidRDefault="00463F76">
      <w:pPr>
        <w:pStyle w:val="BodyText"/>
        <w:spacing w:before="10"/>
        <w:rPr>
          <w:sz w:val="24"/>
        </w:rPr>
      </w:pPr>
    </w:p>
    <w:p w14:paraId="5188ABC2" w14:textId="77777777" w:rsidR="00463F76" w:rsidRDefault="000A0C36">
      <w:pPr>
        <w:pStyle w:val="Heading3"/>
        <w:spacing w:before="100"/>
      </w:pPr>
      <w:r>
        <w:t>Key principles:</w:t>
      </w:r>
    </w:p>
    <w:p w14:paraId="5188ABC3" w14:textId="77777777" w:rsidR="00463F76" w:rsidRDefault="00463F76">
      <w:pPr>
        <w:pStyle w:val="BodyText"/>
        <w:spacing w:before="10"/>
        <w:rPr>
          <w:b/>
          <w:sz w:val="21"/>
        </w:rPr>
      </w:pPr>
    </w:p>
    <w:p w14:paraId="5188ABC4" w14:textId="77777777" w:rsidR="00463F76" w:rsidRDefault="000A0C36">
      <w:pPr>
        <w:pStyle w:val="BodyText"/>
        <w:ind w:left="215" w:right="131"/>
      </w:pPr>
      <w:r>
        <w:t>UNDP will only purchase health products from suppliers (i.e. manufacturers and procurement agencies)</w:t>
      </w:r>
      <w:r>
        <w:rPr>
          <w:spacing w:val="-15"/>
        </w:rPr>
        <w:t xml:space="preserve"> </w:t>
      </w:r>
      <w:r>
        <w:t>that</w:t>
      </w:r>
      <w:r>
        <w:rPr>
          <w:spacing w:val="-11"/>
        </w:rPr>
        <w:t xml:space="preserve"> </w:t>
      </w:r>
      <w:r>
        <w:t>comply</w:t>
      </w:r>
      <w:r>
        <w:rPr>
          <w:spacing w:val="-12"/>
        </w:rPr>
        <w:t xml:space="preserve"> </w:t>
      </w:r>
      <w:r>
        <w:t>with</w:t>
      </w:r>
      <w:r>
        <w:rPr>
          <w:spacing w:val="-13"/>
        </w:rPr>
        <w:t xml:space="preserve"> </w:t>
      </w:r>
      <w:r>
        <w:t>WHO</w:t>
      </w:r>
      <w:r>
        <w:rPr>
          <w:spacing w:val="-11"/>
        </w:rPr>
        <w:t xml:space="preserve"> </w:t>
      </w:r>
      <w:r>
        <w:t>or</w:t>
      </w:r>
      <w:r>
        <w:rPr>
          <w:spacing w:val="-14"/>
        </w:rPr>
        <w:t xml:space="preserve"> </w:t>
      </w:r>
      <w:r>
        <w:t>equivalent</w:t>
      </w:r>
      <w:r>
        <w:rPr>
          <w:spacing w:val="-13"/>
        </w:rPr>
        <w:t xml:space="preserve"> </w:t>
      </w:r>
      <w:r>
        <w:t>good</w:t>
      </w:r>
      <w:r>
        <w:rPr>
          <w:spacing w:val="-13"/>
        </w:rPr>
        <w:t xml:space="preserve"> </w:t>
      </w:r>
      <w:r>
        <w:t>practice</w:t>
      </w:r>
      <w:r>
        <w:rPr>
          <w:spacing w:val="-11"/>
        </w:rPr>
        <w:t xml:space="preserve"> </w:t>
      </w:r>
      <w:r>
        <w:t>guidelines</w:t>
      </w:r>
      <w:r>
        <w:rPr>
          <w:spacing w:val="-12"/>
        </w:rPr>
        <w:t xml:space="preserve"> </w:t>
      </w:r>
      <w:r>
        <w:t>and</w:t>
      </w:r>
      <w:r>
        <w:rPr>
          <w:spacing w:val="-12"/>
        </w:rPr>
        <w:t xml:space="preserve"> </w:t>
      </w:r>
      <w:r>
        <w:t>WHO</w:t>
      </w:r>
      <w:r>
        <w:rPr>
          <w:spacing w:val="-13"/>
        </w:rPr>
        <w:t xml:space="preserve"> </w:t>
      </w:r>
      <w:r>
        <w:t>regulatory</w:t>
      </w:r>
      <w:r>
        <w:rPr>
          <w:spacing w:val="-12"/>
        </w:rPr>
        <w:t xml:space="preserve"> </w:t>
      </w:r>
      <w:r>
        <w:t>guidance.</w:t>
      </w:r>
    </w:p>
    <w:p w14:paraId="5188ABC5" w14:textId="77777777" w:rsidR="00463F76" w:rsidRDefault="00463F76">
      <w:pPr>
        <w:pStyle w:val="BodyText"/>
        <w:spacing w:before="6"/>
      </w:pPr>
    </w:p>
    <w:p w14:paraId="5188ABC6" w14:textId="77777777" w:rsidR="00463F76" w:rsidRDefault="000A0C36">
      <w:pPr>
        <w:pStyle w:val="BodyText"/>
        <w:spacing w:before="1" w:line="237" w:lineRule="auto"/>
        <w:ind w:left="215" w:right="131"/>
      </w:pPr>
      <w:r>
        <w:t>Products are assessed and qualified in accordance with the rules and principles of the UNDP QA system.</w:t>
      </w:r>
    </w:p>
    <w:p w14:paraId="5188ABC7" w14:textId="77777777" w:rsidR="00463F76" w:rsidRDefault="00463F76">
      <w:pPr>
        <w:pStyle w:val="BodyText"/>
        <w:spacing w:before="5"/>
      </w:pPr>
    </w:p>
    <w:p w14:paraId="5188ABC8" w14:textId="77777777" w:rsidR="00463F76" w:rsidRDefault="000A0C36">
      <w:pPr>
        <w:pStyle w:val="BodyText"/>
        <w:spacing w:line="237" w:lineRule="auto"/>
        <w:ind w:left="215"/>
      </w:pPr>
      <w:r>
        <w:t xml:space="preserve">As recommended by WHO, the UNDP qualification process includes the assessment of the manufacturing site </w:t>
      </w:r>
      <w:r>
        <w:rPr>
          <w:b/>
          <w:u w:val="single"/>
        </w:rPr>
        <w:t>and</w:t>
      </w:r>
      <w:r>
        <w:rPr>
          <w:b/>
        </w:rPr>
        <w:t xml:space="preserve"> </w:t>
      </w:r>
      <w:r>
        <w:t>the product.</w:t>
      </w:r>
    </w:p>
    <w:p w14:paraId="5188ABC9" w14:textId="77777777" w:rsidR="00463F76" w:rsidRDefault="00463F76">
      <w:pPr>
        <w:pStyle w:val="BodyText"/>
        <w:spacing w:before="3"/>
        <w:rPr>
          <w:sz w:val="17"/>
        </w:rPr>
      </w:pPr>
    </w:p>
    <w:p w14:paraId="5188ABCA" w14:textId="77777777" w:rsidR="00463F76" w:rsidRDefault="000A0C36">
      <w:pPr>
        <w:pStyle w:val="ListParagraph"/>
        <w:numPr>
          <w:ilvl w:val="2"/>
          <w:numId w:val="4"/>
        </w:numPr>
        <w:tabs>
          <w:tab w:val="left" w:pos="926"/>
        </w:tabs>
        <w:spacing w:before="100"/>
        <w:jc w:val="both"/>
        <w:rPr>
          <w:i/>
          <w:color w:val="2D74B5"/>
        </w:rPr>
      </w:pPr>
      <w:bookmarkStart w:id="12" w:name="4.2.1._Finished_Pharmaceutical_Products_"/>
      <w:bookmarkStart w:id="13" w:name="_bookmark6"/>
      <w:bookmarkEnd w:id="12"/>
      <w:bookmarkEnd w:id="13"/>
      <w:r>
        <w:rPr>
          <w:i/>
          <w:color w:val="2D74B5"/>
        </w:rPr>
        <w:t>Finished Pharmaceutical Products</w:t>
      </w:r>
      <w:r>
        <w:rPr>
          <w:i/>
          <w:color w:val="2D74B5"/>
          <w:position w:val="7"/>
          <w:sz w:val="14"/>
        </w:rPr>
        <w:t>15</w:t>
      </w:r>
      <w:r>
        <w:rPr>
          <w:i/>
          <w:color w:val="2D74B5"/>
          <w:spacing w:val="11"/>
          <w:position w:val="7"/>
          <w:sz w:val="14"/>
        </w:rPr>
        <w:t xml:space="preserve"> </w:t>
      </w:r>
      <w:r>
        <w:rPr>
          <w:i/>
          <w:color w:val="2D74B5"/>
        </w:rPr>
        <w:t>(FPP)</w:t>
      </w:r>
    </w:p>
    <w:p w14:paraId="5188ABCB" w14:textId="77777777" w:rsidR="00463F76" w:rsidRDefault="00463F76">
      <w:pPr>
        <w:pStyle w:val="BodyText"/>
        <w:spacing w:before="11"/>
        <w:rPr>
          <w:i/>
          <w:sz w:val="21"/>
        </w:rPr>
      </w:pPr>
    </w:p>
    <w:p w14:paraId="5188ABCC" w14:textId="77777777" w:rsidR="00463F76" w:rsidRDefault="000A0C36">
      <w:pPr>
        <w:pStyle w:val="Heading3"/>
        <w:jc w:val="both"/>
      </w:pPr>
      <w:r>
        <w:t>Manufacturing sites</w:t>
      </w:r>
    </w:p>
    <w:p w14:paraId="5188ABCD" w14:textId="77777777" w:rsidR="00463F76" w:rsidRDefault="00463F76">
      <w:pPr>
        <w:pStyle w:val="BodyText"/>
        <w:spacing w:before="3"/>
        <w:rPr>
          <w:b/>
        </w:rPr>
      </w:pPr>
    </w:p>
    <w:p w14:paraId="5188ABCE" w14:textId="77777777" w:rsidR="00463F76" w:rsidRDefault="000A0C36">
      <w:pPr>
        <w:pStyle w:val="BodyText"/>
        <w:spacing w:line="268" w:lineRule="exact"/>
        <w:ind w:left="215"/>
        <w:jc w:val="both"/>
      </w:pPr>
      <w:r>
        <w:t>All sites involved in the manufacturing of FPPs must:</w:t>
      </w:r>
    </w:p>
    <w:p w14:paraId="5188ABCF" w14:textId="77777777" w:rsidR="00463F76" w:rsidRDefault="000A0C36">
      <w:pPr>
        <w:pStyle w:val="ListParagraph"/>
        <w:numPr>
          <w:ilvl w:val="0"/>
          <w:numId w:val="3"/>
        </w:numPr>
        <w:tabs>
          <w:tab w:val="left" w:pos="576"/>
        </w:tabs>
        <w:spacing w:line="280" w:lineRule="exact"/>
        <w:jc w:val="both"/>
      </w:pPr>
      <w:r>
        <w:t>Be authorized by the National Regulatory Authority (NRA) of the country of location;</w:t>
      </w:r>
      <w:r>
        <w:rPr>
          <w:spacing w:val="-13"/>
        </w:rPr>
        <w:t xml:space="preserve"> </w:t>
      </w:r>
      <w:r>
        <w:t>and</w:t>
      </w:r>
    </w:p>
    <w:p w14:paraId="5188ABD0" w14:textId="77777777" w:rsidR="00463F76" w:rsidRDefault="000A0C36">
      <w:pPr>
        <w:pStyle w:val="ListParagraph"/>
        <w:numPr>
          <w:ilvl w:val="0"/>
          <w:numId w:val="3"/>
        </w:numPr>
        <w:tabs>
          <w:tab w:val="left" w:pos="576"/>
        </w:tabs>
        <w:jc w:val="both"/>
      </w:pPr>
      <w:r>
        <w:t>Comply with WHO or equivalent Good Manufacturing Practices (GMP)</w:t>
      </w:r>
      <w:r>
        <w:rPr>
          <w:spacing w:val="-10"/>
        </w:rPr>
        <w:t xml:space="preserve"> </w:t>
      </w:r>
      <w:r>
        <w:t>guidelines.</w:t>
      </w:r>
    </w:p>
    <w:p w14:paraId="5188ABD1" w14:textId="77777777" w:rsidR="00463F76" w:rsidRDefault="00463F76">
      <w:pPr>
        <w:pStyle w:val="BodyText"/>
        <w:spacing w:before="10"/>
        <w:rPr>
          <w:sz w:val="21"/>
        </w:rPr>
      </w:pPr>
    </w:p>
    <w:p w14:paraId="5188ABD2" w14:textId="77777777" w:rsidR="00463F76" w:rsidRDefault="000A0C36">
      <w:pPr>
        <w:pStyle w:val="BodyText"/>
        <w:ind w:left="215"/>
      </w:pPr>
      <w:r>
        <w:t>Suppliers must provide a valid copy of the manufacturing license issued by the NRA for each site involved in the production of the FPP that has been submitted to the UNDP qualification process.</w:t>
      </w:r>
    </w:p>
    <w:p w14:paraId="5188ABD3" w14:textId="77777777" w:rsidR="00463F76" w:rsidRDefault="00463F76">
      <w:pPr>
        <w:pStyle w:val="BodyText"/>
        <w:spacing w:before="12"/>
        <w:rPr>
          <w:sz w:val="21"/>
        </w:rPr>
      </w:pPr>
    </w:p>
    <w:p w14:paraId="5188ABD4" w14:textId="77777777" w:rsidR="00463F76" w:rsidRDefault="000A0C36">
      <w:pPr>
        <w:pStyle w:val="BodyText"/>
        <w:ind w:left="215" w:right="214"/>
        <w:jc w:val="both"/>
      </w:pPr>
      <w:r>
        <w:t>UNDP recognizes the GMP inspections performed by the WHO Prequalification Team as well as the National Authorities members of the European Union (EU), UK Medicines and Healthcare products Regulatory Agency (UK MHRA), US Food and Drug Administration (US FDA), Australian Therapeutic Goods Administration (TGA), Health Canada and Swiss Medic.</w:t>
      </w:r>
    </w:p>
    <w:p w14:paraId="5188ABD5" w14:textId="77777777" w:rsidR="00463F76" w:rsidRDefault="00463F76">
      <w:pPr>
        <w:pStyle w:val="BodyText"/>
        <w:spacing w:before="2"/>
      </w:pPr>
    </w:p>
    <w:p w14:paraId="5188ABD6" w14:textId="77777777" w:rsidR="00463F76" w:rsidRDefault="000A0C36">
      <w:pPr>
        <w:pStyle w:val="BodyText"/>
        <w:spacing w:before="1" w:line="268" w:lineRule="exact"/>
        <w:ind w:left="215"/>
      </w:pPr>
      <w:r>
        <w:t>UNDP requires proof of GMP compliance which may be:</w:t>
      </w:r>
    </w:p>
    <w:p w14:paraId="5188ABD7" w14:textId="77777777" w:rsidR="00463F76" w:rsidRDefault="000A0C36">
      <w:pPr>
        <w:pStyle w:val="ListParagraph"/>
        <w:numPr>
          <w:ilvl w:val="1"/>
          <w:numId w:val="3"/>
        </w:numPr>
        <w:tabs>
          <w:tab w:val="left" w:pos="935"/>
          <w:tab w:val="left" w:pos="936"/>
        </w:tabs>
        <w:ind w:right="213"/>
      </w:pPr>
      <w:r>
        <w:t>A copy of a recent (&lt; 3 years) inspection report written by one of the above-mentioned authorities; or</w:t>
      </w:r>
    </w:p>
    <w:p w14:paraId="5188ABD8" w14:textId="77777777" w:rsidR="00463F76" w:rsidRDefault="000A0C36">
      <w:pPr>
        <w:pStyle w:val="ListParagraph"/>
        <w:numPr>
          <w:ilvl w:val="1"/>
          <w:numId w:val="3"/>
        </w:numPr>
        <w:tabs>
          <w:tab w:val="left" w:pos="935"/>
          <w:tab w:val="left" w:pos="936"/>
        </w:tabs>
        <w:spacing w:before="1"/>
      </w:pPr>
      <w:r>
        <w:t>A valid GMP certificate issued by one of the above-mentioned Regulatory Authorities;</w:t>
      </w:r>
      <w:r>
        <w:rPr>
          <w:spacing w:val="-20"/>
        </w:rPr>
        <w:t xml:space="preserve"> </w:t>
      </w:r>
      <w:r>
        <w:t>or</w:t>
      </w:r>
    </w:p>
    <w:p w14:paraId="5188ABD9" w14:textId="77777777" w:rsidR="00463F76" w:rsidRDefault="000A0C36">
      <w:pPr>
        <w:pStyle w:val="ListParagraph"/>
        <w:numPr>
          <w:ilvl w:val="1"/>
          <w:numId w:val="3"/>
        </w:numPr>
        <w:tabs>
          <w:tab w:val="left" w:pos="935"/>
          <w:tab w:val="left" w:pos="936"/>
        </w:tabs>
      </w:pPr>
      <w:r>
        <w:t>A valid WHO Public Inspection Report</w:t>
      </w:r>
      <w:r>
        <w:rPr>
          <w:spacing w:val="-6"/>
        </w:rPr>
        <w:t xml:space="preserve"> </w:t>
      </w:r>
      <w:r>
        <w:t>(WHOPIR</w:t>
      </w:r>
      <w:r>
        <w:rPr>
          <w:position w:val="7"/>
          <w:sz w:val="14"/>
        </w:rPr>
        <w:t>16</w:t>
      </w:r>
      <w:r>
        <w:t>).</w:t>
      </w:r>
    </w:p>
    <w:p w14:paraId="5188ABDA" w14:textId="77777777" w:rsidR="00463F76" w:rsidRDefault="00463F76">
      <w:pPr>
        <w:pStyle w:val="BodyText"/>
        <w:spacing w:before="10"/>
        <w:rPr>
          <w:sz w:val="21"/>
        </w:rPr>
      </w:pPr>
    </w:p>
    <w:p w14:paraId="5188ABDB" w14:textId="77777777" w:rsidR="00463F76" w:rsidRDefault="000A0C36">
      <w:pPr>
        <w:pStyle w:val="BodyText"/>
        <w:ind w:left="215" w:right="131"/>
      </w:pPr>
      <w:r>
        <w:t>UNDP</w:t>
      </w:r>
      <w:r>
        <w:rPr>
          <w:spacing w:val="-13"/>
        </w:rPr>
        <w:t xml:space="preserve"> </w:t>
      </w:r>
      <w:r>
        <w:t>reserves</w:t>
      </w:r>
      <w:r>
        <w:rPr>
          <w:spacing w:val="-14"/>
        </w:rPr>
        <w:t xml:space="preserve"> </w:t>
      </w:r>
      <w:r>
        <w:t>the</w:t>
      </w:r>
      <w:r>
        <w:rPr>
          <w:spacing w:val="-13"/>
        </w:rPr>
        <w:t xml:space="preserve"> </w:t>
      </w:r>
      <w:r>
        <w:t>right</w:t>
      </w:r>
      <w:r>
        <w:rPr>
          <w:spacing w:val="-13"/>
        </w:rPr>
        <w:t xml:space="preserve"> </w:t>
      </w:r>
      <w:r>
        <w:t>to</w:t>
      </w:r>
      <w:r>
        <w:rPr>
          <w:spacing w:val="-14"/>
        </w:rPr>
        <w:t xml:space="preserve"> </w:t>
      </w:r>
      <w:r>
        <w:t>commission</w:t>
      </w:r>
      <w:r>
        <w:rPr>
          <w:spacing w:val="-13"/>
        </w:rPr>
        <w:t xml:space="preserve"> </w:t>
      </w:r>
      <w:r>
        <w:t>qualified</w:t>
      </w:r>
      <w:r>
        <w:rPr>
          <w:spacing w:val="-14"/>
        </w:rPr>
        <w:t xml:space="preserve"> </w:t>
      </w:r>
      <w:r>
        <w:t>experts</w:t>
      </w:r>
      <w:r>
        <w:rPr>
          <w:spacing w:val="-14"/>
        </w:rPr>
        <w:t xml:space="preserve"> </w:t>
      </w:r>
      <w:r>
        <w:t>to</w:t>
      </w:r>
      <w:r>
        <w:rPr>
          <w:spacing w:val="-14"/>
        </w:rPr>
        <w:t xml:space="preserve"> </w:t>
      </w:r>
      <w:r>
        <w:t>perform</w:t>
      </w:r>
      <w:r>
        <w:rPr>
          <w:spacing w:val="-14"/>
        </w:rPr>
        <w:t xml:space="preserve"> </w:t>
      </w:r>
      <w:r>
        <w:t>GMP</w:t>
      </w:r>
      <w:r>
        <w:rPr>
          <w:spacing w:val="-11"/>
        </w:rPr>
        <w:t xml:space="preserve"> </w:t>
      </w:r>
      <w:r>
        <w:t>audits</w:t>
      </w:r>
      <w:r>
        <w:rPr>
          <w:spacing w:val="-14"/>
        </w:rPr>
        <w:t xml:space="preserve"> </w:t>
      </w:r>
      <w:r>
        <w:t>of</w:t>
      </w:r>
      <w:r>
        <w:rPr>
          <w:spacing w:val="-15"/>
        </w:rPr>
        <w:t xml:space="preserve"> </w:t>
      </w:r>
      <w:r>
        <w:t>manufacturing</w:t>
      </w:r>
      <w:r>
        <w:rPr>
          <w:spacing w:val="-12"/>
        </w:rPr>
        <w:t xml:space="preserve"> </w:t>
      </w:r>
      <w:r>
        <w:t>sites for qualification, verification or monitoring</w:t>
      </w:r>
      <w:r>
        <w:rPr>
          <w:spacing w:val="-6"/>
        </w:rPr>
        <w:t xml:space="preserve"> </w:t>
      </w:r>
      <w:r>
        <w:t>purposes.</w:t>
      </w:r>
    </w:p>
    <w:p w14:paraId="5188ABDC" w14:textId="77777777" w:rsidR="00463F76" w:rsidRDefault="00463F76">
      <w:pPr>
        <w:pStyle w:val="BodyText"/>
        <w:spacing w:before="11"/>
        <w:rPr>
          <w:sz w:val="21"/>
        </w:rPr>
      </w:pPr>
    </w:p>
    <w:p w14:paraId="5188ABDD" w14:textId="77777777" w:rsidR="00463F76" w:rsidRDefault="000A0C36">
      <w:pPr>
        <w:pStyle w:val="Heading3"/>
        <w:spacing w:before="1"/>
      </w:pPr>
      <w:r>
        <w:t>Products</w:t>
      </w:r>
    </w:p>
    <w:p w14:paraId="5188ABDE" w14:textId="77777777" w:rsidR="00463F76" w:rsidRDefault="00463F76">
      <w:pPr>
        <w:pStyle w:val="BodyText"/>
        <w:spacing w:before="5"/>
        <w:rPr>
          <w:b/>
        </w:rPr>
      </w:pPr>
    </w:p>
    <w:p w14:paraId="5188ABDF" w14:textId="77777777" w:rsidR="00463F76" w:rsidRDefault="000A0C36">
      <w:pPr>
        <w:pStyle w:val="BodyText"/>
        <w:spacing w:line="237" w:lineRule="auto"/>
        <w:ind w:left="215"/>
      </w:pPr>
      <w:r>
        <w:t>Any FPP procured and/or supplied by UNDP should comply with the guidelines for pharmaceutical preparations as published by WHO</w:t>
      </w:r>
      <w:r>
        <w:rPr>
          <w:position w:val="7"/>
          <w:sz w:val="14"/>
        </w:rPr>
        <w:t>17</w:t>
      </w:r>
      <w:r>
        <w:t>.</w:t>
      </w:r>
    </w:p>
    <w:p w14:paraId="5188ABE0" w14:textId="77777777" w:rsidR="00463F76" w:rsidRDefault="00463F76">
      <w:pPr>
        <w:pStyle w:val="BodyText"/>
        <w:spacing w:before="2"/>
      </w:pPr>
    </w:p>
    <w:p w14:paraId="5188ABE1" w14:textId="77777777" w:rsidR="00463F76" w:rsidRDefault="000A0C36">
      <w:pPr>
        <w:pStyle w:val="BodyText"/>
        <w:spacing w:before="1"/>
        <w:ind w:left="215"/>
        <w:jc w:val="both"/>
      </w:pPr>
      <w:r>
        <w:t>All FPPs that appear in the WHO PQ lists are de facto qualified by UNDP and directly purchasable.</w:t>
      </w:r>
    </w:p>
    <w:p w14:paraId="5188ABE2" w14:textId="77777777" w:rsidR="00463F76" w:rsidRDefault="00EA6ADB">
      <w:pPr>
        <w:pStyle w:val="BodyText"/>
        <w:spacing w:before="9"/>
        <w:rPr>
          <w:sz w:val="19"/>
        </w:rPr>
      </w:pPr>
      <w:r>
        <w:rPr>
          <w:noProof/>
          <w:lang w:bidi="ar-SA"/>
        </w:rPr>
        <mc:AlternateContent>
          <mc:Choice Requires="wps">
            <w:drawing>
              <wp:anchor distT="0" distB="0" distL="0" distR="0" simplePos="0" relativeHeight="251657728" behindDoc="1" locked="0" layoutInCell="1" allowOverlap="1" wp14:anchorId="5188AC89" wp14:editId="5188AC8A">
                <wp:simplePos x="0" y="0"/>
                <wp:positionH relativeFrom="page">
                  <wp:posOffset>899160</wp:posOffset>
                </wp:positionH>
                <wp:positionV relativeFrom="paragraph">
                  <wp:posOffset>181610</wp:posOffset>
                </wp:positionV>
                <wp:extent cx="1829435" cy="0"/>
                <wp:effectExtent l="13335" t="5715" r="5080" b="1333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E01E1"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3pt" to="214.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Ad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" strokeweight=".5pt">
                <w10:wrap type="topAndBottom" anchorx="page"/>
              </v:line>
            </w:pict>
          </mc:Fallback>
        </mc:AlternateContent>
      </w:r>
    </w:p>
    <w:p w14:paraId="5188ABE3" w14:textId="77777777" w:rsidR="00463F76" w:rsidRDefault="000A0C36">
      <w:pPr>
        <w:spacing w:before="75"/>
        <w:ind w:left="215" w:right="452"/>
        <w:rPr>
          <w:sz w:val="18"/>
        </w:rPr>
      </w:pPr>
      <w:r>
        <w:rPr>
          <w:position w:val="5"/>
          <w:sz w:val="12"/>
        </w:rPr>
        <w:t xml:space="preserve">15 </w:t>
      </w:r>
      <w:r>
        <w:rPr>
          <w:sz w:val="18"/>
        </w:rPr>
        <w:t>“A finished dosage form of a pharmaceutical product, which has undergone all stages of manufacture, including packaging in its final container and labeling” (WHO Annex 15, 45</w:t>
      </w:r>
      <w:proofErr w:type="spellStart"/>
      <w:r>
        <w:rPr>
          <w:position w:val="5"/>
          <w:sz w:val="12"/>
        </w:rPr>
        <w:t>th</w:t>
      </w:r>
      <w:proofErr w:type="spellEnd"/>
      <w:r>
        <w:rPr>
          <w:position w:val="5"/>
          <w:sz w:val="12"/>
        </w:rPr>
        <w:t xml:space="preserve"> </w:t>
      </w:r>
      <w:r>
        <w:rPr>
          <w:sz w:val="18"/>
        </w:rPr>
        <w:t>report, 2011). “The acronym always represents a pharmaceutical product after final release” (WHO Annex 6, 41</w:t>
      </w:r>
      <w:proofErr w:type="spellStart"/>
      <w:r>
        <w:rPr>
          <w:position w:val="5"/>
          <w:sz w:val="12"/>
        </w:rPr>
        <w:t>st</w:t>
      </w:r>
      <w:proofErr w:type="spellEnd"/>
      <w:r>
        <w:rPr>
          <w:position w:val="5"/>
          <w:sz w:val="12"/>
        </w:rPr>
        <w:t xml:space="preserve"> </w:t>
      </w:r>
      <w:r>
        <w:rPr>
          <w:sz w:val="18"/>
        </w:rPr>
        <w:t>report, 2007)</w:t>
      </w:r>
    </w:p>
    <w:p w14:paraId="5188ABE4" w14:textId="77777777" w:rsidR="00463F76" w:rsidRDefault="000A0C36">
      <w:pPr>
        <w:pStyle w:val="ListParagraph"/>
        <w:numPr>
          <w:ilvl w:val="0"/>
          <w:numId w:val="2"/>
        </w:numPr>
        <w:tabs>
          <w:tab w:val="left" w:pos="411"/>
        </w:tabs>
        <w:spacing w:before="14"/>
        <w:rPr>
          <w:sz w:val="18"/>
        </w:rPr>
      </w:pPr>
      <w:r>
        <w:rPr>
          <w:sz w:val="18"/>
        </w:rPr>
        <w:t>A “valid” WHOPIR is a WHOPIR published on the WHO PQT</w:t>
      </w:r>
      <w:r>
        <w:rPr>
          <w:spacing w:val="-10"/>
          <w:sz w:val="18"/>
        </w:rPr>
        <w:t xml:space="preserve"> </w:t>
      </w:r>
      <w:r>
        <w:rPr>
          <w:sz w:val="18"/>
        </w:rPr>
        <w:t>website.</w:t>
      </w:r>
    </w:p>
    <w:p w14:paraId="5188ABE5" w14:textId="101FE1EF" w:rsidR="00463F76" w:rsidRDefault="000A0C36">
      <w:pPr>
        <w:pStyle w:val="ListParagraph"/>
        <w:numPr>
          <w:ilvl w:val="0"/>
          <w:numId w:val="2"/>
        </w:numPr>
        <w:tabs>
          <w:tab w:val="left" w:pos="401"/>
        </w:tabs>
        <w:spacing w:before="13"/>
        <w:ind w:left="400" w:hanging="185"/>
        <w:rPr>
          <w:sz w:val="18"/>
        </w:rPr>
      </w:pPr>
      <w:r>
        <w:rPr>
          <w:sz w:val="18"/>
        </w:rPr>
        <w:t>WHO Guidelines for Pharmaceutical Preparations</w:t>
      </w:r>
      <w:r>
        <w:rPr>
          <w:spacing w:val="-14"/>
          <w:sz w:val="18"/>
        </w:rPr>
        <w:t xml:space="preserve"> </w:t>
      </w:r>
      <w:r w:rsidR="00444DE4">
        <w:rPr>
          <w:sz w:val="18"/>
        </w:rPr>
        <w:t>(</w:t>
      </w:r>
      <w:hyperlink r:id="rId17" w:history="1">
        <w:r w:rsidR="00444DE4" w:rsidRPr="00444DE4">
          <w:rPr>
            <w:rStyle w:val="Hyperlink"/>
            <w:color w:val="0070C0"/>
            <w:sz w:val="18"/>
          </w:rPr>
          <w:t>http://www.who.int/globalchange/publications/en/</w:t>
        </w:r>
      </w:hyperlink>
      <w:r w:rsidR="00444DE4">
        <w:rPr>
          <w:sz w:val="18"/>
        </w:rPr>
        <w:t>)</w:t>
      </w:r>
    </w:p>
    <w:p w14:paraId="5188ABE6" w14:textId="77777777" w:rsidR="00463F76" w:rsidRDefault="00463F76">
      <w:pPr>
        <w:rPr>
          <w:sz w:val="18"/>
        </w:rPr>
        <w:sectPr w:rsidR="00463F76">
          <w:pgSz w:w="11900" w:h="16840"/>
          <w:pgMar w:top="1600" w:right="1200" w:bottom="940" w:left="1200" w:header="0" w:footer="752" w:gutter="0"/>
          <w:cols w:space="720"/>
        </w:sectPr>
      </w:pPr>
    </w:p>
    <w:p w14:paraId="5188ABE7" w14:textId="77777777" w:rsidR="00463F76" w:rsidRDefault="000A0C36">
      <w:pPr>
        <w:pStyle w:val="BodyText"/>
        <w:spacing w:before="76"/>
        <w:ind w:left="215" w:right="131"/>
      </w:pPr>
      <w:r>
        <w:lastRenderedPageBreak/>
        <w:t>Those that received a positive opinion from the WHO Experts Review Panel (ERP) can be procured and supplied by UNDP within the period of time specified by the ERP.</w:t>
      </w:r>
    </w:p>
    <w:p w14:paraId="5188ABE8" w14:textId="77777777" w:rsidR="00463F76" w:rsidRDefault="00463F76">
      <w:pPr>
        <w:pStyle w:val="BodyText"/>
        <w:spacing w:before="11"/>
        <w:rPr>
          <w:sz w:val="21"/>
        </w:rPr>
      </w:pPr>
    </w:p>
    <w:p w14:paraId="5188ABE9" w14:textId="77777777" w:rsidR="00463F76" w:rsidRDefault="000A0C36">
      <w:pPr>
        <w:pStyle w:val="BodyText"/>
        <w:ind w:left="215" w:right="790"/>
      </w:pPr>
      <w:r>
        <w:t>UNDP recognizes the work of Stringent Regulatory Authorities (SRAs) as defined by the WHO</w:t>
      </w:r>
      <w:r>
        <w:rPr>
          <w:position w:val="7"/>
          <w:sz w:val="14"/>
        </w:rPr>
        <w:t>18</w:t>
      </w:r>
      <w:r>
        <w:t xml:space="preserve">. All FPPs that are registered </w:t>
      </w:r>
      <w:r>
        <w:rPr>
          <w:b/>
          <w:u w:val="single"/>
        </w:rPr>
        <w:t>and</w:t>
      </w:r>
      <w:r>
        <w:rPr>
          <w:b/>
        </w:rPr>
        <w:t xml:space="preserve"> </w:t>
      </w:r>
      <w:r>
        <w:t>marketed in countries with such SRAs are qualified by UNDP.</w:t>
      </w:r>
    </w:p>
    <w:p w14:paraId="5188ABEA" w14:textId="77777777" w:rsidR="00463F76" w:rsidRDefault="00463F76">
      <w:pPr>
        <w:pStyle w:val="BodyText"/>
      </w:pPr>
    </w:p>
    <w:p w14:paraId="5188ABEB" w14:textId="77777777" w:rsidR="00463F76" w:rsidRDefault="000A0C36">
      <w:pPr>
        <w:pStyle w:val="BodyText"/>
        <w:ind w:left="215" w:right="213"/>
        <w:jc w:val="both"/>
      </w:pPr>
      <w:r>
        <w:t>UNDP</w:t>
      </w:r>
      <w:r>
        <w:rPr>
          <w:spacing w:val="-7"/>
        </w:rPr>
        <w:t xml:space="preserve"> </w:t>
      </w:r>
      <w:r>
        <w:t>can</w:t>
      </w:r>
      <w:r>
        <w:rPr>
          <w:spacing w:val="-7"/>
        </w:rPr>
        <w:t xml:space="preserve"> </w:t>
      </w:r>
      <w:r>
        <w:t>decide</w:t>
      </w:r>
      <w:r>
        <w:rPr>
          <w:spacing w:val="-5"/>
        </w:rPr>
        <w:t xml:space="preserve"> </w:t>
      </w:r>
      <w:r>
        <w:t>to</w:t>
      </w:r>
      <w:r>
        <w:rPr>
          <w:spacing w:val="-7"/>
        </w:rPr>
        <w:t xml:space="preserve"> </w:t>
      </w:r>
      <w:r>
        <w:t>assess</w:t>
      </w:r>
      <w:r>
        <w:rPr>
          <w:spacing w:val="-8"/>
        </w:rPr>
        <w:t xml:space="preserve"> </w:t>
      </w:r>
      <w:r>
        <w:t>FPPs</w:t>
      </w:r>
      <w:r>
        <w:rPr>
          <w:spacing w:val="-8"/>
        </w:rPr>
        <w:t xml:space="preserve"> </w:t>
      </w:r>
      <w:r>
        <w:t>that</w:t>
      </w:r>
      <w:r>
        <w:rPr>
          <w:spacing w:val="-5"/>
        </w:rPr>
        <w:t xml:space="preserve"> </w:t>
      </w:r>
      <w:r>
        <w:t>are</w:t>
      </w:r>
      <w:r>
        <w:rPr>
          <w:spacing w:val="-6"/>
        </w:rPr>
        <w:t xml:space="preserve"> </w:t>
      </w:r>
      <w:r>
        <w:t>not</w:t>
      </w:r>
      <w:r>
        <w:rPr>
          <w:spacing w:val="-5"/>
        </w:rPr>
        <w:t xml:space="preserve"> </w:t>
      </w:r>
      <w:r>
        <w:t>WHO</w:t>
      </w:r>
      <w:r>
        <w:rPr>
          <w:spacing w:val="-8"/>
        </w:rPr>
        <w:t xml:space="preserve"> </w:t>
      </w:r>
      <w:r>
        <w:t>prequalified</w:t>
      </w:r>
      <w:r>
        <w:rPr>
          <w:spacing w:val="-7"/>
        </w:rPr>
        <w:t xml:space="preserve"> </w:t>
      </w:r>
      <w:r>
        <w:t>or</w:t>
      </w:r>
      <w:r>
        <w:rPr>
          <w:spacing w:val="-4"/>
        </w:rPr>
        <w:t xml:space="preserve"> </w:t>
      </w:r>
      <w:r>
        <w:t>recommended</w:t>
      </w:r>
      <w:r>
        <w:rPr>
          <w:spacing w:val="-7"/>
        </w:rPr>
        <w:t xml:space="preserve"> </w:t>
      </w:r>
      <w:r>
        <w:t>for</w:t>
      </w:r>
      <w:r>
        <w:rPr>
          <w:spacing w:val="-9"/>
        </w:rPr>
        <w:t xml:space="preserve"> </w:t>
      </w:r>
      <w:r>
        <w:t>use</w:t>
      </w:r>
      <w:r>
        <w:rPr>
          <w:spacing w:val="-5"/>
        </w:rPr>
        <w:t xml:space="preserve"> </w:t>
      </w:r>
      <w:r>
        <w:t>by</w:t>
      </w:r>
      <w:r>
        <w:rPr>
          <w:spacing w:val="-8"/>
        </w:rPr>
        <w:t xml:space="preserve"> </w:t>
      </w:r>
      <w:r>
        <w:t>the</w:t>
      </w:r>
      <w:r>
        <w:rPr>
          <w:spacing w:val="-3"/>
        </w:rPr>
        <w:t xml:space="preserve"> </w:t>
      </w:r>
      <w:r>
        <w:t>ERP</w:t>
      </w:r>
      <w:r>
        <w:rPr>
          <w:spacing w:val="-5"/>
        </w:rPr>
        <w:t xml:space="preserve"> </w:t>
      </w:r>
      <w:r>
        <w:t>or registered and marketed in countries with SRA. In such cases, the assessment will be conducted in accordance with WHO’s Model Quality Assurance System (MQAS)</w:t>
      </w:r>
      <w:r>
        <w:rPr>
          <w:spacing w:val="-7"/>
        </w:rPr>
        <w:t xml:space="preserve"> </w:t>
      </w:r>
      <w:r>
        <w:t>guidelines.</w:t>
      </w:r>
    </w:p>
    <w:p w14:paraId="5188ABEC" w14:textId="77777777" w:rsidR="00463F76" w:rsidRDefault="00463F76">
      <w:pPr>
        <w:pStyle w:val="BodyText"/>
        <w:spacing w:before="1"/>
      </w:pPr>
    </w:p>
    <w:p w14:paraId="5188ABED" w14:textId="77777777" w:rsidR="00463F76" w:rsidRDefault="000A0C36">
      <w:pPr>
        <w:pStyle w:val="BodyText"/>
        <w:ind w:left="215" w:right="225"/>
      </w:pPr>
      <w:r>
        <w:t>Any FPP procured and/or supplied by UNDP must be authorized by the National Regulatory Authority in the recipient country.</w:t>
      </w:r>
    </w:p>
    <w:p w14:paraId="5188ABEE" w14:textId="77777777" w:rsidR="00463F76" w:rsidRDefault="00463F76">
      <w:pPr>
        <w:pStyle w:val="BodyText"/>
        <w:spacing w:before="3"/>
        <w:rPr>
          <w:sz w:val="25"/>
        </w:rPr>
      </w:pPr>
    </w:p>
    <w:p w14:paraId="5188ABEF" w14:textId="77777777" w:rsidR="00463F76" w:rsidRPr="00286BA1" w:rsidRDefault="000A0C36">
      <w:pPr>
        <w:pStyle w:val="ListParagraph"/>
        <w:numPr>
          <w:ilvl w:val="2"/>
          <w:numId w:val="4"/>
        </w:numPr>
        <w:tabs>
          <w:tab w:val="left" w:pos="925"/>
          <w:tab w:val="left" w:pos="926"/>
        </w:tabs>
        <w:rPr>
          <w:rFonts w:ascii="Calibri Light"/>
          <w:i/>
          <w:color w:val="2D74B5"/>
        </w:rPr>
      </w:pPr>
      <w:bookmarkStart w:id="14" w:name="4.2.2._Medical_devices"/>
      <w:bookmarkStart w:id="15" w:name="_bookmark7"/>
      <w:bookmarkEnd w:id="14"/>
      <w:bookmarkEnd w:id="15"/>
      <w:r w:rsidRPr="00286BA1">
        <w:rPr>
          <w:rFonts w:ascii="Calibri Light"/>
          <w:i/>
          <w:color w:val="2D74B5"/>
        </w:rPr>
        <w:t>Medical</w:t>
      </w:r>
      <w:r w:rsidRPr="00286BA1">
        <w:rPr>
          <w:rFonts w:ascii="Calibri Light"/>
          <w:i/>
          <w:color w:val="2D74B5"/>
          <w:spacing w:val="-2"/>
        </w:rPr>
        <w:t xml:space="preserve"> </w:t>
      </w:r>
      <w:r w:rsidRPr="00286BA1">
        <w:rPr>
          <w:rFonts w:ascii="Calibri Light"/>
          <w:i/>
          <w:color w:val="2D74B5"/>
        </w:rPr>
        <w:t>devices</w:t>
      </w:r>
      <w:r w:rsidRPr="00286BA1">
        <w:rPr>
          <w:rFonts w:ascii="Calibri Light"/>
          <w:i/>
          <w:color w:val="2D74B5"/>
          <w:position w:val="7"/>
          <w:sz w:val="14"/>
        </w:rPr>
        <w:t>19</w:t>
      </w:r>
      <w:r w:rsidRPr="00286BA1">
        <w:rPr>
          <w:rFonts w:ascii="Calibri Light"/>
          <w:i/>
          <w:color w:val="2D74B5"/>
        </w:rPr>
        <w:t xml:space="preserve"> </w:t>
      </w:r>
    </w:p>
    <w:p w14:paraId="5188ABF0" w14:textId="77777777" w:rsidR="00463F76" w:rsidRDefault="00463F76">
      <w:pPr>
        <w:pStyle w:val="BodyText"/>
        <w:spacing w:before="3"/>
        <w:rPr>
          <w:rFonts w:ascii="Calibri Light"/>
          <w:i/>
        </w:rPr>
      </w:pPr>
    </w:p>
    <w:p w14:paraId="5188ABF1" w14:textId="77777777" w:rsidR="00463F76" w:rsidRDefault="000A0C36">
      <w:pPr>
        <w:pStyle w:val="Heading3"/>
      </w:pPr>
      <w:r>
        <w:t>Manufacturing sites</w:t>
      </w:r>
    </w:p>
    <w:p w14:paraId="5188ABF2" w14:textId="77777777" w:rsidR="00463F76" w:rsidRDefault="00463F76">
      <w:pPr>
        <w:pStyle w:val="BodyText"/>
        <w:spacing w:before="10"/>
        <w:rPr>
          <w:b/>
          <w:sz w:val="21"/>
        </w:rPr>
      </w:pPr>
    </w:p>
    <w:p w14:paraId="5188ABF3" w14:textId="77777777" w:rsidR="00463F76" w:rsidRDefault="000A0C36">
      <w:pPr>
        <w:pStyle w:val="BodyText"/>
        <w:spacing w:before="1"/>
        <w:ind w:left="215"/>
      </w:pPr>
      <w:r>
        <w:t>All sites involved in the manufacturing of medical devices must be authorized by the Regulatory Authorities of the country of manufacture.</w:t>
      </w:r>
    </w:p>
    <w:p w14:paraId="5188ABF4" w14:textId="77777777" w:rsidR="00463F76" w:rsidRDefault="00463F76">
      <w:pPr>
        <w:pStyle w:val="BodyText"/>
        <w:spacing w:before="11"/>
        <w:rPr>
          <w:sz w:val="21"/>
        </w:rPr>
      </w:pPr>
    </w:p>
    <w:p w14:paraId="5188ABF5" w14:textId="77777777" w:rsidR="00463F76" w:rsidRDefault="000A0C36">
      <w:pPr>
        <w:pStyle w:val="BodyText"/>
        <w:ind w:left="215"/>
      </w:pPr>
      <w:r>
        <w:t>A certified copy of the Manufacturing License(s) must be submitted to UNDP.</w:t>
      </w:r>
    </w:p>
    <w:p w14:paraId="5188ABF6" w14:textId="77777777" w:rsidR="00463F76" w:rsidRDefault="00463F76">
      <w:pPr>
        <w:pStyle w:val="BodyText"/>
        <w:spacing w:before="5"/>
      </w:pPr>
    </w:p>
    <w:p w14:paraId="5188ABF7" w14:textId="77777777" w:rsidR="00463F76" w:rsidRDefault="000A0C36">
      <w:pPr>
        <w:pStyle w:val="BodyText"/>
        <w:spacing w:line="237" w:lineRule="auto"/>
        <w:ind w:left="215" w:right="131"/>
      </w:pPr>
      <w:r>
        <w:t>The manufacturing sites of medical devices must comply with the requirements of ISO 13485: 2003</w:t>
      </w:r>
      <w:r>
        <w:rPr>
          <w:position w:val="7"/>
          <w:sz w:val="14"/>
        </w:rPr>
        <w:t xml:space="preserve">20 </w:t>
      </w:r>
      <w:r>
        <w:t>or an equivalent Quality Management System (QMS).</w:t>
      </w:r>
    </w:p>
    <w:p w14:paraId="5188ABF8" w14:textId="77777777" w:rsidR="00463F76" w:rsidRDefault="00463F76">
      <w:pPr>
        <w:pStyle w:val="BodyText"/>
        <w:spacing w:before="3"/>
      </w:pPr>
    </w:p>
    <w:p w14:paraId="5188ABF9" w14:textId="77777777" w:rsidR="00463F76" w:rsidRDefault="000A0C36">
      <w:pPr>
        <w:pStyle w:val="BodyText"/>
        <w:ind w:left="215" w:right="219"/>
        <w:jc w:val="both"/>
      </w:pPr>
      <w:r>
        <w:t>Conformity</w:t>
      </w:r>
      <w:r>
        <w:rPr>
          <w:spacing w:val="-9"/>
        </w:rPr>
        <w:t xml:space="preserve"> </w:t>
      </w:r>
      <w:r>
        <w:t>to</w:t>
      </w:r>
      <w:r>
        <w:rPr>
          <w:spacing w:val="-9"/>
        </w:rPr>
        <w:t xml:space="preserve"> </w:t>
      </w:r>
      <w:r>
        <w:t>standards</w:t>
      </w:r>
      <w:r>
        <w:rPr>
          <w:spacing w:val="-4"/>
        </w:rPr>
        <w:t xml:space="preserve"> </w:t>
      </w:r>
      <w:r>
        <w:t>will</w:t>
      </w:r>
      <w:r>
        <w:rPr>
          <w:spacing w:val="-9"/>
        </w:rPr>
        <w:t xml:space="preserve"> </w:t>
      </w:r>
      <w:r>
        <w:t>be</w:t>
      </w:r>
      <w:r>
        <w:rPr>
          <w:spacing w:val="-9"/>
        </w:rPr>
        <w:t xml:space="preserve"> </w:t>
      </w:r>
      <w:r>
        <w:t>established</w:t>
      </w:r>
      <w:r>
        <w:rPr>
          <w:spacing w:val="-9"/>
        </w:rPr>
        <w:t xml:space="preserve"> </w:t>
      </w:r>
      <w:r>
        <w:t>by</w:t>
      </w:r>
      <w:r>
        <w:rPr>
          <w:spacing w:val="-9"/>
        </w:rPr>
        <w:t xml:space="preserve"> </w:t>
      </w:r>
      <w:r>
        <w:t>a</w:t>
      </w:r>
      <w:r>
        <w:rPr>
          <w:spacing w:val="-5"/>
        </w:rPr>
        <w:t xml:space="preserve"> </w:t>
      </w:r>
      <w:r>
        <w:t>Conformity</w:t>
      </w:r>
      <w:r>
        <w:rPr>
          <w:spacing w:val="-8"/>
        </w:rPr>
        <w:t xml:space="preserve"> </w:t>
      </w:r>
      <w:r>
        <w:t>Assessment</w:t>
      </w:r>
      <w:r>
        <w:rPr>
          <w:spacing w:val="-8"/>
        </w:rPr>
        <w:t xml:space="preserve"> </w:t>
      </w:r>
      <w:r>
        <w:t>Body</w:t>
      </w:r>
      <w:r>
        <w:rPr>
          <w:spacing w:val="-8"/>
        </w:rPr>
        <w:t xml:space="preserve"> </w:t>
      </w:r>
      <w:r>
        <w:t>(CAB)</w:t>
      </w:r>
      <w:r>
        <w:rPr>
          <w:spacing w:val="-6"/>
        </w:rPr>
        <w:t xml:space="preserve"> </w:t>
      </w:r>
      <w:r>
        <w:t>that</w:t>
      </w:r>
      <w:r>
        <w:rPr>
          <w:spacing w:val="-8"/>
        </w:rPr>
        <w:t xml:space="preserve"> </w:t>
      </w:r>
      <w:r>
        <w:t>is</w:t>
      </w:r>
      <w:r>
        <w:rPr>
          <w:spacing w:val="-9"/>
        </w:rPr>
        <w:t xml:space="preserve"> </w:t>
      </w:r>
      <w:r>
        <w:t>recognized by the regulatory authorities in one of the GHTF founding member countries, UNDP may request certified copies of valid certificates issued by</w:t>
      </w:r>
      <w:r>
        <w:rPr>
          <w:spacing w:val="-1"/>
        </w:rPr>
        <w:t xml:space="preserve"> </w:t>
      </w:r>
      <w:r>
        <w:t>CABs.</w:t>
      </w:r>
    </w:p>
    <w:p w14:paraId="5188ABFA" w14:textId="77777777" w:rsidR="00463F76" w:rsidRDefault="00463F76">
      <w:pPr>
        <w:pStyle w:val="BodyText"/>
        <w:spacing w:before="1"/>
      </w:pPr>
    </w:p>
    <w:p w14:paraId="5188ABFB" w14:textId="77777777" w:rsidR="00463F76" w:rsidRDefault="000A0C36">
      <w:pPr>
        <w:pStyle w:val="BodyText"/>
        <w:spacing w:before="1" w:line="268" w:lineRule="exact"/>
        <w:ind w:left="215"/>
      </w:pPr>
      <w:r>
        <w:t>Certificates need to specify, as a minimum:</w:t>
      </w:r>
    </w:p>
    <w:p w14:paraId="5188ABFC" w14:textId="77777777" w:rsidR="00463F76" w:rsidRDefault="000A0C36">
      <w:pPr>
        <w:pStyle w:val="ListParagraph"/>
        <w:numPr>
          <w:ilvl w:val="1"/>
          <w:numId w:val="2"/>
        </w:numPr>
        <w:tabs>
          <w:tab w:val="left" w:pos="935"/>
          <w:tab w:val="left" w:pos="936"/>
        </w:tabs>
        <w:spacing w:line="280" w:lineRule="exact"/>
      </w:pPr>
      <w:r>
        <w:t>The QMS standard;</w:t>
      </w:r>
      <w:r>
        <w:rPr>
          <w:spacing w:val="-2"/>
        </w:rPr>
        <w:t xml:space="preserve"> </w:t>
      </w:r>
      <w:r>
        <w:t>and</w:t>
      </w:r>
    </w:p>
    <w:p w14:paraId="5188ABFD" w14:textId="77777777" w:rsidR="00463F76" w:rsidRDefault="000A0C36">
      <w:pPr>
        <w:pStyle w:val="ListParagraph"/>
        <w:numPr>
          <w:ilvl w:val="1"/>
          <w:numId w:val="2"/>
        </w:numPr>
        <w:tabs>
          <w:tab w:val="left" w:pos="935"/>
          <w:tab w:val="left" w:pos="936"/>
        </w:tabs>
      </w:pPr>
      <w:r>
        <w:t>The name of the</w:t>
      </w:r>
      <w:r>
        <w:rPr>
          <w:spacing w:val="-6"/>
        </w:rPr>
        <w:t xml:space="preserve"> </w:t>
      </w:r>
      <w:r>
        <w:t>CAB.</w:t>
      </w:r>
    </w:p>
    <w:p w14:paraId="5188ABFE" w14:textId="77777777" w:rsidR="00463F76" w:rsidRDefault="00463F76">
      <w:pPr>
        <w:pStyle w:val="BodyText"/>
        <w:spacing w:before="9"/>
        <w:rPr>
          <w:sz w:val="21"/>
        </w:rPr>
      </w:pPr>
    </w:p>
    <w:p w14:paraId="5188ABFF" w14:textId="77777777" w:rsidR="00463F76" w:rsidRDefault="000A0C36">
      <w:pPr>
        <w:pStyle w:val="BodyText"/>
        <w:ind w:left="215" w:right="214"/>
        <w:jc w:val="both"/>
      </w:pPr>
      <w:r>
        <w:t>Regardless</w:t>
      </w:r>
      <w:r>
        <w:rPr>
          <w:spacing w:val="-15"/>
        </w:rPr>
        <w:t xml:space="preserve"> </w:t>
      </w:r>
      <w:r>
        <w:t>of</w:t>
      </w:r>
      <w:r>
        <w:rPr>
          <w:spacing w:val="-15"/>
        </w:rPr>
        <w:t xml:space="preserve"> </w:t>
      </w:r>
      <w:r>
        <w:t>the</w:t>
      </w:r>
      <w:r>
        <w:rPr>
          <w:spacing w:val="-13"/>
        </w:rPr>
        <w:t xml:space="preserve"> </w:t>
      </w:r>
      <w:r>
        <w:t>above-mentioned</w:t>
      </w:r>
      <w:r>
        <w:rPr>
          <w:spacing w:val="-9"/>
        </w:rPr>
        <w:t xml:space="preserve"> </w:t>
      </w:r>
      <w:r>
        <w:t>requirements,</w:t>
      </w:r>
      <w:r>
        <w:rPr>
          <w:spacing w:val="-13"/>
        </w:rPr>
        <w:t xml:space="preserve"> </w:t>
      </w:r>
      <w:r>
        <w:t>UNDP</w:t>
      </w:r>
      <w:r>
        <w:rPr>
          <w:spacing w:val="-8"/>
        </w:rPr>
        <w:t xml:space="preserve"> </w:t>
      </w:r>
      <w:r>
        <w:t>reserves</w:t>
      </w:r>
      <w:r>
        <w:rPr>
          <w:spacing w:val="-14"/>
        </w:rPr>
        <w:t xml:space="preserve"> </w:t>
      </w:r>
      <w:r>
        <w:t>the</w:t>
      </w:r>
      <w:r>
        <w:rPr>
          <w:spacing w:val="-13"/>
        </w:rPr>
        <w:t xml:space="preserve"> </w:t>
      </w:r>
      <w:r>
        <w:t>right</w:t>
      </w:r>
      <w:r>
        <w:rPr>
          <w:spacing w:val="-12"/>
        </w:rPr>
        <w:t xml:space="preserve"> </w:t>
      </w:r>
      <w:r>
        <w:t>to</w:t>
      </w:r>
      <w:r>
        <w:rPr>
          <w:spacing w:val="-14"/>
        </w:rPr>
        <w:t xml:space="preserve"> </w:t>
      </w:r>
      <w:r>
        <w:t>conduct</w:t>
      </w:r>
      <w:r>
        <w:rPr>
          <w:spacing w:val="-12"/>
        </w:rPr>
        <w:t xml:space="preserve"> </w:t>
      </w:r>
      <w:r>
        <w:t>an</w:t>
      </w:r>
      <w:r>
        <w:rPr>
          <w:spacing w:val="-14"/>
        </w:rPr>
        <w:t xml:space="preserve"> </w:t>
      </w:r>
      <w:r>
        <w:t>independent review or technical visit of the manufacturing sites involved in the production of any medical devises offered to</w:t>
      </w:r>
      <w:r>
        <w:rPr>
          <w:spacing w:val="-2"/>
        </w:rPr>
        <w:t xml:space="preserve"> </w:t>
      </w:r>
      <w:r>
        <w:t>UNDP.</w:t>
      </w:r>
    </w:p>
    <w:p w14:paraId="5188AC00" w14:textId="77777777" w:rsidR="00463F76" w:rsidRDefault="00463F76">
      <w:pPr>
        <w:pStyle w:val="BodyText"/>
        <w:spacing w:before="1"/>
      </w:pPr>
    </w:p>
    <w:p w14:paraId="5188AC01" w14:textId="77777777" w:rsidR="00463F76" w:rsidRDefault="000A0C36">
      <w:pPr>
        <w:pStyle w:val="Heading3"/>
        <w:spacing w:before="1"/>
      </w:pPr>
      <w:r>
        <w:t>Products</w:t>
      </w:r>
    </w:p>
    <w:p w14:paraId="5188AC02" w14:textId="77777777" w:rsidR="00463F76" w:rsidRDefault="00463F76">
      <w:pPr>
        <w:pStyle w:val="BodyText"/>
        <w:spacing w:before="2"/>
        <w:rPr>
          <w:b/>
        </w:rPr>
      </w:pPr>
    </w:p>
    <w:p w14:paraId="5188AC03" w14:textId="77777777" w:rsidR="00463F76" w:rsidRDefault="000A0C36">
      <w:pPr>
        <w:pStyle w:val="BodyText"/>
        <w:spacing w:before="1" w:line="268" w:lineRule="exact"/>
        <w:ind w:left="215"/>
      </w:pPr>
      <w:r>
        <w:t>Medical devices, including in vitro diagnostics (IVDs), should comply with:</w:t>
      </w:r>
    </w:p>
    <w:p w14:paraId="5188AC04" w14:textId="77777777" w:rsidR="00463F76" w:rsidRDefault="000A0C36">
      <w:pPr>
        <w:pStyle w:val="ListParagraph"/>
        <w:numPr>
          <w:ilvl w:val="1"/>
          <w:numId w:val="2"/>
        </w:numPr>
        <w:tabs>
          <w:tab w:val="left" w:pos="935"/>
          <w:tab w:val="left" w:pos="936"/>
        </w:tabs>
      </w:pPr>
      <w:r>
        <w:t>The guidelines of the IMDRF and GHTF as</w:t>
      </w:r>
      <w:r>
        <w:rPr>
          <w:spacing w:val="-13"/>
        </w:rPr>
        <w:t xml:space="preserve"> </w:t>
      </w:r>
      <w:r>
        <w:t>appropriate</w:t>
      </w:r>
    </w:p>
    <w:p w14:paraId="5188AC05" w14:textId="77777777" w:rsidR="00463F76" w:rsidRDefault="000A0C36">
      <w:pPr>
        <w:pStyle w:val="ListParagraph"/>
        <w:numPr>
          <w:ilvl w:val="1"/>
          <w:numId w:val="2"/>
        </w:numPr>
        <w:tabs>
          <w:tab w:val="left" w:pos="935"/>
          <w:tab w:val="left" w:pos="936"/>
        </w:tabs>
        <w:spacing w:before="2" w:line="237" w:lineRule="auto"/>
        <w:ind w:right="215"/>
      </w:pPr>
      <w:r>
        <w:t>The</w:t>
      </w:r>
      <w:r>
        <w:rPr>
          <w:spacing w:val="-10"/>
        </w:rPr>
        <w:t xml:space="preserve"> </w:t>
      </w:r>
      <w:r>
        <w:t>requirements</w:t>
      </w:r>
      <w:r>
        <w:rPr>
          <w:spacing w:val="-9"/>
        </w:rPr>
        <w:t xml:space="preserve"> </w:t>
      </w:r>
      <w:r>
        <w:t>and</w:t>
      </w:r>
      <w:r>
        <w:rPr>
          <w:spacing w:val="-9"/>
        </w:rPr>
        <w:t xml:space="preserve"> </w:t>
      </w:r>
      <w:r>
        <w:t>test</w:t>
      </w:r>
      <w:r>
        <w:rPr>
          <w:spacing w:val="-8"/>
        </w:rPr>
        <w:t xml:space="preserve"> </w:t>
      </w:r>
      <w:r>
        <w:t>methods</w:t>
      </w:r>
      <w:r>
        <w:rPr>
          <w:spacing w:val="-8"/>
        </w:rPr>
        <w:t xml:space="preserve"> </w:t>
      </w:r>
      <w:r>
        <w:t>set</w:t>
      </w:r>
      <w:r>
        <w:rPr>
          <w:spacing w:val="-7"/>
        </w:rPr>
        <w:t xml:space="preserve"> </w:t>
      </w:r>
      <w:r>
        <w:t>for</w:t>
      </w:r>
      <w:r>
        <w:rPr>
          <w:spacing w:val="-10"/>
        </w:rPr>
        <w:t xml:space="preserve"> </w:t>
      </w:r>
      <w:r>
        <w:t>them</w:t>
      </w:r>
      <w:r>
        <w:rPr>
          <w:spacing w:val="-9"/>
        </w:rPr>
        <w:t xml:space="preserve"> </w:t>
      </w:r>
      <w:r>
        <w:t>(as</w:t>
      </w:r>
      <w:r>
        <w:rPr>
          <w:spacing w:val="-9"/>
        </w:rPr>
        <w:t xml:space="preserve"> </w:t>
      </w:r>
      <w:r>
        <w:t>defined</w:t>
      </w:r>
      <w:r>
        <w:rPr>
          <w:spacing w:val="-9"/>
        </w:rPr>
        <w:t xml:space="preserve"> </w:t>
      </w:r>
      <w:r>
        <w:t>by</w:t>
      </w:r>
      <w:r>
        <w:rPr>
          <w:spacing w:val="-9"/>
        </w:rPr>
        <w:t xml:space="preserve"> </w:t>
      </w:r>
      <w:r>
        <w:t>the</w:t>
      </w:r>
      <w:r>
        <w:rPr>
          <w:spacing w:val="-9"/>
        </w:rPr>
        <w:t xml:space="preserve"> </w:t>
      </w:r>
      <w:r>
        <w:t>International</w:t>
      </w:r>
      <w:r>
        <w:rPr>
          <w:spacing w:val="-9"/>
        </w:rPr>
        <w:t xml:space="preserve"> </w:t>
      </w:r>
      <w:r>
        <w:t>Organization for</w:t>
      </w:r>
      <w:r>
        <w:rPr>
          <w:spacing w:val="-3"/>
        </w:rPr>
        <w:t xml:space="preserve"> </w:t>
      </w:r>
      <w:r>
        <w:t>Standardization).</w:t>
      </w:r>
    </w:p>
    <w:p w14:paraId="5188AC06" w14:textId="77777777" w:rsidR="00463F76" w:rsidRDefault="00463F76">
      <w:pPr>
        <w:pStyle w:val="BodyText"/>
        <w:rPr>
          <w:sz w:val="20"/>
        </w:rPr>
      </w:pPr>
    </w:p>
    <w:p w14:paraId="5188AC07" w14:textId="77777777" w:rsidR="00463F76" w:rsidRDefault="00463F76">
      <w:pPr>
        <w:pStyle w:val="BodyText"/>
        <w:rPr>
          <w:sz w:val="20"/>
        </w:rPr>
      </w:pPr>
    </w:p>
    <w:p w14:paraId="5188AC08" w14:textId="77777777" w:rsidR="00463F76" w:rsidRDefault="00463F76">
      <w:pPr>
        <w:pStyle w:val="BodyText"/>
        <w:rPr>
          <w:sz w:val="20"/>
        </w:rPr>
      </w:pPr>
    </w:p>
    <w:p w14:paraId="5188AC09" w14:textId="77777777" w:rsidR="00463F76" w:rsidRDefault="00463F76">
      <w:pPr>
        <w:pStyle w:val="BodyText"/>
        <w:rPr>
          <w:sz w:val="20"/>
        </w:rPr>
      </w:pPr>
    </w:p>
    <w:p w14:paraId="5188AC0A" w14:textId="77777777" w:rsidR="00463F76" w:rsidRDefault="00EA6ADB">
      <w:pPr>
        <w:pStyle w:val="BodyText"/>
        <w:rPr>
          <w:sz w:val="25"/>
        </w:rPr>
      </w:pPr>
      <w:r>
        <w:rPr>
          <w:noProof/>
          <w:lang w:bidi="ar-SA"/>
        </w:rPr>
        <mc:AlternateContent>
          <mc:Choice Requires="wps">
            <w:drawing>
              <wp:anchor distT="0" distB="0" distL="0" distR="0" simplePos="0" relativeHeight="251658752" behindDoc="1" locked="0" layoutInCell="1" allowOverlap="1" wp14:anchorId="5188AC8B" wp14:editId="5188AC8C">
                <wp:simplePos x="0" y="0"/>
                <wp:positionH relativeFrom="page">
                  <wp:posOffset>899160</wp:posOffset>
                </wp:positionH>
                <wp:positionV relativeFrom="paragraph">
                  <wp:posOffset>221615</wp:posOffset>
                </wp:positionV>
                <wp:extent cx="1829435" cy="0"/>
                <wp:effectExtent l="13335" t="12700" r="5080" b="63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64F12"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7.45pt" to="214.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vG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" strokeweight=".5pt">
                <w10:wrap type="topAndBottom" anchorx="page"/>
              </v:line>
            </w:pict>
          </mc:Fallback>
        </mc:AlternateContent>
      </w:r>
    </w:p>
    <w:p w14:paraId="5188AC0B" w14:textId="77777777" w:rsidR="00463F76" w:rsidRDefault="000A0C36">
      <w:pPr>
        <w:pStyle w:val="ListParagraph"/>
        <w:numPr>
          <w:ilvl w:val="0"/>
          <w:numId w:val="2"/>
        </w:numPr>
        <w:tabs>
          <w:tab w:val="left" w:pos="416"/>
        </w:tabs>
        <w:spacing w:before="88"/>
        <w:ind w:left="415" w:hanging="200"/>
        <w:rPr>
          <w:sz w:val="18"/>
        </w:rPr>
      </w:pPr>
      <w:r>
        <w:rPr>
          <w:sz w:val="18"/>
        </w:rPr>
        <w:t>Working document</w:t>
      </w:r>
      <w:r>
        <w:rPr>
          <w:spacing w:val="-3"/>
          <w:sz w:val="18"/>
        </w:rPr>
        <w:t xml:space="preserve"> </w:t>
      </w:r>
      <w:r>
        <w:rPr>
          <w:sz w:val="18"/>
        </w:rPr>
        <w:t>QAS/17.728/Rev.1</w:t>
      </w:r>
    </w:p>
    <w:p w14:paraId="5188AC0C" w14:textId="77777777" w:rsidR="00463F76" w:rsidRDefault="000A0C36">
      <w:pPr>
        <w:spacing w:before="13"/>
        <w:ind w:left="215" w:right="857"/>
        <w:rPr>
          <w:sz w:val="18"/>
        </w:rPr>
      </w:pPr>
      <w:r>
        <w:rPr>
          <w:rFonts w:ascii="Georgia"/>
          <w:position w:val="6"/>
          <w:sz w:val="14"/>
        </w:rPr>
        <w:t>19</w:t>
      </w:r>
      <w:r>
        <w:rPr>
          <w:sz w:val="18"/>
        </w:rPr>
        <w:t>WHO Global Model Regulatory Framework for Medical Devices including in vitro diagnostic medical devices Annex 4, WHO Technical Report Series 1003, 2017</w:t>
      </w:r>
    </w:p>
    <w:p w14:paraId="5188AC0D" w14:textId="77777777" w:rsidR="00463F76" w:rsidRDefault="000A0C36">
      <w:pPr>
        <w:spacing w:before="1"/>
        <w:ind w:left="215"/>
        <w:rPr>
          <w:sz w:val="18"/>
        </w:rPr>
      </w:pPr>
      <w:r>
        <w:rPr>
          <w:position w:val="5"/>
          <w:sz w:val="12"/>
        </w:rPr>
        <w:t xml:space="preserve">20 </w:t>
      </w:r>
      <w:r>
        <w:rPr>
          <w:sz w:val="18"/>
        </w:rPr>
        <w:t>(* from 1</w:t>
      </w:r>
      <w:proofErr w:type="spellStart"/>
      <w:r>
        <w:rPr>
          <w:position w:val="5"/>
          <w:sz w:val="12"/>
        </w:rPr>
        <w:t>st</w:t>
      </w:r>
      <w:proofErr w:type="spellEnd"/>
      <w:r>
        <w:rPr>
          <w:position w:val="5"/>
          <w:sz w:val="12"/>
        </w:rPr>
        <w:t xml:space="preserve"> </w:t>
      </w:r>
      <w:r>
        <w:rPr>
          <w:sz w:val="18"/>
        </w:rPr>
        <w:t>March 2019: 13485: 2016 will be applicable)</w:t>
      </w:r>
    </w:p>
    <w:p w14:paraId="5188AC0E" w14:textId="77777777" w:rsidR="00463F76" w:rsidRDefault="00463F76">
      <w:pPr>
        <w:rPr>
          <w:sz w:val="18"/>
        </w:rPr>
        <w:sectPr w:rsidR="00463F76">
          <w:pgSz w:w="11900" w:h="16840"/>
          <w:pgMar w:top="1340" w:right="1200" w:bottom="940" w:left="1200" w:header="0" w:footer="752" w:gutter="0"/>
          <w:cols w:space="720"/>
        </w:sectPr>
      </w:pPr>
    </w:p>
    <w:p w14:paraId="5188AC0F" w14:textId="77777777" w:rsidR="00463F76" w:rsidRDefault="000A0C36">
      <w:pPr>
        <w:pStyle w:val="BodyText"/>
        <w:spacing w:before="76"/>
        <w:ind w:left="215" w:right="131"/>
      </w:pPr>
      <w:r>
        <w:lastRenderedPageBreak/>
        <w:t>Medical devices classified B, C and D</w:t>
      </w:r>
      <w:r>
        <w:rPr>
          <w:position w:val="7"/>
          <w:sz w:val="14"/>
        </w:rPr>
        <w:t xml:space="preserve">21 </w:t>
      </w:r>
      <w:r>
        <w:t>according to GHTF classification principles</w:t>
      </w:r>
      <w:r>
        <w:rPr>
          <w:position w:val="7"/>
          <w:sz w:val="14"/>
        </w:rPr>
        <w:t xml:space="preserve">22 </w:t>
      </w:r>
      <w:r>
        <w:t>should have a market clearance in one of the GHTF founding members</w:t>
      </w:r>
      <w:r>
        <w:rPr>
          <w:position w:val="7"/>
          <w:sz w:val="14"/>
        </w:rPr>
        <w:t>23</w:t>
      </w:r>
      <w:r>
        <w:t>.</w:t>
      </w:r>
    </w:p>
    <w:p w14:paraId="5188AC10" w14:textId="77777777" w:rsidR="00463F76" w:rsidRDefault="00463F76">
      <w:pPr>
        <w:pStyle w:val="BodyText"/>
        <w:spacing w:before="11"/>
        <w:rPr>
          <w:sz w:val="21"/>
        </w:rPr>
      </w:pPr>
    </w:p>
    <w:p w14:paraId="5188AC11" w14:textId="77777777" w:rsidR="00463F76" w:rsidRDefault="000A0C36">
      <w:pPr>
        <w:pStyle w:val="BodyText"/>
        <w:ind w:left="215" w:right="131"/>
      </w:pPr>
      <w:r>
        <w:t>UNDP recognizes the work of the WHO: all IVDs and Male Circumcision Devices that appear in the WHO PQ lists are qualified by UNDP.</w:t>
      </w:r>
    </w:p>
    <w:p w14:paraId="5188AC12" w14:textId="77777777" w:rsidR="00463F76" w:rsidRDefault="00463F76">
      <w:pPr>
        <w:pStyle w:val="BodyText"/>
        <w:spacing w:before="3"/>
        <w:rPr>
          <w:sz w:val="25"/>
        </w:rPr>
      </w:pPr>
    </w:p>
    <w:p w14:paraId="5188AC13" w14:textId="77777777" w:rsidR="00463F76" w:rsidRDefault="000A0C36">
      <w:pPr>
        <w:pStyle w:val="ListParagraph"/>
        <w:numPr>
          <w:ilvl w:val="2"/>
          <w:numId w:val="4"/>
        </w:numPr>
        <w:tabs>
          <w:tab w:val="left" w:pos="925"/>
          <w:tab w:val="left" w:pos="926"/>
        </w:tabs>
        <w:rPr>
          <w:rFonts w:ascii="Calibri Light"/>
          <w:i/>
          <w:color w:val="2D74B5"/>
        </w:rPr>
      </w:pPr>
      <w:bookmarkStart w:id="16" w:name="4.2.3._Pesticides_for_public_health"/>
      <w:bookmarkStart w:id="17" w:name="_bookmark8"/>
      <w:bookmarkEnd w:id="16"/>
      <w:bookmarkEnd w:id="17"/>
      <w:r>
        <w:rPr>
          <w:rFonts w:ascii="Calibri Light"/>
          <w:i/>
          <w:color w:val="2D74B5"/>
        </w:rPr>
        <w:t>Pesticides for public</w:t>
      </w:r>
      <w:r>
        <w:rPr>
          <w:rFonts w:ascii="Calibri Light"/>
          <w:i/>
          <w:color w:val="2D74B5"/>
          <w:spacing w:val="-2"/>
        </w:rPr>
        <w:t xml:space="preserve"> </w:t>
      </w:r>
      <w:r>
        <w:rPr>
          <w:rFonts w:ascii="Calibri Light"/>
          <w:i/>
          <w:color w:val="2D74B5"/>
        </w:rPr>
        <w:t xml:space="preserve">health </w:t>
      </w:r>
    </w:p>
    <w:p w14:paraId="5188AC14" w14:textId="77777777" w:rsidR="00463F76" w:rsidRDefault="00463F76">
      <w:pPr>
        <w:pStyle w:val="BodyText"/>
        <w:spacing w:before="3"/>
        <w:rPr>
          <w:rFonts w:ascii="Calibri Light"/>
          <w:i/>
        </w:rPr>
      </w:pPr>
    </w:p>
    <w:p w14:paraId="5188AC15" w14:textId="77777777" w:rsidR="00463F76" w:rsidRDefault="000A0C36">
      <w:pPr>
        <w:pStyle w:val="BodyText"/>
        <w:ind w:left="215"/>
      </w:pPr>
      <w:r>
        <w:t>Pesticides for public health must comply with the specifications defined by the WHO</w:t>
      </w:r>
      <w:r>
        <w:rPr>
          <w:position w:val="7"/>
          <w:sz w:val="14"/>
        </w:rPr>
        <w:t>24</w:t>
      </w:r>
      <w:r>
        <w:t>.</w:t>
      </w:r>
    </w:p>
    <w:p w14:paraId="5188AC16" w14:textId="77777777" w:rsidR="00463F76" w:rsidRDefault="00463F76">
      <w:pPr>
        <w:pStyle w:val="BodyText"/>
        <w:spacing w:before="11"/>
        <w:rPr>
          <w:sz w:val="21"/>
        </w:rPr>
      </w:pPr>
    </w:p>
    <w:p w14:paraId="5188AC17" w14:textId="77777777" w:rsidR="00463F76" w:rsidRDefault="000A0C36">
      <w:pPr>
        <w:pStyle w:val="BodyText"/>
        <w:ind w:left="215"/>
        <w:rPr>
          <w:sz w:val="14"/>
        </w:rPr>
      </w:pPr>
      <w:r>
        <w:t>UNDP relies on the work of the WHO; long-lasting insecticidal nets that are recommended by WHO</w:t>
      </w:r>
      <w:r>
        <w:rPr>
          <w:position w:val="7"/>
          <w:sz w:val="14"/>
        </w:rPr>
        <w:t>25</w:t>
      </w:r>
    </w:p>
    <w:p w14:paraId="5188AC18" w14:textId="77777777" w:rsidR="00463F76" w:rsidRDefault="000A0C36">
      <w:pPr>
        <w:pStyle w:val="BodyText"/>
        <w:spacing w:before="2"/>
        <w:ind w:left="215"/>
      </w:pPr>
      <w:r>
        <w:t>are de facto qualified by UNDP.</w:t>
      </w:r>
    </w:p>
    <w:p w14:paraId="5188AC19" w14:textId="77777777" w:rsidR="00463F76" w:rsidRDefault="00463F76">
      <w:pPr>
        <w:pStyle w:val="BodyText"/>
        <w:rPr>
          <w:sz w:val="25"/>
        </w:rPr>
      </w:pPr>
    </w:p>
    <w:p w14:paraId="5188AC1A" w14:textId="77777777" w:rsidR="00463F76" w:rsidRDefault="000A0C36">
      <w:pPr>
        <w:pStyle w:val="ListParagraph"/>
        <w:numPr>
          <w:ilvl w:val="2"/>
          <w:numId w:val="4"/>
        </w:numPr>
        <w:tabs>
          <w:tab w:val="left" w:pos="925"/>
          <w:tab w:val="left" w:pos="926"/>
        </w:tabs>
        <w:spacing w:before="1"/>
        <w:rPr>
          <w:rFonts w:ascii="Calibri Light"/>
          <w:i/>
          <w:color w:val="2D74B5"/>
        </w:rPr>
      </w:pPr>
      <w:bookmarkStart w:id="18" w:name="4.2.4._Procurement_Agencies_(=_Non-manuf"/>
      <w:bookmarkStart w:id="19" w:name="_bookmark9"/>
      <w:bookmarkEnd w:id="18"/>
      <w:bookmarkEnd w:id="19"/>
      <w:r>
        <w:rPr>
          <w:rFonts w:ascii="Calibri Light"/>
          <w:i/>
          <w:color w:val="2D74B5"/>
        </w:rPr>
        <w:t>Procurement Agencies (= Non-manufacturing</w:t>
      </w:r>
      <w:r>
        <w:rPr>
          <w:rFonts w:ascii="Calibri Light"/>
          <w:i/>
          <w:color w:val="2D74B5"/>
          <w:spacing w:val="-1"/>
        </w:rPr>
        <w:t xml:space="preserve"> </w:t>
      </w:r>
      <w:r>
        <w:rPr>
          <w:rFonts w:ascii="Calibri Light"/>
          <w:i/>
          <w:color w:val="2D74B5"/>
        </w:rPr>
        <w:t xml:space="preserve">suppliers) </w:t>
      </w:r>
    </w:p>
    <w:p w14:paraId="5188AC1B" w14:textId="77777777" w:rsidR="00463F76" w:rsidRDefault="00EA6ADB">
      <w:pPr>
        <w:pStyle w:val="BodyText"/>
        <w:rPr>
          <w:rFonts w:ascii="Calibri Light"/>
          <w:i/>
          <w:sz w:val="19"/>
        </w:rPr>
      </w:pPr>
      <w:r>
        <w:rPr>
          <w:noProof/>
          <w:lang w:bidi="ar-SA"/>
        </w:rPr>
        <mc:AlternateContent>
          <mc:Choice Requires="wps">
            <w:drawing>
              <wp:anchor distT="0" distB="0" distL="0" distR="0" simplePos="0" relativeHeight="251659776" behindDoc="1" locked="0" layoutInCell="1" allowOverlap="1" wp14:anchorId="5188AC8D" wp14:editId="5188AC8E">
                <wp:simplePos x="0" y="0"/>
                <wp:positionH relativeFrom="page">
                  <wp:posOffset>826135</wp:posOffset>
                </wp:positionH>
                <wp:positionV relativeFrom="paragraph">
                  <wp:posOffset>175260</wp:posOffset>
                </wp:positionV>
                <wp:extent cx="5905500" cy="543560"/>
                <wp:effectExtent l="6985" t="7620" r="12065" b="1079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435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88AC9C" w14:textId="77777777" w:rsidR="00463F76" w:rsidRDefault="000A0C36">
                            <w:pPr>
                              <w:spacing w:before="20" w:line="267" w:lineRule="exact"/>
                              <w:ind w:left="110"/>
                              <w:rPr>
                                <w:b/>
                                <w:sz w:val="14"/>
                              </w:rPr>
                            </w:pPr>
                            <w:r>
                              <w:rPr>
                                <w:b/>
                              </w:rPr>
                              <w:t>WHO definition of “Procurement Agency”</w:t>
                            </w:r>
                            <w:r>
                              <w:rPr>
                                <w:b/>
                                <w:position w:val="7"/>
                                <w:sz w:val="14"/>
                              </w:rPr>
                              <w:t>26</w:t>
                            </w:r>
                          </w:p>
                          <w:p w14:paraId="5188AC9D" w14:textId="77777777" w:rsidR="00463F76" w:rsidRDefault="000A0C36">
                            <w:pPr>
                              <w:pStyle w:val="BodyText"/>
                              <w:spacing w:line="267" w:lineRule="exact"/>
                              <w:ind w:left="110"/>
                            </w:pPr>
                            <w:r>
                              <w:t>“Any organization purchasing pharmaceutical products, vaccines, or other health products or</w:t>
                            </w:r>
                          </w:p>
                          <w:p w14:paraId="5188AC9E" w14:textId="77777777" w:rsidR="00463F76" w:rsidRDefault="000A0C36">
                            <w:pPr>
                              <w:pStyle w:val="BodyText"/>
                              <w:spacing w:before="1"/>
                              <w:ind w:left="110"/>
                            </w:pPr>
                            <w:r>
                              <w:t>otherwise involved in their prequalification, purchasing, storage and distribution”.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8AC8D" id="Text Box 4" o:spid="_x0000_s1027" type="#_x0000_t202" style="position:absolute;margin-left:65.05pt;margin-top:13.8pt;width:465pt;height:42.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" filled="f" strokeweight=".5pt">
                <v:textbox inset="0,0,0,0">
                  <w:txbxContent>
                    <w:p w14:paraId="5188AC9C" w14:textId="77777777" w:rsidR="00463F76" w:rsidRDefault="000A0C36">
                      <w:pPr>
                        <w:spacing w:before="20" w:line="267" w:lineRule="exact"/>
                        <w:ind w:left="110"/>
                        <w:rPr>
                          <w:b/>
                          <w:sz w:val="14"/>
                        </w:rPr>
                      </w:pPr>
                      <w:r>
                        <w:rPr>
                          <w:b/>
                        </w:rPr>
                        <w:t>WHO definition of “Procurement Agency”</w:t>
                      </w:r>
                      <w:r>
                        <w:rPr>
                          <w:b/>
                          <w:position w:val="7"/>
                          <w:sz w:val="14"/>
                        </w:rPr>
                        <w:t>26</w:t>
                      </w:r>
                    </w:p>
                    <w:p w14:paraId="5188AC9D" w14:textId="77777777" w:rsidR="00463F76" w:rsidRDefault="000A0C36">
                      <w:pPr>
                        <w:pStyle w:val="BodyText"/>
                        <w:spacing w:line="267" w:lineRule="exact"/>
                        <w:ind w:left="110"/>
                      </w:pPr>
                      <w:r>
                        <w:t>“Any organization purchasing pharmaceutical products, vaccines, or other health products or</w:t>
                      </w:r>
                    </w:p>
                    <w:p w14:paraId="5188AC9E" w14:textId="77777777" w:rsidR="00463F76" w:rsidRDefault="000A0C36">
                      <w:pPr>
                        <w:pStyle w:val="BodyText"/>
                        <w:spacing w:before="1"/>
                        <w:ind w:left="110"/>
                      </w:pPr>
                      <w:r>
                        <w:t>otherwise involved in their prequalification, purchasing, storage and distribution”.</w:t>
                      </w:r>
                    </w:p>
                  </w:txbxContent>
                </v:textbox>
                <w10:wrap type="topAndBottom" anchorx="page"/>
              </v:shape>
            </w:pict>
          </mc:Fallback>
        </mc:AlternateContent>
      </w:r>
    </w:p>
    <w:p w14:paraId="5188AC1C" w14:textId="77777777" w:rsidR="00463F76" w:rsidRDefault="00463F76">
      <w:pPr>
        <w:pStyle w:val="BodyText"/>
        <w:spacing w:before="7"/>
        <w:rPr>
          <w:rFonts w:ascii="Calibri Light"/>
          <w:i/>
          <w:sz w:val="11"/>
        </w:rPr>
      </w:pPr>
    </w:p>
    <w:p w14:paraId="5188AC1D" w14:textId="77777777" w:rsidR="00463F76" w:rsidRDefault="000A0C36">
      <w:pPr>
        <w:pStyle w:val="BodyText"/>
        <w:spacing w:before="100" w:line="268" w:lineRule="exact"/>
        <w:ind w:left="215"/>
      </w:pPr>
      <w:r>
        <w:t>Procurement Agencies must:</w:t>
      </w:r>
    </w:p>
    <w:p w14:paraId="5188AC1E" w14:textId="77777777" w:rsidR="00463F76" w:rsidRDefault="000A0C36">
      <w:pPr>
        <w:pStyle w:val="ListParagraph"/>
        <w:numPr>
          <w:ilvl w:val="1"/>
          <w:numId w:val="2"/>
        </w:numPr>
        <w:tabs>
          <w:tab w:val="left" w:pos="935"/>
          <w:tab w:val="left" w:pos="936"/>
        </w:tabs>
        <w:spacing w:line="280" w:lineRule="exact"/>
      </w:pPr>
      <w:r>
        <w:t>Be authorized by the National Regulatory Authority (NRA) of the country of location;</w:t>
      </w:r>
      <w:r>
        <w:rPr>
          <w:spacing w:val="-20"/>
        </w:rPr>
        <w:t xml:space="preserve"> </w:t>
      </w:r>
      <w:r>
        <w:t>and</w:t>
      </w:r>
    </w:p>
    <w:p w14:paraId="5188AC1F" w14:textId="77777777" w:rsidR="00463F76" w:rsidRDefault="000A0C36">
      <w:pPr>
        <w:pStyle w:val="ListParagraph"/>
        <w:numPr>
          <w:ilvl w:val="1"/>
          <w:numId w:val="2"/>
        </w:numPr>
        <w:tabs>
          <w:tab w:val="left" w:pos="935"/>
          <w:tab w:val="left" w:pos="936"/>
        </w:tabs>
        <w:spacing w:before="2" w:line="237" w:lineRule="auto"/>
        <w:ind w:right="210"/>
      </w:pPr>
      <w:r>
        <w:t>Comply</w:t>
      </w:r>
      <w:r>
        <w:rPr>
          <w:spacing w:val="-4"/>
        </w:rPr>
        <w:t xml:space="preserve"> </w:t>
      </w:r>
      <w:r>
        <w:t>with</w:t>
      </w:r>
      <w:r>
        <w:rPr>
          <w:spacing w:val="-5"/>
        </w:rPr>
        <w:t xml:space="preserve"> </w:t>
      </w:r>
      <w:r>
        <w:t>WHO</w:t>
      </w:r>
      <w:r>
        <w:rPr>
          <w:spacing w:val="-4"/>
        </w:rPr>
        <w:t xml:space="preserve"> </w:t>
      </w:r>
      <w:r>
        <w:t>(or</w:t>
      </w:r>
      <w:r>
        <w:rPr>
          <w:spacing w:val="-6"/>
        </w:rPr>
        <w:t xml:space="preserve"> </w:t>
      </w:r>
      <w:r>
        <w:t>equivalent</w:t>
      </w:r>
      <w:r>
        <w:rPr>
          <w:rFonts w:ascii="Georgia" w:hAnsi="Georgia"/>
          <w:position w:val="6"/>
          <w:sz w:val="14"/>
        </w:rPr>
        <w:t>27</w:t>
      </w:r>
      <w:r>
        <w:t>)</w:t>
      </w:r>
      <w:r>
        <w:rPr>
          <w:spacing w:val="-5"/>
        </w:rPr>
        <w:t xml:space="preserve"> </w:t>
      </w:r>
      <w:r>
        <w:t>Good</w:t>
      </w:r>
      <w:r>
        <w:rPr>
          <w:spacing w:val="-5"/>
        </w:rPr>
        <w:t xml:space="preserve"> </w:t>
      </w:r>
      <w:r>
        <w:t>Distribution</w:t>
      </w:r>
      <w:r>
        <w:rPr>
          <w:spacing w:val="-5"/>
        </w:rPr>
        <w:t xml:space="preserve"> </w:t>
      </w:r>
      <w:r>
        <w:t>Practices</w:t>
      </w:r>
      <w:r>
        <w:rPr>
          <w:spacing w:val="-1"/>
        </w:rPr>
        <w:t xml:space="preserve"> </w:t>
      </w:r>
      <w:r>
        <w:t>(GDP)</w:t>
      </w:r>
      <w:r>
        <w:rPr>
          <w:spacing w:val="-10"/>
        </w:rPr>
        <w:t xml:space="preserve"> </w:t>
      </w:r>
      <w:r>
        <w:t>guidelines</w:t>
      </w:r>
      <w:r>
        <w:rPr>
          <w:spacing w:val="-3"/>
        </w:rPr>
        <w:t xml:space="preserve"> </w:t>
      </w:r>
      <w:r>
        <w:t>and</w:t>
      </w:r>
      <w:r>
        <w:rPr>
          <w:spacing w:val="-6"/>
        </w:rPr>
        <w:t xml:space="preserve"> </w:t>
      </w:r>
      <w:r>
        <w:t>with</w:t>
      </w:r>
      <w:r>
        <w:rPr>
          <w:spacing w:val="-5"/>
        </w:rPr>
        <w:t xml:space="preserve"> </w:t>
      </w:r>
      <w:r>
        <w:t>the WHO Model Quality Assurance for Procurement Agencies</w:t>
      </w:r>
      <w:r>
        <w:rPr>
          <w:spacing w:val="-3"/>
        </w:rPr>
        <w:t xml:space="preserve"> </w:t>
      </w:r>
      <w:r>
        <w:t>(MQAS).</w:t>
      </w:r>
    </w:p>
    <w:p w14:paraId="5188AC20" w14:textId="77777777" w:rsidR="00463F76" w:rsidRDefault="00463F76">
      <w:pPr>
        <w:pStyle w:val="BodyText"/>
        <w:spacing w:before="3"/>
      </w:pPr>
    </w:p>
    <w:p w14:paraId="5188AC21" w14:textId="77777777" w:rsidR="00463F76" w:rsidRDefault="000A0C36">
      <w:pPr>
        <w:pStyle w:val="BodyText"/>
        <w:ind w:left="215"/>
      </w:pPr>
      <w:r>
        <w:t>Applicants must provide a valid copy of the license issued by the NRA.</w:t>
      </w:r>
    </w:p>
    <w:p w14:paraId="5188AC22" w14:textId="77777777" w:rsidR="00463F76" w:rsidRDefault="00463F76">
      <w:pPr>
        <w:pStyle w:val="BodyText"/>
        <w:spacing w:before="10"/>
        <w:rPr>
          <w:sz w:val="21"/>
        </w:rPr>
      </w:pPr>
    </w:p>
    <w:p w14:paraId="5188AC23" w14:textId="77777777" w:rsidR="00463F76" w:rsidRDefault="000A0C36">
      <w:pPr>
        <w:pStyle w:val="BodyText"/>
        <w:ind w:left="215" w:right="195"/>
      </w:pPr>
      <w:r>
        <w:t>Any procurement agency that expresses its interest in submitting products for UNDP qualification will be assessed against WHO GDP and WHO MQAS guidelines</w:t>
      </w:r>
      <w:r>
        <w:rPr>
          <w:position w:val="7"/>
          <w:sz w:val="14"/>
        </w:rPr>
        <w:t>28</w:t>
      </w:r>
      <w:r>
        <w:t>.</w:t>
      </w:r>
    </w:p>
    <w:p w14:paraId="5188AC24" w14:textId="77777777" w:rsidR="00463F76" w:rsidRDefault="00463F76">
      <w:pPr>
        <w:pStyle w:val="BodyText"/>
      </w:pPr>
    </w:p>
    <w:p w14:paraId="5188AC25" w14:textId="77777777" w:rsidR="00463F76" w:rsidRDefault="000A0C36">
      <w:pPr>
        <w:pStyle w:val="BodyText"/>
        <w:ind w:left="215"/>
      </w:pPr>
      <w:r>
        <w:t>The assessment will be performed by UNDP pharmacists and consultants under the responsibility of UNDP Head of QA.</w:t>
      </w:r>
    </w:p>
    <w:p w14:paraId="5188AC26" w14:textId="77777777" w:rsidR="00463F76" w:rsidRDefault="00463F76">
      <w:pPr>
        <w:pStyle w:val="BodyText"/>
        <w:spacing w:before="4"/>
        <w:rPr>
          <w:sz w:val="25"/>
        </w:rPr>
      </w:pPr>
    </w:p>
    <w:p w14:paraId="5188AC27" w14:textId="77777777" w:rsidR="00463F76" w:rsidRDefault="000A0C36">
      <w:pPr>
        <w:pStyle w:val="Heading2"/>
        <w:numPr>
          <w:ilvl w:val="0"/>
          <w:numId w:val="7"/>
        </w:numPr>
        <w:tabs>
          <w:tab w:val="left" w:pos="780"/>
          <w:tab w:val="left" w:pos="781"/>
        </w:tabs>
        <w:spacing w:before="1"/>
        <w:ind w:left="781" w:hanging="566"/>
        <w:rPr>
          <w:color w:val="2D74B5"/>
        </w:rPr>
      </w:pPr>
      <w:bookmarkStart w:id="20" w:name="5._Participation_in_the_UNDP_qualificati"/>
      <w:bookmarkStart w:id="21" w:name="_bookmark10"/>
      <w:bookmarkEnd w:id="20"/>
      <w:bookmarkEnd w:id="21"/>
      <w:r>
        <w:rPr>
          <w:color w:val="2D74B5"/>
        </w:rPr>
        <w:t xml:space="preserve">Participation </w:t>
      </w:r>
      <w:r>
        <w:rPr>
          <w:color w:val="2D74B5"/>
          <w:spacing w:val="2"/>
        </w:rPr>
        <w:t xml:space="preserve">in </w:t>
      </w:r>
      <w:r>
        <w:rPr>
          <w:color w:val="2D74B5"/>
        </w:rPr>
        <w:t>the UNDP qualification</w:t>
      </w:r>
      <w:r>
        <w:rPr>
          <w:color w:val="2D74B5"/>
          <w:spacing w:val="-4"/>
        </w:rPr>
        <w:t xml:space="preserve"> </w:t>
      </w:r>
      <w:r>
        <w:rPr>
          <w:color w:val="2D74B5"/>
        </w:rPr>
        <w:t>process</w:t>
      </w:r>
    </w:p>
    <w:p w14:paraId="5188AC28" w14:textId="77777777" w:rsidR="00463F76" w:rsidRDefault="000A0C36">
      <w:pPr>
        <w:pStyle w:val="BodyText"/>
        <w:spacing w:before="272" w:line="237" w:lineRule="auto"/>
        <w:ind w:left="215"/>
      </w:pPr>
      <w:r>
        <w:t>The UNDP qualification process is open to any supplier (PAs and manufacturers) that wishes to sell medicines or other health products to the organization.</w:t>
      </w:r>
    </w:p>
    <w:p w14:paraId="5188AC29" w14:textId="77777777" w:rsidR="00463F76" w:rsidRDefault="00463F76">
      <w:pPr>
        <w:pStyle w:val="BodyText"/>
        <w:spacing w:before="3"/>
      </w:pPr>
    </w:p>
    <w:p w14:paraId="5188AC2A" w14:textId="77777777" w:rsidR="00463F76" w:rsidRDefault="000A0C36">
      <w:pPr>
        <w:pStyle w:val="BodyText"/>
        <w:ind w:left="215" w:right="136"/>
      </w:pPr>
      <w:r>
        <w:t xml:space="preserve">UNDP will periodically publish </w:t>
      </w:r>
      <w:r>
        <w:rPr>
          <w:color w:val="202020"/>
        </w:rPr>
        <w:t>calls for qualification, in connection with international tender processes for specified health products</w:t>
      </w:r>
      <w:r>
        <w:t>.</w:t>
      </w:r>
    </w:p>
    <w:p w14:paraId="5188AC2B" w14:textId="77777777" w:rsidR="00463F76" w:rsidRDefault="00463F76">
      <w:pPr>
        <w:pStyle w:val="BodyText"/>
      </w:pPr>
    </w:p>
    <w:p w14:paraId="5188AC2C" w14:textId="77777777" w:rsidR="00463F76" w:rsidRDefault="000A0C36">
      <w:pPr>
        <w:pStyle w:val="BodyText"/>
        <w:spacing w:line="242" w:lineRule="auto"/>
        <w:ind w:left="215"/>
      </w:pPr>
      <w:r>
        <w:t>Interested eligible parties will be invited to submit their application including the requested technical information.</w:t>
      </w:r>
    </w:p>
    <w:p w14:paraId="5188AC2D" w14:textId="77777777" w:rsidR="00463F76" w:rsidRDefault="00EA6ADB">
      <w:pPr>
        <w:pStyle w:val="BodyText"/>
        <w:spacing w:before="9"/>
        <w:rPr>
          <w:sz w:val="27"/>
        </w:rPr>
      </w:pPr>
      <w:r>
        <w:rPr>
          <w:noProof/>
          <w:lang w:bidi="ar-SA"/>
        </w:rPr>
        <mc:AlternateContent>
          <mc:Choice Requires="wps">
            <w:drawing>
              <wp:anchor distT="0" distB="0" distL="0" distR="0" simplePos="0" relativeHeight="251660800" behindDoc="1" locked="0" layoutInCell="1" allowOverlap="1" wp14:anchorId="5188AC8F" wp14:editId="5188AC90">
                <wp:simplePos x="0" y="0"/>
                <wp:positionH relativeFrom="page">
                  <wp:posOffset>899160</wp:posOffset>
                </wp:positionH>
                <wp:positionV relativeFrom="paragraph">
                  <wp:posOffset>243205</wp:posOffset>
                </wp:positionV>
                <wp:extent cx="1829435" cy="0"/>
                <wp:effectExtent l="13335" t="12700" r="5080" b="63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A157"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9.15pt" to="214.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r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" strokeweight=".5pt">
                <w10:wrap type="topAndBottom" anchorx="page"/>
              </v:line>
            </w:pict>
          </mc:Fallback>
        </mc:AlternateContent>
      </w:r>
    </w:p>
    <w:p w14:paraId="5188AC2E" w14:textId="77777777" w:rsidR="00463F76" w:rsidRDefault="000A0C36">
      <w:pPr>
        <w:spacing w:before="74"/>
        <w:ind w:left="215"/>
        <w:rPr>
          <w:sz w:val="18"/>
        </w:rPr>
      </w:pPr>
      <w:r>
        <w:rPr>
          <w:position w:val="5"/>
          <w:sz w:val="12"/>
        </w:rPr>
        <w:t xml:space="preserve">21 </w:t>
      </w:r>
      <w:r>
        <w:rPr>
          <w:sz w:val="18"/>
        </w:rPr>
        <w:t>B = Low-moderate hazard, C = Moderate-high hazard, D = High hazard</w:t>
      </w:r>
    </w:p>
    <w:p w14:paraId="5188AC2F" w14:textId="77777777" w:rsidR="00463F76" w:rsidRDefault="000A0C36">
      <w:pPr>
        <w:spacing w:before="1"/>
        <w:ind w:left="215"/>
        <w:rPr>
          <w:sz w:val="18"/>
        </w:rPr>
      </w:pPr>
      <w:r>
        <w:rPr>
          <w:position w:val="5"/>
          <w:sz w:val="12"/>
        </w:rPr>
        <w:t xml:space="preserve">22 </w:t>
      </w:r>
      <w:r>
        <w:rPr>
          <w:sz w:val="18"/>
        </w:rPr>
        <w:t>GHTF/SG1/N77:2012</w:t>
      </w:r>
    </w:p>
    <w:p w14:paraId="5188AC30" w14:textId="77777777" w:rsidR="00463F76" w:rsidRDefault="000A0C36">
      <w:pPr>
        <w:ind w:left="215"/>
        <w:rPr>
          <w:sz w:val="18"/>
        </w:rPr>
      </w:pPr>
      <w:r>
        <w:rPr>
          <w:position w:val="5"/>
          <w:sz w:val="12"/>
        </w:rPr>
        <w:t xml:space="preserve">23 </w:t>
      </w:r>
      <w:r>
        <w:rPr>
          <w:sz w:val="18"/>
        </w:rPr>
        <w:t>GHTF founding members: EU, USA, Japan, Canada, Australia</w:t>
      </w:r>
    </w:p>
    <w:p w14:paraId="5188AC31" w14:textId="148DF643" w:rsidR="00463F76" w:rsidRPr="00D83AAB" w:rsidRDefault="000A0C36">
      <w:pPr>
        <w:ind w:left="215"/>
        <w:rPr>
          <w:color w:val="0070C0"/>
          <w:sz w:val="18"/>
          <w:szCs w:val="18"/>
        </w:rPr>
      </w:pPr>
      <w:r>
        <w:rPr>
          <w:position w:val="5"/>
          <w:sz w:val="12"/>
        </w:rPr>
        <w:t xml:space="preserve">24 </w:t>
      </w:r>
      <w:hyperlink r:id="rId18" w:history="1">
        <w:r w:rsidR="00D83AAB" w:rsidRPr="00D83AAB">
          <w:rPr>
            <w:rStyle w:val="Hyperlink"/>
            <w:color w:val="0070C0"/>
            <w:sz w:val="18"/>
            <w:szCs w:val="18"/>
          </w:rPr>
          <w:t>https://www.who.int/neglected_diseases/vector_ecology/pesticide-specifications/newspecif/en/</w:t>
        </w:r>
      </w:hyperlink>
      <w:r w:rsidR="00D83AAB" w:rsidRPr="00D83AAB">
        <w:rPr>
          <w:color w:val="0070C0"/>
          <w:sz w:val="18"/>
          <w:szCs w:val="18"/>
        </w:rPr>
        <w:t xml:space="preserve"> </w:t>
      </w:r>
    </w:p>
    <w:p w14:paraId="5188AC32" w14:textId="051F2EBC" w:rsidR="00463F76" w:rsidRDefault="000A0C36">
      <w:pPr>
        <w:spacing w:before="1"/>
        <w:ind w:left="215"/>
        <w:rPr>
          <w:sz w:val="18"/>
        </w:rPr>
      </w:pPr>
      <w:r>
        <w:rPr>
          <w:position w:val="5"/>
          <w:sz w:val="12"/>
        </w:rPr>
        <w:t xml:space="preserve">25 </w:t>
      </w:r>
      <w:hyperlink r:id="rId19" w:history="1">
        <w:r w:rsidR="0077025E" w:rsidRPr="0077025E">
          <w:rPr>
            <w:rStyle w:val="Hyperlink"/>
            <w:color w:val="0070C0"/>
            <w:sz w:val="18"/>
            <w:szCs w:val="18"/>
          </w:rPr>
          <w:t>http://158.232.12.119/entity/malaria/publications/atoz/who-recommendation-managing-old-llins-mar2014.pdf</w:t>
        </w:r>
      </w:hyperlink>
      <w:r w:rsidR="0077025E" w:rsidRPr="0077025E">
        <w:rPr>
          <w:color w:val="0070C0"/>
        </w:rPr>
        <w:t xml:space="preserve"> </w:t>
      </w:r>
      <w:r w:rsidR="003476E0" w:rsidRPr="0077025E">
        <w:rPr>
          <w:color w:val="0070C0"/>
          <w:sz w:val="18"/>
        </w:rPr>
        <w:t xml:space="preserve"> </w:t>
      </w:r>
    </w:p>
    <w:p w14:paraId="5188AC33" w14:textId="77777777" w:rsidR="00463F76" w:rsidRDefault="000A0C36">
      <w:pPr>
        <w:ind w:left="215"/>
        <w:rPr>
          <w:sz w:val="18"/>
        </w:rPr>
      </w:pPr>
      <w:r>
        <w:rPr>
          <w:position w:val="5"/>
          <w:sz w:val="12"/>
        </w:rPr>
        <w:t xml:space="preserve">26 </w:t>
      </w:r>
      <w:r>
        <w:rPr>
          <w:sz w:val="18"/>
        </w:rPr>
        <w:t>WHO TRS 986 – Annex 3</w:t>
      </w:r>
    </w:p>
    <w:p w14:paraId="5188AC34" w14:textId="77777777" w:rsidR="00463F76" w:rsidRDefault="000A0C36">
      <w:pPr>
        <w:ind w:left="215"/>
        <w:rPr>
          <w:sz w:val="18"/>
        </w:rPr>
      </w:pPr>
      <w:r>
        <w:rPr>
          <w:position w:val="5"/>
          <w:sz w:val="12"/>
        </w:rPr>
        <w:t xml:space="preserve">27 </w:t>
      </w:r>
      <w:r>
        <w:rPr>
          <w:sz w:val="18"/>
        </w:rPr>
        <w:t>EU EMA, Swiss Medic, Health Canada GDP guidelines are considered as equivalent to the WHO ones.</w:t>
      </w:r>
    </w:p>
    <w:p w14:paraId="5188AC35" w14:textId="77777777" w:rsidR="00463F76" w:rsidRDefault="000A0C36">
      <w:pPr>
        <w:spacing w:before="1"/>
        <w:ind w:left="215" w:right="343"/>
        <w:rPr>
          <w:sz w:val="18"/>
        </w:rPr>
      </w:pPr>
      <w:r>
        <w:rPr>
          <w:position w:val="5"/>
          <w:sz w:val="12"/>
        </w:rPr>
        <w:t xml:space="preserve">28 </w:t>
      </w:r>
      <w:r>
        <w:rPr>
          <w:sz w:val="18"/>
        </w:rPr>
        <w:t>Procedure for assessing the acceptability in principle of procurement agencies for use by United Nations agencies (WHO TR 917, Annexes 6 &amp; 7).</w:t>
      </w:r>
    </w:p>
    <w:p w14:paraId="5188AC36" w14:textId="77777777" w:rsidR="00463F76" w:rsidRDefault="00463F76">
      <w:pPr>
        <w:rPr>
          <w:sz w:val="18"/>
        </w:rPr>
        <w:sectPr w:rsidR="00463F76">
          <w:pgSz w:w="11900" w:h="16840"/>
          <w:pgMar w:top="1340" w:right="1200" w:bottom="940" w:left="1200" w:header="0" w:footer="752" w:gutter="0"/>
          <w:cols w:space="720"/>
        </w:sectPr>
      </w:pPr>
    </w:p>
    <w:p w14:paraId="5188AC37" w14:textId="77777777" w:rsidR="00463F76" w:rsidRDefault="00463F76">
      <w:pPr>
        <w:pStyle w:val="BodyText"/>
        <w:spacing w:before="11"/>
        <w:rPr>
          <w:sz w:val="20"/>
        </w:rPr>
      </w:pPr>
    </w:p>
    <w:p w14:paraId="5188AC38" w14:textId="77777777" w:rsidR="00463F76" w:rsidRDefault="000A0C36">
      <w:pPr>
        <w:pStyle w:val="BodyText"/>
        <w:spacing w:before="101" w:line="268" w:lineRule="exact"/>
        <w:ind w:left="215"/>
        <w:jc w:val="both"/>
      </w:pPr>
      <w:r>
        <w:t>Specific formats will be used to collect the technical information as appropriate:</w:t>
      </w:r>
    </w:p>
    <w:p w14:paraId="5188AC39" w14:textId="77777777" w:rsidR="00463F76" w:rsidRDefault="000A0C36">
      <w:pPr>
        <w:pStyle w:val="ListParagraph"/>
        <w:numPr>
          <w:ilvl w:val="1"/>
          <w:numId w:val="7"/>
        </w:numPr>
        <w:tabs>
          <w:tab w:val="left" w:pos="935"/>
          <w:tab w:val="left" w:pos="936"/>
        </w:tabs>
      </w:pPr>
      <w:r>
        <w:t>Manufacturer Information File</w:t>
      </w:r>
      <w:r>
        <w:rPr>
          <w:spacing w:val="1"/>
        </w:rPr>
        <w:t xml:space="preserve"> </w:t>
      </w:r>
      <w:r>
        <w:t>(MIF)</w:t>
      </w:r>
    </w:p>
    <w:p w14:paraId="5188AC3A" w14:textId="77777777" w:rsidR="00463F76" w:rsidRDefault="000A0C36">
      <w:pPr>
        <w:pStyle w:val="ListParagraph"/>
        <w:numPr>
          <w:ilvl w:val="1"/>
          <w:numId w:val="7"/>
        </w:numPr>
        <w:tabs>
          <w:tab w:val="left" w:pos="935"/>
          <w:tab w:val="left" w:pos="936"/>
        </w:tabs>
        <w:spacing w:line="280" w:lineRule="exact"/>
      </w:pPr>
      <w:r>
        <w:t>Procurement Agency Information File</w:t>
      </w:r>
      <w:r>
        <w:rPr>
          <w:spacing w:val="-2"/>
        </w:rPr>
        <w:t xml:space="preserve"> </w:t>
      </w:r>
      <w:r>
        <w:t>(PAIF)</w:t>
      </w:r>
    </w:p>
    <w:p w14:paraId="5188AC3B" w14:textId="77777777" w:rsidR="00463F76" w:rsidRPr="00FA5766" w:rsidRDefault="000A0C36">
      <w:pPr>
        <w:pStyle w:val="ListParagraph"/>
        <w:numPr>
          <w:ilvl w:val="1"/>
          <w:numId w:val="7"/>
        </w:numPr>
        <w:tabs>
          <w:tab w:val="left" w:pos="935"/>
          <w:tab w:val="left" w:pos="936"/>
        </w:tabs>
        <w:rPr>
          <w:lang w:val="fr-FR"/>
        </w:rPr>
      </w:pPr>
      <w:r w:rsidRPr="00FA5766">
        <w:rPr>
          <w:lang w:val="fr-FR"/>
        </w:rPr>
        <w:t>Inter-Agency Product Questionnaire (IAPQ)</w:t>
      </w:r>
    </w:p>
    <w:p w14:paraId="5188AC3C" w14:textId="77777777" w:rsidR="00463F76" w:rsidRPr="00FA5766" w:rsidRDefault="00463F76">
      <w:pPr>
        <w:pStyle w:val="BodyText"/>
        <w:spacing w:before="9"/>
        <w:rPr>
          <w:sz w:val="21"/>
          <w:lang w:val="fr-FR"/>
        </w:rPr>
      </w:pPr>
    </w:p>
    <w:p w14:paraId="5188AC3D" w14:textId="77777777" w:rsidR="00463F76" w:rsidRDefault="000A0C36">
      <w:pPr>
        <w:pStyle w:val="BodyText"/>
        <w:spacing w:before="1"/>
        <w:ind w:left="215"/>
      </w:pPr>
      <w:r>
        <w:t>Applicants’ dossiers and product information will be assessed in accordance with UNDP Standard Operating Procedures and selection criteria as specified in the call for qualification.</w:t>
      </w:r>
    </w:p>
    <w:p w14:paraId="5188AC3E" w14:textId="77777777" w:rsidR="00463F76" w:rsidRDefault="00463F76">
      <w:pPr>
        <w:pStyle w:val="BodyText"/>
        <w:spacing w:before="5"/>
        <w:rPr>
          <w:sz w:val="25"/>
        </w:rPr>
      </w:pPr>
    </w:p>
    <w:p w14:paraId="5188AC3F" w14:textId="77777777" w:rsidR="00463F76" w:rsidRDefault="000A0C36">
      <w:pPr>
        <w:pStyle w:val="Heading2"/>
        <w:numPr>
          <w:ilvl w:val="0"/>
          <w:numId w:val="7"/>
        </w:numPr>
        <w:tabs>
          <w:tab w:val="left" w:pos="780"/>
          <w:tab w:val="left" w:pos="781"/>
        </w:tabs>
        <w:ind w:left="781" w:hanging="566"/>
        <w:rPr>
          <w:color w:val="2D74B5"/>
        </w:rPr>
      </w:pPr>
      <w:bookmarkStart w:id="22" w:name="6._Outcome_of_the_UNDP_qualification_pro"/>
      <w:bookmarkStart w:id="23" w:name="_bookmark11"/>
      <w:bookmarkEnd w:id="22"/>
      <w:bookmarkEnd w:id="23"/>
      <w:r>
        <w:rPr>
          <w:color w:val="2D74B5"/>
        </w:rPr>
        <w:t>Outcome of the UNDP qualification</w:t>
      </w:r>
      <w:r>
        <w:rPr>
          <w:color w:val="2D74B5"/>
          <w:spacing w:val="4"/>
        </w:rPr>
        <w:t xml:space="preserve"> </w:t>
      </w:r>
      <w:r>
        <w:rPr>
          <w:color w:val="2D74B5"/>
        </w:rPr>
        <w:t>process</w:t>
      </w:r>
    </w:p>
    <w:p w14:paraId="5188AC40" w14:textId="77777777" w:rsidR="00463F76" w:rsidRDefault="000A0C36">
      <w:pPr>
        <w:pStyle w:val="BodyText"/>
        <w:spacing w:before="266"/>
        <w:ind w:left="215"/>
      </w:pPr>
      <w:r>
        <w:t>Suppliers</w:t>
      </w:r>
      <w:r>
        <w:rPr>
          <w:spacing w:val="-9"/>
        </w:rPr>
        <w:t xml:space="preserve"> </w:t>
      </w:r>
      <w:r>
        <w:t>that</w:t>
      </w:r>
      <w:r>
        <w:rPr>
          <w:spacing w:val="-6"/>
        </w:rPr>
        <w:t xml:space="preserve"> </w:t>
      </w:r>
      <w:r>
        <w:t>comply</w:t>
      </w:r>
      <w:r>
        <w:rPr>
          <w:spacing w:val="-7"/>
        </w:rPr>
        <w:t xml:space="preserve"> </w:t>
      </w:r>
      <w:r>
        <w:t>with</w:t>
      </w:r>
      <w:r>
        <w:rPr>
          <w:spacing w:val="-8"/>
        </w:rPr>
        <w:t xml:space="preserve"> </w:t>
      </w:r>
      <w:r>
        <w:t>the</w:t>
      </w:r>
      <w:r>
        <w:rPr>
          <w:spacing w:val="-9"/>
        </w:rPr>
        <w:t xml:space="preserve"> </w:t>
      </w:r>
      <w:r>
        <w:t>requirements</w:t>
      </w:r>
      <w:r>
        <w:rPr>
          <w:spacing w:val="-8"/>
        </w:rPr>
        <w:t xml:space="preserve"> </w:t>
      </w:r>
      <w:r>
        <w:t>as</w:t>
      </w:r>
      <w:r>
        <w:rPr>
          <w:spacing w:val="-8"/>
        </w:rPr>
        <w:t xml:space="preserve"> </w:t>
      </w:r>
      <w:r>
        <w:t>stated</w:t>
      </w:r>
      <w:r>
        <w:rPr>
          <w:spacing w:val="-7"/>
        </w:rPr>
        <w:t xml:space="preserve"> </w:t>
      </w:r>
      <w:r>
        <w:t>in</w:t>
      </w:r>
      <w:r>
        <w:rPr>
          <w:spacing w:val="-4"/>
        </w:rPr>
        <w:t xml:space="preserve"> </w:t>
      </w:r>
      <w:r>
        <w:t>the</w:t>
      </w:r>
      <w:r>
        <w:rPr>
          <w:spacing w:val="-8"/>
        </w:rPr>
        <w:t xml:space="preserve"> </w:t>
      </w:r>
      <w:r>
        <w:t>call</w:t>
      </w:r>
      <w:r>
        <w:rPr>
          <w:spacing w:val="-8"/>
        </w:rPr>
        <w:t xml:space="preserve"> </w:t>
      </w:r>
      <w:r>
        <w:t>for</w:t>
      </w:r>
      <w:r>
        <w:rPr>
          <w:spacing w:val="-9"/>
        </w:rPr>
        <w:t xml:space="preserve"> </w:t>
      </w:r>
      <w:r>
        <w:t>qualification</w:t>
      </w:r>
      <w:r>
        <w:rPr>
          <w:spacing w:val="-4"/>
        </w:rPr>
        <w:t xml:space="preserve"> </w:t>
      </w:r>
      <w:r>
        <w:t>will</w:t>
      </w:r>
      <w:r>
        <w:rPr>
          <w:spacing w:val="-8"/>
        </w:rPr>
        <w:t xml:space="preserve"> </w:t>
      </w:r>
      <w:r>
        <w:t>be</w:t>
      </w:r>
      <w:r>
        <w:rPr>
          <w:spacing w:val="-8"/>
        </w:rPr>
        <w:t xml:space="preserve"> </w:t>
      </w:r>
      <w:r>
        <w:t>considered</w:t>
      </w:r>
      <w:r>
        <w:rPr>
          <w:spacing w:val="-8"/>
        </w:rPr>
        <w:t xml:space="preserve"> </w:t>
      </w:r>
      <w:r>
        <w:t>as qualified for a period of three years and will be notified accordingly by</w:t>
      </w:r>
      <w:r>
        <w:rPr>
          <w:spacing w:val="-17"/>
        </w:rPr>
        <w:t xml:space="preserve"> </w:t>
      </w:r>
      <w:r>
        <w:t>UNDP.</w:t>
      </w:r>
    </w:p>
    <w:p w14:paraId="5188AC41" w14:textId="77777777" w:rsidR="00463F76" w:rsidRDefault="00463F76">
      <w:pPr>
        <w:pStyle w:val="BodyText"/>
        <w:spacing w:before="6"/>
      </w:pPr>
    </w:p>
    <w:p w14:paraId="5188AC42" w14:textId="77777777" w:rsidR="00463F76" w:rsidRDefault="000A0C36">
      <w:pPr>
        <w:pStyle w:val="BodyText"/>
        <w:spacing w:line="237" w:lineRule="auto"/>
        <w:ind w:left="215"/>
      </w:pPr>
      <w:r>
        <w:t>Sources (i.e. pairs of FPPs and manufacturing sites) that are found to be compliant with UNDP quality criteria will remain qualified for a period of three years.</w:t>
      </w:r>
    </w:p>
    <w:p w14:paraId="5188AC43" w14:textId="77777777" w:rsidR="00463F76" w:rsidRDefault="00463F76">
      <w:pPr>
        <w:pStyle w:val="BodyText"/>
        <w:spacing w:before="5"/>
      </w:pPr>
    </w:p>
    <w:p w14:paraId="5188AC44" w14:textId="77777777" w:rsidR="00463F76" w:rsidRDefault="000A0C36">
      <w:pPr>
        <w:pStyle w:val="BodyText"/>
        <w:spacing w:line="237" w:lineRule="auto"/>
        <w:ind w:left="215"/>
      </w:pPr>
      <w:r>
        <w:t>A list of qualified suppliers and sources will be maintained by the UNDP QA expert and updated regularly.</w:t>
      </w:r>
    </w:p>
    <w:p w14:paraId="5188AC45" w14:textId="77777777" w:rsidR="00463F76" w:rsidRDefault="00463F76">
      <w:pPr>
        <w:pStyle w:val="BodyText"/>
        <w:spacing w:before="3"/>
      </w:pPr>
    </w:p>
    <w:p w14:paraId="5188AC46" w14:textId="77777777" w:rsidR="00463F76" w:rsidRDefault="000A0C36">
      <w:pPr>
        <w:pStyle w:val="BodyText"/>
        <w:ind w:left="215"/>
      </w:pPr>
      <w:r>
        <w:t>Only qualified suppliers will be eligible to participate in the tenders that UNDP launches on a regular basis.</w:t>
      </w:r>
    </w:p>
    <w:p w14:paraId="5188AC47" w14:textId="77777777" w:rsidR="00463F76" w:rsidRDefault="00463F76">
      <w:pPr>
        <w:pStyle w:val="BodyText"/>
        <w:spacing w:before="4"/>
        <w:rPr>
          <w:sz w:val="32"/>
        </w:rPr>
      </w:pPr>
    </w:p>
    <w:p w14:paraId="5188AC48" w14:textId="77777777" w:rsidR="00463F76" w:rsidRDefault="000A0C36">
      <w:pPr>
        <w:pStyle w:val="Heading2"/>
        <w:numPr>
          <w:ilvl w:val="0"/>
          <w:numId w:val="7"/>
        </w:numPr>
        <w:tabs>
          <w:tab w:val="left" w:pos="781"/>
        </w:tabs>
        <w:ind w:left="781" w:hanging="566"/>
        <w:jc w:val="both"/>
        <w:rPr>
          <w:color w:val="2D74B5"/>
        </w:rPr>
      </w:pPr>
      <w:bookmarkStart w:id="24" w:name="7._Monitoring_activities"/>
      <w:bookmarkStart w:id="25" w:name="_bookmark12"/>
      <w:bookmarkEnd w:id="24"/>
      <w:bookmarkEnd w:id="25"/>
      <w:r>
        <w:rPr>
          <w:color w:val="2D74B5"/>
        </w:rPr>
        <w:t>Monitoring</w:t>
      </w:r>
      <w:r>
        <w:rPr>
          <w:color w:val="2D74B5"/>
          <w:spacing w:val="-1"/>
        </w:rPr>
        <w:t xml:space="preserve"> </w:t>
      </w:r>
      <w:r>
        <w:rPr>
          <w:color w:val="2D74B5"/>
        </w:rPr>
        <w:t>activities</w:t>
      </w:r>
    </w:p>
    <w:p w14:paraId="5188AC49" w14:textId="77777777" w:rsidR="00463F76" w:rsidRDefault="00463F76">
      <w:pPr>
        <w:pStyle w:val="BodyText"/>
        <w:spacing w:before="10"/>
        <w:rPr>
          <w:sz w:val="23"/>
        </w:rPr>
      </w:pPr>
    </w:p>
    <w:p w14:paraId="5188AC4A" w14:textId="77777777" w:rsidR="00463F76" w:rsidRDefault="000A0C36">
      <w:pPr>
        <w:pStyle w:val="ListParagraph"/>
        <w:numPr>
          <w:ilvl w:val="1"/>
          <w:numId w:val="1"/>
        </w:numPr>
        <w:tabs>
          <w:tab w:val="left" w:pos="936"/>
        </w:tabs>
        <w:jc w:val="both"/>
        <w:rPr>
          <w:rFonts w:ascii="Calibri Light"/>
          <w:i/>
        </w:rPr>
      </w:pPr>
      <w:bookmarkStart w:id="26" w:name="7.1_Quality_Control"/>
      <w:bookmarkStart w:id="27" w:name="_bookmark13"/>
      <w:bookmarkEnd w:id="26"/>
      <w:bookmarkEnd w:id="27"/>
      <w:r>
        <w:rPr>
          <w:rFonts w:ascii="Calibri Light"/>
          <w:i/>
          <w:color w:val="1F4D78"/>
        </w:rPr>
        <w:t>Quality</w:t>
      </w:r>
      <w:r>
        <w:rPr>
          <w:rFonts w:ascii="Calibri Light"/>
          <w:i/>
          <w:color w:val="1F4D78"/>
          <w:spacing w:val="-2"/>
        </w:rPr>
        <w:t xml:space="preserve"> </w:t>
      </w:r>
      <w:r>
        <w:rPr>
          <w:rFonts w:ascii="Calibri Light"/>
          <w:i/>
          <w:color w:val="1F4D78"/>
        </w:rPr>
        <w:t xml:space="preserve">Control </w:t>
      </w:r>
    </w:p>
    <w:p w14:paraId="5188AC4B" w14:textId="77777777" w:rsidR="00463F76" w:rsidRDefault="00463F76">
      <w:pPr>
        <w:pStyle w:val="BodyText"/>
        <w:spacing w:before="8"/>
        <w:rPr>
          <w:rFonts w:ascii="Calibri Light"/>
          <w:i/>
          <w:sz w:val="20"/>
        </w:rPr>
      </w:pPr>
    </w:p>
    <w:p w14:paraId="5188AC4C" w14:textId="77777777" w:rsidR="00463F76" w:rsidRDefault="000A0C36">
      <w:pPr>
        <w:pStyle w:val="BodyText"/>
        <w:spacing w:line="268" w:lineRule="exact"/>
        <w:ind w:left="215"/>
        <w:jc w:val="both"/>
      </w:pPr>
      <w:r>
        <w:t>The UNDP QA system includes provisions for Quality Control (QC) of health products.</w:t>
      </w:r>
    </w:p>
    <w:p w14:paraId="5188AC4D" w14:textId="77777777" w:rsidR="00463F76" w:rsidRDefault="000A0C36">
      <w:pPr>
        <w:pStyle w:val="ListParagraph"/>
        <w:numPr>
          <w:ilvl w:val="2"/>
          <w:numId w:val="1"/>
        </w:numPr>
        <w:tabs>
          <w:tab w:val="left" w:pos="935"/>
          <w:tab w:val="left" w:pos="936"/>
        </w:tabs>
        <w:spacing w:line="280" w:lineRule="exact"/>
        <w:rPr>
          <w:sz w:val="14"/>
        </w:rPr>
      </w:pPr>
      <w:r>
        <w:t>Sampling is based on an assessment of risks in accordance with WHO</w:t>
      </w:r>
      <w:r>
        <w:rPr>
          <w:spacing w:val="-16"/>
        </w:rPr>
        <w:t xml:space="preserve"> </w:t>
      </w:r>
      <w:r>
        <w:t>guidelines.</w:t>
      </w:r>
      <w:r>
        <w:rPr>
          <w:position w:val="7"/>
          <w:sz w:val="14"/>
        </w:rPr>
        <w:t>29,30</w:t>
      </w:r>
    </w:p>
    <w:p w14:paraId="5188AC4E" w14:textId="77777777" w:rsidR="00463F76" w:rsidRDefault="000A0C36">
      <w:pPr>
        <w:pStyle w:val="ListParagraph"/>
        <w:numPr>
          <w:ilvl w:val="2"/>
          <w:numId w:val="1"/>
        </w:numPr>
        <w:tabs>
          <w:tab w:val="left" w:pos="935"/>
          <w:tab w:val="left" w:pos="936"/>
        </w:tabs>
        <w:spacing w:line="280" w:lineRule="exact"/>
      </w:pPr>
      <w:r>
        <w:t>Samples may be taken at different points/levels in the supply</w:t>
      </w:r>
      <w:r>
        <w:rPr>
          <w:spacing w:val="-8"/>
        </w:rPr>
        <w:t xml:space="preserve"> </w:t>
      </w:r>
      <w:r>
        <w:t>chain.</w:t>
      </w:r>
    </w:p>
    <w:p w14:paraId="5188AC4F" w14:textId="77777777" w:rsidR="00463F76" w:rsidRDefault="000A0C36">
      <w:pPr>
        <w:pStyle w:val="ListParagraph"/>
        <w:numPr>
          <w:ilvl w:val="2"/>
          <w:numId w:val="1"/>
        </w:numPr>
        <w:tabs>
          <w:tab w:val="left" w:pos="935"/>
          <w:tab w:val="left" w:pos="936"/>
        </w:tabs>
        <w:spacing w:line="280" w:lineRule="exact"/>
      </w:pPr>
      <w:r>
        <w:t>QC testing of samples is performed by independent QC</w:t>
      </w:r>
      <w:r>
        <w:rPr>
          <w:spacing w:val="-9"/>
        </w:rPr>
        <w:t xml:space="preserve"> </w:t>
      </w:r>
      <w:r>
        <w:t>laboratories.</w:t>
      </w:r>
    </w:p>
    <w:p w14:paraId="5188AC50" w14:textId="77777777" w:rsidR="00463F76" w:rsidRDefault="000A0C36">
      <w:pPr>
        <w:pStyle w:val="ListParagraph"/>
        <w:numPr>
          <w:ilvl w:val="2"/>
          <w:numId w:val="1"/>
        </w:numPr>
        <w:tabs>
          <w:tab w:val="left" w:pos="936"/>
        </w:tabs>
        <w:ind w:right="215"/>
        <w:jc w:val="both"/>
      </w:pPr>
      <w:r>
        <w:t>UNDP will preferably use QC laboratories that are prequalified by WHO; alternatively (when WHO</w:t>
      </w:r>
      <w:r>
        <w:rPr>
          <w:spacing w:val="-13"/>
        </w:rPr>
        <w:t xml:space="preserve"> </w:t>
      </w:r>
      <w:r>
        <w:t>PQ</w:t>
      </w:r>
      <w:r>
        <w:rPr>
          <w:spacing w:val="-10"/>
        </w:rPr>
        <w:t xml:space="preserve"> </w:t>
      </w:r>
      <w:r>
        <w:t>laboratories</w:t>
      </w:r>
      <w:r>
        <w:rPr>
          <w:spacing w:val="-12"/>
        </w:rPr>
        <w:t xml:space="preserve"> </w:t>
      </w:r>
      <w:r>
        <w:t>are</w:t>
      </w:r>
      <w:r>
        <w:rPr>
          <w:spacing w:val="-12"/>
        </w:rPr>
        <w:t xml:space="preserve"> </w:t>
      </w:r>
      <w:r>
        <w:t>not</w:t>
      </w:r>
      <w:r>
        <w:rPr>
          <w:spacing w:val="-10"/>
        </w:rPr>
        <w:t xml:space="preserve"> </w:t>
      </w:r>
      <w:r>
        <w:t>available</w:t>
      </w:r>
      <w:r>
        <w:rPr>
          <w:spacing w:val="-12"/>
        </w:rPr>
        <w:t xml:space="preserve"> </w:t>
      </w:r>
      <w:r>
        <w:t>or</w:t>
      </w:r>
      <w:r>
        <w:rPr>
          <w:spacing w:val="-8"/>
        </w:rPr>
        <w:t xml:space="preserve"> </w:t>
      </w:r>
      <w:r>
        <w:t>not</w:t>
      </w:r>
      <w:r>
        <w:rPr>
          <w:spacing w:val="-11"/>
        </w:rPr>
        <w:t xml:space="preserve"> </w:t>
      </w:r>
      <w:r>
        <w:t>able</w:t>
      </w:r>
      <w:r>
        <w:rPr>
          <w:spacing w:val="-12"/>
        </w:rPr>
        <w:t xml:space="preserve"> </w:t>
      </w:r>
      <w:r>
        <w:t>to</w:t>
      </w:r>
      <w:r>
        <w:rPr>
          <w:spacing w:val="-12"/>
        </w:rPr>
        <w:t xml:space="preserve"> </w:t>
      </w:r>
      <w:r>
        <w:t>comply</w:t>
      </w:r>
      <w:r>
        <w:rPr>
          <w:spacing w:val="-12"/>
        </w:rPr>
        <w:t xml:space="preserve"> </w:t>
      </w:r>
      <w:r>
        <w:t>with</w:t>
      </w:r>
      <w:r>
        <w:rPr>
          <w:spacing w:val="-12"/>
        </w:rPr>
        <w:t xml:space="preserve"> </w:t>
      </w:r>
      <w:r>
        <w:t>UNDP</w:t>
      </w:r>
      <w:r>
        <w:rPr>
          <w:spacing w:val="-12"/>
        </w:rPr>
        <w:t xml:space="preserve"> </w:t>
      </w:r>
      <w:r>
        <w:t>expected</w:t>
      </w:r>
      <w:r>
        <w:rPr>
          <w:spacing w:val="-11"/>
        </w:rPr>
        <w:t xml:space="preserve"> </w:t>
      </w:r>
      <w:r>
        <w:t>timeframes) ISO 17025 certified laboratories can be</w:t>
      </w:r>
      <w:r>
        <w:rPr>
          <w:spacing w:val="-7"/>
        </w:rPr>
        <w:t xml:space="preserve"> </w:t>
      </w:r>
      <w:r>
        <w:t>used.</w:t>
      </w:r>
    </w:p>
    <w:p w14:paraId="5188AC51" w14:textId="77777777" w:rsidR="00463F76" w:rsidRDefault="000A0C36">
      <w:pPr>
        <w:pStyle w:val="ListParagraph"/>
        <w:numPr>
          <w:ilvl w:val="2"/>
          <w:numId w:val="1"/>
        </w:numPr>
        <w:tabs>
          <w:tab w:val="left" w:pos="935"/>
          <w:tab w:val="left" w:pos="936"/>
        </w:tabs>
        <w:spacing w:before="5" w:line="237" w:lineRule="auto"/>
        <w:ind w:right="217"/>
      </w:pPr>
      <w:r>
        <w:t>Any deviation (Out of Specifications [OOS] result) is investigated under the supervision of the Head of QA and in accordance with UNDP</w:t>
      </w:r>
      <w:r>
        <w:rPr>
          <w:spacing w:val="-7"/>
        </w:rPr>
        <w:t xml:space="preserve"> </w:t>
      </w:r>
      <w:r>
        <w:t>procedures.</w:t>
      </w:r>
    </w:p>
    <w:p w14:paraId="5188AC52" w14:textId="77777777" w:rsidR="00463F76" w:rsidRDefault="00463F76">
      <w:pPr>
        <w:pStyle w:val="BodyText"/>
        <w:spacing w:before="6"/>
        <w:rPr>
          <w:sz w:val="25"/>
        </w:rPr>
      </w:pPr>
    </w:p>
    <w:p w14:paraId="5188AC53" w14:textId="77777777" w:rsidR="00463F76" w:rsidRDefault="000A0C36">
      <w:pPr>
        <w:pStyle w:val="ListParagraph"/>
        <w:numPr>
          <w:ilvl w:val="1"/>
          <w:numId w:val="1"/>
        </w:numPr>
        <w:tabs>
          <w:tab w:val="left" w:pos="935"/>
          <w:tab w:val="left" w:pos="936"/>
        </w:tabs>
        <w:rPr>
          <w:rFonts w:ascii="Calibri Light"/>
          <w:i/>
        </w:rPr>
      </w:pPr>
      <w:bookmarkStart w:id="28" w:name="7.2_Variations"/>
      <w:bookmarkStart w:id="29" w:name="_bookmark14"/>
      <w:bookmarkEnd w:id="28"/>
      <w:bookmarkEnd w:id="29"/>
      <w:r>
        <w:rPr>
          <w:rFonts w:ascii="Calibri Light"/>
          <w:i/>
          <w:color w:val="1F4D78"/>
        </w:rPr>
        <w:t xml:space="preserve">Variations </w:t>
      </w:r>
    </w:p>
    <w:p w14:paraId="5188AC54" w14:textId="77777777" w:rsidR="00463F76" w:rsidRDefault="00463F76">
      <w:pPr>
        <w:pStyle w:val="BodyText"/>
        <w:spacing w:before="11"/>
        <w:rPr>
          <w:rFonts w:ascii="Calibri Light"/>
          <w:i/>
          <w:sz w:val="21"/>
        </w:rPr>
      </w:pPr>
    </w:p>
    <w:p w14:paraId="5188AC55" w14:textId="77777777" w:rsidR="00463F76" w:rsidRDefault="000A0C36">
      <w:pPr>
        <w:pStyle w:val="BodyText"/>
        <w:ind w:left="215" w:right="215"/>
        <w:jc w:val="both"/>
      </w:pPr>
      <w:r>
        <w:t>During the qualification validity period, qualified suppliers must inform UNDP of any variation in the company file or in the product dossiers (e.g. related to the manufacturing process and/or product characteristics). Failure to do so might result in sanctions, including disqualification of the product and/or the supplier.</w:t>
      </w:r>
    </w:p>
    <w:p w14:paraId="5188AC56" w14:textId="77777777" w:rsidR="00463F76" w:rsidRDefault="00463F76">
      <w:pPr>
        <w:pStyle w:val="BodyText"/>
        <w:rPr>
          <w:sz w:val="20"/>
        </w:rPr>
      </w:pPr>
    </w:p>
    <w:p w14:paraId="5188AC57" w14:textId="77777777" w:rsidR="00463F76" w:rsidRDefault="00463F76">
      <w:pPr>
        <w:pStyle w:val="BodyText"/>
        <w:rPr>
          <w:sz w:val="20"/>
        </w:rPr>
      </w:pPr>
    </w:p>
    <w:p w14:paraId="5188AC58" w14:textId="77777777" w:rsidR="00463F76" w:rsidRDefault="00463F76">
      <w:pPr>
        <w:pStyle w:val="BodyText"/>
        <w:rPr>
          <w:sz w:val="20"/>
        </w:rPr>
      </w:pPr>
    </w:p>
    <w:p w14:paraId="5188AC59" w14:textId="77777777" w:rsidR="00463F76" w:rsidRDefault="00463F76">
      <w:pPr>
        <w:pStyle w:val="BodyText"/>
        <w:rPr>
          <w:sz w:val="20"/>
        </w:rPr>
      </w:pPr>
    </w:p>
    <w:p w14:paraId="5188AC5A" w14:textId="77777777" w:rsidR="00463F76" w:rsidRDefault="00EA6ADB">
      <w:pPr>
        <w:pStyle w:val="BodyText"/>
        <w:spacing w:before="10"/>
        <w:rPr>
          <w:sz w:val="16"/>
        </w:rPr>
      </w:pPr>
      <w:r>
        <w:rPr>
          <w:noProof/>
          <w:lang w:bidi="ar-SA"/>
        </w:rPr>
        <mc:AlternateContent>
          <mc:Choice Requires="wps">
            <w:drawing>
              <wp:anchor distT="0" distB="0" distL="0" distR="0" simplePos="0" relativeHeight="251661824" behindDoc="1" locked="0" layoutInCell="1" allowOverlap="1" wp14:anchorId="5188AC91" wp14:editId="5188AC92">
                <wp:simplePos x="0" y="0"/>
                <wp:positionH relativeFrom="page">
                  <wp:posOffset>899160</wp:posOffset>
                </wp:positionH>
                <wp:positionV relativeFrom="paragraph">
                  <wp:posOffset>158115</wp:posOffset>
                </wp:positionV>
                <wp:extent cx="1829435" cy="0"/>
                <wp:effectExtent l="13335" t="5715" r="5080" b="1333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D92C"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45pt" to="214.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vxHQ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" strokeweight=".5pt">
                <w10:wrap type="topAndBottom" anchorx="page"/>
              </v:line>
            </w:pict>
          </mc:Fallback>
        </mc:AlternateContent>
      </w:r>
    </w:p>
    <w:p w14:paraId="5188AC5B" w14:textId="77777777" w:rsidR="00463F76" w:rsidRDefault="000A0C36">
      <w:pPr>
        <w:spacing w:before="74"/>
        <w:ind w:left="215"/>
        <w:rPr>
          <w:sz w:val="18"/>
        </w:rPr>
      </w:pPr>
      <w:r>
        <w:rPr>
          <w:position w:val="5"/>
          <w:sz w:val="12"/>
        </w:rPr>
        <w:t xml:space="preserve">29 </w:t>
      </w:r>
      <w:r>
        <w:rPr>
          <w:sz w:val="18"/>
        </w:rPr>
        <w:t>WHO Guidelines for sampling of pharmaceutical products – TRS 929 (Annex 4)</w:t>
      </w:r>
    </w:p>
    <w:p w14:paraId="5188AC5C" w14:textId="77777777" w:rsidR="00463F76" w:rsidRDefault="000A0C36">
      <w:pPr>
        <w:spacing w:before="7"/>
        <w:ind w:left="215"/>
        <w:rPr>
          <w:sz w:val="18"/>
        </w:rPr>
      </w:pPr>
      <w:r>
        <w:rPr>
          <w:position w:val="5"/>
          <w:sz w:val="12"/>
        </w:rPr>
        <w:t xml:space="preserve">30 </w:t>
      </w:r>
      <w:r>
        <w:rPr>
          <w:sz w:val="18"/>
        </w:rPr>
        <w:t xml:space="preserve">WHO Guidelines on the conduct of surveys of the quality of medicines </w:t>
      </w:r>
      <w:r>
        <w:rPr>
          <w:rFonts w:ascii="MS Mincho" w:hAnsi="MS Mincho"/>
          <w:sz w:val="18"/>
        </w:rPr>
        <w:t>–</w:t>
      </w:r>
      <w:r>
        <w:rPr>
          <w:rFonts w:ascii="MS Mincho" w:hAnsi="MS Mincho"/>
          <w:spacing w:val="-77"/>
          <w:sz w:val="18"/>
        </w:rPr>
        <w:t xml:space="preserve"> </w:t>
      </w:r>
      <w:r>
        <w:rPr>
          <w:sz w:val="18"/>
        </w:rPr>
        <w:t>TRS 996 (Annex 7)</w:t>
      </w:r>
    </w:p>
    <w:p w14:paraId="5188AC5D" w14:textId="77777777" w:rsidR="00463F76" w:rsidRDefault="00463F76">
      <w:pPr>
        <w:rPr>
          <w:sz w:val="18"/>
        </w:rPr>
        <w:sectPr w:rsidR="00463F76">
          <w:pgSz w:w="11900" w:h="16840"/>
          <w:pgMar w:top="1600" w:right="1200" w:bottom="940" w:left="1200" w:header="0" w:footer="752" w:gutter="0"/>
          <w:cols w:space="720"/>
        </w:sectPr>
      </w:pPr>
    </w:p>
    <w:p w14:paraId="5188AC5E" w14:textId="77777777" w:rsidR="00463F76" w:rsidRDefault="000A0C36">
      <w:pPr>
        <w:pStyle w:val="ListParagraph"/>
        <w:numPr>
          <w:ilvl w:val="1"/>
          <w:numId w:val="1"/>
        </w:numPr>
        <w:tabs>
          <w:tab w:val="left" w:pos="936"/>
        </w:tabs>
        <w:spacing w:before="76"/>
        <w:jc w:val="both"/>
        <w:rPr>
          <w:rFonts w:ascii="Calibri Light"/>
          <w:i/>
        </w:rPr>
      </w:pPr>
      <w:bookmarkStart w:id="30" w:name="7.3_Traceability"/>
      <w:bookmarkStart w:id="31" w:name="_bookmark15"/>
      <w:bookmarkEnd w:id="30"/>
      <w:bookmarkEnd w:id="31"/>
      <w:r>
        <w:rPr>
          <w:rFonts w:ascii="Calibri Light"/>
          <w:i/>
          <w:color w:val="1F4D78"/>
        </w:rPr>
        <w:lastRenderedPageBreak/>
        <w:t xml:space="preserve">Traceability </w:t>
      </w:r>
    </w:p>
    <w:p w14:paraId="5188AC5F" w14:textId="77777777" w:rsidR="00463F76" w:rsidRDefault="00463F76">
      <w:pPr>
        <w:pStyle w:val="BodyText"/>
        <w:spacing w:before="5"/>
        <w:rPr>
          <w:rFonts w:ascii="Calibri Light"/>
          <w:i/>
        </w:rPr>
      </w:pPr>
    </w:p>
    <w:p w14:paraId="5188AC60" w14:textId="77777777" w:rsidR="00463F76" w:rsidRDefault="000A0C36">
      <w:pPr>
        <w:pStyle w:val="BodyText"/>
        <w:spacing w:line="237" w:lineRule="auto"/>
        <w:ind w:left="215" w:right="215"/>
        <w:jc w:val="both"/>
      </w:pPr>
      <w:r>
        <w:t>The UNDP QA system ensures that all products supplied are traceable throughout the supply chain until the products reach the designated recipient in the country of destination.</w:t>
      </w:r>
    </w:p>
    <w:p w14:paraId="5188AC61" w14:textId="77777777" w:rsidR="00463F76" w:rsidRDefault="00463F76">
      <w:pPr>
        <w:pStyle w:val="BodyText"/>
        <w:spacing w:before="6"/>
        <w:rPr>
          <w:sz w:val="25"/>
        </w:rPr>
      </w:pPr>
    </w:p>
    <w:p w14:paraId="5188AC62" w14:textId="77777777" w:rsidR="00463F76" w:rsidRDefault="000A0C36">
      <w:pPr>
        <w:pStyle w:val="ListParagraph"/>
        <w:numPr>
          <w:ilvl w:val="1"/>
          <w:numId w:val="1"/>
        </w:numPr>
        <w:tabs>
          <w:tab w:val="left" w:pos="781"/>
        </w:tabs>
        <w:ind w:left="781" w:hanging="566"/>
        <w:jc w:val="both"/>
        <w:rPr>
          <w:rFonts w:ascii="Calibri Light"/>
          <w:i/>
        </w:rPr>
      </w:pPr>
      <w:bookmarkStart w:id="32" w:name="7.4_Complaints"/>
      <w:bookmarkStart w:id="33" w:name="_bookmark16"/>
      <w:bookmarkEnd w:id="32"/>
      <w:bookmarkEnd w:id="33"/>
      <w:r>
        <w:rPr>
          <w:rFonts w:ascii="Calibri Light"/>
          <w:i/>
          <w:color w:val="1F4D78"/>
        </w:rPr>
        <w:t xml:space="preserve">Complaints </w:t>
      </w:r>
    </w:p>
    <w:p w14:paraId="5188AC63" w14:textId="77777777" w:rsidR="00463F76" w:rsidRDefault="00463F76">
      <w:pPr>
        <w:pStyle w:val="BodyText"/>
        <w:spacing w:before="10"/>
        <w:rPr>
          <w:rFonts w:ascii="Calibri Light"/>
          <w:i/>
          <w:sz w:val="21"/>
        </w:rPr>
      </w:pPr>
    </w:p>
    <w:p w14:paraId="5188AC64" w14:textId="77777777" w:rsidR="00463F76" w:rsidRDefault="000A0C36">
      <w:pPr>
        <w:pStyle w:val="BodyText"/>
        <w:ind w:left="215" w:right="220"/>
        <w:jc w:val="both"/>
      </w:pPr>
      <w:r>
        <w:t>During the qualification validity period, qualified suppliers must inform UNDP of any complaint, alert or quality issue related to the product qualified (e.g. related to the manufacturing process and/or product characteristics).</w:t>
      </w:r>
    </w:p>
    <w:p w14:paraId="5188AC65" w14:textId="77777777" w:rsidR="00463F76" w:rsidRDefault="00463F76">
      <w:pPr>
        <w:pStyle w:val="BodyText"/>
        <w:spacing w:before="1"/>
      </w:pPr>
    </w:p>
    <w:p w14:paraId="5188AC66" w14:textId="77777777" w:rsidR="00463F76" w:rsidRDefault="000A0C36">
      <w:pPr>
        <w:pStyle w:val="BodyText"/>
        <w:spacing w:before="1"/>
        <w:ind w:left="215" w:right="214"/>
        <w:jc w:val="both"/>
      </w:pPr>
      <w:r>
        <w:t>The UNDP QA system includes a procedure for handling complaints related to the quality and safety of the products supplied. Any complaint will be investigated under the responsibility of the Head of QA and appropriate measures (including product recalls) will be taken based on an assessment of the risks for patients, the community and UNDP.</w:t>
      </w:r>
    </w:p>
    <w:p w14:paraId="5188AC67" w14:textId="77777777" w:rsidR="00463F76" w:rsidRDefault="00463F76">
      <w:pPr>
        <w:pStyle w:val="BodyText"/>
        <w:rPr>
          <w:sz w:val="25"/>
        </w:rPr>
      </w:pPr>
    </w:p>
    <w:p w14:paraId="5188AC68" w14:textId="77777777" w:rsidR="00463F76" w:rsidRDefault="000A0C36">
      <w:pPr>
        <w:pStyle w:val="ListParagraph"/>
        <w:numPr>
          <w:ilvl w:val="1"/>
          <w:numId w:val="1"/>
        </w:numPr>
        <w:tabs>
          <w:tab w:val="left" w:pos="781"/>
        </w:tabs>
        <w:spacing w:before="1"/>
        <w:ind w:left="781" w:hanging="566"/>
        <w:jc w:val="both"/>
        <w:rPr>
          <w:rFonts w:ascii="Calibri Light"/>
          <w:i/>
        </w:rPr>
      </w:pPr>
      <w:bookmarkStart w:id="34" w:name="7.5_Re-assessment"/>
      <w:bookmarkStart w:id="35" w:name="_bookmark17"/>
      <w:bookmarkEnd w:id="34"/>
      <w:bookmarkEnd w:id="35"/>
      <w:r>
        <w:rPr>
          <w:rFonts w:ascii="Calibri Light"/>
          <w:i/>
          <w:color w:val="1F4D78"/>
        </w:rPr>
        <w:t xml:space="preserve">Re-assessment </w:t>
      </w:r>
    </w:p>
    <w:p w14:paraId="5188AC69" w14:textId="77777777" w:rsidR="00463F76" w:rsidRDefault="00463F76">
      <w:pPr>
        <w:pStyle w:val="BodyText"/>
        <w:spacing w:before="2"/>
        <w:rPr>
          <w:rFonts w:ascii="Calibri Light"/>
          <w:i/>
        </w:rPr>
      </w:pPr>
    </w:p>
    <w:p w14:paraId="5188AC6A" w14:textId="77777777" w:rsidR="00463F76" w:rsidRDefault="000A0C36">
      <w:pPr>
        <w:pStyle w:val="BodyText"/>
        <w:spacing w:before="1"/>
        <w:ind w:left="215" w:right="220"/>
        <w:jc w:val="both"/>
      </w:pPr>
      <w:r>
        <w:t>UNDP periodically re-assesses its qualified suppliers and qualified sources to make sure that products and suppliers continue to comply with the standards.</w:t>
      </w:r>
    </w:p>
    <w:p w14:paraId="5188AC6B" w14:textId="77777777" w:rsidR="00463F76" w:rsidRDefault="00463F76">
      <w:pPr>
        <w:pStyle w:val="BodyText"/>
        <w:spacing w:before="11"/>
        <w:rPr>
          <w:sz w:val="21"/>
        </w:rPr>
      </w:pPr>
    </w:p>
    <w:p w14:paraId="5188AC6C" w14:textId="77777777" w:rsidR="00463F76" w:rsidRDefault="000A0C36">
      <w:pPr>
        <w:pStyle w:val="BodyText"/>
        <w:ind w:left="215" w:right="210"/>
        <w:jc w:val="both"/>
      </w:pPr>
      <w:r>
        <w:t>Re-assessment of qualified sources and suppliers is done every three years in accordance with the WHO MQAS guidelines; non-routine re-assessment activities (including non-routine re-audit of manufacturing sites and premises) can take place at any time based on an assessment of risks.</w:t>
      </w:r>
    </w:p>
    <w:p w14:paraId="5188AC6D" w14:textId="77777777" w:rsidR="00463F76" w:rsidRDefault="00463F76">
      <w:pPr>
        <w:pStyle w:val="BodyText"/>
        <w:spacing w:before="4"/>
        <w:rPr>
          <w:sz w:val="25"/>
        </w:rPr>
      </w:pPr>
    </w:p>
    <w:p w14:paraId="5188AC6E" w14:textId="77777777" w:rsidR="00463F76" w:rsidRDefault="000A0C36">
      <w:pPr>
        <w:pStyle w:val="ListParagraph"/>
        <w:numPr>
          <w:ilvl w:val="1"/>
          <w:numId w:val="1"/>
        </w:numPr>
        <w:tabs>
          <w:tab w:val="left" w:pos="781"/>
        </w:tabs>
        <w:spacing w:before="1"/>
        <w:ind w:left="781" w:hanging="566"/>
        <w:jc w:val="both"/>
        <w:rPr>
          <w:rFonts w:ascii="Calibri Light"/>
          <w:i/>
        </w:rPr>
      </w:pPr>
      <w:bookmarkStart w:id="36" w:name="7.6_Regulatory_watch_procedure"/>
      <w:bookmarkStart w:id="37" w:name="_bookmark18"/>
      <w:bookmarkEnd w:id="36"/>
      <w:bookmarkEnd w:id="37"/>
      <w:r>
        <w:rPr>
          <w:rFonts w:ascii="Calibri Light"/>
          <w:i/>
          <w:color w:val="1F4D78"/>
        </w:rPr>
        <w:t>Regulatory watch</w:t>
      </w:r>
      <w:r>
        <w:rPr>
          <w:rFonts w:ascii="Calibri Light"/>
          <w:i/>
          <w:color w:val="1F4D78"/>
          <w:spacing w:val="-2"/>
        </w:rPr>
        <w:t xml:space="preserve"> </w:t>
      </w:r>
      <w:r>
        <w:rPr>
          <w:rFonts w:ascii="Calibri Light"/>
          <w:i/>
          <w:color w:val="1F4D78"/>
        </w:rPr>
        <w:t xml:space="preserve">procedure </w:t>
      </w:r>
    </w:p>
    <w:p w14:paraId="5188AC6F" w14:textId="77777777" w:rsidR="00463F76" w:rsidRDefault="00463F76">
      <w:pPr>
        <w:pStyle w:val="BodyText"/>
        <w:spacing w:before="10"/>
        <w:rPr>
          <w:rFonts w:ascii="Calibri Light"/>
          <w:i/>
          <w:sz w:val="21"/>
        </w:rPr>
      </w:pPr>
    </w:p>
    <w:p w14:paraId="5188AC70" w14:textId="77777777" w:rsidR="00463F76" w:rsidRDefault="000A0C36">
      <w:pPr>
        <w:pStyle w:val="BodyText"/>
        <w:ind w:left="215" w:right="224"/>
        <w:jc w:val="both"/>
      </w:pPr>
      <w:r>
        <w:t>Any</w:t>
      </w:r>
      <w:r>
        <w:rPr>
          <w:spacing w:val="-8"/>
        </w:rPr>
        <w:t xml:space="preserve"> </w:t>
      </w:r>
      <w:r>
        <w:t>alert,</w:t>
      </w:r>
      <w:r>
        <w:rPr>
          <w:spacing w:val="-1"/>
        </w:rPr>
        <w:t xml:space="preserve"> </w:t>
      </w:r>
      <w:r>
        <w:t>notice</w:t>
      </w:r>
      <w:r>
        <w:rPr>
          <w:spacing w:val="-5"/>
        </w:rPr>
        <w:t xml:space="preserve"> </w:t>
      </w:r>
      <w:r>
        <w:t>of</w:t>
      </w:r>
      <w:r>
        <w:rPr>
          <w:spacing w:val="-3"/>
        </w:rPr>
        <w:t xml:space="preserve"> </w:t>
      </w:r>
      <w:r>
        <w:t>concern</w:t>
      </w:r>
      <w:r>
        <w:rPr>
          <w:spacing w:val="-7"/>
        </w:rPr>
        <w:t xml:space="preserve"> </w:t>
      </w:r>
      <w:r>
        <w:t>or</w:t>
      </w:r>
      <w:r>
        <w:rPr>
          <w:spacing w:val="-8"/>
        </w:rPr>
        <w:t xml:space="preserve"> </w:t>
      </w:r>
      <w:r>
        <w:t>warning</w:t>
      </w:r>
      <w:r>
        <w:rPr>
          <w:spacing w:val="-7"/>
        </w:rPr>
        <w:t xml:space="preserve"> </w:t>
      </w:r>
      <w:r>
        <w:t>letter</w:t>
      </w:r>
      <w:r>
        <w:rPr>
          <w:spacing w:val="-3"/>
        </w:rPr>
        <w:t xml:space="preserve"> </w:t>
      </w:r>
      <w:r>
        <w:t>issued</w:t>
      </w:r>
      <w:r>
        <w:rPr>
          <w:spacing w:val="-2"/>
        </w:rPr>
        <w:t xml:space="preserve"> </w:t>
      </w:r>
      <w:r>
        <w:t>by</w:t>
      </w:r>
      <w:r>
        <w:rPr>
          <w:spacing w:val="-8"/>
        </w:rPr>
        <w:t xml:space="preserve"> </w:t>
      </w:r>
      <w:r>
        <w:t>the</w:t>
      </w:r>
      <w:r>
        <w:rPr>
          <w:spacing w:val="-7"/>
        </w:rPr>
        <w:t xml:space="preserve"> </w:t>
      </w:r>
      <w:r>
        <w:t>WHO</w:t>
      </w:r>
      <w:r>
        <w:rPr>
          <w:spacing w:val="-2"/>
        </w:rPr>
        <w:t xml:space="preserve"> </w:t>
      </w:r>
      <w:r>
        <w:t>or</w:t>
      </w:r>
      <w:r>
        <w:rPr>
          <w:spacing w:val="-4"/>
        </w:rPr>
        <w:t xml:space="preserve"> </w:t>
      </w:r>
      <w:r>
        <w:t>SRAs</w:t>
      </w:r>
      <w:r>
        <w:rPr>
          <w:spacing w:val="-2"/>
        </w:rPr>
        <w:t xml:space="preserve"> </w:t>
      </w:r>
      <w:r>
        <w:t>will</w:t>
      </w:r>
      <w:r>
        <w:rPr>
          <w:spacing w:val="-7"/>
        </w:rPr>
        <w:t xml:space="preserve"> </w:t>
      </w:r>
      <w:r>
        <w:t>be</w:t>
      </w:r>
      <w:r>
        <w:rPr>
          <w:spacing w:val="-8"/>
        </w:rPr>
        <w:t xml:space="preserve"> </w:t>
      </w:r>
      <w:r>
        <w:t>considered</w:t>
      </w:r>
      <w:r>
        <w:rPr>
          <w:spacing w:val="-1"/>
        </w:rPr>
        <w:t xml:space="preserve"> </w:t>
      </w:r>
      <w:r>
        <w:t>and</w:t>
      </w:r>
      <w:r>
        <w:rPr>
          <w:spacing w:val="-7"/>
        </w:rPr>
        <w:t xml:space="preserve"> </w:t>
      </w:r>
      <w:r>
        <w:t>could lead to the disqualification of the product and the manufacturer(s)</w:t>
      </w:r>
      <w:r>
        <w:rPr>
          <w:spacing w:val="-11"/>
        </w:rPr>
        <w:t xml:space="preserve"> </w:t>
      </w:r>
      <w:r>
        <w:t>concerned.</w:t>
      </w:r>
    </w:p>
    <w:p w14:paraId="5188AC71" w14:textId="77777777" w:rsidR="00463F76" w:rsidRDefault="00463F76">
      <w:pPr>
        <w:pStyle w:val="BodyText"/>
        <w:spacing w:before="5"/>
        <w:rPr>
          <w:sz w:val="25"/>
        </w:rPr>
      </w:pPr>
    </w:p>
    <w:p w14:paraId="5188AC72" w14:textId="77777777" w:rsidR="00463F76" w:rsidRDefault="000A0C36">
      <w:pPr>
        <w:pStyle w:val="Heading2"/>
        <w:numPr>
          <w:ilvl w:val="0"/>
          <w:numId w:val="7"/>
        </w:numPr>
        <w:tabs>
          <w:tab w:val="left" w:pos="781"/>
        </w:tabs>
        <w:ind w:left="781" w:hanging="566"/>
        <w:jc w:val="both"/>
        <w:rPr>
          <w:color w:val="2D74B5"/>
        </w:rPr>
      </w:pPr>
      <w:bookmarkStart w:id="38" w:name="8._Post-procurement_Quality_Assurance"/>
      <w:bookmarkStart w:id="39" w:name="_bookmark19"/>
      <w:bookmarkEnd w:id="38"/>
      <w:bookmarkEnd w:id="39"/>
      <w:r>
        <w:rPr>
          <w:color w:val="2D74B5"/>
        </w:rPr>
        <w:t>Post-procurement Quality</w:t>
      </w:r>
      <w:r>
        <w:rPr>
          <w:color w:val="2D74B5"/>
          <w:spacing w:val="3"/>
        </w:rPr>
        <w:t xml:space="preserve"> </w:t>
      </w:r>
      <w:r>
        <w:rPr>
          <w:color w:val="2D74B5"/>
        </w:rPr>
        <w:t>Assurance</w:t>
      </w:r>
    </w:p>
    <w:p w14:paraId="5188AC73" w14:textId="77777777" w:rsidR="00463F76" w:rsidRDefault="000A0C36">
      <w:pPr>
        <w:pStyle w:val="BodyText"/>
        <w:spacing w:before="273" w:line="237" w:lineRule="auto"/>
        <w:ind w:left="215" w:right="218"/>
        <w:jc w:val="both"/>
      </w:pPr>
      <w:r>
        <w:t>The National Regulatory Authority of the recipient country is responsible for market surveillance and pharmacovigilance.</w:t>
      </w:r>
    </w:p>
    <w:p w14:paraId="5188AC74" w14:textId="77777777" w:rsidR="00463F76" w:rsidRDefault="000A0C36">
      <w:pPr>
        <w:pStyle w:val="BodyText"/>
        <w:spacing w:before="1"/>
        <w:ind w:left="215" w:right="208"/>
        <w:jc w:val="both"/>
      </w:pPr>
      <w:r>
        <w:t>NRAs also set the standards for the storage, distribution and transportation of health products and inspect the supply chain for compliance with these standards.</w:t>
      </w:r>
    </w:p>
    <w:p w14:paraId="5188AC75" w14:textId="77777777" w:rsidR="00463F76" w:rsidRDefault="00463F76">
      <w:pPr>
        <w:pStyle w:val="BodyText"/>
      </w:pPr>
    </w:p>
    <w:p w14:paraId="5188AC76" w14:textId="77777777" w:rsidR="00463F76" w:rsidRDefault="000A0C36">
      <w:pPr>
        <w:pStyle w:val="BodyText"/>
        <w:ind w:left="215" w:right="213"/>
        <w:jc w:val="both"/>
      </w:pPr>
      <w:r>
        <w:t>In agreement with National Regulatory Authorities, UNDP may conduct joint Good Distribution Practices</w:t>
      </w:r>
      <w:r>
        <w:rPr>
          <w:spacing w:val="-13"/>
        </w:rPr>
        <w:t xml:space="preserve"> </w:t>
      </w:r>
      <w:r>
        <w:t>assessments</w:t>
      </w:r>
      <w:r>
        <w:rPr>
          <w:spacing w:val="-13"/>
        </w:rPr>
        <w:t xml:space="preserve"> </w:t>
      </w:r>
      <w:r>
        <w:t>of</w:t>
      </w:r>
      <w:r>
        <w:rPr>
          <w:spacing w:val="-14"/>
        </w:rPr>
        <w:t xml:space="preserve"> </w:t>
      </w:r>
      <w:r>
        <w:t>warehouses</w:t>
      </w:r>
      <w:r>
        <w:rPr>
          <w:spacing w:val="-9"/>
        </w:rPr>
        <w:t xml:space="preserve"> </w:t>
      </w:r>
      <w:r>
        <w:t>and</w:t>
      </w:r>
      <w:r>
        <w:rPr>
          <w:spacing w:val="-13"/>
        </w:rPr>
        <w:t xml:space="preserve"> </w:t>
      </w:r>
      <w:r>
        <w:t>other</w:t>
      </w:r>
      <w:r>
        <w:rPr>
          <w:spacing w:val="-14"/>
        </w:rPr>
        <w:t xml:space="preserve"> </w:t>
      </w:r>
      <w:r>
        <w:t>premises</w:t>
      </w:r>
      <w:r>
        <w:rPr>
          <w:spacing w:val="-7"/>
        </w:rPr>
        <w:t xml:space="preserve"> </w:t>
      </w:r>
      <w:r>
        <w:t>that</w:t>
      </w:r>
      <w:r>
        <w:rPr>
          <w:spacing w:val="-11"/>
        </w:rPr>
        <w:t xml:space="preserve"> </w:t>
      </w:r>
      <w:r>
        <w:t>are</w:t>
      </w:r>
      <w:r>
        <w:rPr>
          <w:spacing w:val="-12"/>
        </w:rPr>
        <w:t xml:space="preserve"> </w:t>
      </w:r>
      <w:r>
        <w:t>used</w:t>
      </w:r>
      <w:r>
        <w:rPr>
          <w:spacing w:val="-12"/>
        </w:rPr>
        <w:t xml:space="preserve"> </w:t>
      </w:r>
      <w:r>
        <w:t>to</w:t>
      </w:r>
      <w:r>
        <w:rPr>
          <w:spacing w:val="-13"/>
        </w:rPr>
        <w:t xml:space="preserve"> </w:t>
      </w:r>
      <w:r>
        <w:t>store</w:t>
      </w:r>
      <w:r>
        <w:rPr>
          <w:spacing w:val="-12"/>
        </w:rPr>
        <w:t xml:space="preserve"> </w:t>
      </w:r>
      <w:r>
        <w:t>health</w:t>
      </w:r>
      <w:r>
        <w:rPr>
          <w:spacing w:val="-14"/>
        </w:rPr>
        <w:t xml:space="preserve"> </w:t>
      </w:r>
      <w:r>
        <w:t>products.</w:t>
      </w:r>
      <w:r>
        <w:rPr>
          <w:spacing w:val="-13"/>
        </w:rPr>
        <w:t xml:space="preserve"> </w:t>
      </w:r>
      <w:r>
        <w:t>These assessments are conducted in accordance with WHO</w:t>
      </w:r>
      <w:r>
        <w:rPr>
          <w:spacing w:val="-4"/>
        </w:rPr>
        <w:t xml:space="preserve"> </w:t>
      </w:r>
      <w:r>
        <w:t>guidelines.</w:t>
      </w:r>
    </w:p>
    <w:p w14:paraId="5188AC77" w14:textId="77777777" w:rsidR="00463F76" w:rsidRDefault="00463F76">
      <w:pPr>
        <w:pStyle w:val="BodyText"/>
        <w:spacing w:before="1"/>
        <w:rPr>
          <w:sz w:val="25"/>
        </w:rPr>
      </w:pPr>
    </w:p>
    <w:p w14:paraId="5188AC78" w14:textId="77777777" w:rsidR="00463F76" w:rsidRDefault="000A0C36">
      <w:pPr>
        <w:pStyle w:val="Heading2"/>
        <w:numPr>
          <w:ilvl w:val="0"/>
          <w:numId w:val="7"/>
        </w:numPr>
        <w:tabs>
          <w:tab w:val="left" w:pos="781"/>
        </w:tabs>
        <w:ind w:left="781" w:hanging="566"/>
        <w:jc w:val="both"/>
        <w:rPr>
          <w:color w:val="2D74B5"/>
        </w:rPr>
      </w:pPr>
      <w:bookmarkStart w:id="40" w:name="9._Implementation_of_the_policy"/>
      <w:bookmarkStart w:id="41" w:name="_bookmark20"/>
      <w:bookmarkEnd w:id="40"/>
      <w:bookmarkEnd w:id="41"/>
      <w:r>
        <w:rPr>
          <w:color w:val="2D74B5"/>
        </w:rPr>
        <w:t>Implementation of the policy</w:t>
      </w:r>
    </w:p>
    <w:p w14:paraId="5188AC79" w14:textId="77777777" w:rsidR="00463F76" w:rsidRDefault="000A0C36">
      <w:pPr>
        <w:pStyle w:val="BodyText"/>
        <w:spacing w:before="271"/>
        <w:ind w:left="215" w:right="214"/>
        <w:jc w:val="both"/>
      </w:pPr>
      <w:r>
        <w:t>The Policy will be implemented through the development and roll out of a Quality Assurance manual and Standard Operating Procedures and the development and roll out of training materials to build capacity of UNDP staff engaged in health procurement. Successful implementation of the QA Policy and monitoring of its compliance will require adequate resources from the organization.</w:t>
      </w:r>
    </w:p>
    <w:p w14:paraId="5188AC7A" w14:textId="77777777" w:rsidR="00463F76" w:rsidRDefault="00463F76">
      <w:pPr>
        <w:jc w:val="both"/>
        <w:sectPr w:rsidR="00463F76">
          <w:pgSz w:w="11900" w:h="16840"/>
          <w:pgMar w:top="1340" w:right="1200" w:bottom="940" w:left="1200" w:header="0" w:footer="752" w:gutter="0"/>
          <w:cols w:space="720"/>
        </w:sectPr>
      </w:pPr>
    </w:p>
    <w:p w14:paraId="5188AC7B" w14:textId="77777777" w:rsidR="00463F76" w:rsidRDefault="000A0C36">
      <w:pPr>
        <w:pStyle w:val="Heading2"/>
        <w:numPr>
          <w:ilvl w:val="0"/>
          <w:numId w:val="7"/>
        </w:numPr>
        <w:tabs>
          <w:tab w:val="left" w:pos="780"/>
          <w:tab w:val="left" w:pos="781"/>
        </w:tabs>
        <w:spacing w:before="73"/>
        <w:ind w:left="781" w:hanging="566"/>
        <w:rPr>
          <w:color w:val="2D74B5"/>
        </w:rPr>
      </w:pPr>
      <w:bookmarkStart w:id="42" w:name="10._Reporting"/>
      <w:bookmarkStart w:id="43" w:name="_bookmark21"/>
      <w:bookmarkEnd w:id="42"/>
      <w:bookmarkEnd w:id="43"/>
      <w:r>
        <w:rPr>
          <w:color w:val="2D74B5"/>
        </w:rPr>
        <w:lastRenderedPageBreak/>
        <w:t>Reporting</w:t>
      </w:r>
    </w:p>
    <w:p w14:paraId="5188AC7C" w14:textId="77777777" w:rsidR="00463F76" w:rsidRDefault="000A0C36">
      <w:pPr>
        <w:pStyle w:val="BodyText"/>
        <w:spacing w:before="270"/>
        <w:ind w:left="215" w:right="219"/>
        <w:jc w:val="both"/>
      </w:pPr>
      <w:r>
        <w:t xml:space="preserve">BPPS/HHD will submit an annual Quality Assurance Report to the Associate Administrator with copy to Regional </w:t>
      </w:r>
      <w:proofErr w:type="spellStart"/>
      <w:r>
        <w:t>Bureaux</w:t>
      </w:r>
      <w:proofErr w:type="spellEnd"/>
      <w:r>
        <w:t>, Bureau of Management Services, and the Office of Audit and Investigations.</w:t>
      </w:r>
    </w:p>
    <w:p w14:paraId="5188AC7D" w14:textId="77777777" w:rsidR="00463F76" w:rsidRDefault="00463F76">
      <w:pPr>
        <w:pStyle w:val="BodyText"/>
      </w:pPr>
    </w:p>
    <w:p w14:paraId="5188AC7E" w14:textId="77777777" w:rsidR="00463F76" w:rsidRDefault="000A0C36">
      <w:pPr>
        <w:pStyle w:val="BodyText"/>
        <w:ind w:left="215" w:right="209"/>
        <w:jc w:val="both"/>
      </w:pPr>
      <w:r>
        <w:t>In</w:t>
      </w:r>
      <w:r>
        <w:rPr>
          <w:spacing w:val="-9"/>
        </w:rPr>
        <w:t xml:space="preserve"> </w:t>
      </w:r>
      <w:r>
        <w:t>case</w:t>
      </w:r>
      <w:r>
        <w:rPr>
          <w:spacing w:val="-6"/>
        </w:rPr>
        <w:t xml:space="preserve"> </w:t>
      </w:r>
      <w:r>
        <w:t>of</w:t>
      </w:r>
      <w:r>
        <w:rPr>
          <w:spacing w:val="-9"/>
        </w:rPr>
        <w:t xml:space="preserve"> </w:t>
      </w:r>
      <w:r>
        <w:t>a</w:t>
      </w:r>
      <w:r>
        <w:rPr>
          <w:spacing w:val="-9"/>
        </w:rPr>
        <w:t xml:space="preserve"> </w:t>
      </w:r>
      <w:r>
        <w:t>critical</w:t>
      </w:r>
      <w:r>
        <w:rPr>
          <w:spacing w:val="-13"/>
        </w:rPr>
        <w:t xml:space="preserve"> </w:t>
      </w:r>
      <w:r>
        <w:t>incident</w:t>
      </w:r>
      <w:r>
        <w:rPr>
          <w:spacing w:val="-6"/>
        </w:rPr>
        <w:t xml:space="preserve"> </w:t>
      </w:r>
      <w:r>
        <w:t>with</w:t>
      </w:r>
      <w:r>
        <w:rPr>
          <w:spacing w:val="-9"/>
        </w:rPr>
        <w:t xml:space="preserve"> </w:t>
      </w:r>
      <w:r>
        <w:t>health</w:t>
      </w:r>
      <w:r>
        <w:rPr>
          <w:spacing w:val="-13"/>
        </w:rPr>
        <w:t xml:space="preserve"> </w:t>
      </w:r>
      <w:r>
        <w:t>products</w:t>
      </w:r>
      <w:r>
        <w:rPr>
          <w:spacing w:val="-8"/>
        </w:rPr>
        <w:t xml:space="preserve"> </w:t>
      </w:r>
      <w:r>
        <w:t>supplied</w:t>
      </w:r>
      <w:r>
        <w:rPr>
          <w:spacing w:val="-8"/>
        </w:rPr>
        <w:t xml:space="preserve"> </w:t>
      </w:r>
      <w:r>
        <w:t>by</w:t>
      </w:r>
      <w:r>
        <w:rPr>
          <w:spacing w:val="-8"/>
        </w:rPr>
        <w:t xml:space="preserve"> </w:t>
      </w:r>
      <w:r>
        <w:t>UNDP,</w:t>
      </w:r>
      <w:r>
        <w:rPr>
          <w:spacing w:val="-8"/>
        </w:rPr>
        <w:t xml:space="preserve"> </w:t>
      </w:r>
      <w:r>
        <w:t>putting</w:t>
      </w:r>
      <w:r>
        <w:rPr>
          <w:spacing w:val="-6"/>
        </w:rPr>
        <w:t xml:space="preserve"> </w:t>
      </w:r>
      <w:r>
        <w:rPr>
          <w:spacing w:val="-3"/>
        </w:rPr>
        <w:t>at</w:t>
      </w:r>
      <w:r>
        <w:rPr>
          <w:spacing w:val="-7"/>
        </w:rPr>
        <w:t xml:space="preserve"> </w:t>
      </w:r>
      <w:r>
        <w:t>risk</w:t>
      </w:r>
      <w:r>
        <w:rPr>
          <w:spacing w:val="-2"/>
        </w:rPr>
        <w:t xml:space="preserve"> </w:t>
      </w:r>
      <w:r>
        <w:t>human</w:t>
      </w:r>
      <w:r>
        <w:rPr>
          <w:spacing w:val="-9"/>
        </w:rPr>
        <w:t xml:space="preserve"> </w:t>
      </w:r>
      <w:r>
        <w:t>lives</w:t>
      </w:r>
      <w:r>
        <w:rPr>
          <w:spacing w:val="-8"/>
        </w:rPr>
        <w:t xml:space="preserve"> </w:t>
      </w:r>
      <w:r>
        <w:t>and</w:t>
      </w:r>
      <w:r>
        <w:rPr>
          <w:spacing w:val="-7"/>
        </w:rPr>
        <w:t xml:space="preserve"> </w:t>
      </w:r>
      <w:r>
        <w:t xml:space="preserve">the reputation of the organization, in addition to the management of the incident with Country Offices and Regional </w:t>
      </w:r>
      <w:proofErr w:type="spellStart"/>
      <w:r>
        <w:t>Bureaux</w:t>
      </w:r>
      <w:proofErr w:type="spellEnd"/>
      <w:r>
        <w:t>, a note will be sent by BPPS/HDD to inform the Associate</w:t>
      </w:r>
      <w:r>
        <w:rPr>
          <w:spacing w:val="-20"/>
        </w:rPr>
        <w:t xml:space="preserve"> </w:t>
      </w:r>
      <w:r>
        <w:t>Administrator.</w:t>
      </w:r>
    </w:p>
    <w:sectPr w:rsidR="00463F76">
      <w:pgSz w:w="11900" w:h="16840"/>
      <w:pgMar w:top="1340" w:right="1200" w:bottom="940" w:left="1200" w:header="0"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AC95" w14:textId="77777777" w:rsidR="00343E22" w:rsidRDefault="00343E22">
      <w:r>
        <w:separator/>
      </w:r>
    </w:p>
  </w:endnote>
  <w:endnote w:type="continuationSeparator" w:id="0">
    <w:p w14:paraId="5188AC96" w14:textId="77777777" w:rsidR="00343E22" w:rsidRDefault="0034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AC97" w14:textId="292DE712" w:rsidR="00463F76" w:rsidRDefault="00FA5766" w:rsidP="00866F84">
    <w:pPr>
      <w:pStyle w:val="BodyText"/>
      <w:spacing w:line="14" w:lineRule="auto"/>
      <w:jc w:val="center"/>
      <w:rPr>
        <w:sz w:val="20"/>
      </w:rPr>
    </w:pPr>
    <w:sdt>
      <w:sdtPr>
        <w:rPr>
          <w:sz w:val="20"/>
        </w:rPr>
        <w:alias w:val="Effective Date"/>
        <w:tag w:val="UNDP_POPP_EFFECTIVEDATE"/>
        <w:id w:val="1959448954"/>
        <w:placeholder>
          <w:docPart w:val="895BD0AE5A6E45A1A821E37FBBCC2B0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B7228CF3-8E68-48AB-9932-7D1EA4B1BEC5}"/>
        <w:date w:fullDate="2018-07-02T00:00:00Z">
          <w:dateFormat w:val="M/d/yyyy"/>
          <w:lid w:val="en-US"/>
          <w:storeMappedDataAs w:val="dateTime"/>
          <w:calendar w:val="gregorian"/>
        </w:date>
      </w:sdtPr>
      <w:sdtEndPr/>
      <w:sdtContent>
        <w:r>
          <w:rPr>
            <w:sz w:val="20"/>
          </w:rPr>
          <w:t>7/2/2018</w:t>
        </w:r>
      </w:sdtContent>
    </w:sdt>
    <w:r w:rsidR="00EA6ADB">
      <w:rPr>
        <w:noProof/>
        <w:lang w:bidi="ar-SA"/>
      </w:rPr>
      <mc:AlternateContent>
        <mc:Choice Requires="wps">
          <w:drawing>
            <wp:anchor distT="0" distB="0" distL="114300" distR="114300" simplePos="0" relativeHeight="251657728" behindDoc="1" locked="0" layoutInCell="1" allowOverlap="1" wp14:anchorId="5188AC98" wp14:editId="5188AC99">
              <wp:simplePos x="0" y="0"/>
              <wp:positionH relativeFrom="page">
                <wp:posOffset>6489065</wp:posOffset>
              </wp:positionH>
              <wp:positionV relativeFrom="page">
                <wp:posOffset>10076180</wp:posOffset>
              </wp:positionV>
              <wp:extent cx="197485" cy="184150"/>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8AC9F" w14:textId="77777777" w:rsidR="00463F76" w:rsidRDefault="000A0C36">
                          <w:pPr>
                            <w:pStyle w:val="BodyText"/>
                            <w:spacing w:before="20"/>
                            <w:ind w:left="40"/>
                            <w:rPr>
                              <w:rFonts w:ascii="Georgia"/>
                            </w:rPr>
                          </w:pPr>
                          <w:r>
                            <w:fldChar w:fldCharType="begin"/>
                          </w:r>
                          <w:r>
                            <w:rPr>
                              <w:rFonts w:ascii="Georgia"/>
                            </w:rPr>
                            <w:instrText xml:space="preserve"> PAGE </w:instrText>
                          </w:r>
                          <w:r>
                            <w:fldChar w:fldCharType="separate"/>
                          </w:r>
                          <w:r w:rsidR="00866F84">
                            <w:rPr>
                              <w:rFonts w:ascii="Georgia"/>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8AC98" id="_x0000_t202" coordsize="21600,21600" o:spt="202" path="m,l,21600r21600,l21600,xe">
              <v:stroke joinstyle="miter"/>
              <v:path gradientshapeok="t" o:connecttype="rect"/>
            </v:shapetype>
            <v:shape id="Text Box 1" o:spid="_x0000_s1028" type="#_x0000_t202" style="position:absolute;left:0;text-align:left;margin-left:510.95pt;margin-top:793.4pt;width:15.5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" filled="f" stroked="f">
              <v:textbox inset="0,0,0,0">
                <w:txbxContent>
                  <w:p w14:paraId="5188AC9F" w14:textId="77777777" w:rsidR="00463F76" w:rsidRDefault="000A0C36">
                    <w:pPr>
                      <w:pStyle w:val="BodyText"/>
                      <w:spacing w:before="20"/>
                      <w:ind w:left="40"/>
                      <w:rPr>
                        <w:rFonts w:ascii="Georgia"/>
                      </w:rPr>
                    </w:pPr>
                    <w:r>
                      <w:fldChar w:fldCharType="begin"/>
                    </w:r>
                    <w:r>
                      <w:rPr>
                        <w:rFonts w:ascii="Georgia"/>
                      </w:rPr>
                      <w:instrText xml:space="preserve"> PAGE </w:instrText>
                    </w:r>
                    <w:r>
                      <w:fldChar w:fldCharType="separate"/>
                    </w:r>
                    <w:r w:rsidR="00866F84">
                      <w:rPr>
                        <w:rFonts w:ascii="Georgia"/>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AC93" w14:textId="77777777" w:rsidR="00343E22" w:rsidRDefault="00343E22">
      <w:r>
        <w:separator/>
      </w:r>
    </w:p>
  </w:footnote>
  <w:footnote w:type="continuationSeparator" w:id="0">
    <w:p w14:paraId="5188AC94" w14:textId="77777777" w:rsidR="00343E22" w:rsidRDefault="00343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3AD7"/>
    <w:multiLevelType w:val="hybridMultilevel"/>
    <w:tmpl w:val="EDA2EE80"/>
    <w:lvl w:ilvl="0" w:tplc="4F4A3DEA">
      <w:start w:val="1"/>
      <w:numFmt w:val="decimal"/>
      <w:lvlText w:val="%1."/>
      <w:lvlJc w:val="left"/>
      <w:pPr>
        <w:ind w:left="500" w:hanging="285"/>
        <w:jc w:val="left"/>
      </w:pPr>
      <w:rPr>
        <w:rFonts w:hint="default"/>
        <w:spacing w:val="-27"/>
        <w:w w:val="100"/>
        <w:lang w:val="en-US" w:eastAsia="en-US" w:bidi="en-US"/>
      </w:rPr>
    </w:lvl>
    <w:lvl w:ilvl="1" w:tplc="96C46232">
      <w:numFmt w:val="bullet"/>
      <w:lvlText w:val=""/>
      <w:lvlJc w:val="left"/>
      <w:pPr>
        <w:ind w:left="936" w:hanging="361"/>
      </w:pPr>
      <w:rPr>
        <w:rFonts w:ascii="Symbol" w:eastAsia="Symbol" w:hAnsi="Symbol" w:cs="Symbol" w:hint="default"/>
        <w:w w:val="100"/>
        <w:sz w:val="22"/>
        <w:szCs w:val="22"/>
        <w:lang w:val="en-US" w:eastAsia="en-US" w:bidi="en-US"/>
      </w:rPr>
    </w:lvl>
    <w:lvl w:ilvl="2" w:tplc="73BA1006">
      <w:numFmt w:val="bullet"/>
      <w:lvlText w:val="•"/>
      <w:lvlJc w:val="left"/>
      <w:pPr>
        <w:ind w:left="1891" w:hanging="361"/>
      </w:pPr>
      <w:rPr>
        <w:rFonts w:hint="default"/>
        <w:lang w:val="en-US" w:eastAsia="en-US" w:bidi="en-US"/>
      </w:rPr>
    </w:lvl>
    <w:lvl w:ilvl="3" w:tplc="3404EF88">
      <w:numFmt w:val="bullet"/>
      <w:lvlText w:val="•"/>
      <w:lvlJc w:val="left"/>
      <w:pPr>
        <w:ind w:left="2842" w:hanging="361"/>
      </w:pPr>
      <w:rPr>
        <w:rFonts w:hint="default"/>
        <w:lang w:val="en-US" w:eastAsia="en-US" w:bidi="en-US"/>
      </w:rPr>
    </w:lvl>
    <w:lvl w:ilvl="4" w:tplc="E162ED50">
      <w:numFmt w:val="bullet"/>
      <w:lvlText w:val="•"/>
      <w:lvlJc w:val="left"/>
      <w:pPr>
        <w:ind w:left="3793" w:hanging="361"/>
      </w:pPr>
      <w:rPr>
        <w:rFonts w:hint="default"/>
        <w:lang w:val="en-US" w:eastAsia="en-US" w:bidi="en-US"/>
      </w:rPr>
    </w:lvl>
    <w:lvl w:ilvl="5" w:tplc="B1103C62">
      <w:numFmt w:val="bullet"/>
      <w:lvlText w:val="•"/>
      <w:lvlJc w:val="left"/>
      <w:pPr>
        <w:ind w:left="4744" w:hanging="361"/>
      </w:pPr>
      <w:rPr>
        <w:rFonts w:hint="default"/>
        <w:lang w:val="en-US" w:eastAsia="en-US" w:bidi="en-US"/>
      </w:rPr>
    </w:lvl>
    <w:lvl w:ilvl="6" w:tplc="FEDE27C8">
      <w:numFmt w:val="bullet"/>
      <w:lvlText w:val="•"/>
      <w:lvlJc w:val="left"/>
      <w:pPr>
        <w:ind w:left="5695" w:hanging="361"/>
      </w:pPr>
      <w:rPr>
        <w:rFonts w:hint="default"/>
        <w:lang w:val="en-US" w:eastAsia="en-US" w:bidi="en-US"/>
      </w:rPr>
    </w:lvl>
    <w:lvl w:ilvl="7" w:tplc="6E0AD09A">
      <w:numFmt w:val="bullet"/>
      <w:lvlText w:val="•"/>
      <w:lvlJc w:val="left"/>
      <w:pPr>
        <w:ind w:left="6646" w:hanging="361"/>
      </w:pPr>
      <w:rPr>
        <w:rFonts w:hint="default"/>
        <w:lang w:val="en-US" w:eastAsia="en-US" w:bidi="en-US"/>
      </w:rPr>
    </w:lvl>
    <w:lvl w:ilvl="8" w:tplc="41945BEC">
      <w:numFmt w:val="bullet"/>
      <w:lvlText w:val="•"/>
      <w:lvlJc w:val="left"/>
      <w:pPr>
        <w:ind w:left="7597" w:hanging="361"/>
      </w:pPr>
      <w:rPr>
        <w:rFonts w:hint="default"/>
        <w:lang w:val="en-US" w:eastAsia="en-US" w:bidi="en-US"/>
      </w:rPr>
    </w:lvl>
  </w:abstractNum>
  <w:abstractNum w:abstractNumId="1" w15:restartNumberingAfterBreak="0">
    <w:nsid w:val="0F4F6B23"/>
    <w:multiLevelType w:val="hybridMultilevel"/>
    <w:tmpl w:val="E42ACADC"/>
    <w:lvl w:ilvl="0" w:tplc="0826181E">
      <w:start w:val="16"/>
      <w:numFmt w:val="decimal"/>
      <w:lvlText w:val="%1"/>
      <w:lvlJc w:val="left"/>
      <w:pPr>
        <w:ind w:left="410" w:hanging="195"/>
        <w:jc w:val="left"/>
      </w:pPr>
      <w:rPr>
        <w:rFonts w:ascii="Georgia" w:eastAsia="Georgia" w:hAnsi="Georgia" w:cs="Georgia" w:hint="default"/>
        <w:spacing w:val="-12"/>
        <w:w w:val="100"/>
        <w:position w:val="6"/>
        <w:sz w:val="14"/>
        <w:szCs w:val="14"/>
        <w:lang w:val="en-US" w:eastAsia="en-US" w:bidi="en-US"/>
      </w:rPr>
    </w:lvl>
    <w:lvl w:ilvl="1" w:tplc="99D4F808">
      <w:numFmt w:val="bullet"/>
      <w:lvlText w:val=""/>
      <w:lvlJc w:val="left"/>
      <w:pPr>
        <w:ind w:left="936" w:hanging="361"/>
      </w:pPr>
      <w:rPr>
        <w:rFonts w:ascii="Symbol" w:eastAsia="Symbol" w:hAnsi="Symbol" w:cs="Symbol" w:hint="default"/>
        <w:w w:val="100"/>
        <w:sz w:val="22"/>
        <w:szCs w:val="22"/>
        <w:lang w:val="en-US" w:eastAsia="en-US" w:bidi="en-US"/>
      </w:rPr>
    </w:lvl>
    <w:lvl w:ilvl="2" w:tplc="08564C82">
      <w:numFmt w:val="bullet"/>
      <w:lvlText w:val="•"/>
      <w:lvlJc w:val="left"/>
      <w:pPr>
        <w:ind w:left="1891" w:hanging="361"/>
      </w:pPr>
      <w:rPr>
        <w:rFonts w:hint="default"/>
        <w:lang w:val="en-US" w:eastAsia="en-US" w:bidi="en-US"/>
      </w:rPr>
    </w:lvl>
    <w:lvl w:ilvl="3" w:tplc="ABCAF588">
      <w:numFmt w:val="bullet"/>
      <w:lvlText w:val="•"/>
      <w:lvlJc w:val="left"/>
      <w:pPr>
        <w:ind w:left="2842" w:hanging="361"/>
      </w:pPr>
      <w:rPr>
        <w:rFonts w:hint="default"/>
        <w:lang w:val="en-US" w:eastAsia="en-US" w:bidi="en-US"/>
      </w:rPr>
    </w:lvl>
    <w:lvl w:ilvl="4" w:tplc="196A3DFE">
      <w:numFmt w:val="bullet"/>
      <w:lvlText w:val="•"/>
      <w:lvlJc w:val="left"/>
      <w:pPr>
        <w:ind w:left="3793" w:hanging="361"/>
      </w:pPr>
      <w:rPr>
        <w:rFonts w:hint="default"/>
        <w:lang w:val="en-US" w:eastAsia="en-US" w:bidi="en-US"/>
      </w:rPr>
    </w:lvl>
    <w:lvl w:ilvl="5" w:tplc="CB2A977C">
      <w:numFmt w:val="bullet"/>
      <w:lvlText w:val="•"/>
      <w:lvlJc w:val="left"/>
      <w:pPr>
        <w:ind w:left="4744" w:hanging="361"/>
      </w:pPr>
      <w:rPr>
        <w:rFonts w:hint="default"/>
        <w:lang w:val="en-US" w:eastAsia="en-US" w:bidi="en-US"/>
      </w:rPr>
    </w:lvl>
    <w:lvl w:ilvl="6" w:tplc="1DBE54B8">
      <w:numFmt w:val="bullet"/>
      <w:lvlText w:val="•"/>
      <w:lvlJc w:val="left"/>
      <w:pPr>
        <w:ind w:left="5695" w:hanging="361"/>
      </w:pPr>
      <w:rPr>
        <w:rFonts w:hint="default"/>
        <w:lang w:val="en-US" w:eastAsia="en-US" w:bidi="en-US"/>
      </w:rPr>
    </w:lvl>
    <w:lvl w:ilvl="7" w:tplc="8AF414DC">
      <w:numFmt w:val="bullet"/>
      <w:lvlText w:val="•"/>
      <w:lvlJc w:val="left"/>
      <w:pPr>
        <w:ind w:left="6646" w:hanging="361"/>
      </w:pPr>
      <w:rPr>
        <w:rFonts w:hint="default"/>
        <w:lang w:val="en-US" w:eastAsia="en-US" w:bidi="en-US"/>
      </w:rPr>
    </w:lvl>
    <w:lvl w:ilvl="8" w:tplc="99F4BD16">
      <w:numFmt w:val="bullet"/>
      <w:lvlText w:val="•"/>
      <w:lvlJc w:val="left"/>
      <w:pPr>
        <w:ind w:left="7597" w:hanging="361"/>
      </w:pPr>
      <w:rPr>
        <w:rFonts w:hint="default"/>
        <w:lang w:val="en-US" w:eastAsia="en-US" w:bidi="en-US"/>
      </w:rPr>
    </w:lvl>
  </w:abstractNum>
  <w:abstractNum w:abstractNumId="2" w15:restartNumberingAfterBreak="0">
    <w:nsid w:val="37881499"/>
    <w:multiLevelType w:val="multilevel"/>
    <w:tmpl w:val="0B1808F0"/>
    <w:lvl w:ilvl="0">
      <w:start w:val="7"/>
      <w:numFmt w:val="decimal"/>
      <w:lvlText w:val="%1"/>
      <w:lvlJc w:val="left"/>
      <w:pPr>
        <w:ind w:left="936" w:hanging="721"/>
        <w:jc w:val="left"/>
      </w:pPr>
      <w:rPr>
        <w:rFonts w:hint="default"/>
        <w:lang w:val="en-US" w:eastAsia="en-US" w:bidi="en-US"/>
      </w:rPr>
    </w:lvl>
    <w:lvl w:ilvl="1">
      <w:start w:val="1"/>
      <w:numFmt w:val="decimal"/>
      <w:lvlText w:val="%1.%2"/>
      <w:lvlJc w:val="left"/>
      <w:pPr>
        <w:ind w:left="936" w:hanging="721"/>
        <w:jc w:val="left"/>
      </w:pPr>
      <w:rPr>
        <w:rFonts w:ascii="Calibri Light" w:eastAsia="Calibri Light" w:hAnsi="Calibri Light" w:cs="Calibri Light" w:hint="default"/>
        <w:i/>
        <w:color w:val="1F4D78"/>
        <w:spacing w:val="-4"/>
        <w:w w:val="100"/>
        <w:sz w:val="22"/>
        <w:szCs w:val="22"/>
        <w:lang w:val="en-US" w:eastAsia="en-US" w:bidi="en-US"/>
      </w:rPr>
    </w:lvl>
    <w:lvl w:ilvl="2">
      <w:numFmt w:val="bullet"/>
      <w:lvlText w:val=""/>
      <w:lvlJc w:val="left"/>
      <w:pPr>
        <w:ind w:left="936" w:hanging="361"/>
      </w:pPr>
      <w:rPr>
        <w:rFonts w:ascii="Symbol" w:eastAsia="Symbol" w:hAnsi="Symbol" w:cs="Symbol" w:hint="default"/>
        <w:w w:val="100"/>
        <w:sz w:val="22"/>
        <w:szCs w:val="22"/>
        <w:lang w:val="en-US" w:eastAsia="en-US" w:bidi="en-US"/>
      </w:rPr>
    </w:lvl>
    <w:lvl w:ilvl="3">
      <w:numFmt w:val="bullet"/>
      <w:lvlText w:val="•"/>
      <w:lvlJc w:val="left"/>
      <w:pPr>
        <w:ind w:left="3508" w:hanging="361"/>
      </w:pPr>
      <w:rPr>
        <w:rFonts w:hint="default"/>
        <w:lang w:val="en-US" w:eastAsia="en-US" w:bidi="en-US"/>
      </w:rPr>
    </w:lvl>
    <w:lvl w:ilvl="4">
      <w:numFmt w:val="bullet"/>
      <w:lvlText w:val="•"/>
      <w:lvlJc w:val="left"/>
      <w:pPr>
        <w:ind w:left="4364" w:hanging="361"/>
      </w:pPr>
      <w:rPr>
        <w:rFonts w:hint="default"/>
        <w:lang w:val="en-US" w:eastAsia="en-US" w:bidi="en-US"/>
      </w:rPr>
    </w:lvl>
    <w:lvl w:ilvl="5">
      <w:numFmt w:val="bullet"/>
      <w:lvlText w:val="•"/>
      <w:lvlJc w:val="left"/>
      <w:pPr>
        <w:ind w:left="5220" w:hanging="361"/>
      </w:pPr>
      <w:rPr>
        <w:rFonts w:hint="default"/>
        <w:lang w:val="en-US" w:eastAsia="en-US" w:bidi="en-US"/>
      </w:rPr>
    </w:lvl>
    <w:lvl w:ilvl="6">
      <w:numFmt w:val="bullet"/>
      <w:lvlText w:val="•"/>
      <w:lvlJc w:val="left"/>
      <w:pPr>
        <w:ind w:left="6076" w:hanging="361"/>
      </w:pPr>
      <w:rPr>
        <w:rFonts w:hint="default"/>
        <w:lang w:val="en-US" w:eastAsia="en-US" w:bidi="en-US"/>
      </w:rPr>
    </w:lvl>
    <w:lvl w:ilvl="7">
      <w:numFmt w:val="bullet"/>
      <w:lvlText w:val="•"/>
      <w:lvlJc w:val="left"/>
      <w:pPr>
        <w:ind w:left="6932" w:hanging="361"/>
      </w:pPr>
      <w:rPr>
        <w:rFonts w:hint="default"/>
        <w:lang w:val="en-US" w:eastAsia="en-US" w:bidi="en-US"/>
      </w:rPr>
    </w:lvl>
    <w:lvl w:ilvl="8">
      <w:numFmt w:val="bullet"/>
      <w:lvlText w:val="•"/>
      <w:lvlJc w:val="left"/>
      <w:pPr>
        <w:ind w:left="7788" w:hanging="361"/>
      </w:pPr>
      <w:rPr>
        <w:rFonts w:hint="default"/>
        <w:lang w:val="en-US" w:eastAsia="en-US" w:bidi="en-US"/>
      </w:rPr>
    </w:lvl>
  </w:abstractNum>
  <w:abstractNum w:abstractNumId="3" w15:restartNumberingAfterBreak="0">
    <w:nsid w:val="3C96066B"/>
    <w:multiLevelType w:val="multilevel"/>
    <w:tmpl w:val="3A94C5D4"/>
    <w:lvl w:ilvl="0">
      <w:start w:val="4"/>
      <w:numFmt w:val="decimal"/>
      <w:lvlText w:val="%1"/>
      <w:lvlJc w:val="left"/>
      <w:pPr>
        <w:ind w:left="781" w:hanging="566"/>
        <w:jc w:val="left"/>
      </w:pPr>
      <w:rPr>
        <w:rFonts w:hint="default"/>
        <w:lang w:val="en-US" w:eastAsia="en-US" w:bidi="en-US"/>
      </w:rPr>
    </w:lvl>
    <w:lvl w:ilvl="1">
      <w:start w:val="1"/>
      <w:numFmt w:val="decimal"/>
      <w:lvlText w:val="%1.%2"/>
      <w:lvlJc w:val="left"/>
      <w:pPr>
        <w:ind w:left="781" w:hanging="566"/>
        <w:jc w:val="left"/>
      </w:pPr>
      <w:rPr>
        <w:rFonts w:ascii="Calibri Light" w:eastAsia="Calibri Light" w:hAnsi="Calibri Light" w:cs="Calibri Light" w:hint="default"/>
        <w:i/>
        <w:color w:val="1F4D78"/>
        <w:spacing w:val="-3"/>
        <w:w w:val="100"/>
        <w:sz w:val="22"/>
        <w:szCs w:val="22"/>
        <w:lang w:val="en-US" w:eastAsia="en-US" w:bidi="en-US"/>
      </w:rPr>
    </w:lvl>
    <w:lvl w:ilvl="2">
      <w:numFmt w:val="bullet"/>
      <w:lvlText w:val=""/>
      <w:lvlJc w:val="left"/>
      <w:pPr>
        <w:ind w:left="991" w:hanging="360"/>
      </w:pPr>
      <w:rPr>
        <w:rFonts w:ascii="Symbol" w:eastAsia="Symbol" w:hAnsi="Symbol" w:cs="Symbol" w:hint="default"/>
        <w:w w:val="100"/>
        <w:sz w:val="22"/>
        <w:szCs w:val="22"/>
        <w:lang w:val="en-US" w:eastAsia="en-US" w:bidi="en-US"/>
      </w:rPr>
    </w:lvl>
    <w:lvl w:ilvl="3">
      <w:numFmt w:val="bullet"/>
      <w:lvlText w:val="•"/>
      <w:lvlJc w:val="left"/>
      <w:pPr>
        <w:ind w:left="2888" w:hanging="360"/>
      </w:pPr>
      <w:rPr>
        <w:rFonts w:hint="default"/>
        <w:lang w:val="en-US" w:eastAsia="en-US" w:bidi="en-US"/>
      </w:rPr>
    </w:lvl>
    <w:lvl w:ilvl="4">
      <w:numFmt w:val="bullet"/>
      <w:lvlText w:val="•"/>
      <w:lvlJc w:val="left"/>
      <w:pPr>
        <w:ind w:left="3833" w:hanging="360"/>
      </w:pPr>
      <w:rPr>
        <w:rFonts w:hint="default"/>
        <w:lang w:val="en-US" w:eastAsia="en-US" w:bidi="en-US"/>
      </w:rPr>
    </w:lvl>
    <w:lvl w:ilvl="5">
      <w:numFmt w:val="bullet"/>
      <w:lvlText w:val="•"/>
      <w:lvlJc w:val="left"/>
      <w:pPr>
        <w:ind w:left="4777" w:hanging="360"/>
      </w:pPr>
      <w:rPr>
        <w:rFonts w:hint="default"/>
        <w:lang w:val="en-US" w:eastAsia="en-US" w:bidi="en-US"/>
      </w:rPr>
    </w:lvl>
    <w:lvl w:ilvl="6">
      <w:numFmt w:val="bullet"/>
      <w:lvlText w:val="•"/>
      <w:lvlJc w:val="left"/>
      <w:pPr>
        <w:ind w:left="5722" w:hanging="360"/>
      </w:pPr>
      <w:rPr>
        <w:rFonts w:hint="default"/>
        <w:lang w:val="en-US" w:eastAsia="en-US" w:bidi="en-US"/>
      </w:rPr>
    </w:lvl>
    <w:lvl w:ilvl="7">
      <w:numFmt w:val="bullet"/>
      <w:lvlText w:val="•"/>
      <w:lvlJc w:val="left"/>
      <w:pPr>
        <w:ind w:left="6666" w:hanging="360"/>
      </w:pPr>
      <w:rPr>
        <w:rFonts w:hint="default"/>
        <w:lang w:val="en-US" w:eastAsia="en-US" w:bidi="en-US"/>
      </w:rPr>
    </w:lvl>
    <w:lvl w:ilvl="8">
      <w:numFmt w:val="bullet"/>
      <w:lvlText w:val="•"/>
      <w:lvlJc w:val="left"/>
      <w:pPr>
        <w:ind w:left="7611" w:hanging="360"/>
      </w:pPr>
      <w:rPr>
        <w:rFonts w:hint="default"/>
        <w:lang w:val="en-US" w:eastAsia="en-US" w:bidi="en-US"/>
      </w:rPr>
    </w:lvl>
  </w:abstractNum>
  <w:abstractNum w:abstractNumId="4" w15:restartNumberingAfterBreak="0">
    <w:nsid w:val="450B0264"/>
    <w:multiLevelType w:val="hybridMultilevel"/>
    <w:tmpl w:val="B6FA2A0C"/>
    <w:lvl w:ilvl="0" w:tplc="5580607C">
      <w:start w:val="9"/>
      <w:numFmt w:val="decimal"/>
      <w:lvlText w:val="%1"/>
      <w:lvlJc w:val="left"/>
      <w:pPr>
        <w:ind w:left="350" w:hanging="135"/>
        <w:jc w:val="left"/>
      </w:pPr>
      <w:rPr>
        <w:rFonts w:ascii="Georgia" w:eastAsia="Georgia" w:hAnsi="Georgia" w:cs="Georgia" w:hint="default"/>
        <w:spacing w:val="-12"/>
        <w:w w:val="100"/>
        <w:position w:val="6"/>
        <w:sz w:val="14"/>
        <w:szCs w:val="14"/>
        <w:lang w:val="en-US" w:eastAsia="en-US" w:bidi="en-US"/>
      </w:rPr>
    </w:lvl>
    <w:lvl w:ilvl="1" w:tplc="DA1E361E">
      <w:numFmt w:val="bullet"/>
      <w:lvlText w:val="•"/>
      <w:lvlJc w:val="left"/>
      <w:pPr>
        <w:ind w:left="1274" w:hanging="135"/>
      </w:pPr>
      <w:rPr>
        <w:rFonts w:hint="default"/>
        <w:lang w:val="en-US" w:eastAsia="en-US" w:bidi="en-US"/>
      </w:rPr>
    </w:lvl>
    <w:lvl w:ilvl="2" w:tplc="97FAEA3C">
      <w:numFmt w:val="bullet"/>
      <w:lvlText w:val="•"/>
      <w:lvlJc w:val="left"/>
      <w:pPr>
        <w:ind w:left="2188" w:hanging="135"/>
      </w:pPr>
      <w:rPr>
        <w:rFonts w:hint="default"/>
        <w:lang w:val="en-US" w:eastAsia="en-US" w:bidi="en-US"/>
      </w:rPr>
    </w:lvl>
    <w:lvl w:ilvl="3" w:tplc="8968D88C">
      <w:numFmt w:val="bullet"/>
      <w:lvlText w:val="•"/>
      <w:lvlJc w:val="left"/>
      <w:pPr>
        <w:ind w:left="3102" w:hanging="135"/>
      </w:pPr>
      <w:rPr>
        <w:rFonts w:hint="default"/>
        <w:lang w:val="en-US" w:eastAsia="en-US" w:bidi="en-US"/>
      </w:rPr>
    </w:lvl>
    <w:lvl w:ilvl="4" w:tplc="FC588648">
      <w:numFmt w:val="bullet"/>
      <w:lvlText w:val="•"/>
      <w:lvlJc w:val="left"/>
      <w:pPr>
        <w:ind w:left="4016" w:hanging="135"/>
      </w:pPr>
      <w:rPr>
        <w:rFonts w:hint="default"/>
        <w:lang w:val="en-US" w:eastAsia="en-US" w:bidi="en-US"/>
      </w:rPr>
    </w:lvl>
    <w:lvl w:ilvl="5" w:tplc="0316B3C4">
      <w:numFmt w:val="bullet"/>
      <w:lvlText w:val="•"/>
      <w:lvlJc w:val="left"/>
      <w:pPr>
        <w:ind w:left="4930" w:hanging="135"/>
      </w:pPr>
      <w:rPr>
        <w:rFonts w:hint="default"/>
        <w:lang w:val="en-US" w:eastAsia="en-US" w:bidi="en-US"/>
      </w:rPr>
    </w:lvl>
    <w:lvl w:ilvl="6" w:tplc="F4F4ECD0">
      <w:numFmt w:val="bullet"/>
      <w:lvlText w:val="•"/>
      <w:lvlJc w:val="left"/>
      <w:pPr>
        <w:ind w:left="5844" w:hanging="135"/>
      </w:pPr>
      <w:rPr>
        <w:rFonts w:hint="default"/>
        <w:lang w:val="en-US" w:eastAsia="en-US" w:bidi="en-US"/>
      </w:rPr>
    </w:lvl>
    <w:lvl w:ilvl="7" w:tplc="9962C630">
      <w:numFmt w:val="bullet"/>
      <w:lvlText w:val="•"/>
      <w:lvlJc w:val="left"/>
      <w:pPr>
        <w:ind w:left="6758" w:hanging="135"/>
      </w:pPr>
      <w:rPr>
        <w:rFonts w:hint="default"/>
        <w:lang w:val="en-US" w:eastAsia="en-US" w:bidi="en-US"/>
      </w:rPr>
    </w:lvl>
    <w:lvl w:ilvl="8" w:tplc="9328E170">
      <w:numFmt w:val="bullet"/>
      <w:lvlText w:val="•"/>
      <w:lvlJc w:val="left"/>
      <w:pPr>
        <w:ind w:left="7672" w:hanging="135"/>
      </w:pPr>
      <w:rPr>
        <w:rFonts w:hint="default"/>
        <w:lang w:val="en-US" w:eastAsia="en-US" w:bidi="en-US"/>
      </w:rPr>
    </w:lvl>
  </w:abstractNum>
  <w:abstractNum w:abstractNumId="5" w15:restartNumberingAfterBreak="0">
    <w:nsid w:val="57F80192"/>
    <w:multiLevelType w:val="multilevel"/>
    <w:tmpl w:val="09CE9B04"/>
    <w:lvl w:ilvl="0">
      <w:start w:val="4"/>
      <w:numFmt w:val="decimal"/>
      <w:lvlText w:val="%1"/>
      <w:lvlJc w:val="left"/>
      <w:pPr>
        <w:ind w:left="926" w:hanging="711"/>
        <w:jc w:val="left"/>
      </w:pPr>
      <w:rPr>
        <w:rFonts w:hint="default"/>
        <w:lang w:val="en-US" w:eastAsia="en-US" w:bidi="en-US"/>
      </w:rPr>
    </w:lvl>
    <w:lvl w:ilvl="1">
      <w:start w:val="2"/>
      <w:numFmt w:val="decimal"/>
      <w:lvlText w:val="%1.%2"/>
      <w:lvlJc w:val="left"/>
      <w:pPr>
        <w:ind w:left="926" w:hanging="711"/>
        <w:jc w:val="left"/>
      </w:pPr>
      <w:rPr>
        <w:rFonts w:hint="default"/>
        <w:lang w:val="en-US" w:eastAsia="en-US" w:bidi="en-US"/>
      </w:rPr>
    </w:lvl>
    <w:lvl w:ilvl="2">
      <w:start w:val="1"/>
      <w:numFmt w:val="decimal"/>
      <w:lvlText w:val="%1.%2.%3."/>
      <w:lvlJc w:val="left"/>
      <w:pPr>
        <w:ind w:left="926" w:hanging="711"/>
        <w:jc w:val="left"/>
      </w:pPr>
      <w:rPr>
        <w:rFonts w:hint="default"/>
        <w:i/>
        <w:spacing w:val="-15"/>
        <w:w w:val="100"/>
        <w:lang w:val="en-US" w:eastAsia="en-US" w:bidi="en-US"/>
      </w:rPr>
    </w:lvl>
    <w:lvl w:ilvl="3">
      <w:numFmt w:val="bullet"/>
      <w:lvlText w:val="•"/>
      <w:lvlJc w:val="left"/>
      <w:pPr>
        <w:ind w:left="3494" w:hanging="711"/>
      </w:pPr>
      <w:rPr>
        <w:rFonts w:hint="default"/>
        <w:lang w:val="en-US" w:eastAsia="en-US" w:bidi="en-US"/>
      </w:rPr>
    </w:lvl>
    <w:lvl w:ilvl="4">
      <w:numFmt w:val="bullet"/>
      <w:lvlText w:val="•"/>
      <w:lvlJc w:val="left"/>
      <w:pPr>
        <w:ind w:left="4352" w:hanging="711"/>
      </w:pPr>
      <w:rPr>
        <w:rFonts w:hint="default"/>
        <w:lang w:val="en-US" w:eastAsia="en-US" w:bidi="en-US"/>
      </w:rPr>
    </w:lvl>
    <w:lvl w:ilvl="5">
      <w:numFmt w:val="bullet"/>
      <w:lvlText w:val="•"/>
      <w:lvlJc w:val="left"/>
      <w:pPr>
        <w:ind w:left="5210" w:hanging="711"/>
      </w:pPr>
      <w:rPr>
        <w:rFonts w:hint="default"/>
        <w:lang w:val="en-US" w:eastAsia="en-US" w:bidi="en-US"/>
      </w:rPr>
    </w:lvl>
    <w:lvl w:ilvl="6">
      <w:numFmt w:val="bullet"/>
      <w:lvlText w:val="•"/>
      <w:lvlJc w:val="left"/>
      <w:pPr>
        <w:ind w:left="6068" w:hanging="711"/>
      </w:pPr>
      <w:rPr>
        <w:rFonts w:hint="default"/>
        <w:lang w:val="en-US" w:eastAsia="en-US" w:bidi="en-US"/>
      </w:rPr>
    </w:lvl>
    <w:lvl w:ilvl="7">
      <w:numFmt w:val="bullet"/>
      <w:lvlText w:val="•"/>
      <w:lvlJc w:val="left"/>
      <w:pPr>
        <w:ind w:left="6926" w:hanging="711"/>
      </w:pPr>
      <w:rPr>
        <w:rFonts w:hint="default"/>
        <w:lang w:val="en-US" w:eastAsia="en-US" w:bidi="en-US"/>
      </w:rPr>
    </w:lvl>
    <w:lvl w:ilvl="8">
      <w:numFmt w:val="bullet"/>
      <w:lvlText w:val="•"/>
      <w:lvlJc w:val="left"/>
      <w:pPr>
        <w:ind w:left="7784" w:hanging="711"/>
      </w:pPr>
      <w:rPr>
        <w:rFonts w:hint="default"/>
        <w:lang w:val="en-US" w:eastAsia="en-US" w:bidi="en-US"/>
      </w:rPr>
    </w:lvl>
  </w:abstractNum>
  <w:abstractNum w:abstractNumId="6" w15:restartNumberingAfterBreak="0">
    <w:nsid w:val="582246D8"/>
    <w:multiLevelType w:val="hybridMultilevel"/>
    <w:tmpl w:val="03C01774"/>
    <w:lvl w:ilvl="0" w:tplc="20CED980">
      <w:numFmt w:val="bullet"/>
      <w:lvlText w:val=""/>
      <w:lvlJc w:val="left"/>
      <w:pPr>
        <w:ind w:left="575" w:hanging="360"/>
      </w:pPr>
      <w:rPr>
        <w:rFonts w:ascii="Symbol" w:eastAsia="Symbol" w:hAnsi="Symbol" w:cs="Symbol" w:hint="default"/>
        <w:w w:val="100"/>
        <w:sz w:val="22"/>
        <w:szCs w:val="22"/>
        <w:lang w:val="en-US" w:eastAsia="en-US" w:bidi="en-US"/>
      </w:rPr>
    </w:lvl>
    <w:lvl w:ilvl="1" w:tplc="865A99DC">
      <w:numFmt w:val="bullet"/>
      <w:lvlText w:val=""/>
      <w:lvlJc w:val="left"/>
      <w:pPr>
        <w:ind w:left="936" w:hanging="361"/>
      </w:pPr>
      <w:rPr>
        <w:rFonts w:ascii="Symbol" w:eastAsia="Symbol" w:hAnsi="Symbol" w:cs="Symbol" w:hint="default"/>
        <w:w w:val="100"/>
        <w:sz w:val="22"/>
        <w:szCs w:val="22"/>
        <w:lang w:val="en-US" w:eastAsia="en-US" w:bidi="en-US"/>
      </w:rPr>
    </w:lvl>
    <w:lvl w:ilvl="2" w:tplc="168E93C6">
      <w:numFmt w:val="bullet"/>
      <w:lvlText w:val="•"/>
      <w:lvlJc w:val="left"/>
      <w:pPr>
        <w:ind w:left="1891" w:hanging="361"/>
      </w:pPr>
      <w:rPr>
        <w:rFonts w:hint="default"/>
        <w:lang w:val="en-US" w:eastAsia="en-US" w:bidi="en-US"/>
      </w:rPr>
    </w:lvl>
    <w:lvl w:ilvl="3" w:tplc="775EED0A">
      <w:numFmt w:val="bullet"/>
      <w:lvlText w:val="•"/>
      <w:lvlJc w:val="left"/>
      <w:pPr>
        <w:ind w:left="2842" w:hanging="361"/>
      </w:pPr>
      <w:rPr>
        <w:rFonts w:hint="default"/>
        <w:lang w:val="en-US" w:eastAsia="en-US" w:bidi="en-US"/>
      </w:rPr>
    </w:lvl>
    <w:lvl w:ilvl="4" w:tplc="20CEDD1A">
      <w:numFmt w:val="bullet"/>
      <w:lvlText w:val="•"/>
      <w:lvlJc w:val="left"/>
      <w:pPr>
        <w:ind w:left="3793" w:hanging="361"/>
      </w:pPr>
      <w:rPr>
        <w:rFonts w:hint="default"/>
        <w:lang w:val="en-US" w:eastAsia="en-US" w:bidi="en-US"/>
      </w:rPr>
    </w:lvl>
    <w:lvl w:ilvl="5" w:tplc="D7E28972">
      <w:numFmt w:val="bullet"/>
      <w:lvlText w:val="•"/>
      <w:lvlJc w:val="left"/>
      <w:pPr>
        <w:ind w:left="4744" w:hanging="361"/>
      </w:pPr>
      <w:rPr>
        <w:rFonts w:hint="default"/>
        <w:lang w:val="en-US" w:eastAsia="en-US" w:bidi="en-US"/>
      </w:rPr>
    </w:lvl>
    <w:lvl w:ilvl="6" w:tplc="50EAB296">
      <w:numFmt w:val="bullet"/>
      <w:lvlText w:val="•"/>
      <w:lvlJc w:val="left"/>
      <w:pPr>
        <w:ind w:left="5695" w:hanging="361"/>
      </w:pPr>
      <w:rPr>
        <w:rFonts w:hint="default"/>
        <w:lang w:val="en-US" w:eastAsia="en-US" w:bidi="en-US"/>
      </w:rPr>
    </w:lvl>
    <w:lvl w:ilvl="7" w:tplc="DB2236FC">
      <w:numFmt w:val="bullet"/>
      <w:lvlText w:val="•"/>
      <w:lvlJc w:val="left"/>
      <w:pPr>
        <w:ind w:left="6646" w:hanging="361"/>
      </w:pPr>
      <w:rPr>
        <w:rFonts w:hint="default"/>
        <w:lang w:val="en-US" w:eastAsia="en-US" w:bidi="en-US"/>
      </w:rPr>
    </w:lvl>
    <w:lvl w:ilvl="8" w:tplc="E806EC52">
      <w:numFmt w:val="bullet"/>
      <w:lvlText w:val="•"/>
      <w:lvlJc w:val="left"/>
      <w:pPr>
        <w:ind w:left="7597" w:hanging="361"/>
      </w:pPr>
      <w:rPr>
        <w:rFonts w:hint="default"/>
        <w:lang w:val="en-US" w:eastAsia="en-US" w:bidi="en-US"/>
      </w:rPr>
    </w:lvl>
  </w:abstractNum>
  <w:abstractNum w:abstractNumId="7" w15:restartNumberingAfterBreak="0">
    <w:nsid w:val="6B4A4E3E"/>
    <w:multiLevelType w:val="multilevel"/>
    <w:tmpl w:val="71E24D1C"/>
    <w:lvl w:ilvl="0">
      <w:start w:val="1"/>
      <w:numFmt w:val="decimal"/>
      <w:lvlText w:val="%1."/>
      <w:lvlJc w:val="left"/>
      <w:pPr>
        <w:ind w:left="926" w:hanging="491"/>
        <w:jc w:val="left"/>
      </w:pPr>
      <w:rPr>
        <w:rFonts w:ascii="Calibri" w:eastAsia="Calibri" w:hAnsi="Calibri" w:cs="Calibri" w:hint="default"/>
        <w:spacing w:val="-2"/>
        <w:w w:val="100"/>
        <w:sz w:val="22"/>
        <w:szCs w:val="22"/>
        <w:lang w:val="en-US" w:eastAsia="en-US" w:bidi="en-US"/>
      </w:rPr>
    </w:lvl>
    <w:lvl w:ilvl="1">
      <w:start w:val="1"/>
      <w:numFmt w:val="decimal"/>
      <w:lvlText w:val="%1.%2"/>
      <w:lvlJc w:val="left"/>
      <w:pPr>
        <w:ind w:left="1176" w:hanging="520"/>
        <w:jc w:val="left"/>
      </w:pPr>
      <w:rPr>
        <w:rFonts w:ascii="Calibri" w:eastAsia="Calibri" w:hAnsi="Calibri" w:cs="Calibri" w:hint="default"/>
        <w:spacing w:val="-3"/>
        <w:w w:val="100"/>
        <w:sz w:val="22"/>
        <w:szCs w:val="22"/>
        <w:lang w:val="en-US" w:eastAsia="en-US" w:bidi="en-US"/>
      </w:rPr>
    </w:lvl>
    <w:lvl w:ilvl="2">
      <w:start w:val="1"/>
      <w:numFmt w:val="decimal"/>
      <w:lvlText w:val="%1.%2.%3."/>
      <w:lvlJc w:val="left"/>
      <w:pPr>
        <w:ind w:left="1656" w:hanging="780"/>
        <w:jc w:val="left"/>
      </w:pPr>
      <w:rPr>
        <w:rFonts w:ascii="Calibri" w:eastAsia="Calibri" w:hAnsi="Calibri" w:cs="Calibri" w:hint="default"/>
        <w:spacing w:val="-3"/>
        <w:w w:val="100"/>
        <w:sz w:val="22"/>
        <w:szCs w:val="22"/>
        <w:lang w:val="en-US" w:eastAsia="en-US" w:bidi="en-US"/>
      </w:rPr>
    </w:lvl>
    <w:lvl w:ilvl="3">
      <w:numFmt w:val="bullet"/>
      <w:lvlText w:val="•"/>
      <w:lvlJc w:val="left"/>
      <w:pPr>
        <w:ind w:left="2640" w:hanging="780"/>
      </w:pPr>
      <w:rPr>
        <w:rFonts w:hint="default"/>
        <w:lang w:val="en-US" w:eastAsia="en-US" w:bidi="en-US"/>
      </w:rPr>
    </w:lvl>
    <w:lvl w:ilvl="4">
      <w:numFmt w:val="bullet"/>
      <w:lvlText w:val="•"/>
      <w:lvlJc w:val="left"/>
      <w:pPr>
        <w:ind w:left="3620" w:hanging="780"/>
      </w:pPr>
      <w:rPr>
        <w:rFonts w:hint="default"/>
        <w:lang w:val="en-US" w:eastAsia="en-US" w:bidi="en-US"/>
      </w:rPr>
    </w:lvl>
    <w:lvl w:ilvl="5">
      <w:numFmt w:val="bullet"/>
      <w:lvlText w:val="•"/>
      <w:lvlJc w:val="left"/>
      <w:pPr>
        <w:ind w:left="4600" w:hanging="780"/>
      </w:pPr>
      <w:rPr>
        <w:rFonts w:hint="default"/>
        <w:lang w:val="en-US" w:eastAsia="en-US" w:bidi="en-US"/>
      </w:rPr>
    </w:lvl>
    <w:lvl w:ilvl="6">
      <w:numFmt w:val="bullet"/>
      <w:lvlText w:val="•"/>
      <w:lvlJc w:val="left"/>
      <w:pPr>
        <w:ind w:left="5580" w:hanging="780"/>
      </w:pPr>
      <w:rPr>
        <w:rFonts w:hint="default"/>
        <w:lang w:val="en-US" w:eastAsia="en-US" w:bidi="en-US"/>
      </w:rPr>
    </w:lvl>
    <w:lvl w:ilvl="7">
      <w:numFmt w:val="bullet"/>
      <w:lvlText w:val="•"/>
      <w:lvlJc w:val="left"/>
      <w:pPr>
        <w:ind w:left="6560" w:hanging="780"/>
      </w:pPr>
      <w:rPr>
        <w:rFonts w:hint="default"/>
        <w:lang w:val="en-US" w:eastAsia="en-US" w:bidi="en-US"/>
      </w:rPr>
    </w:lvl>
    <w:lvl w:ilvl="8">
      <w:numFmt w:val="bullet"/>
      <w:lvlText w:val="•"/>
      <w:lvlJc w:val="left"/>
      <w:pPr>
        <w:ind w:left="7540" w:hanging="780"/>
      </w:pPr>
      <w:rPr>
        <w:rFonts w:hint="default"/>
        <w:lang w:val="en-US" w:eastAsia="en-US" w:bidi="en-US"/>
      </w:rPr>
    </w:lvl>
  </w:abstractNum>
  <w:num w:numId="1" w16cid:durableId="721635846">
    <w:abstractNumId w:val="2"/>
  </w:num>
  <w:num w:numId="2" w16cid:durableId="1740010881">
    <w:abstractNumId w:val="1"/>
  </w:num>
  <w:num w:numId="3" w16cid:durableId="1824740728">
    <w:abstractNumId w:val="6"/>
  </w:num>
  <w:num w:numId="4" w16cid:durableId="971986950">
    <w:abstractNumId w:val="5"/>
  </w:num>
  <w:num w:numId="5" w16cid:durableId="1229269564">
    <w:abstractNumId w:val="3"/>
  </w:num>
  <w:num w:numId="6" w16cid:durableId="1869103315">
    <w:abstractNumId w:val="4"/>
  </w:num>
  <w:num w:numId="7" w16cid:durableId="29037793">
    <w:abstractNumId w:val="0"/>
  </w:num>
  <w:num w:numId="8" w16cid:durableId="125514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F76"/>
    <w:rsid w:val="000A0C36"/>
    <w:rsid w:val="00286BA1"/>
    <w:rsid w:val="00343E22"/>
    <w:rsid w:val="003476E0"/>
    <w:rsid w:val="00444DE4"/>
    <w:rsid w:val="00463F76"/>
    <w:rsid w:val="0077025E"/>
    <w:rsid w:val="00866F84"/>
    <w:rsid w:val="00904212"/>
    <w:rsid w:val="00C124D2"/>
    <w:rsid w:val="00D47761"/>
    <w:rsid w:val="00D83AAB"/>
    <w:rsid w:val="00EA6ADB"/>
    <w:rsid w:val="00EE74A2"/>
    <w:rsid w:val="00F64778"/>
    <w:rsid w:val="00FA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88AABD"/>
  <w15:docId w15:val="{E689CCE1-53CB-482D-A67F-9D6F63B8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76"/>
      <w:ind w:left="215"/>
      <w:outlineLvl w:val="0"/>
    </w:pPr>
    <w:rPr>
      <w:sz w:val="32"/>
      <w:szCs w:val="32"/>
    </w:rPr>
  </w:style>
  <w:style w:type="paragraph" w:styleId="Heading2">
    <w:name w:val="heading 2"/>
    <w:basedOn w:val="Normal"/>
    <w:uiPriority w:val="1"/>
    <w:qFormat/>
    <w:pPr>
      <w:ind w:left="781" w:hanging="566"/>
      <w:jc w:val="both"/>
      <w:outlineLvl w:val="1"/>
    </w:pPr>
    <w:rPr>
      <w:sz w:val="26"/>
      <w:szCs w:val="26"/>
    </w:rPr>
  </w:style>
  <w:style w:type="paragraph" w:styleId="Heading3">
    <w:name w:val="heading 3"/>
    <w:basedOn w:val="Normal"/>
    <w:uiPriority w:val="1"/>
    <w:qFormat/>
    <w:pPr>
      <w:ind w:left="21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2"/>
      <w:ind w:left="926" w:hanging="491"/>
    </w:pPr>
  </w:style>
  <w:style w:type="paragraph" w:styleId="TOC2">
    <w:name w:val="toc 2"/>
    <w:basedOn w:val="Normal"/>
    <w:uiPriority w:val="1"/>
    <w:qFormat/>
    <w:pPr>
      <w:spacing w:before="101"/>
      <w:ind w:left="1416" w:hanging="760"/>
    </w:pPr>
  </w:style>
  <w:style w:type="paragraph" w:styleId="TOC3">
    <w:name w:val="toc 3"/>
    <w:basedOn w:val="Normal"/>
    <w:uiPriority w:val="1"/>
    <w:qFormat/>
    <w:pPr>
      <w:spacing w:before="101"/>
      <w:ind w:left="1896" w:hanging="1020"/>
    </w:pPr>
  </w:style>
  <w:style w:type="paragraph" w:styleId="BodyText">
    <w:name w:val="Body Text"/>
    <w:basedOn w:val="Normal"/>
    <w:uiPriority w:val="1"/>
    <w:qFormat/>
  </w:style>
  <w:style w:type="paragraph" w:styleId="ListParagraph">
    <w:name w:val="List Paragraph"/>
    <w:basedOn w:val="Normal"/>
    <w:uiPriority w:val="1"/>
    <w:qFormat/>
    <w:pPr>
      <w:ind w:left="936" w:hanging="361"/>
    </w:pPr>
  </w:style>
  <w:style w:type="paragraph" w:customStyle="1" w:styleId="TableParagraph">
    <w:name w:val="Table Paragraph"/>
    <w:basedOn w:val="Normal"/>
    <w:uiPriority w:val="1"/>
    <w:qFormat/>
    <w:pPr>
      <w:spacing w:line="249" w:lineRule="exact"/>
      <w:ind w:left="350"/>
    </w:pPr>
  </w:style>
  <w:style w:type="paragraph" w:styleId="Header">
    <w:name w:val="header"/>
    <w:basedOn w:val="Normal"/>
    <w:link w:val="HeaderChar"/>
    <w:uiPriority w:val="99"/>
    <w:unhideWhenUsed/>
    <w:rsid w:val="00866F84"/>
    <w:pPr>
      <w:tabs>
        <w:tab w:val="center" w:pos="4680"/>
        <w:tab w:val="right" w:pos="9360"/>
      </w:tabs>
    </w:pPr>
  </w:style>
  <w:style w:type="character" w:customStyle="1" w:styleId="HeaderChar">
    <w:name w:val="Header Char"/>
    <w:basedOn w:val="DefaultParagraphFont"/>
    <w:link w:val="Header"/>
    <w:uiPriority w:val="99"/>
    <w:rsid w:val="00866F84"/>
    <w:rPr>
      <w:rFonts w:ascii="Calibri" w:eastAsia="Calibri" w:hAnsi="Calibri" w:cs="Calibri"/>
      <w:lang w:bidi="en-US"/>
    </w:rPr>
  </w:style>
  <w:style w:type="paragraph" w:styleId="Footer">
    <w:name w:val="footer"/>
    <w:basedOn w:val="Normal"/>
    <w:link w:val="FooterChar"/>
    <w:uiPriority w:val="99"/>
    <w:unhideWhenUsed/>
    <w:rsid w:val="00866F84"/>
    <w:pPr>
      <w:tabs>
        <w:tab w:val="center" w:pos="4680"/>
        <w:tab w:val="right" w:pos="9360"/>
      </w:tabs>
    </w:pPr>
  </w:style>
  <w:style w:type="character" w:customStyle="1" w:styleId="FooterChar">
    <w:name w:val="Footer Char"/>
    <w:basedOn w:val="DefaultParagraphFont"/>
    <w:link w:val="Footer"/>
    <w:uiPriority w:val="99"/>
    <w:rsid w:val="00866F84"/>
    <w:rPr>
      <w:rFonts w:ascii="Calibri" w:eastAsia="Calibri" w:hAnsi="Calibri" w:cs="Calibri"/>
      <w:lang w:bidi="en-US"/>
    </w:rPr>
  </w:style>
  <w:style w:type="character" w:styleId="PlaceholderText">
    <w:name w:val="Placeholder Text"/>
    <w:basedOn w:val="DefaultParagraphFont"/>
    <w:uiPriority w:val="99"/>
    <w:semiHidden/>
    <w:rsid w:val="00866F84"/>
    <w:rPr>
      <w:color w:val="808080"/>
    </w:rPr>
  </w:style>
  <w:style w:type="character" w:styleId="Hyperlink">
    <w:name w:val="Hyperlink"/>
    <w:basedOn w:val="DefaultParagraphFont"/>
    <w:uiPriority w:val="99"/>
    <w:unhideWhenUsed/>
    <w:rsid w:val="00904212"/>
    <w:rPr>
      <w:color w:val="0000FF" w:themeColor="hyperlink"/>
      <w:u w:val="single"/>
    </w:rPr>
  </w:style>
  <w:style w:type="character" w:styleId="UnresolvedMention">
    <w:name w:val="Unresolved Mention"/>
    <w:basedOn w:val="DefaultParagraphFont"/>
    <w:uiPriority w:val="99"/>
    <w:semiHidden/>
    <w:unhideWhenUsed/>
    <w:rsid w:val="00904212"/>
    <w:rPr>
      <w:color w:val="605E5C"/>
      <w:shd w:val="clear" w:color="auto" w:fill="E1DFDD"/>
    </w:rPr>
  </w:style>
  <w:style w:type="character" w:styleId="FollowedHyperlink">
    <w:name w:val="FollowedHyperlink"/>
    <w:basedOn w:val="DefaultParagraphFont"/>
    <w:uiPriority w:val="99"/>
    <w:semiHidden/>
    <w:unhideWhenUsed/>
    <w:rsid w:val="003476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who.int/neglected_diseases/vector_ecology/pesticide-specifications/newspecif/en/"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who.int/globalchange/publications/en/" TargetMode="External"/><Relationship Id="rId2" Type="http://schemas.openxmlformats.org/officeDocument/2006/relationships/customXml" Target="../customXml/item2.xml"/><Relationship Id="rId16" Type="http://schemas.openxmlformats.org/officeDocument/2006/relationships/hyperlink" Target="https://www.who.int/neglected_diseases/vector_ecology/pesticide-specifications/newspecif/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ho.int/selection_medicines/list/en/" TargetMode="External"/><Relationship Id="rId10" Type="http://schemas.openxmlformats.org/officeDocument/2006/relationships/footnotes" Target="footnotes.xml"/><Relationship Id="rId19" Type="http://schemas.openxmlformats.org/officeDocument/2006/relationships/hyperlink" Target="http://158.232.12.119/entity/malaria/publications/atoz/who-recommendation-managing-old-llins-mar2014.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ategicplan.undp.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5BD0AE5A6E45A1A821E37FBBCC2B09"/>
        <w:category>
          <w:name w:val="General"/>
          <w:gallery w:val="placeholder"/>
        </w:category>
        <w:types>
          <w:type w:val="bbPlcHdr"/>
        </w:types>
        <w:behaviors>
          <w:behavior w:val="content"/>
        </w:behaviors>
        <w:guid w:val="{8D25C51C-0E90-4B31-8E95-4716A4D3B818}"/>
      </w:docPartPr>
      <w:docPartBody>
        <w:p w:rsidR="00E57EF2" w:rsidRDefault="00460180">
          <w:r w:rsidRPr="005636E5">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80"/>
    <w:rsid w:val="00460180"/>
    <w:rsid w:val="00E5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18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1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02/07/2018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2018-07-01T22:00:00+00:00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UNDP Quality Assurance Policy for Health Products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POPP-11-2977</_dlc_DocId>
    <_dlc_DocIdUrl xmlns="8264c5cc-ec60-4b56-8111-ce635d3d139a">
      <Url>https://popp.undp.org/_layouts/15/DocIdRedir.aspx?ID=POPP-11-2977</Url>
      <Description>POPP-11-2977</Description>
    </_dlc_DocIdUrl>
    <DLCPolicyLabelValue xmlns="e560140e-7b2f-4392-90df-e7567e3021a3">Effective Date: 02/07/2018                                                Version #: 1</DLCPolicyLabelValue>
    <POPPIsArchived xmlns="e560140e-7b2f-4392-90df-e7567e3021a3">false</POPPIsArchived>
  </documentManagement>
</p:properties>
</file>

<file path=customXml/itemProps1.xml><?xml version="1.0" encoding="utf-8"?>
<ds:datastoreItem xmlns:ds="http://schemas.openxmlformats.org/officeDocument/2006/customXml" ds:itemID="{D6D39B9F-88DF-44DF-A6B4-5AB2CCE2B567}">
  <ds:schemaRefs>
    <ds:schemaRef ds:uri="http://schemas.microsoft.com/sharepoint/events"/>
  </ds:schemaRefs>
</ds:datastoreItem>
</file>

<file path=customXml/itemProps2.xml><?xml version="1.0" encoding="utf-8"?>
<ds:datastoreItem xmlns:ds="http://schemas.openxmlformats.org/officeDocument/2006/customXml" ds:itemID="{A0470E9F-0ED5-48C2-A42A-67A8D0863BB3}">
  <ds:schemaRefs>
    <ds:schemaRef ds:uri="office.server.policy"/>
  </ds:schemaRefs>
</ds:datastoreItem>
</file>

<file path=customXml/itemProps3.xml><?xml version="1.0" encoding="utf-8"?>
<ds:datastoreItem xmlns:ds="http://schemas.openxmlformats.org/officeDocument/2006/customXml" ds:itemID="{401557F0-63F0-467D-89D3-DEB43908D72D}">
  <ds:schemaRefs>
    <ds:schemaRef ds:uri="http://schemas.microsoft.com/sharepoint/v3/contenttype/forms"/>
  </ds:schemaRefs>
</ds:datastoreItem>
</file>

<file path=customXml/itemProps4.xml><?xml version="1.0" encoding="utf-8"?>
<ds:datastoreItem xmlns:ds="http://schemas.openxmlformats.org/officeDocument/2006/customXml" ds:itemID="{AC625807-A986-4A76-82B6-CE9934E31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228CF3-8E68-48AB-9932-7D1EA4B1BEC5}">
  <ds:schemaRefs>
    <ds:schemaRef ds:uri="http://purl.org/dc/terms/"/>
    <ds:schemaRef ds:uri="http://purl.org/dc/elements/1.1/"/>
    <ds:schemaRef ds:uri="8264c5cc-ec60-4b56-8111-ce635d3d139a"/>
    <ds:schemaRef ds:uri="http://schemas.microsoft.com/sharepoint/v3"/>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e560140e-7b2f-4392-90df-e7567e3021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3727</Words>
  <Characters>21246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CAUDRON Jean Michel</dc:creator>
  <cp:lastModifiedBy>Pablo Morete</cp:lastModifiedBy>
  <cp:revision>15</cp:revision>
  <dcterms:created xsi:type="dcterms:W3CDTF">2019-03-07T17:17:00Z</dcterms:created>
  <dcterms:modified xsi:type="dcterms:W3CDTF">2022-10-07T15:14:00Z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vt:lpwstr>
  </property>
  <property fmtid="{D5CDD505-2E9C-101B-9397-08002B2CF9AE}" pid="4" name="LastSaved">
    <vt:filetime>2019-03-07T00:00:00Z</vt:filetime>
  </property>
  <property fmtid="{D5CDD505-2E9C-101B-9397-08002B2CF9AE}" pid="5" name="ContentTypeId">
    <vt:lpwstr>0x01010061FF32BFFC2B4E50A3A86F4682D7D367007687F3382310C0489D2A99E053BA6D39</vt:lpwstr>
  </property>
  <property fmtid="{D5CDD505-2E9C-101B-9397-08002B2CF9AE}" pid="6" name="_dlc_DocIdItemGuid">
    <vt:lpwstr>d74d18b2-75fc-4ecd-93f3-3d7ddcf3689d</vt:lpwstr>
  </property>
  <property fmtid="{D5CDD505-2E9C-101B-9397-08002B2CF9AE}" pid="7" name="POPPBusinessProcess">
    <vt:lpwstr/>
  </property>
  <property fmtid="{D5CDD505-2E9C-101B-9397-08002B2CF9AE}" pid="8" name="UNDP_POPP_BUSINESSUNIT">
    <vt:lpwstr>355;#Procurement|254a9f96-b883-476a-8ef8-e81f93a2b38d</vt:lpwstr>
  </property>
</Properties>
</file>