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6D5B6" w14:textId="3CB1F5C8" w:rsidR="00CC6B88" w:rsidRPr="00231ED6" w:rsidRDefault="00D535B4" w:rsidP="00CC6B88">
      <w:pPr>
        <w:jc w:val="both"/>
        <w:rPr>
          <w:rFonts w:asciiTheme="minorHAnsi" w:hAnsiTheme="minorHAnsi" w:cs="Arial"/>
          <w:b/>
          <w:bCs/>
          <w:sz w:val="28"/>
          <w:szCs w:val="28"/>
        </w:rPr>
      </w:pPr>
      <w:r>
        <w:rPr>
          <w:rFonts w:asciiTheme="minorHAnsi" w:hAnsiTheme="minorHAnsi" w:cs="Arial"/>
          <w:b/>
          <w:bCs/>
          <w:sz w:val="28"/>
          <w:szCs w:val="28"/>
        </w:rPr>
        <w:t>Foundations</w:t>
      </w:r>
      <w:r w:rsidR="00CC6B88" w:rsidRPr="00231ED6">
        <w:rPr>
          <w:rFonts w:asciiTheme="minorHAnsi" w:hAnsiTheme="minorHAnsi" w:cs="Arial"/>
          <w:b/>
          <w:bCs/>
          <w:sz w:val="28"/>
          <w:szCs w:val="28"/>
        </w:rPr>
        <w:t xml:space="preserve"> </w:t>
      </w:r>
    </w:p>
    <w:p w14:paraId="1EF82E64" w14:textId="77777777" w:rsidR="006E7043" w:rsidRDefault="00CC6B88" w:rsidP="006E7043">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sidRPr="00231ED6">
        <w:rPr>
          <w:rFonts w:asciiTheme="minorHAnsi" w:hAnsiTheme="minorHAnsi" w:cs="Arial"/>
          <w:sz w:val="22"/>
          <w:szCs w:val="22"/>
        </w:rPr>
        <w:t>The definition of foundation may vary according to national laws. UNDP uses the following definition:</w:t>
      </w:r>
    </w:p>
    <w:p w14:paraId="30D63B7F" w14:textId="77777777" w:rsidR="006E7043" w:rsidRDefault="006E7043" w:rsidP="006E7043">
      <w:pPr>
        <w:pStyle w:val="ListParagraph"/>
        <w:shd w:val="clear" w:color="auto" w:fill="FFFFFF"/>
        <w:spacing w:before="100" w:beforeAutospacing="1" w:after="100" w:afterAutospacing="1" w:line="240" w:lineRule="atLeast"/>
        <w:jc w:val="both"/>
        <w:textAlignment w:val="top"/>
        <w:rPr>
          <w:rFonts w:asciiTheme="minorHAnsi" w:hAnsiTheme="minorHAnsi" w:cs="Arial"/>
          <w:sz w:val="22"/>
          <w:szCs w:val="22"/>
        </w:rPr>
      </w:pPr>
    </w:p>
    <w:p w14:paraId="2DE6D5B9" w14:textId="139406D1" w:rsidR="00CC6B88" w:rsidRPr="006E7043" w:rsidRDefault="00CC6B88" w:rsidP="006E7043">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sidRPr="006E7043">
        <w:rPr>
          <w:rFonts w:asciiTheme="minorHAnsi" w:hAnsiTheme="minorHAnsi"/>
          <w:sz w:val="22"/>
          <w:szCs w:val="22"/>
        </w:rPr>
        <w:t xml:space="preserve">Foundations include non-for-profit institutions with the stated purpose and delineated source of income that provide grants or run programs. Sources of foundations’ assets include endowments, earned income, combination of public and private fundraising, trusts, family donations, community donations, </w:t>
      </w:r>
      <w:r w:rsidR="00075B45" w:rsidRPr="006E7043">
        <w:rPr>
          <w:rFonts w:asciiTheme="minorHAnsi" w:hAnsiTheme="minorHAnsi"/>
          <w:sz w:val="22"/>
          <w:szCs w:val="22"/>
        </w:rPr>
        <w:t xml:space="preserve">and </w:t>
      </w:r>
      <w:r w:rsidRPr="006E7043">
        <w:rPr>
          <w:rFonts w:asciiTheme="minorHAnsi" w:hAnsiTheme="minorHAnsi"/>
          <w:sz w:val="22"/>
          <w:szCs w:val="22"/>
        </w:rPr>
        <w:t xml:space="preserve">religious, corporate and other emerging sources like crowdsourcing. Other avenues for philanthropic giving include: donor-advised funds, direct giving, high-net-worth individuals, giving circles and others. </w:t>
      </w:r>
    </w:p>
    <w:p w14:paraId="2DE6D5BA" w14:textId="77777777" w:rsidR="00CC6B88" w:rsidRPr="00724704" w:rsidRDefault="00CC6B88" w:rsidP="00724704">
      <w:pPr>
        <w:pStyle w:val="ListParagraph"/>
        <w:ind w:left="360"/>
        <w:jc w:val="both"/>
        <w:rPr>
          <w:rFonts w:asciiTheme="minorHAnsi" w:hAnsiTheme="minorHAnsi"/>
          <w:sz w:val="22"/>
        </w:rPr>
      </w:pPr>
    </w:p>
    <w:p w14:paraId="2DE6D5BD" w14:textId="77777777" w:rsidR="00060AF0" w:rsidRPr="00231ED6" w:rsidRDefault="00CC6B88" w:rsidP="00724704">
      <w:pPr>
        <w:pStyle w:val="ListParagraph"/>
        <w:numPr>
          <w:ilvl w:val="0"/>
          <w:numId w:val="3"/>
        </w:numPr>
        <w:jc w:val="both"/>
        <w:rPr>
          <w:rFonts w:asciiTheme="minorHAnsi" w:hAnsiTheme="minorHAnsi" w:cs="Arial"/>
          <w:sz w:val="22"/>
          <w:szCs w:val="22"/>
        </w:rPr>
      </w:pPr>
      <w:r w:rsidRPr="00231ED6">
        <w:rPr>
          <w:rFonts w:asciiTheme="minorHAnsi" w:hAnsiTheme="minorHAnsi" w:cs="Arial"/>
          <w:sz w:val="22"/>
          <w:szCs w:val="22"/>
        </w:rPr>
        <w:t>Recognizing the growing role of foundations in development, UNDP approaches its relationships with foundations beyond resource mobilization and focuses on developing partnerships. Generally, four types of collaborations can be outlined as the following: </w:t>
      </w:r>
    </w:p>
    <w:p w14:paraId="2DE6D5BE" w14:textId="77777777" w:rsidR="00060AF0" w:rsidRPr="00231ED6" w:rsidRDefault="00060AF0" w:rsidP="00724704">
      <w:pPr>
        <w:pStyle w:val="ListParagraph"/>
        <w:ind w:left="360"/>
        <w:jc w:val="both"/>
        <w:rPr>
          <w:rFonts w:asciiTheme="minorHAnsi" w:hAnsiTheme="minorHAnsi" w:cs="Arial"/>
          <w:sz w:val="22"/>
          <w:szCs w:val="22"/>
        </w:rPr>
      </w:pPr>
    </w:p>
    <w:p w14:paraId="403D96A1" w14:textId="77777777" w:rsidR="006E7043" w:rsidRDefault="00CC6B88" w:rsidP="006E7043">
      <w:pPr>
        <w:pStyle w:val="ListParagraph"/>
        <w:numPr>
          <w:ilvl w:val="0"/>
          <w:numId w:val="3"/>
        </w:numPr>
        <w:jc w:val="both"/>
        <w:rPr>
          <w:rFonts w:asciiTheme="minorHAnsi" w:hAnsiTheme="minorHAnsi" w:cs="Arial"/>
          <w:sz w:val="22"/>
          <w:szCs w:val="22"/>
        </w:rPr>
      </w:pPr>
      <w:r w:rsidRPr="00231ED6">
        <w:rPr>
          <w:rFonts w:asciiTheme="minorHAnsi" w:hAnsiTheme="minorHAnsi" w:cs="Arial"/>
          <w:sz w:val="22"/>
          <w:szCs w:val="22"/>
        </w:rPr>
        <w:t>Establishing and cultivating a network of contacts within the foundations community to share knowledge and expertise as well as to conduct joint advocacy efforts. In such instances, UNDP recognizes that foundations often offer a wealth of information in specific areas such as governance, environment or HIV/AIDS. Consequently, UNDP works with them to utilize their expertise and knowledge capacities. Such partnerships have significant potential to enhance the quality and scope of UNDP programmes. </w:t>
      </w:r>
    </w:p>
    <w:p w14:paraId="7DDFCA25" w14:textId="77777777" w:rsidR="006E7043" w:rsidRPr="006E7043" w:rsidRDefault="006E7043" w:rsidP="006E7043">
      <w:pPr>
        <w:pStyle w:val="ListParagraph"/>
        <w:rPr>
          <w:rFonts w:asciiTheme="minorHAnsi" w:hAnsiTheme="minorHAnsi" w:cs="Arial"/>
          <w:sz w:val="22"/>
          <w:szCs w:val="22"/>
        </w:rPr>
      </w:pPr>
    </w:p>
    <w:p w14:paraId="110704CC" w14:textId="5F1B955A" w:rsidR="00DB1916" w:rsidRPr="006E7043" w:rsidRDefault="00CC6B88" w:rsidP="006E7043">
      <w:pPr>
        <w:pStyle w:val="ListParagraph"/>
        <w:numPr>
          <w:ilvl w:val="0"/>
          <w:numId w:val="3"/>
        </w:numPr>
        <w:jc w:val="both"/>
        <w:rPr>
          <w:rFonts w:asciiTheme="minorHAnsi" w:hAnsiTheme="minorHAnsi" w:cs="Arial"/>
          <w:sz w:val="22"/>
          <w:szCs w:val="22"/>
        </w:rPr>
      </w:pPr>
      <w:r w:rsidRPr="006E7043">
        <w:rPr>
          <w:rFonts w:asciiTheme="minorHAnsi" w:hAnsiTheme="minorHAnsi" w:cs="Arial"/>
          <w:sz w:val="22"/>
          <w:szCs w:val="22"/>
        </w:rPr>
        <w:t xml:space="preserve">A “donor-grantee” relationship, whereby foundations award grants to UNDP in support of specific UNDP projects that fit shared priorities. </w:t>
      </w:r>
    </w:p>
    <w:p w14:paraId="554FB6D0" w14:textId="77777777" w:rsidR="00DB1916" w:rsidRPr="00DB1916" w:rsidRDefault="00DB1916" w:rsidP="00DB1916">
      <w:pPr>
        <w:pStyle w:val="ListParagraph"/>
        <w:rPr>
          <w:rFonts w:asciiTheme="minorHAnsi" w:hAnsiTheme="minorHAnsi" w:cs="Arial"/>
          <w:sz w:val="22"/>
          <w:szCs w:val="22"/>
        </w:rPr>
      </w:pPr>
    </w:p>
    <w:p w14:paraId="2DE6D5C1" w14:textId="77777777" w:rsidR="00060AF0" w:rsidRPr="00231ED6" w:rsidRDefault="00CC6B88" w:rsidP="00724704">
      <w:pPr>
        <w:pStyle w:val="ListParagraph"/>
        <w:numPr>
          <w:ilvl w:val="0"/>
          <w:numId w:val="3"/>
        </w:numPr>
        <w:jc w:val="both"/>
        <w:rPr>
          <w:rFonts w:asciiTheme="minorHAnsi" w:hAnsiTheme="minorHAnsi" w:cs="Arial"/>
          <w:sz w:val="22"/>
          <w:szCs w:val="22"/>
        </w:rPr>
      </w:pPr>
      <w:r w:rsidRPr="00231ED6">
        <w:rPr>
          <w:rFonts w:asciiTheme="minorHAnsi" w:hAnsiTheme="minorHAnsi" w:cs="Arial"/>
          <w:sz w:val="22"/>
          <w:szCs w:val="22"/>
        </w:rPr>
        <w:t>Co-defining interventions and parallel funding.  A foundation and UNDP co-define common goals and agree on parallel funding of activities. This is a rare type where a foundation is interested in leveraging its own knowledge/networks as well as financing for agreed and shared priority</w:t>
      </w:r>
      <w:r w:rsidR="00FE3113">
        <w:rPr>
          <w:rFonts w:asciiTheme="minorHAnsi" w:hAnsiTheme="minorHAnsi" w:cs="Arial"/>
          <w:sz w:val="22"/>
          <w:szCs w:val="22"/>
        </w:rPr>
        <w:t>/ies</w:t>
      </w:r>
      <w:r w:rsidRPr="00231ED6">
        <w:rPr>
          <w:rFonts w:asciiTheme="minorHAnsi" w:hAnsiTheme="minorHAnsi" w:cs="Arial"/>
          <w:sz w:val="22"/>
          <w:szCs w:val="22"/>
        </w:rPr>
        <w:t>. This modality has a potential for the SDGs provided that foundations align themselves with national and subnational development agendas, use the SDG framework for planning and monitoring, and there are established accountability mechanisms tracking the contribution of partners to the joint outcomes.</w:t>
      </w:r>
    </w:p>
    <w:p w14:paraId="2DE6D5C2" w14:textId="77777777" w:rsidR="00060AF0" w:rsidRPr="00231ED6" w:rsidRDefault="00060AF0" w:rsidP="00724704">
      <w:pPr>
        <w:pStyle w:val="ListParagraph"/>
        <w:rPr>
          <w:rFonts w:asciiTheme="minorHAnsi" w:hAnsiTheme="minorHAnsi" w:cs="Arial"/>
          <w:sz w:val="22"/>
          <w:szCs w:val="22"/>
        </w:rPr>
      </w:pPr>
    </w:p>
    <w:p w14:paraId="2DE6D5C3" w14:textId="77777777" w:rsidR="00CC6B88" w:rsidRPr="00231ED6" w:rsidRDefault="00CC6B88" w:rsidP="00724704">
      <w:pPr>
        <w:pStyle w:val="ListParagraph"/>
        <w:numPr>
          <w:ilvl w:val="0"/>
          <w:numId w:val="3"/>
        </w:numPr>
        <w:jc w:val="both"/>
        <w:rPr>
          <w:rFonts w:asciiTheme="minorHAnsi" w:hAnsiTheme="minorHAnsi" w:cs="Arial"/>
          <w:sz w:val="22"/>
          <w:szCs w:val="22"/>
        </w:rPr>
      </w:pPr>
      <w:r w:rsidRPr="00231ED6">
        <w:rPr>
          <w:rFonts w:asciiTheme="minorHAnsi" w:hAnsiTheme="minorHAnsi" w:cs="Arial"/>
          <w:sz w:val="22"/>
          <w:szCs w:val="22"/>
        </w:rPr>
        <w:t>Supporting capacity development of community based foundations. Refer to relevant </w:t>
      </w:r>
      <w:hyperlink r:id="rId13" w:anchor="top" w:history="1">
        <w:r w:rsidRPr="00231ED6">
          <w:rPr>
            <w:rFonts w:asciiTheme="minorHAnsi" w:hAnsiTheme="minorHAnsi" w:cs="Arial"/>
            <w:sz w:val="22"/>
            <w:szCs w:val="22"/>
          </w:rPr>
          <w:t>CSOs engagement procedures from POPP</w:t>
        </w:r>
      </w:hyperlink>
      <w:r w:rsidRPr="00231ED6">
        <w:rPr>
          <w:rFonts w:asciiTheme="minorHAnsi" w:hAnsiTheme="minorHAnsi" w:cs="Arial"/>
          <w:sz w:val="22"/>
          <w:szCs w:val="22"/>
        </w:rPr>
        <w:t>.</w:t>
      </w:r>
    </w:p>
    <w:p w14:paraId="6E2525F2" w14:textId="77777777" w:rsidR="00CE2200" w:rsidRPr="00CE2200" w:rsidRDefault="00CE2200" w:rsidP="00CE2200">
      <w:pPr>
        <w:pStyle w:val="ListParagraph"/>
        <w:rPr>
          <w:rFonts w:asciiTheme="minorHAnsi" w:hAnsiTheme="minorHAnsi" w:cs="Arial"/>
          <w:sz w:val="22"/>
          <w:szCs w:val="22"/>
        </w:rPr>
      </w:pPr>
    </w:p>
    <w:p w14:paraId="2DE6D5C5" w14:textId="77777777" w:rsidR="00CC6B88" w:rsidRPr="00231ED6" w:rsidRDefault="00CC6B88" w:rsidP="00060AF0">
      <w:pPr>
        <w:pStyle w:val="ListParagraph"/>
        <w:numPr>
          <w:ilvl w:val="0"/>
          <w:numId w:val="3"/>
        </w:numPr>
        <w:shd w:val="clear" w:color="auto" w:fill="FFFFFF"/>
        <w:spacing w:before="100" w:beforeAutospacing="1" w:after="100" w:afterAutospacing="1" w:line="240" w:lineRule="atLeast"/>
        <w:jc w:val="both"/>
        <w:textAlignment w:val="top"/>
        <w:rPr>
          <w:rFonts w:asciiTheme="minorHAnsi" w:hAnsiTheme="minorHAnsi" w:cs="Arial"/>
          <w:sz w:val="22"/>
          <w:szCs w:val="22"/>
        </w:rPr>
      </w:pPr>
      <w:r w:rsidRPr="00231ED6">
        <w:rPr>
          <w:rFonts w:asciiTheme="minorHAnsi" w:hAnsiTheme="minorHAnsi" w:cs="Arial"/>
          <w:sz w:val="22"/>
          <w:szCs w:val="22"/>
        </w:rPr>
        <w:t>There are two categories of foundations with which UNDP mainly forges partnerships: private foundations and public foundations.</w:t>
      </w:r>
    </w:p>
    <w:p w14:paraId="2DE6D5C6" w14:textId="77777777" w:rsidR="007B2147" w:rsidRPr="00231ED6" w:rsidRDefault="007B2147" w:rsidP="007B2147">
      <w:pPr>
        <w:pStyle w:val="ListParagraph"/>
        <w:shd w:val="clear" w:color="auto" w:fill="FFFFFF"/>
        <w:spacing w:before="100" w:beforeAutospacing="1" w:after="100" w:afterAutospacing="1" w:line="240" w:lineRule="atLeast"/>
        <w:jc w:val="both"/>
        <w:textAlignment w:val="top"/>
        <w:rPr>
          <w:rFonts w:asciiTheme="minorHAnsi" w:hAnsiTheme="minorHAnsi" w:cs="Arial"/>
          <w:sz w:val="22"/>
          <w:szCs w:val="22"/>
        </w:rPr>
      </w:pPr>
    </w:p>
    <w:p w14:paraId="2DE6D5C7" w14:textId="77777777" w:rsidR="00231ED6"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sidRPr="00231ED6">
        <w:rPr>
          <w:rFonts w:asciiTheme="minorHAnsi" w:hAnsiTheme="minorHAnsi" w:cs="Arial"/>
          <w:b/>
          <w:bCs/>
          <w:sz w:val="22"/>
          <w:szCs w:val="22"/>
        </w:rPr>
        <w:t>Private Foundations</w:t>
      </w:r>
      <w:r w:rsidRPr="00231ED6">
        <w:rPr>
          <w:rFonts w:asciiTheme="minorHAnsi" w:hAnsiTheme="minorHAnsi" w:cs="Arial"/>
          <w:sz w:val="22"/>
          <w:szCs w:val="22"/>
        </w:rPr>
        <w:t xml:space="preserve"> are non-governmental, non-profit grant-making organizations that receive funds/endowments from one source, generally an individual, a family or a corporation. Such foundations do not actively engage in fundraising or seek public financial support. They can award grants across many fields or limit support to just one or two. They can also operate locally, </w:t>
      </w:r>
      <w:r w:rsidRPr="00231ED6">
        <w:rPr>
          <w:rFonts w:asciiTheme="minorHAnsi" w:hAnsiTheme="minorHAnsi" w:cs="Arial"/>
          <w:sz w:val="22"/>
          <w:szCs w:val="22"/>
        </w:rPr>
        <w:lastRenderedPageBreak/>
        <w:t>nationally, or internationally. There are two distinct types of private foundations: independent and corporate foundations:</w:t>
      </w:r>
    </w:p>
    <w:p w14:paraId="2DE6D5C8" w14:textId="77777777" w:rsidR="00231ED6" w:rsidRPr="00231ED6" w:rsidRDefault="00231ED6" w:rsidP="00231ED6">
      <w:pPr>
        <w:pStyle w:val="ListParagraph"/>
        <w:rPr>
          <w:rFonts w:asciiTheme="minorHAnsi" w:hAnsiTheme="minorHAnsi" w:cs="Arial"/>
          <w:sz w:val="22"/>
          <w:szCs w:val="22"/>
        </w:rPr>
      </w:pPr>
    </w:p>
    <w:p w14:paraId="2DE6D5C9" w14:textId="77777777" w:rsidR="00231ED6"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sidRPr="00231ED6">
        <w:rPr>
          <w:rFonts w:asciiTheme="minorHAnsi" w:hAnsiTheme="minorHAnsi" w:cs="Arial"/>
          <w:sz w:val="22"/>
          <w:szCs w:val="22"/>
        </w:rPr>
        <w:t>Independent foundations are grant-making organizations established to aid specific charitable activities. Examples of such foundations are the </w:t>
      </w:r>
      <w:hyperlink r:id="rId14" w:history="1">
        <w:r w:rsidRPr="00231ED6">
          <w:rPr>
            <w:rFonts w:asciiTheme="minorHAnsi" w:hAnsiTheme="minorHAnsi" w:cs="Arial"/>
            <w:sz w:val="22"/>
            <w:szCs w:val="22"/>
          </w:rPr>
          <w:t>Bill &amp; Melinda Gates Foundation</w:t>
        </w:r>
      </w:hyperlink>
      <w:r w:rsidRPr="00231ED6">
        <w:rPr>
          <w:rFonts w:asciiTheme="minorHAnsi" w:hAnsiTheme="minorHAnsi" w:cs="Arial"/>
          <w:sz w:val="22"/>
          <w:szCs w:val="22"/>
        </w:rPr>
        <w:t>, the </w:t>
      </w:r>
      <w:hyperlink r:id="rId15" w:history="1">
        <w:r w:rsidRPr="00231ED6">
          <w:rPr>
            <w:rFonts w:asciiTheme="minorHAnsi" w:hAnsiTheme="minorHAnsi" w:cs="Arial"/>
            <w:sz w:val="22"/>
            <w:szCs w:val="22"/>
          </w:rPr>
          <w:t>Ford Foundation</w:t>
        </w:r>
      </w:hyperlink>
      <w:r w:rsidRPr="00231ED6">
        <w:rPr>
          <w:rFonts w:asciiTheme="minorHAnsi" w:hAnsiTheme="minorHAnsi" w:cs="Arial"/>
          <w:sz w:val="22"/>
          <w:szCs w:val="22"/>
        </w:rPr>
        <w:t> and the </w:t>
      </w:r>
      <w:hyperlink r:id="rId16" w:history="1">
        <w:r w:rsidRPr="00231ED6">
          <w:rPr>
            <w:rFonts w:asciiTheme="minorHAnsi" w:hAnsiTheme="minorHAnsi" w:cs="Arial"/>
            <w:sz w:val="22"/>
            <w:szCs w:val="22"/>
          </w:rPr>
          <w:t>Rockefeller Brothers Fund</w:t>
        </w:r>
      </w:hyperlink>
      <w:r w:rsidRPr="00231ED6">
        <w:rPr>
          <w:rFonts w:asciiTheme="minorHAnsi" w:hAnsiTheme="minorHAnsi" w:cs="Arial"/>
          <w:sz w:val="22"/>
          <w:szCs w:val="22"/>
        </w:rPr>
        <w:t>.</w:t>
      </w:r>
    </w:p>
    <w:p w14:paraId="2DE6D5CA" w14:textId="77777777" w:rsidR="00231ED6" w:rsidRPr="00231ED6" w:rsidRDefault="00231ED6" w:rsidP="00231ED6">
      <w:pPr>
        <w:pStyle w:val="ListParagraph"/>
        <w:rPr>
          <w:rFonts w:asciiTheme="minorHAnsi" w:hAnsiTheme="minorHAnsi" w:cs="Arial"/>
          <w:sz w:val="22"/>
          <w:szCs w:val="22"/>
        </w:rPr>
      </w:pPr>
    </w:p>
    <w:p w14:paraId="2DE6D5CB" w14:textId="77777777" w:rsidR="00CC6B88" w:rsidRPr="00231ED6" w:rsidRDefault="00CC6B88" w:rsidP="00231ED6">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sidRPr="00231ED6">
        <w:rPr>
          <w:rFonts w:asciiTheme="minorHAnsi" w:hAnsiTheme="minorHAnsi" w:cs="Arial"/>
          <w:sz w:val="22"/>
          <w:szCs w:val="22"/>
        </w:rPr>
        <w:t>Corporate foundations are independent grant-making organizations that have close ties to the corporation providing funds. Some companies have corporate direct giving programmes instead of foundations; some have both. Examples of such foundations are the </w:t>
      </w:r>
      <w:hyperlink r:id="rId17" w:history="1">
        <w:r w:rsidRPr="00231ED6">
          <w:rPr>
            <w:rFonts w:asciiTheme="minorHAnsi" w:hAnsiTheme="minorHAnsi" w:cs="Arial"/>
            <w:sz w:val="22"/>
            <w:szCs w:val="22"/>
          </w:rPr>
          <w:t>Coc​a-Cola Foundation​</w:t>
        </w:r>
      </w:hyperlink>
      <w:r w:rsidRPr="00231ED6">
        <w:rPr>
          <w:rFonts w:asciiTheme="minorHAnsi" w:hAnsiTheme="minorHAnsi" w:cs="Arial"/>
          <w:sz w:val="22"/>
          <w:szCs w:val="22"/>
        </w:rPr>
        <w:t> and the </w:t>
      </w:r>
      <w:hyperlink r:id="rId18" w:history="1">
        <w:r w:rsidRPr="00231ED6">
          <w:rPr>
            <w:rFonts w:asciiTheme="minorHAnsi" w:hAnsiTheme="minorHAnsi" w:cs="Arial"/>
            <w:sz w:val="22"/>
            <w:szCs w:val="22"/>
          </w:rPr>
          <w:t>Nike Fo​undation​</w:t>
        </w:r>
      </w:hyperlink>
      <w:r w:rsidRPr="00231ED6">
        <w:rPr>
          <w:rFonts w:asciiTheme="minorHAnsi" w:hAnsiTheme="minorHAnsi" w:cs="Arial"/>
          <w:sz w:val="22"/>
          <w:szCs w:val="22"/>
        </w:rPr>
        <w:t>.</w:t>
      </w:r>
    </w:p>
    <w:p w14:paraId="2DE6D5CC" w14:textId="77777777" w:rsidR="007B2147" w:rsidRPr="00231ED6" w:rsidRDefault="007B2147" w:rsidP="007B2147">
      <w:pPr>
        <w:pStyle w:val="ListParagraph"/>
        <w:shd w:val="clear" w:color="auto" w:fill="FFFFFF"/>
        <w:spacing w:before="100" w:beforeAutospacing="1" w:after="100" w:afterAutospacing="1"/>
        <w:ind w:left="1440"/>
        <w:jc w:val="both"/>
        <w:textAlignment w:val="top"/>
        <w:rPr>
          <w:rFonts w:asciiTheme="minorHAnsi" w:hAnsiTheme="minorHAnsi" w:cs="Arial"/>
          <w:sz w:val="22"/>
          <w:szCs w:val="22"/>
        </w:rPr>
      </w:pPr>
    </w:p>
    <w:p w14:paraId="2DE6D5CD" w14:textId="77777777" w:rsidR="00CC6B88" w:rsidRPr="00231ED6" w:rsidRDefault="00CC6B88" w:rsidP="007B2147">
      <w:pPr>
        <w:pStyle w:val="ListParagraph"/>
        <w:numPr>
          <w:ilvl w:val="0"/>
          <w:numId w:val="3"/>
        </w:numPr>
        <w:shd w:val="clear" w:color="auto" w:fill="FFFFFF"/>
        <w:spacing w:beforeAutospacing="1" w:after="100" w:afterAutospacing="1"/>
        <w:jc w:val="both"/>
        <w:textAlignment w:val="top"/>
        <w:rPr>
          <w:rFonts w:asciiTheme="minorHAnsi" w:hAnsiTheme="minorHAnsi" w:cs="Arial"/>
          <w:sz w:val="22"/>
          <w:szCs w:val="22"/>
        </w:rPr>
      </w:pPr>
      <w:r w:rsidRPr="00231ED6">
        <w:rPr>
          <w:rFonts w:asciiTheme="minorHAnsi" w:hAnsiTheme="minorHAnsi" w:cs="Arial"/>
          <w:b/>
          <w:bCs/>
          <w:sz w:val="22"/>
          <w:szCs w:val="22"/>
        </w:rPr>
        <w:t>Public Foundations</w:t>
      </w:r>
      <w:r w:rsidRPr="00231ED6">
        <w:rPr>
          <w:rFonts w:asciiTheme="minorHAnsi" w:hAnsiTheme="minorHAnsi" w:cs="Arial"/>
          <w:sz w:val="22"/>
          <w:szCs w:val="22"/>
        </w:rPr>
        <w:t> often make grants to other nonprofit groups. Rather than being supported by a single source (individual, family, corporation), public foundations raise funds from many sources to support their grant-making activities. Examples of such foundations are the </w:t>
      </w:r>
      <w:hyperlink r:id="rId19" w:history="1">
        <w:r w:rsidRPr="00231ED6">
          <w:rPr>
            <w:rFonts w:asciiTheme="minorHAnsi" w:hAnsiTheme="minorHAnsi" w:cs="Arial"/>
            <w:sz w:val="22"/>
            <w:szCs w:val="22"/>
          </w:rPr>
          <w:t>UN Foundation</w:t>
        </w:r>
      </w:hyperlink>
      <w:r w:rsidRPr="00231ED6">
        <w:rPr>
          <w:rFonts w:asciiTheme="minorHAnsi" w:hAnsiTheme="minorHAnsi" w:cs="Arial"/>
          <w:sz w:val="22"/>
          <w:szCs w:val="22"/>
        </w:rPr>
        <w:t> and the </w:t>
      </w:r>
      <w:hyperlink r:id="rId20" w:history="1">
        <w:r w:rsidRPr="00231ED6">
          <w:rPr>
            <w:rFonts w:asciiTheme="minorHAnsi" w:hAnsiTheme="minorHAnsi" w:cs="Arial"/>
            <w:sz w:val="22"/>
            <w:szCs w:val="22"/>
          </w:rPr>
          <w:t>Charities Aid Foundation</w:t>
        </w:r>
      </w:hyperlink>
      <w:r w:rsidRPr="00231ED6">
        <w:rPr>
          <w:rFonts w:asciiTheme="minorHAnsi" w:hAnsiTheme="minorHAnsi" w:cs="Arial"/>
          <w:sz w:val="22"/>
          <w:szCs w:val="22"/>
        </w:rPr>
        <w:t>.</w:t>
      </w:r>
    </w:p>
    <w:p w14:paraId="2DE6D5CE" w14:textId="77777777" w:rsidR="007B2147" w:rsidRPr="00231ED6" w:rsidRDefault="007B2147" w:rsidP="007B2147">
      <w:pPr>
        <w:pStyle w:val="ListParagraph"/>
        <w:shd w:val="clear" w:color="auto" w:fill="FFFFFF"/>
        <w:spacing w:beforeAutospacing="1" w:after="100" w:afterAutospacing="1"/>
        <w:jc w:val="both"/>
        <w:textAlignment w:val="top"/>
        <w:rPr>
          <w:rFonts w:asciiTheme="minorHAnsi" w:hAnsiTheme="minorHAnsi" w:cs="Arial"/>
          <w:sz w:val="22"/>
          <w:szCs w:val="22"/>
        </w:rPr>
      </w:pPr>
    </w:p>
    <w:p w14:paraId="2DE6D5CF" w14:textId="77777777" w:rsidR="007B2147" w:rsidRPr="00231ED6" w:rsidRDefault="00CC6B88" w:rsidP="007B2147">
      <w:pPr>
        <w:pStyle w:val="ListParagraph"/>
        <w:numPr>
          <w:ilvl w:val="0"/>
          <w:numId w:val="3"/>
        </w:numPr>
        <w:shd w:val="clear" w:color="auto" w:fill="FFFFFF"/>
        <w:spacing w:beforeAutospacing="1" w:after="100" w:afterAutospacing="1" w:line="240" w:lineRule="atLeast"/>
        <w:jc w:val="both"/>
        <w:textAlignment w:val="top"/>
        <w:rPr>
          <w:rFonts w:asciiTheme="minorHAnsi" w:hAnsiTheme="minorHAnsi" w:cs="Arial"/>
          <w:sz w:val="22"/>
          <w:szCs w:val="22"/>
        </w:rPr>
      </w:pPr>
      <w:r w:rsidRPr="00724704">
        <w:rPr>
          <w:rFonts w:asciiTheme="minorHAnsi" w:hAnsiTheme="minorHAnsi"/>
          <w:sz w:val="22"/>
        </w:rPr>
        <w:t>Community based foundations</w:t>
      </w:r>
      <w:r w:rsidRPr="00231ED6">
        <w:rPr>
          <w:rFonts w:asciiTheme="minorHAnsi" w:hAnsiTheme="minorHAnsi" w:cs="Arial"/>
          <w:b/>
          <w:bCs/>
          <w:sz w:val="22"/>
          <w:szCs w:val="22"/>
        </w:rPr>
        <w:t> </w:t>
      </w:r>
      <w:r w:rsidRPr="00231ED6">
        <w:rPr>
          <w:rFonts w:asciiTheme="minorHAnsi" w:hAnsiTheme="minorHAnsi" w:cs="Arial"/>
          <w:sz w:val="22"/>
          <w:szCs w:val="22"/>
        </w:rPr>
        <w:t>are a subgroup of grant-making public charities and they usually serve a specific geographic area. Their assets come from funds set up by multiple donors and operationally they are similar to private foundations. Examples of such foundations are the </w:t>
      </w:r>
      <w:hyperlink r:id="rId21" w:history="1">
        <w:r w:rsidRPr="00231ED6">
          <w:rPr>
            <w:rFonts w:asciiTheme="minorHAnsi" w:hAnsiTheme="minorHAnsi" w:cs="Arial"/>
            <w:sz w:val="22"/>
            <w:szCs w:val="22"/>
          </w:rPr>
          <w:t>Kenya Community Development Foundation</w:t>
        </w:r>
      </w:hyperlink>
      <w:r w:rsidRPr="00231ED6">
        <w:rPr>
          <w:rFonts w:asciiTheme="minorHAnsi" w:hAnsiTheme="minorHAnsi" w:cs="Arial"/>
          <w:sz w:val="22"/>
          <w:szCs w:val="22"/>
        </w:rPr>
        <w:t> and the </w:t>
      </w:r>
      <w:hyperlink r:id="rId22" w:history="1">
        <w:r w:rsidRPr="00231ED6">
          <w:rPr>
            <w:rFonts w:asciiTheme="minorHAnsi" w:hAnsiTheme="minorHAnsi" w:cs="Arial"/>
            <w:sz w:val="22"/>
            <w:szCs w:val="22"/>
          </w:rPr>
          <w:t>Osaka Community Foundation</w:t>
        </w:r>
      </w:hyperlink>
      <w:r w:rsidRPr="00231ED6">
        <w:rPr>
          <w:rFonts w:asciiTheme="minorHAnsi" w:hAnsiTheme="minorHAnsi" w:cs="Arial"/>
          <w:sz w:val="22"/>
          <w:szCs w:val="22"/>
        </w:rPr>
        <w:t>.​ </w:t>
      </w:r>
    </w:p>
    <w:p w14:paraId="2DE6D5D0" w14:textId="77777777" w:rsidR="007B2147" w:rsidRPr="00231ED6" w:rsidRDefault="007B2147" w:rsidP="007B2147">
      <w:pPr>
        <w:pStyle w:val="ListParagraph"/>
        <w:rPr>
          <w:rFonts w:asciiTheme="minorHAnsi" w:hAnsiTheme="minorHAnsi" w:cs="Arial"/>
          <w:sz w:val="22"/>
          <w:szCs w:val="22"/>
        </w:rPr>
      </w:pPr>
    </w:p>
    <w:p w14:paraId="2DE6D5D1" w14:textId="77777777" w:rsidR="00CC6B88" w:rsidRPr="00231ED6" w:rsidRDefault="00CC6B88" w:rsidP="008830AF">
      <w:pPr>
        <w:jc w:val="both"/>
        <w:rPr>
          <w:rFonts w:asciiTheme="minorHAnsi" w:hAnsiTheme="minorHAnsi" w:cs="Arial"/>
          <w:b/>
          <w:bCs/>
          <w:sz w:val="22"/>
          <w:szCs w:val="22"/>
        </w:rPr>
      </w:pPr>
      <w:r w:rsidRPr="00231ED6">
        <w:rPr>
          <w:rFonts w:asciiTheme="minorHAnsi" w:hAnsiTheme="minorHAnsi" w:cs="Arial"/>
          <w:b/>
          <w:bCs/>
          <w:sz w:val="22"/>
          <w:szCs w:val="22"/>
        </w:rPr>
        <w:t xml:space="preserve">Assessing and formalizing foundations </w:t>
      </w:r>
    </w:p>
    <w:p w14:paraId="2DE6D5D2" w14:textId="77777777" w:rsidR="00CC6B88" w:rsidRPr="00231ED6" w:rsidRDefault="00CC6B88" w:rsidP="00CC6B88">
      <w:pPr>
        <w:jc w:val="both"/>
        <w:rPr>
          <w:rFonts w:asciiTheme="minorHAnsi" w:hAnsiTheme="minorHAnsi" w:cs="Arial"/>
          <w:b/>
          <w:bCs/>
          <w:sz w:val="22"/>
          <w:szCs w:val="22"/>
        </w:rPr>
      </w:pPr>
    </w:p>
    <w:p w14:paraId="2DE6D5D3" w14:textId="77777777" w:rsidR="00CC6B88" w:rsidRPr="00231ED6" w:rsidRDefault="00CC6B88" w:rsidP="007B2147">
      <w:pPr>
        <w:pStyle w:val="ListParagraph"/>
        <w:numPr>
          <w:ilvl w:val="0"/>
          <w:numId w:val="3"/>
        </w:numPr>
        <w:shd w:val="clear" w:color="auto" w:fill="FFFFFF"/>
        <w:jc w:val="both"/>
        <w:textAlignment w:val="top"/>
        <w:rPr>
          <w:rFonts w:asciiTheme="minorHAnsi" w:hAnsiTheme="minorHAnsi" w:cs="Arial"/>
          <w:b/>
          <w:bCs/>
          <w:sz w:val="22"/>
          <w:szCs w:val="22"/>
        </w:rPr>
      </w:pPr>
      <w:r w:rsidRPr="00231ED6">
        <w:rPr>
          <w:rFonts w:asciiTheme="minorHAnsi" w:hAnsiTheme="minorHAnsi" w:cs="Arial"/>
          <w:bCs/>
          <w:sz w:val="22"/>
          <w:szCs w:val="22"/>
        </w:rPr>
        <w:t>Details on assessing and formalizing partnerships with foundations can be obtained in the procedures tables.</w:t>
      </w:r>
    </w:p>
    <w:p w14:paraId="2DE6D5D4" w14:textId="77777777" w:rsidR="00CC6B88" w:rsidRPr="00231ED6" w:rsidRDefault="00CC6B88" w:rsidP="00CC6B88">
      <w:pPr>
        <w:shd w:val="clear" w:color="auto" w:fill="FFFFFF"/>
        <w:jc w:val="both"/>
        <w:textAlignment w:val="top"/>
        <w:rPr>
          <w:rFonts w:asciiTheme="minorHAnsi" w:hAnsiTheme="minorHAnsi" w:cs="Arial"/>
          <w:b/>
          <w:bCs/>
          <w:sz w:val="22"/>
          <w:szCs w:val="22"/>
        </w:rPr>
      </w:pPr>
    </w:p>
    <w:p w14:paraId="2DE6D5D5" w14:textId="77777777" w:rsidR="007B2147" w:rsidRPr="00231ED6" w:rsidRDefault="00CC6B88" w:rsidP="008830AF">
      <w:pPr>
        <w:shd w:val="clear" w:color="auto" w:fill="FFFFFF"/>
        <w:jc w:val="both"/>
        <w:textAlignment w:val="top"/>
        <w:rPr>
          <w:rFonts w:asciiTheme="minorHAnsi" w:hAnsiTheme="minorHAnsi" w:cs="Arial"/>
          <w:b/>
          <w:bCs/>
          <w:sz w:val="22"/>
          <w:szCs w:val="22"/>
        </w:rPr>
      </w:pPr>
      <w:r w:rsidRPr="00231ED6">
        <w:rPr>
          <w:rFonts w:asciiTheme="minorHAnsi" w:hAnsiTheme="minorHAnsi" w:cs="Arial"/>
          <w:b/>
          <w:bCs/>
          <w:sz w:val="22"/>
          <w:szCs w:val="22"/>
        </w:rPr>
        <w:t>Monitorin</w:t>
      </w:r>
      <w:r w:rsidR="007B2147" w:rsidRPr="00231ED6">
        <w:rPr>
          <w:rFonts w:asciiTheme="minorHAnsi" w:hAnsiTheme="minorHAnsi" w:cs="Arial"/>
          <w:b/>
          <w:bCs/>
          <w:sz w:val="22"/>
          <w:szCs w:val="22"/>
        </w:rPr>
        <w:t>g partnerships with foundations</w:t>
      </w:r>
      <w:r w:rsidRPr="00231ED6">
        <w:rPr>
          <w:rFonts w:asciiTheme="minorHAnsi" w:hAnsiTheme="minorHAnsi" w:cs="Arial"/>
          <w:b/>
          <w:bCs/>
          <w:vanish/>
          <w:sz w:val="22"/>
          <w:szCs w:val="22"/>
        </w:rPr>
        <w:t> </w:t>
      </w:r>
    </w:p>
    <w:p w14:paraId="2DE6D5D6" w14:textId="77777777" w:rsidR="007B2147" w:rsidRPr="00231ED6" w:rsidRDefault="007B2147" w:rsidP="007B2147">
      <w:pPr>
        <w:pStyle w:val="ListParagraph"/>
        <w:rPr>
          <w:rFonts w:asciiTheme="minorHAnsi" w:hAnsiTheme="minorHAnsi"/>
          <w:sz w:val="22"/>
          <w:szCs w:val="22"/>
        </w:rPr>
      </w:pPr>
    </w:p>
    <w:p w14:paraId="2DE6D5D9" w14:textId="2ABE3B59" w:rsidR="005909B3" w:rsidRPr="00D535B4" w:rsidRDefault="005909B3" w:rsidP="006E7043">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sidRPr="00D535B4">
        <w:rPr>
          <w:rFonts w:asciiTheme="minorHAnsi" w:hAnsiTheme="minorHAnsi" w:cs="Arial"/>
          <w:sz w:val="22"/>
          <w:szCs w:val="22"/>
        </w:rPr>
        <w:t xml:space="preserve">Most foundations require both narrative and financial reports on grants and contributions they award. Specific reporting requirements are stipulated in the grant letter/agreement, including the required information and deadlines by the donor. Successful reporting occurs when these provisions are adequately met; it also fosters a trusted and prolonged relationship with foundation for future collaborations. </w:t>
      </w:r>
    </w:p>
    <w:p w14:paraId="2DE6D5DA" w14:textId="77777777" w:rsidR="00C51E56" w:rsidRPr="00231ED6" w:rsidRDefault="00C51E56" w:rsidP="00C51E56">
      <w:pPr>
        <w:pStyle w:val="ListParagraph"/>
        <w:shd w:val="clear" w:color="auto" w:fill="FFFFFF"/>
        <w:spacing w:before="100" w:beforeAutospacing="1" w:after="100" w:afterAutospacing="1"/>
        <w:jc w:val="both"/>
        <w:textAlignment w:val="top"/>
        <w:rPr>
          <w:rFonts w:asciiTheme="minorHAnsi" w:hAnsiTheme="minorHAnsi" w:cs="Arial"/>
          <w:sz w:val="22"/>
          <w:szCs w:val="22"/>
        </w:rPr>
      </w:pPr>
    </w:p>
    <w:p w14:paraId="2DE6D5DB" w14:textId="77777777" w:rsidR="005909B3" w:rsidRPr="00231ED6" w:rsidRDefault="005909B3" w:rsidP="006E7043">
      <w:pPr>
        <w:pStyle w:val="ListParagraph"/>
        <w:numPr>
          <w:ilvl w:val="0"/>
          <w:numId w:val="3"/>
        </w:numPr>
        <w:shd w:val="clear" w:color="auto" w:fill="FFFFFF"/>
        <w:spacing w:before="100" w:beforeAutospacing="1" w:after="100" w:afterAutospacing="1"/>
        <w:jc w:val="both"/>
        <w:textAlignment w:val="top"/>
        <w:rPr>
          <w:rFonts w:asciiTheme="minorHAnsi" w:hAnsiTheme="minorHAnsi" w:cs="Arial"/>
          <w:sz w:val="22"/>
          <w:szCs w:val="22"/>
        </w:rPr>
      </w:pPr>
      <w:r w:rsidRPr="00231ED6">
        <w:rPr>
          <w:rFonts w:asciiTheme="minorHAnsi" w:hAnsiTheme="minorHAnsi" w:cs="Arial"/>
          <w:sz w:val="22"/>
          <w:szCs w:val="22"/>
        </w:rPr>
        <w:t>The reporting process is thus one of the most crucial milestones in the life of a project for it reflects how funding was spent and demonstrates the competencies of the UNDP as an organization and a partner. It is very important, therefore, to ensure that the provisions under the agreement with the foundation are fully accounted for and reporting is done in a comprehensive, clear, accurate and timely manner.</w:t>
      </w:r>
    </w:p>
    <w:p w14:paraId="2DE6D5DC" w14:textId="77777777" w:rsidR="007B2147" w:rsidRPr="00231ED6" w:rsidRDefault="00000000" w:rsidP="008830AF">
      <w:pPr>
        <w:shd w:val="clear" w:color="auto" w:fill="FFFFFF"/>
        <w:ind w:left="360"/>
        <w:jc w:val="both"/>
        <w:textAlignment w:val="top"/>
        <w:rPr>
          <w:rFonts w:ascii="Calibri" w:hAnsi="Calibri" w:cs="Arial"/>
          <w:b/>
          <w:bCs/>
          <w:vanish/>
          <w:sz w:val="22"/>
          <w:szCs w:val="22"/>
        </w:rPr>
      </w:pPr>
      <w:hyperlink r:id="rId23" w:history="1">
        <w:r w:rsidR="00CC6B88" w:rsidRPr="00231ED6">
          <w:rPr>
            <w:rFonts w:ascii="Calibri" w:hAnsi="Calibri" w:cs="Arial"/>
            <w:b/>
            <w:bCs/>
            <w:vanish/>
            <w:sz w:val="22"/>
            <w:szCs w:val="22"/>
          </w:rPr>
          <w:t>Spanish</w:t>
        </w:r>
      </w:hyperlink>
      <w:r w:rsidR="00CC6B88" w:rsidRPr="00231ED6">
        <w:rPr>
          <w:rFonts w:ascii="Calibri" w:hAnsi="Calibri" w:cs="Arial"/>
          <w:b/>
          <w:bCs/>
          <w:vanish/>
          <w:sz w:val="22"/>
          <w:szCs w:val="22"/>
        </w:rPr>
        <w:t> |</w:t>
      </w:r>
    </w:p>
    <w:p w14:paraId="2DE6D5DD" w14:textId="77777777" w:rsidR="007B2147" w:rsidRPr="00231ED6" w:rsidRDefault="007B2147" w:rsidP="008830AF">
      <w:pPr>
        <w:pStyle w:val="ListParagraph"/>
        <w:numPr>
          <w:ilvl w:val="0"/>
          <w:numId w:val="5"/>
        </w:numPr>
        <w:shd w:val="clear" w:color="auto" w:fill="FFFFFF"/>
        <w:jc w:val="both"/>
        <w:textAlignment w:val="top"/>
        <w:rPr>
          <w:rFonts w:ascii="Calibri" w:hAnsi="Calibri" w:cs="Arial"/>
          <w:b/>
          <w:bCs/>
          <w:vanish/>
          <w:sz w:val="22"/>
          <w:szCs w:val="22"/>
        </w:rPr>
      </w:pPr>
    </w:p>
    <w:p w14:paraId="2DE6D5DE" w14:textId="77777777" w:rsidR="007B2147" w:rsidRPr="00231ED6" w:rsidRDefault="007B2147" w:rsidP="008830AF">
      <w:pPr>
        <w:pStyle w:val="ListParagraph"/>
        <w:numPr>
          <w:ilvl w:val="0"/>
          <w:numId w:val="5"/>
        </w:numPr>
        <w:shd w:val="clear" w:color="auto" w:fill="FFFFFF"/>
        <w:jc w:val="both"/>
        <w:textAlignment w:val="top"/>
        <w:rPr>
          <w:rFonts w:ascii="Calibri" w:hAnsi="Calibri" w:cs="Arial"/>
          <w:b/>
          <w:bCs/>
          <w:vanish/>
          <w:sz w:val="22"/>
          <w:szCs w:val="22"/>
        </w:rPr>
      </w:pPr>
    </w:p>
    <w:p w14:paraId="2DE6D5DF" w14:textId="77777777" w:rsidR="007B2147" w:rsidRPr="00231ED6" w:rsidRDefault="007B2147" w:rsidP="008830AF">
      <w:pPr>
        <w:pStyle w:val="ListParagraph"/>
        <w:numPr>
          <w:ilvl w:val="0"/>
          <w:numId w:val="5"/>
        </w:numPr>
        <w:shd w:val="clear" w:color="auto" w:fill="FFFFFF"/>
        <w:jc w:val="both"/>
        <w:textAlignment w:val="top"/>
        <w:rPr>
          <w:rFonts w:ascii="Calibri" w:hAnsi="Calibri" w:cs="Arial"/>
          <w:b/>
          <w:bCs/>
          <w:vanish/>
          <w:sz w:val="22"/>
          <w:szCs w:val="22"/>
        </w:rPr>
      </w:pPr>
    </w:p>
    <w:p w14:paraId="2DE6D5E0" w14:textId="77777777" w:rsidR="00CC6B88" w:rsidRPr="00231ED6" w:rsidRDefault="00CC6B88" w:rsidP="008830AF">
      <w:pPr>
        <w:pStyle w:val="ListParagraph"/>
        <w:numPr>
          <w:ilvl w:val="0"/>
          <w:numId w:val="5"/>
        </w:numPr>
        <w:shd w:val="clear" w:color="auto" w:fill="FFFFFF"/>
        <w:jc w:val="both"/>
        <w:textAlignment w:val="top"/>
        <w:rPr>
          <w:rFonts w:ascii="Calibri" w:hAnsi="Calibri" w:cs="Arial"/>
          <w:b/>
          <w:bCs/>
          <w:vanish/>
          <w:sz w:val="22"/>
          <w:szCs w:val="22"/>
        </w:rPr>
      </w:pPr>
      <w:r w:rsidRPr="00231ED6">
        <w:rPr>
          <w:rFonts w:ascii="Calibri" w:hAnsi="Calibri" w:cs="Arial"/>
          <w:b/>
          <w:bCs/>
          <w:vanish/>
          <w:sz w:val="22"/>
          <w:szCs w:val="22"/>
        </w:rPr>
        <w:t> </w:t>
      </w:r>
      <w:hyperlink r:id="rId24" w:history="1">
        <w:r w:rsidRPr="00231ED6">
          <w:rPr>
            <w:rFonts w:ascii="Calibri" w:hAnsi="Calibri" w:cs="Arial"/>
            <w:b/>
            <w:bCs/>
            <w:vanish/>
            <w:sz w:val="22"/>
            <w:szCs w:val="22"/>
          </w:rPr>
          <w:t>French</w:t>
        </w:r>
      </w:hyperlink>
      <w:r w:rsidRPr="00231ED6">
        <w:rPr>
          <w:rFonts w:ascii="Calibri" w:hAnsi="Calibri" w:cs="Arial"/>
          <w:b/>
          <w:bCs/>
          <w:vanish/>
          <w:sz w:val="22"/>
          <w:szCs w:val="22"/>
        </w:rPr>
        <w:t> </w:t>
      </w:r>
    </w:p>
    <w:p w14:paraId="2DE6D5E1" w14:textId="77777777" w:rsidR="00CC6B88" w:rsidRPr="00231ED6" w:rsidRDefault="00CC6B88" w:rsidP="00CC6B88">
      <w:pPr>
        <w:shd w:val="clear" w:color="auto" w:fill="FFFFFF"/>
        <w:jc w:val="both"/>
        <w:textAlignment w:val="top"/>
        <w:rPr>
          <w:rFonts w:ascii="Calibri" w:hAnsi="Calibri" w:cs="Arial"/>
          <w:b/>
          <w:bCs/>
          <w:vanish/>
          <w:sz w:val="22"/>
          <w:szCs w:val="22"/>
        </w:rPr>
      </w:pPr>
      <w:r w:rsidRPr="00231ED6">
        <w:rPr>
          <w:rFonts w:ascii="Calibri" w:hAnsi="Calibri" w:cs="Arial"/>
          <w:b/>
          <w:bCs/>
          <w:vanish/>
          <w:sz w:val="22"/>
          <w:szCs w:val="22"/>
        </w:rPr>
        <w:t>|</w:t>
      </w:r>
    </w:p>
    <w:p w14:paraId="2DE6D5E2" w14:textId="77777777" w:rsidR="00CC6B88" w:rsidRPr="00231ED6" w:rsidRDefault="00CC6B88" w:rsidP="00CC6B88">
      <w:pPr>
        <w:shd w:val="clear" w:color="auto" w:fill="FFFFFF"/>
        <w:jc w:val="both"/>
        <w:textAlignment w:val="top"/>
        <w:rPr>
          <w:rFonts w:ascii="Calibri" w:hAnsi="Calibri" w:cs="Arial"/>
          <w:b/>
          <w:bCs/>
          <w:vanish/>
          <w:sz w:val="22"/>
          <w:szCs w:val="22"/>
        </w:rPr>
      </w:pPr>
      <w:r w:rsidRPr="00231ED6">
        <w:rPr>
          <w:rFonts w:ascii="Calibri" w:hAnsi="Calibri" w:cs="Arial"/>
          <w:b/>
          <w:bCs/>
          <w:vanish/>
          <w:sz w:val="22"/>
          <w:szCs w:val="22"/>
        </w:rPr>
        <w:t> </w:t>
      </w:r>
      <w:hyperlink r:id="rId25" w:history="1">
        <w:r w:rsidRPr="00231ED6">
          <w:rPr>
            <w:rFonts w:ascii="Calibri" w:hAnsi="Calibri" w:cs="Arial"/>
            <w:b/>
            <w:bCs/>
            <w:vanish/>
            <w:sz w:val="22"/>
            <w:szCs w:val="22"/>
          </w:rPr>
          <w:t>English</w:t>
        </w:r>
      </w:hyperlink>
      <w:r w:rsidRPr="00231ED6">
        <w:rPr>
          <w:rFonts w:ascii="Calibri" w:hAnsi="Calibri" w:cs="Arial"/>
          <w:b/>
          <w:bCs/>
          <w:vanish/>
          <w:sz w:val="22"/>
          <w:szCs w:val="22"/>
        </w:rPr>
        <w:t> </w:t>
      </w:r>
    </w:p>
    <w:p w14:paraId="2DE6D5E3" w14:textId="77777777" w:rsidR="00CC6B88" w:rsidRPr="00231ED6" w:rsidRDefault="00CC6B88" w:rsidP="00CC6B88">
      <w:pPr>
        <w:shd w:val="clear" w:color="auto" w:fill="FFFFFF"/>
        <w:jc w:val="both"/>
        <w:textAlignment w:val="top"/>
        <w:rPr>
          <w:rFonts w:ascii="Calibri" w:hAnsi="Calibri" w:cs="Arial"/>
          <w:vanish/>
          <w:sz w:val="22"/>
          <w:szCs w:val="22"/>
        </w:rPr>
      </w:pPr>
      <w:r w:rsidRPr="00231ED6">
        <w:rPr>
          <w:rFonts w:ascii="Calibri" w:hAnsi="Calibri" w:cs="Arial"/>
          <w:vanish/>
          <w:sz w:val="22"/>
          <w:szCs w:val="22"/>
        </w:rPr>
        <w:t>Page Content</w:t>
      </w:r>
    </w:p>
    <w:p w14:paraId="2DE6D5E4" w14:textId="77777777" w:rsidR="00CC6B88" w:rsidRPr="00231ED6" w:rsidRDefault="00CC6B88" w:rsidP="00CC6B88">
      <w:pPr>
        <w:shd w:val="clear" w:color="auto" w:fill="FFFFFF"/>
        <w:jc w:val="both"/>
        <w:textAlignment w:val="top"/>
        <w:rPr>
          <w:rFonts w:ascii="Calibri" w:hAnsi="Calibri" w:cs="Arial"/>
          <w:vanish/>
          <w:sz w:val="22"/>
          <w:szCs w:val="22"/>
        </w:rPr>
      </w:pPr>
      <w:r w:rsidRPr="00231ED6">
        <w:rPr>
          <w:rFonts w:ascii="Calibri" w:hAnsi="Calibri" w:cs="Arial"/>
          <w:vanish/>
          <w:sz w:val="22"/>
          <w:szCs w:val="22"/>
        </w:rPr>
        <w:t>Structure Element - Description</w:t>
      </w:r>
    </w:p>
    <w:p w14:paraId="2DE6D5E5" w14:textId="77777777" w:rsidR="00F06A04" w:rsidRPr="00231ED6" w:rsidRDefault="00F06A04"/>
    <w:sectPr w:rsidR="00F06A04" w:rsidRPr="00231ED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EC477" w14:textId="77777777" w:rsidR="00714AA8" w:rsidRDefault="00714AA8" w:rsidP="00D535B4">
      <w:r>
        <w:separator/>
      </w:r>
    </w:p>
  </w:endnote>
  <w:endnote w:type="continuationSeparator" w:id="0">
    <w:p w14:paraId="260B1C52" w14:textId="77777777" w:rsidR="00714AA8" w:rsidRDefault="00714AA8" w:rsidP="00D535B4">
      <w:r>
        <w:continuationSeparator/>
      </w:r>
    </w:p>
  </w:endnote>
  <w:endnote w:type="continuationNotice" w:id="1">
    <w:p w14:paraId="21EC870C" w14:textId="77777777" w:rsidR="00714AA8" w:rsidRDefault="00714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9F775" w14:textId="77777777" w:rsidR="007F5277" w:rsidRDefault="007F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150D" w14:textId="5FA411B0" w:rsidR="004A3B7E" w:rsidRPr="00724704" w:rsidRDefault="004A3B7E">
    <w:pPr>
      <w:pStyle w:val="Footer"/>
    </w:pPr>
    <w:r w:rsidRPr="00D535B4">
      <w:rPr>
        <w:rFonts w:asciiTheme="minorHAnsi" w:hAnsiTheme="minorHAnsi"/>
        <w:sz w:val="22"/>
        <w:szCs w:val="22"/>
      </w:rPr>
      <w:t xml:space="preserve">Page </w:t>
    </w:r>
    <w:r w:rsidRPr="00D535B4">
      <w:rPr>
        <w:rFonts w:asciiTheme="minorHAnsi" w:hAnsiTheme="minorHAnsi"/>
        <w:b/>
        <w:bCs/>
        <w:sz w:val="22"/>
        <w:szCs w:val="22"/>
      </w:rPr>
      <w:fldChar w:fldCharType="begin"/>
    </w:r>
    <w:r w:rsidRPr="00D535B4">
      <w:rPr>
        <w:rFonts w:asciiTheme="minorHAnsi" w:hAnsiTheme="minorHAnsi"/>
        <w:b/>
        <w:bCs/>
        <w:sz w:val="22"/>
        <w:szCs w:val="22"/>
      </w:rPr>
      <w:instrText xml:space="preserve"> PAGE  \* Arabic  \* MERGEFORMAT </w:instrText>
    </w:r>
    <w:r w:rsidRPr="00D535B4">
      <w:rPr>
        <w:rFonts w:asciiTheme="minorHAnsi" w:hAnsiTheme="minorHAnsi"/>
        <w:b/>
        <w:bCs/>
        <w:sz w:val="22"/>
        <w:szCs w:val="22"/>
      </w:rPr>
      <w:fldChar w:fldCharType="separate"/>
    </w:r>
    <w:r w:rsidR="006E7043">
      <w:rPr>
        <w:rFonts w:asciiTheme="minorHAnsi" w:hAnsiTheme="minorHAnsi"/>
        <w:b/>
        <w:bCs/>
        <w:noProof/>
        <w:sz w:val="22"/>
        <w:szCs w:val="22"/>
      </w:rPr>
      <w:t>2</w:t>
    </w:r>
    <w:r w:rsidRPr="00D535B4">
      <w:rPr>
        <w:rFonts w:asciiTheme="minorHAnsi" w:hAnsiTheme="minorHAnsi"/>
        <w:b/>
        <w:bCs/>
        <w:sz w:val="22"/>
        <w:szCs w:val="22"/>
      </w:rPr>
      <w:fldChar w:fldCharType="end"/>
    </w:r>
    <w:r w:rsidRPr="00D535B4">
      <w:rPr>
        <w:rFonts w:asciiTheme="minorHAnsi" w:hAnsiTheme="minorHAnsi"/>
        <w:sz w:val="22"/>
        <w:szCs w:val="22"/>
      </w:rPr>
      <w:t xml:space="preserve"> of </w:t>
    </w:r>
    <w:r w:rsidRPr="00D535B4">
      <w:rPr>
        <w:rFonts w:asciiTheme="minorHAnsi" w:hAnsiTheme="minorHAnsi"/>
        <w:b/>
        <w:bCs/>
        <w:sz w:val="22"/>
        <w:szCs w:val="22"/>
      </w:rPr>
      <w:fldChar w:fldCharType="begin"/>
    </w:r>
    <w:r w:rsidRPr="00D535B4">
      <w:rPr>
        <w:rFonts w:asciiTheme="minorHAnsi" w:hAnsiTheme="minorHAnsi"/>
        <w:b/>
        <w:bCs/>
        <w:sz w:val="22"/>
        <w:szCs w:val="22"/>
      </w:rPr>
      <w:instrText xml:space="preserve"> NUMPAGES  \* Arabic  \* MERGEFORMAT </w:instrText>
    </w:r>
    <w:r w:rsidRPr="00D535B4">
      <w:rPr>
        <w:rFonts w:asciiTheme="minorHAnsi" w:hAnsiTheme="minorHAnsi"/>
        <w:b/>
        <w:bCs/>
        <w:sz w:val="22"/>
        <w:szCs w:val="22"/>
      </w:rPr>
      <w:fldChar w:fldCharType="separate"/>
    </w:r>
    <w:r w:rsidR="006E7043">
      <w:rPr>
        <w:rFonts w:asciiTheme="minorHAnsi" w:hAnsiTheme="minorHAnsi"/>
        <w:b/>
        <w:bCs/>
        <w:noProof/>
        <w:sz w:val="22"/>
        <w:szCs w:val="22"/>
      </w:rPr>
      <w:t>2</w:t>
    </w:r>
    <w:r w:rsidRPr="00D535B4">
      <w:rPr>
        <w:rFonts w:asciiTheme="minorHAnsi" w:hAnsiTheme="minorHAnsi"/>
        <w:b/>
        <w:bCs/>
        <w:sz w:val="22"/>
        <w:szCs w:val="22"/>
      </w:rPr>
      <w:fldChar w:fldCharType="end"/>
    </w:r>
    <w:r w:rsidRPr="00D535B4">
      <w:rPr>
        <w:rFonts w:asciiTheme="minorHAnsi" w:hAnsiTheme="minorHAnsi"/>
        <w:sz w:val="22"/>
        <w:szCs w:val="22"/>
      </w:rPr>
      <w:ptab w:relativeTo="margin" w:alignment="center" w:leader="none"/>
    </w:r>
    <w:r w:rsidRPr="00D535B4">
      <w:rPr>
        <w:rFonts w:asciiTheme="minorHAnsi" w:hAnsiTheme="minorHAnsi"/>
        <w:sz w:val="22"/>
        <w:szCs w:val="22"/>
      </w:rPr>
      <w:t>Effective Dat</w:t>
    </w:r>
    <w:r w:rsidR="007C0A9E">
      <w:rPr>
        <w:rFonts w:asciiTheme="minorHAnsi" w:hAnsiTheme="minorHAnsi"/>
        <w:sz w:val="22"/>
        <w:szCs w:val="22"/>
      </w:rPr>
      <w:t>e</w:t>
    </w:r>
    <w:r w:rsidRPr="00D535B4">
      <w:rPr>
        <w:rFonts w:asciiTheme="minorHAnsi" w:hAnsiTheme="minorHAnsi"/>
        <w:sz w:val="22"/>
        <w:szCs w:val="22"/>
      </w:rPr>
      <w:t xml:space="preserve">: </w:t>
    </w:r>
    <w:r w:rsidR="007C0A9E" w:rsidRPr="007C0A9E">
      <w:rPr>
        <w:rFonts w:asciiTheme="minorHAnsi" w:hAnsiTheme="minorHAnsi"/>
        <w:sz w:val="22"/>
        <w:szCs w:val="22"/>
      </w:rPr>
      <w:t>27/07/2016</w:t>
    </w:r>
    <w:r w:rsidRPr="00D535B4">
      <w:rPr>
        <w:rFonts w:asciiTheme="minorHAnsi" w:hAnsiTheme="minorHAnsi"/>
        <w:sz w:val="22"/>
        <w:szCs w:val="22"/>
      </w:rPr>
      <w:ptab w:relativeTo="margin" w:alignment="right" w:leader="none"/>
    </w:r>
    <w:r w:rsidRPr="00D535B4">
      <w:rPr>
        <w:rFonts w:asciiTheme="minorHAnsi" w:hAnsiTheme="minorHAnsi"/>
        <w:sz w:val="22"/>
        <w:szCs w:val="22"/>
      </w:rPr>
      <w:t xml:space="preserve">Version #: </w:t>
    </w:r>
    <w:sdt>
      <w:sdtPr>
        <w:rPr>
          <w:rFonts w:asciiTheme="minorHAnsi" w:hAnsiTheme="minorHAnsi"/>
          <w:sz w:val="22"/>
          <w:szCs w:val="22"/>
        </w:rPr>
        <w:alias w:val="POPPRefItemVersion"/>
        <w:tag w:val="UNDP_POPP_REFITEM_VERSION"/>
        <w:id w:val="1396245143"/>
        <w:placeholder>
          <w:docPart w:val="85FD18F40794432BAFA2AAC6D41B4EA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77430-B5A2-4793-89A8-206505B18D1B}"/>
        <w:text/>
      </w:sdtPr>
      <w:sdtContent>
        <w:r w:rsidR="00F20917">
          <w:rPr>
            <w:rFonts w:asciiTheme="minorHAnsi" w:hAnsiTheme="minorHAns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8BD5" w14:textId="77777777" w:rsidR="007F5277" w:rsidRDefault="007F5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E90C" w14:textId="77777777" w:rsidR="00714AA8" w:rsidRDefault="00714AA8" w:rsidP="00D535B4">
      <w:r>
        <w:separator/>
      </w:r>
    </w:p>
  </w:footnote>
  <w:footnote w:type="continuationSeparator" w:id="0">
    <w:p w14:paraId="582ED554" w14:textId="77777777" w:rsidR="00714AA8" w:rsidRDefault="00714AA8" w:rsidP="00D535B4">
      <w:r>
        <w:continuationSeparator/>
      </w:r>
    </w:p>
  </w:footnote>
  <w:footnote w:type="continuationNotice" w:id="1">
    <w:p w14:paraId="758B3B64" w14:textId="77777777" w:rsidR="00714AA8" w:rsidRDefault="00714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CB03" w14:textId="77777777" w:rsidR="007F5277" w:rsidRDefault="007F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EBF64" w14:textId="27D88D97" w:rsidR="004A3B7E" w:rsidRDefault="004A3B7E" w:rsidP="00F75907">
    <w:pPr>
      <w:pStyle w:val="Header"/>
      <w:tabs>
        <w:tab w:val="left" w:pos="3288"/>
      </w:tabs>
    </w:pPr>
    <w:r>
      <w:tab/>
    </w:r>
    <w:r w:rsidR="00F75907">
      <w:tab/>
    </w:r>
    <w:r>
      <w:tab/>
      <w:t xml:space="preserve"> </w:t>
    </w:r>
    <w:r w:rsidR="007F5277">
      <w:rPr>
        <w:noProof/>
      </w:rPr>
      <w:drawing>
        <wp:inline distT="0" distB="0" distL="0" distR="0" wp14:anchorId="49420644" wp14:editId="04F74968">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CAD8" w14:textId="77777777" w:rsidR="007F5277" w:rsidRDefault="007F5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27C79"/>
    <w:multiLevelType w:val="hybridMultilevel"/>
    <w:tmpl w:val="F5F8D0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A0313"/>
    <w:multiLevelType w:val="hybridMultilevel"/>
    <w:tmpl w:val="4524DE90"/>
    <w:lvl w:ilvl="0" w:tplc="0409000F">
      <w:start w:val="1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E616E"/>
    <w:multiLevelType w:val="multilevel"/>
    <w:tmpl w:val="E6DE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2135F"/>
    <w:multiLevelType w:val="hybridMultilevel"/>
    <w:tmpl w:val="D306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C4CE3"/>
    <w:multiLevelType w:val="hybridMultilevel"/>
    <w:tmpl w:val="FDA684B2"/>
    <w:lvl w:ilvl="0" w:tplc="88140E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E4D44"/>
    <w:multiLevelType w:val="multilevel"/>
    <w:tmpl w:val="CDF48570"/>
    <w:lvl w:ilvl="0">
      <w:start w:val="1"/>
      <w:numFmt w:val="decimal"/>
      <w:lvlText w:val="%1."/>
      <w:lvlJc w:val="left"/>
      <w:pPr>
        <w:tabs>
          <w:tab w:val="num" w:pos="-900"/>
        </w:tabs>
        <w:ind w:left="-900" w:hanging="360"/>
      </w:pPr>
    </w:lvl>
    <w:lvl w:ilvl="1" w:tentative="1">
      <w:start w:val="1"/>
      <w:numFmt w:val="decimal"/>
      <w:lvlText w:val="%2."/>
      <w:lvlJc w:val="left"/>
      <w:pPr>
        <w:tabs>
          <w:tab w:val="num" w:pos="-180"/>
        </w:tabs>
        <w:ind w:left="-180" w:hanging="360"/>
      </w:pPr>
    </w:lvl>
    <w:lvl w:ilvl="2" w:tentative="1">
      <w:start w:val="1"/>
      <w:numFmt w:val="decimal"/>
      <w:lvlText w:val="%3."/>
      <w:lvlJc w:val="left"/>
      <w:pPr>
        <w:tabs>
          <w:tab w:val="num" w:pos="540"/>
        </w:tabs>
        <w:ind w:left="540" w:hanging="360"/>
      </w:pPr>
    </w:lvl>
    <w:lvl w:ilvl="3" w:tentative="1">
      <w:start w:val="1"/>
      <w:numFmt w:val="decimal"/>
      <w:lvlText w:val="%4."/>
      <w:lvlJc w:val="left"/>
      <w:pPr>
        <w:tabs>
          <w:tab w:val="num" w:pos="1260"/>
        </w:tabs>
        <w:ind w:left="1260" w:hanging="360"/>
      </w:pPr>
    </w:lvl>
    <w:lvl w:ilvl="4" w:tentative="1">
      <w:start w:val="1"/>
      <w:numFmt w:val="decimal"/>
      <w:lvlText w:val="%5."/>
      <w:lvlJc w:val="left"/>
      <w:pPr>
        <w:tabs>
          <w:tab w:val="num" w:pos="1980"/>
        </w:tabs>
        <w:ind w:left="1980" w:hanging="360"/>
      </w:pPr>
    </w:lvl>
    <w:lvl w:ilvl="5" w:tentative="1">
      <w:start w:val="1"/>
      <w:numFmt w:val="decimal"/>
      <w:lvlText w:val="%6."/>
      <w:lvlJc w:val="left"/>
      <w:pPr>
        <w:tabs>
          <w:tab w:val="num" w:pos="2700"/>
        </w:tabs>
        <w:ind w:left="2700" w:hanging="360"/>
      </w:pPr>
    </w:lvl>
    <w:lvl w:ilvl="6" w:tentative="1">
      <w:start w:val="1"/>
      <w:numFmt w:val="decimal"/>
      <w:lvlText w:val="%7."/>
      <w:lvlJc w:val="left"/>
      <w:pPr>
        <w:tabs>
          <w:tab w:val="num" w:pos="3420"/>
        </w:tabs>
        <w:ind w:left="3420" w:hanging="360"/>
      </w:pPr>
    </w:lvl>
    <w:lvl w:ilvl="7" w:tentative="1">
      <w:start w:val="1"/>
      <w:numFmt w:val="decimal"/>
      <w:lvlText w:val="%8."/>
      <w:lvlJc w:val="left"/>
      <w:pPr>
        <w:tabs>
          <w:tab w:val="num" w:pos="4140"/>
        </w:tabs>
        <w:ind w:left="4140" w:hanging="360"/>
      </w:pPr>
    </w:lvl>
    <w:lvl w:ilvl="8" w:tentative="1">
      <w:start w:val="1"/>
      <w:numFmt w:val="decimal"/>
      <w:lvlText w:val="%9."/>
      <w:lvlJc w:val="left"/>
      <w:pPr>
        <w:tabs>
          <w:tab w:val="num" w:pos="4860"/>
        </w:tabs>
        <w:ind w:left="4860" w:hanging="360"/>
      </w:pPr>
    </w:lvl>
  </w:abstractNum>
  <w:abstractNum w:abstractNumId="6" w15:restartNumberingAfterBreak="0">
    <w:nsid w:val="5EF65AB8"/>
    <w:multiLevelType w:val="hybridMultilevel"/>
    <w:tmpl w:val="DD0A80F8"/>
    <w:lvl w:ilvl="0" w:tplc="42A4E4C4">
      <w:start w:val="11"/>
      <w:numFmt w:val="decimal"/>
      <w:lvlText w:val="%1."/>
      <w:lvlJc w:val="left"/>
      <w:pPr>
        <w:ind w:left="720" w:hanging="360"/>
      </w:pPr>
      <w:rPr>
        <w:rFonts w:asciiTheme="minorHAnsi" w:hAnsiTheme="minorHAns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200283">
    <w:abstractNumId w:val="2"/>
  </w:num>
  <w:num w:numId="2" w16cid:durableId="2000650058">
    <w:abstractNumId w:val="5"/>
  </w:num>
  <w:num w:numId="3" w16cid:durableId="1965109623">
    <w:abstractNumId w:val="4"/>
  </w:num>
  <w:num w:numId="4" w16cid:durableId="110826010">
    <w:abstractNumId w:val="3"/>
  </w:num>
  <w:num w:numId="5" w16cid:durableId="2134982128">
    <w:abstractNumId w:val="1"/>
  </w:num>
  <w:num w:numId="6" w16cid:durableId="1796096266">
    <w:abstractNumId w:val="0"/>
  </w:num>
  <w:num w:numId="7" w16cid:durableId="1376999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88"/>
    <w:rsid w:val="00060AF0"/>
    <w:rsid w:val="00075B45"/>
    <w:rsid w:val="000E37A4"/>
    <w:rsid w:val="00231ED6"/>
    <w:rsid w:val="0030132F"/>
    <w:rsid w:val="004A3B7E"/>
    <w:rsid w:val="004A7DE1"/>
    <w:rsid w:val="004C3EDC"/>
    <w:rsid w:val="004E2A99"/>
    <w:rsid w:val="005909B3"/>
    <w:rsid w:val="006E7043"/>
    <w:rsid w:val="00714AA8"/>
    <w:rsid w:val="00724704"/>
    <w:rsid w:val="00745049"/>
    <w:rsid w:val="00765FC8"/>
    <w:rsid w:val="007A3229"/>
    <w:rsid w:val="007B2147"/>
    <w:rsid w:val="007C0A9E"/>
    <w:rsid w:val="007F5277"/>
    <w:rsid w:val="00830C63"/>
    <w:rsid w:val="008830AF"/>
    <w:rsid w:val="00945032"/>
    <w:rsid w:val="009627A0"/>
    <w:rsid w:val="009B48FC"/>
    <w:rsid w:val="00AD3444"/>
    <w:rsid w:val="00C51E56"/>
    <w:rsid w:val="00CC6B88"/>
    <w:rsid w:val="00CE2200"/>
    <w:rsid w:val="00CE4C1B"/>
    <w:rsid w:val="00CF5DA4"/>
    <w:rsid w:val="00D25545"/>
    <w:rsid w:val="00D535B4"/>
    <w:rsid w:val="00DB1916"/>
    <w:rsid w:val="00E24B93"/>
    <w:rsid w:val="00F06A04"/>
    <w:rsid w:val="00F20917"/>
    <w:rsid w:val="00F75907"/>
    <w:rsid w:val="00FE3113"/>
    <w:rsid w:val="00FE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D5B6"/>
  <w15:chartTrackingRefBased/>
  <w15:docId w15:val="{05FEA536-B310-4073-BDD1-2B5AA83E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AF0"/>
    <w:pPr>
      <w:ind w:left="720"/>
      <w:contextualSpacing/>
    </w:pPr>
  </w:style>
  <w:style w:type="paragraph" w:styleId="Header">
    <w:name w:val="header"/>
    <w:basedOn w:val="Normal"/>
    <w:link w:val="HeaderChar"/>
    <w:uiPriority w:val="99"/>
    <w:unhideWhenUsed/>
    <w:rsid w:val="00D535B4"/>
    <w:pPr>
      <w:tabs>
        <w:tab w:val="center" w:pos="4513"/>
        <w:tab w:val="right" w:pos="9026"/>
      </w:tabs>
    </w:pPr>
  </w:style>
  <w:style w:type="character" w:customStyle="1" w:styleId="HeaderChar">
    <w:name w:val="Header Char"/>
    <w:basedOn w:val="DefaultParagraphFont"/>
    <w:link w:val="Header"/>
    <w:uiPriority w:val="99"/>
    <w:rsid w:val="00D535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35B4"/>
    <w:pPr>
      <w:tabs>
        <w:tab w:val="center" w:pos="4513"/>
        <w:tab w:val="right" w:pos="9026"/>
      </w:tabs>
    </w:pPr>
  </w:style>
  <w:style w:type="character" w:customStyle="1" w:styleId="FooterChar">
    <w:name w:val="Footer Char"/>
    <w:basedOn w:val="DefaultParagraphFont"/>
    <w:link w:val="Footer"/>
    <w:uiPriority w:val="99"/>
    <w:rsid w:val="00D535B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535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tent.undp.org/go/userguide/partnerships/formalizing/cso/?lang=en" TargetMode="External"/><Relationship Id="rId18" Type="http://schemas.openxmlformats.org/officeDocument/2006/relationships/hyperlink" Target="http://www.nikefoundation.org/index.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kcdf.or.ke/"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hecoca-colacompany.com/citizenship/foundation_coke.html" TargetMode="External"/><Relationship Id="rId25" Type="http://schemas.openxmlformats.org/officeDocument/2006/relationships/hyperlink" Target="javascript:ChangeMUI(1033)"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rbf.org/" TargetMode="External"/><Relationship Id="rId20" Type="http://schemas.openxmlformats.org/officeDocument/2006/relationships/hyperlink" Target="http://www.cafonline.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javascript:ChangeMUI(103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ordfoundation.org/" TargetMode="External"/><Relationship Id="rId23" Type="http://schemas.openxmlformats.org/officeDocument/2006/relationships/hyperlink" Target="javascript:ChangeMUI(3082)"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unfoundation.or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tesfoundation.org/Pages/home.aspx" TargetMode="External"/><Relationship Id="rId22" Type="http://schemas.openxmlformats.org/officeDocument/2006/relationships/hyperlink" Target="http://www.osaka-community.or.j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FD18F40794432BAFA2AAC6D41B4EAC"/>
        <w:category>
          <w:name w:val="General"/>
          <w:gallery w:val="placeholder"/>
        </w:category>
        <w:types>
          <w:type w:val="bbPlcHdr"/>
        </w:types>
        <w:behaviors>
          <w:behavior w:val="content"/>
        </w:behaviors>
        <w:guid w:val="{3A33740B-4EDC-4A54-A199-9A22F2066006}"/>
      </w:docPartPr>
      <w:docPartBody>
        <w:p w:rsidR="000568A1" w:rsidRDefault="000568A1">
          <w:r w:rsidRPr="00851C3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A1"/>
    <w:rsid w:val="000568A1"/>
    <w:rsid w:val="006F5A0B"/>
    <w:rsid w:val="00B149F1"/>
    <w:rsid w:val="00CE4C1B"/>
    <w:rsid w:val="00E24B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8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352</Value>
    </TaxCatchAll>
    <DLCPolicyLabelClientValue xmlns="e560140e-7b2f-4392-90df-e7567e3021a3">Effective Date: 27/07/2016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2016-07-26T22:00:00+00:00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Foundations (BERA Partnerships)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_dlc_DocId xmlns="8264c5cc-ec60-4b56-8111-ce635d3d139a">POPP-11-2386</_dlc_DocId>
    <_dlc_DocIdUrl xmlns="8264c5cc-ec60-4b56-8111-ce635d3d139a">
      <Url>https://popp.undp.org/_layouts/15/DocIdRedir.aspx?ID=POPP-11-2386</Url>
      <Description>POPP-11-2386</Description>
    </_dlc_DocIdUrl>
    <DLCPolicyLabelValue xmlns="e560140e-7b2f-4392-90df-e7567e3021a3">Effective Date: 27/07/2016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9987A-3994-4EC6-A2B9-AE22D291F881}">
  <ds:schemaRefs>
    <ds:schemaRef ds:uri="http://schemas.openxmlformats.org/officeDocument/2006/bibliography"/>
  </ds:schemaRefs>
</ds:datastoreItem>
</file>

<file path=customXml/itemProps2.xml><?xml version="1.0" encoding="utf-8"?>
<ds:datastoreItem xmlns:ds="http://schemas.openxmlformats.org/officeDocument/2006/customXml" ds:itemID="{ACFF8238-1272-4DB5-9EE5-44D15BCD4598}">
  <ds:schemaRefs>
    <ds:schemaRef ds:uri="http://schemas.microsoft.com/sharepoint/events"/>
  </ds:schemaRefs>
</ds:datastoreItem>
</file>

<file path=customXml/itemProps3.xml><?xml version="1.0" encoding="utf-8"?>
<ds:datastoreItem xmlns:ds="http://schemas.openxmlformats.org/officeDocument/2006/customXml" ds:itemID="{8E577430-B5A2-4793-89A8-206505B18D1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2ED0BBC-581B-4941-8787-4A04093E9A37}">
  <ds:schemaRefs>
    <ds:schemaRef ds:uri="office.server.policy"/>
  </ds:schemaRefs>
</ds:datastoreItem>
</file>

<file path=customXml/itemProps5.xml><?xml version="1.0" encoding="utf-8"?>
<ds:datastoreItem xmlns:ds="http://schemas.openxmlformats.org/officeDocument/2006/customXml" ds:itemID="{1E04D934-5DE6-4211-B92D-0429AC9A1458}">
  <ds:schemaRefs>
    <ds:schemaRef ds:uri="http://schemas.microsoft.com/sharepoint/v3/contenttype/forms"/>
  </ds:schemaRefs>
</ds:datastoreItem>
</file>

<file path=customXml/itemProps6.xml><?xml version="1.0" encoding="utf-8"?>
<ds:datastoreItem xmlns:ds="http://schemas.openxmlformats.org/officeDocument/2006/customXml" ds:itemID="{32080062-1875-4144-8AF4-60C58B91D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Pablo Morete</cp:lastModifiedBy>
  <cp:revision>15</cp:revision>
  <dcterms:created xsi:type="dcterms:W3CDTF">2016-10-03T18:40:00Z</dcterms:created>
  <dcterms:modified xsi:type="dcterms:W3CDTF">2024-08-28T14:58:00Z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1261006b-4c73-49cd-8c4c-e6cd43bfc363</vt:lpwstr>
  </property>
  <property fmtid="{D5CDD505-2E9C-101B-9397-08002B2CF9AE}" pid="4" name="POPPBusinessProcess">
    <vt:lpwstr/>
  </property>
  <property fmtid="{D5CDD505-2E9C-101B-9397-08002B2CF9AE}" pid="5" name="UNDP_POPP_BUSINESSUNIT">
    <vt:lpwstr>352;#Partnerships|a843cfef-088c-4a81-b797-ea33f77a089e</vt:lpwstr>
  </property>
</Properties>
</file>