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8C0F" w14:textId="77777777" w:rsidR="005A4B73" w:rsidRPr="002D5FF8" w:rsidRDefault="005A4B73" w:rsidP="00FD316C">
      <w:pPr>
        <w:shd w:val="clear" w:color="auto" w:fill="FFFFFF"/>
        <w:spacing w:before="100" w:beforeAutospacing="1" w:after="100" w:afterAutospacing="1" w:line="270" w:lineRule="atLeast"/>
        <w:jc w:val="both"/>
        <w:rPr>
          <w:rFonts w:eastAsia="Times New Roman" w:cs="Arial"/>
          <w:b/>
          <w:bCs/>
          <w:sz w:val="28"/>
          <w:szCs w:val="28"/>
        </w:rPr>
      </w:pPr>
      <w:r w:rsidRPr="002D5FF8">
        <w:rPr>
          <w:b/>
          <w:bCs/>
          <w:sz w:val="28"/>
          <w:szCs w:val="28"/>
        </w:rPr>
        <w:t>Partenariats avec le secteur privé</w:t>
      </w:r>
    </w:p>
    <w:p w14:paraId="10E40BFF" w14:textId="77777777" w:rsidR="00335A95" w:rsidRPr="002D5FF8" w:rsidRDefault="0046557E" w:rsidP="00B36788">
      <w:pPr>
        <w:shd w:val="clear" w:color="auto" w:fill="FFFFFF"/>
        <w:spacing w:before="100" w:beforeAutospacing="1" w:after="100" w:afterAutospacing="1" w:line="270" w:lineRule="atLeast"/>
        <w:jc w:val="both"/>
        <w:rPr>
          <w:rFonts w:eastAsia="Times New Roman" w:cs="Arial"/>
        </w:rPr>
      </w:pPr>
      <w:r w:rsidRPr="002D5FF8">
        <w:rPr>
          <w:b/>
          <w:bCs/>
        </w:rPr>
        <w:t xml:space="preserve">OBJECTIFS </w:t>
      </w:r>
      <w:r w:rsidR="00335A95" w:rsidRPr="002D5FF8">
        <w:rPr>
          <w:b/>
          <w:bCs/>
        </w:rPr>
        <w:t>ET DÉFINITIONS</w:t>
      </w:r>
    </w:p>
    <w:p w14:paraId="17ACE25F" w14:textId="55EFA051" w:rsidR="007A580F" w:rsidRPr="002D5FF8" w:rsidRDefault="00352165" w:rsidP="00887B83">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entités du secteur privé désignent, entre autres, les entreprises à but lucratif de toute taille, les fondations d</w:t>
      </w:r>
      <w:r w:rsidR="00631D5D" w:rsidRPr="002D5FF8">
        <w:rPr>
          <w:color w:val="auto"/>
        </w:rPr>
        <w:t>’</w:t>
      </w:r>
      <w:r w:rsidRPr="002D5FF8">
        <w:rPr>
          <w:color w:val="auto"/>
        </w:rPr>
        <w:t>entreprise, les associations professionnelles, les coalitions et les</w:t>
      </w:r>
      <w:r w:rsidR="002C331B" w:rsidRPr="002D5FF8">
        <w:rPr>
          <w:color w:val="auto"/>
        </w:rPr>
        <w:t xml:space="preserve"> alliances</w:t>
      </w:r>
      <w:r w:rsidRPr="002D5FF8">
        <w:rPr>
          <w:color w:val="auto"/>
        </w:rPr>
        <w:t xml:space="preserve">. Le terme « secteur privé » désigne toute entité qui collabore ou pourrait collaborer avec le </w:t>
      </w:r>
      <w:r w:rsidR="00631D5D" w:rsidRPr="002D5FF8">
        <w:rPr>
          <w:color w:val="auto"/>
        </w:rPr>
        <w:t>Programme des Nations Unies pour le développement (PNUD)</w:t>
      </w:r>
      <w:r w:rsidRPr="002D5FF8">
        <w:rPr>
          <w:color w:val="auto"/>
        </w:rPr>
        <w:t>. Le PNUD peut travailler avec un groupe du secteur privé ou avec une entreprise individuelle.</w:t>
      </w:r>
    </w:p>
    <w:p w14:paraId="5E751AD8" w14:textId="77777777" w:rsidR="005E331D" w:rsidRPr="002D5FF8" w:rsidRDefault="005E331D" w:rsidP="005E331D">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4D93C37C" w14:textId="77777777" w:rsidR="005E331D" w:rsidRPr="002D5FF8"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interactions du PNUD avec le secteur privé peuvent être divisées en trois domaines</w:t>
      </w:r>
      <w:r w:rsidR="00631D5D" w:rsidRPr="002D5FF8">
        <w:rPr>
          <w:color w:val="auto"/>
        </w:rPr>
        <w:t> :</w:t>
      </w:r>
    </w:p>
    <w:p w14:paraId="38BF3EEB" w14:textId="77777777" w:rsidR="0071245D" w:rsidRPr="002D5FF8" w:rsidRDefault="0071245D" w:rsidP="0071245D">
      <w:pPr>
        <w:pStyle w:val="ListParagraph"/>
        <w:rPr>
          <w:rFonts w:eastAsia="Times New Roman" w:cs="Arial"/>
          <w:color w:val="auto"/>
          <w:lang w:eastAsia="fi-FI"/>
        </w:rPr>
      </w:pPr>
    </w:p>
    <w:p w14:paraId="1BDD932B" w14:textId="53613BCA" w:rsidR="0071245D" w:rsidRPr="002D5FF8" w:rsidRDefault="00A629B9" w:rsidP="00887B83">
      <w:pPr>
        <w:pStyle w:val="ListParagraph"/>
        <w:numPr>
          <w:ilvl w:val="0"/>
          <w:numId w:val="5"/>
        </w:numPr>
        <w:shd w:val="clear" w:color="auto" w:fill="FFFFFF"/>
        <w:spacing w:after="0" w:line="270" w:lineRule="atLeast"/>
        <w:rPr>
          <w:rFonts w:eastAsia="Times New Roman" w:cs="Arial"/>
          <w:color w:val="auto"/>
        </w:rPr>
      </w:pPr>
      <w:r>
        <w:rPr>
          <w:color w:val="auto"/>
        </w:rPr>
        <w:t>S</w:t>
      </w:r>
      <w:r w:rsidR="00335A95" w:rsidRPr="002D5FF8">
        <w:rPr>
          <w:color w:val="auto"/>
        </w:rPr>
        <w:t>outien au dé</w:t>
      </w:r>
      <w:r w:rsidR="00045AA3">
        <w:rPr>
          <w:color w:val="auto"/>
        </w:rPr>
        <w:t>veloppement du secteur privé - Lorsque le PNUD vise</w:t>
      </w:r>
      <w:r w:rsidR="00335A95" w:rsidRPr="002D5FF8">
        <w:rPr>
          <w:color w:val="auto"/>
        </w:rPr>
        <w:t xml:space="preserve"> à soutenir le développement du secteur privé par le biais d</w:t>
      </w:r>
      <w:r w:rsidR="00631D5D" w:rsidRPr="002D5FF8">
        <w:rPr>
          <w:color w:val="auto"/>
        </w:rPr>
        <w:t>’</w:t>
      </w:r>
      <w:r w:rsidR="00335A95" w:rsidRPr="002D5FF8">
        <w:rPr>
          <w:color w:val="auto"/>
        </w:rPr>
        <w:t>interventions de renforcement des politiques, des capacités et des institutions avec le secteur privé comme bénéficiaire</w:t>
      </w:r>
      <w:r w:rsidR="00631D5D" w:rsidRPr="002D5FF8">
        <w:rPr>
          <w:color w:val="auto"/>
        </w:rPr>
        <w:t> ;</w:t>
      </w:r>
    </w:p>
    <w:p w14:paraId="1E638B46" w14:textId="77777777" w:rsidR="0071245D" w:rsidRPr="002D5FF8" w:rsidRDefault="0071245D" w:rsidP="0071245D">
      <w:pPr>
        <w:pStyle w:val="ListParagraph"/>
        <w:shd w:val="clear" w:color="auto" w:fill="FFFFFF"/>
        <w:spacing w:after="0" w:line="270" w:lineRule="atLeast"/>
        <w:ind w:left="1095" w:firstLine="0"/>
        <w:rPr>
          <w:rFonts w:eastAsia="Times New Roman" w:cs="Arial"/>
          <w:color w:val="auto"/>
        </w:rPr>
      </w:pPr>
    </w:p>
    <w:p w14:paraId="6BE2CE2D" w14:textId="723C5B0B" w:rsidR="00335A95" w:rsidRPr="002D5FF8" w:rsidRDefault="00A629B9" w:rsidP="00887B83">
      <w:pPr>
        <w:pStyle w:val="ListParagraph"/>
        <w:numPr>
          <w:ilvl w:val="0"/>
          <w:numId w:val="5"/>
        </w:numPr>
        <w:shd w:val="clear" w:color="auto" w:fill="FFFFFF"/>
        <w:spacing w:after="0" w:line="270" w:lineRule="atLeast"/>
        <w:rPr>
          <w:rFonts w:eastAsia="Times New Roman" w:cs="Arial"/>
          <w:color w:val="auto"/>
        </w:rPr>
      </w:pPr>
      <w:r>
        <w:rPr>
          <w:color w:val="auto"/>
        </w:rPr>
        <w:t>P</w:t>
      </w:r>
      <w:r w:rsidR="00335A95" w:rsidRPr="002D5FF8">
        <w:rPr>
          <w:color w:val="auto"/>
        </w:rPr>
        <w:t>a</w:t>
      </w:r>
      <w:r>
        <w:rPr>
          <w:color w:val="auto"/>
        </w:rPr>
        <w:t>rticipation du secteur privé - L</w:t>
      </w:r>
      <w:r w:rsidR="00335A95" w:rsidRPr="002D5FF8">
        <w:rPr>
          <w:color w:val="auto"/>
        </w:rPr>
        <w:t>orsque le secteur privé collabore avec le PNUD pour faire avancer le programme de développement durable en appuyant les initiatives, les programmes et les projets de développement du PNUD</w:t>
      </w:r>
      <w:r w:rsidR="00631D5D" w:rsidRPr="002D5FF8">
        <w:rPr>
          <w:color w:val="auto"/>
        </w:rPr>
        <w:t> ;</w:t>
      </w:r>
    </w:p>
    <w:p w14:paraId="770C74B4" w14:textId="77777777" w:rsidR="005E331D" w:rsidRPr="002D5FF8" w:rsidRDefault="005E331D" w:rsidP="005E331D">
      <w:pPr>
        <w:pStyle w:val="ListParagraph"/>
        <w:shd w:val="clear" w:color="auto" w:fill="FFFFFF"/>
        <w:spacing w:after="0" w:line="270" w:lineRule="atLeast"/>
        <w:ind w:left="1095" w:firstLine="0"/>
        <w:rPr>
          <w:rFonts w:eastAsia="Times New Roman" w:cs="Arial"/>
          <w:color w:val="auto"/>
          <w:lang w:eastAsia="fi-FI"/>
        </w:rPr>
      </w:pPr>
    </w:p>
    <w:p w14:paraId="33E60E02" w14:textId="3F6130EF" w:rsidR="00335A95" w:rsidRPr="002D5FF8" w:rsidRDefault="00A629B9" w:rsidP="00887B83">
      <w:pPr>
        <w:pStyle w:val="ListParagraph"/>
        <w:numPr>
          <w:ilvl w:val="0"/>
          <w:numId w:val="5"/>
        </w:numPr>
        <w:shd w:val="clear" w:color="auto" w:fill="FFFFFF"/>
        <w:spacing w:after="0" w:line="270" w:lineRule="atLeast"/>
        <w:rPr>
          <w:rFonts w:eastAsia="Times New Roman" w:cs="Arial"/>
          <w:color w:val="auto"/>
        </w:rPr>
      </w:pPr>
      <w:r>
        <w:rPr>
          <w:color w:val="auto"/>
        </w:rPr>
        <w:t>Approvisionnements - M</w:t>
      </w:r>
      <w:r w:rsidR="00335A95" w:rsidRPr="002D5FF8">
        <w:rPr>
          <w:color w:val="auto"/>
        </w:rPr>
        <w:t>archés dans lesquels le secteur privé fournit des biens et des services au PNUD dans le cadre d</w:t>
      </w:r>
      <w:r w:rsidR="00631D5D" w:rsidRPr="002D5FF8">
        <w:rPr>
          <w:color w:val="auto"/>
        </w:rPr>
        <w:t>’</w:t>
      </w:r>
      <w:r w:rsidR="00335A95" w:rsidRPr="002D5FF8">
        <w:rPr>
          <w:color w:val="auto"/>
        </w:rPr>
        <w:t>un contrat commercial. Les procédures de cette section d</w:t>
      </w:r>
      <w:r w:rsidR="00631D5D" w:rsidRPr="002D5FF8">
        <w:rPr>
          <w:color w:val="auto"/>
        </w:rPr>
        <w:t xml:space="preserve">es politiques et procédures régissant les programmes et opérations (POPP) </w:t>
      </w:r>
      <w:r w:rsidR="00335A95" w:rsidRPr="002D5FF8">
        <w:rPr>
          <w:color w:val="auto"/>
        </w:rPr>
        <w:t>ne couvrent pas les approvisionnements du secteur privé. Pour les politiques relatives à l</w:t>
      </w:r>
      <w:r w:rsidR="00631D5D" w:rsidRPr="002D5FF8">
        <w:rPr>
          <w:color w:val="auto"/>
        </w:rPr>
        <w:t>’</w:t>
      </w:r>
      <w:r w:rsidR="00335A95" w:rsidRPr="002D5FF8">
        <w:rPr>
          <w:color w:val="auto"/>
        </w:rPr>
        <w:t xml:space="preserve">approvisionnement de biens et de services du secteur privé, voir les </w:t>
      </w:r>
      <w:hyperlink r:id="rId11" w:history="1">
        <w:r w:rsidR="00335A95" w:rsidRPr="002D5FF8">
          <w:rPr>
            <w:rStyle w:val="Hyperlink"/>
          </w:rPr>
          <w:t>Politiques d</w:t>
        </w:r>
        <w:r w:rsidR="00631D5D" w:rsidRPr="002D5FF8">
          <w:rPr>
            <w:rStyle w:val="Hyperlink"/>
          </w:rPr>
          <w:t>’</w:t>
        </w:r>
        <w:r w:rsidR="00335A95" w:rsidRPr="002D5FF8">
          <w:rPr>
            <w:rStyle w:val="Hyperlink"/>
          </w:rPr>
          <w:t>approvisionnement du PNUD</w:t>
        </w:r>
      </w:hyperlink>
      <w:r w:rsidR="00335A95" w:rsidRPr="002D5FF8">
        <w:rPr>
          <w:color w:val="auto"/>
        </w:rPr>
        <w:t xml:space="preserve"> dans le</w:t>
      </w:r>
      <w:r w:rsidR="00631D5D" w:rsidRPr="002D5FF8">
        <w:rPr>
          <w:color w:val="auto"/>
        </w:rPr>
        <w:t>s</w:t>
      </w:r>
      <w:r w:rsidR="00335A95" w:rsidRPr="002D5FF8">
        <w:rPr>
          <w:color w:val="auto"/>
        </w:rPr>
        <w:t xml:space="preserve"> POPP</w:t>
      </w:r>
      <w:r w:rsidR="00631D5D" w:rsidRPr="002D5FF8">
        <w:rPr>
          <w:color w:val="auto"/>
        </w:rPr>
        <w:t> ;</w:t>
      </w:r>
    </w:p>
    <w:p w14:paraId="1BB43CDE" w14:textId="77777777" w:rsidR="00335A95" w:rsidRPr="002D5FF8" w:rsidRDefault="00335A95" w:rsidP="00B36788">
      <w:pPr>
        <w:shd w:val="clear" w:color="auto" w:fill="FFFFFF"/>
        <w:spacing w:before="100" w:beforeAutospacing="1" w:after="100" w:afterAutospacing="1" w:line="270" w:lineRule="atLeast"/>
        <w:jc w:val="both"/>
        <w:rPr>
          <w:rFonts w:eastAsia="Times New Roman" w:cs="Arial"/>
        </w:rPr>
      </w:pPr>
      <w:r w:rsidRPr="002D5FF8">
        <w:rPr>
          <w:b/>
          <w:bCs/>
        </w:rPr>
        <w:t>Types de relation</w:t>
      </w:r>
    </w:p>
    <w:p w14:paraId="6C8FD7D4" w14:textId="6BE64B56" w:rsidR="00335A95" w:rsidRPr="002D5FF8"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Il existe trois g</w:t>
      </w:r>
      <w:r w:rsidR="00A85858">
        <w:rPr>
          <w:color w:val="auto"/>
        </w:rPr>
        <w:t>rands types de relation</w:t>
      </w:r>
      <w:r w:rsidRPr="002D5FF8">
        <w:rPr>
          <w:color w:val="auto"/>
        </w:rPr>
        <w:t xml:space="preserve"> du PNUD avec le secteur privé</w:t>
      </w:r>
      <w:r w:rsidR="00631D5D" w:rsidRPr="002D5FF8">
        <w:rPr>
          <w:color w:val="auto"/>
        </w:rPr>
        <w:t> :</w:t>
      </w:r>
    </w:p>
    <w:p w14:paraId="6557CF48" w14:textId="77777777" w:rsidR="00631D5D" w:rsidRPr="002D5FF8" w:rsidRDefault="00631D5D" w:rsidP="00631D5D">
      <w:pPr>
        <w:pStyle w:val="ListParagraph"/>
        <w:shd w:val="clear" w:color="auto" w:fill="FFFFFF"/>
        <w:spacing w:before="100" w:beforeAutospacing="1" w:after="100" w:afterAutospacing="1" w:line="270" w:lineRule="atLeast"/>
        <w:ind w:firstLine="0"/>
        <w:rPr>
          <w:rFonts w:eastAsia="Times New Roman" w:cs="Arial"/>
          <w:color w:val="auto"/>
        </w:rPr>
      </w:pPr>
    </w:p>
    <w:p w14:paraId="74B7F351" w14:textId="77777777" w:rsidR="005E331D" w:rsidRPr="002D5FF8" w:rsidRDefault="00335A95" w:rsidP="00887B83">
      <w:pPr>
        <w:pStyle w:val="ListParagraph"/>
        <w:numPr>
          <w:ilvl w:val="0"/>
          <w:numId w:val="6"/>
        </w:numPr>
        <w:shd w:val="clear" w:color="auto" w:fill="FFFFFF"/>
        <w:spacing w:after="0" w:line="270" w:lineRule="atLeast"/>
        <w:rPr>
          <w:rFonts w:eastAsia="Times New Roman" w:cs="Arial"/>
          <w:color w:val="auto"/>
        </w:rPr>
      </w:pPr>
      <w:r w:rsidRPr="002D5FF8">
        <w:rPr>
          <w:color w:val="auto"/>
        </w:rPr>
        <w:t>Relations de plaidoyer</w:t>
      </w:r>
    </w:p>
    <w:p w14:paraId="4FFE556C" w14:textId="77777777" w:rsidR="005E331D" w:rsidRPr="002D5FF8" w:rsidRDefault="005E331D" w:rsidP="005E331D">
      <w:pPr>
        <w:pStyle w:val="ListParagraph"/>
        <w:shd w:val="clear" w:color="auto" w:fill="FFFFFF"/>
        <w:spacing w:after="0" w:line="270" w:lineRule="atLeast"/>
        <w:ind w:left="1080" w:firstLine="0"/>
        <w:rPr>
          <w:rFonts w:eastAsia="Times New Roman" w:cs="Arial"/>
          <w:color w:val="auto"/>
          <w:lang w:val="fi-FI" w:eastAsia="fi-FI"/>
        </w:rPr>
      </w:pPr>
    </w:p>
    <w:p w14:paraId="6B1FF8C2" w14:textId="77777777" w:rsidR="005E331D" w:rsidRPr="002D5FF8" w:rsidRDefault="00335A95" w:rsidP="00887B83">
      <w:pPr>
        <w:pStyle w:val="ListParagraph"/>
        <w:numPr>
          <w:ilvl w:val="0"/>
          <w:numId w:val="6"/>
        </w:numPr>
        <w:shd w:val="clear" w:color="auto" w:fill="FFFFFF"/>
        <w:spacing w:after="0" w:line="270" w:lineRule="atLeast"/>
        <w:rPr>
          <w:rFonts w:eastAsia="Times New Roman" w:cs="Arial"/>
          <w:color w:val="auto"/>
        </w:rPr>
      </w:pPr>
      <w:r w:rsidRPr="002D5FF8">
        <w:rPr>
          <w:color w:val="auto"/>
        </w:rPr>
        <w:t>Activités principales et chaîne de valeur</w:t>
      </w:r>
    </w:p>
    <w:p w14:paraId="4497133A" w14:textId="77777777" w:rsidR="005E331D" w:rsidRPr="002D5FF8" w:rsidRDefault="005E331D" w:rsidP="005E331D">
      <w:pPr>
        <w:shd w:val="clear" w:color="auto" w:fill="FFFFFF"/>
        <w:spacing w:after="0" w:line="270" w:lineRule="atLeast"/>
        <w:rPr>
          <w:rFonts w:eastAsia="Times New Roman" w:cs="Arial"/>
          <w:lang w:val="fi-FI" w:eastAsia="fi-FI"/>
        </w:rPr>
      </w:pPr>
    </w:p>
    <w:p w14:paraId="72C96F82" w14:textId="77777777" w:rsidR="005E331D" w:rsidRPr="002D5FF8" w:rsidRDefault="00DA2AB2" w:rsidP="00887B83">
      <w:pPr>
        <w:pStyle w:val="ListParagraph"/>
        <w:numPr>
          <w:ilvl w:val="0"/>
          <w:numId w:val="6"/>
        </w:numPr>
        <w:shd w:val="clear" w:color="auto" w:fill="FFFFFF"/>
        <w:spacing w:after="0" w:line="270" w:lineRule="atLeast"/>
        <w:rPr>
          <w:rFonts w:eastAsia="Times New Roman" w:cs="Arial"/>
          <w:color w:val="auto"/>
        </w:rPr>
      </w:pPr>
      <w:r w:rsidRPr="002D5FF8">
        <w:rPr>
          <w:color w:val="auto"/>
        </w:rPr>
        <w:t>Contributions de ressources aux programmes et projets du PNUD.</w:t>
      </w:r>
    </w:p>
    <w:p w14:paraId="34C7CD75" w14:textId="77777777" w:rsidR="00725F1F" w:rsidRPr="002D5FF8" w:rsidRDefault="00725F1F" w:rsidP="00725F1F">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7021C576" w14:textId="77777777" w:rsidR="00335A95" w:rsidRPr="002D5FF8" w:rsidRDefault="00335A95" w:rsidP="00653198">
      <w:pPr>
        <w:pStyle w:val="ListParagraph"/>
        <w:shd w:val="clear" w:color="auto" w:fill="FFFFFF"/>
        <w:spacing w:before="100" w:beforeAutospacing="1" w:after="100" w:afterAutospacing="1" w:line="270" w:lineRule="atLeast"/>
        <w:ind w:firstLine="0"/>
        <w:rPr>
          <w:rFonts w:eastAsia="Times New Roman" w:cs="Arial"/>
          <w:color w:val="auto"/>
        </w:rPr>
      </w:pPr>
      <w:r w:rsidRPr="002D5FF8">
        <w:rPr>
          <w:color w:val="auto"/>
        </w:rPr>
        <w:t>Ces relations font appel à une ou plusieurs procédures pour formaliser les partenariats avec le secteur privé.</w:t>
      </w:r>
    </w:p>
    <w:p w14:paraId="5AA13667" w14:textId="77777777" w:rsidR="00335A95" w:rsidRPr="002D5FF8" w:rsidRDefault="00335A95" w:rsidP="000C36BC">
      <w:pPr>
        <w:shd w:val="clear" w:color="auto" w:fill="FFFFFF"/>
        <w:spacing w:beforeAutospacing="1" w:after="100" w:afterAutospacing="1" w:line="270" w:lineRule="atLeast"/>
        <w:rPr>
          <w:rFonts w:eastAsia="Times New Roman" w:cs="Arial"/>
        </w:rPr>
      </w:pPr>
      <w:r w:rsidRPr="002D5FF8">
        <w:rPr>
          <w:b/>
          <w:bCs/>
        </w:rPr>
        <w:t>Relations de plaidoyer</w:t>
      </w:r>
    </w:p>
    <w:p w14:paraId="20B588DB" w14:textId="1174032A" w:rsidR="0071245D" w:rsidRPr="00F02893" w:rsidRDefault="00335A95" w:rsidP="00F02893">
      <w:pPr>
        <w:pStyle w:val="ListParagraph"/>
        <w:numPr>
          <w:ilvl w:val="0"/>
          <w:numId w:val="4"/>
        </w:numPr>
        <w:shd w:val="clear" w:color="auto" w:fill="FFFFFF"/>
        <w:spacing w:before="100" w:beforeAutospacing="1" w:after="100" w:afterAutospacing="1" w:line="270" w:lineRule="atLeast"/>
        <w:rPr>
          <w:rFonts w:eastAsia="Times New Roman" w:cs="Arial"/>
          <w:b/>
          <w:bCs/>
          <w:color w:val="auto"/>
          <w:lang w:eastAsia="fi-FI"/>
        </w:rPr>
      </w:pPr>
      <w:r w:rsidRPr="002D5FF8">
        <w:rPr>
          <w:color w:val="auto"/>
        </w:rPr>
        <w:t>Dans les relations de plaidoyer, le PNUD peut collaborer avec une entreprise ou un réseau d</w:t>
      </w:r>
      <w:r w:rsidR="00631D5D" w:rsidRPr="002D5FF8">
        <w:rPr>
          <w:color w:val="auto"/>
        </w:rPr>
        <w:t>’</w:t>
      </w:r>
      <w:r w:rsidRPr="002D5FF8">
        <w:rPr>
          <w:color w:val="auto"/>
        </w:rPr>
        <w:t>entreprises pour rassembler une plateforme du secteur privé afin de mener un plaidoyer commun pour apporter un changement dans l</w:t>
      </w:r>
      <w:r w:rsidR="00631D5D" w:rsidRPr="002D5FF8">
        <w:rPr>
          <w:color w:val="auto"/>
        </w:rPr>
        <w:t>’</w:t>
      </w:r>
      <w:r w:rsidRPr="002D5FF8">
        <w:rPr>
          <w:color w:val="auto"/>
        </w:rPr>
        <w:t xml:space="preserve">environnement externe sur des questions </w:t>
      </w:r>
      <w:r w:rsidRPr="002D5FF8">
        <w:rPr>
          <w:color w:val="auto"/>
        </w:rPr>
        <w:lastRenderedPageBreak/>
        <w:t>d</w:t>
      </w:r>
      <w:r w:rsidR="00631D5D" w:rsidRPr="002D5FF8">
        <w:rPr>
          <w:color w:val="auto"/>
        </w:rPr>
        <w:t>’</w:t>
      </w:r>
      <w:r w:rsidRPr="002D5FF8">
        <w:rPr>
          <w:color w:val="auto"/>
        </w:rPr>
        <w:t>importance mutuelle pour le secteur privé et le PNUD. Il peut s</w:t>
      </w:r>
      <w:r w:rsidR="00631D5D" w:rsidRPr="002D5FF8">
        <w:rPr>
          <w:color w:val="auto"/>
        </w:rPr>
        <w:t>’</w:t>
      </w:r>
      <w:r w:rsidRPr="002D5FF8">
        <w:rPr>
          <w:color w:val="auto"/>
        </w:rPr>
        <w:t>agir notamment de collaborer directement avec une entreprise ou un groupe d</w:t>
      </w:r>
      <w:r w:rsidR="00631D5D" w:rsidRPr="002D5FF8">
        <w:rPr>
          <w:color w:val="auto"/>
        </w:rPr>
        <w:t>’</w:t>
      </w:r>
      <w:r w:rsidRPr="002D5FF8">
        <w:rPr>
          <w:color w:val="auto"/>
        </w:rPr>
        <w:t>entreprises et de les influencer à adopter un nouveau modèle d</w:t>
      </w:r>
      <w:r w:rsidR="00631D5D" w:rsidRPr="002D5FF8">
        <w:rPr>
          <w:color w:val="auto"/>
        </w:rPr>
        <w:t>’</w:t>
      </w:r>
      <w:r w:rsidRPr="002D5FF8">
        <w:rPr>
          <w:color w:val="auto"/>
        </w:rPr>
        <w:t>entreprise durable et inclusif. Le PNUD peut également réunir des forums multipartites.</w:t>
      </w:r>
    </w:p>
    <w:p w14:paraId="6F4FF5B9" w14:textId="77777777" w:rsidR="00335A95" w:rsidRPr="002D5FF8" w:rsidRDefault="00335A95" w:rsidP="00B36788">
      <w:pPr>
        <w:shd w:val="clear" w:color="auto" w:fill="FFFFFF"/>
        <w:spacing w:beforeAutospacing="1" w:after="100" w:afterAutospacing="1" w:line="270" w:lineRule="atLeast"/>
        <w:jc w:val="both"/>
        <w:rPr>
          <w:rFonts w:eastAsia="Times New Roman" w:cs="Arial"/>
        </w:rPr>
      </w:pPr>
      <w:r w:rsidRPr="002D5FF8">
        <w:rPr>
          <w:b/>
          <w:bCs/>
        </w:rPr>
        <w:t>Activités principales et chaîne de valeur</w:t>
      </w:r>
    </w:p>
    <w:p w14:paraId="6992B4F0" w14:textId="592AA950" w:rsidR="00152893" w:rsidRPr="002D5FF8" w:rsidRDefault="00152893" w:rsidP="00152893">
      <w:pPr>
        <w:pStyle w:val="ListParagraph"/>
        <w:numPr>
          <w:ilvl w:val="0"/>
          <w:numId w:val="4"/>
        </w:numPr>
        <w:shd w:val="clear" w:color="auto" w:fill="FFFFFF"/>
        <w:spacing w:before="100" w:beforeAutospacing="1" w:after="100" w:afterAutospacing="1" w:line="270" w:lineRule="atLeast"/>
        <w:rPr>
          <w:color w:val="auto"/>
        </w:rPr>
      </w:pPr>
      <w:r w:rsidRPr="002D5FF8">
        <w:rPr>
          <w:color w:val="auto"/>
        </w:rPr>
        <w:t>Le PNUD peut faire progresser le développement par l</w:t>
      </w:r>
      <w:r w:rsidR="00631D5D" w:rsidRPr="002D5FF8">
        <w:rPr>
          <w:color w:val="auto"/>
        </w:rPr>
        <w:t>’</w:t>
      </w:r>
      <w:r w:rsidRPr="002D5FF8">
        <w:rPr>
          <w:color w:val="auto"/>
        </w:rPr>
        <w:t>intermédiaire de ses activités principales en aidant les gouvernements à mettre en place un environnement propice ou en collaborant directement avec le secteur privé. Les opérations principales et les investissements peuvent contribuer au développement lorsqu</w:t>
      </w:r>
      <w:r w:rsidR="00631D5D" w:rsidRPr="002D5FF8">
        <w:rPr>
          <w:color w:val="auto"/>
        </w:rPr>
        <w:t>’</w:t>
      </w:r>
      <w:r w:rsidRPr="002D5FF8">
        <w:rPr>
          <w:color w:val="auto"/>
        </w:rPr>
        <w:t>ils sont menés de manière rentable, productive et responsable, dans le but de mi</w:t>
      </w:r>
      <w:r w:rsidR="00F02893">
        <w:rPr>
          <w:color w:val="auto"/>
        </w:rPr>
        <w:t xml:space="preserve">nimiser les aspects négatifs </w:t>
      </w:r>
      <w:r w:rsidRPr="002D5FF8">
        <w:rPr>
          <w:color w:val="auto"/>
        </w:rPr>
        <w:t>d</w:t>
      </w:r>
      <w:r w:rsidR="00631D5D" w:rsidRPr="002D5FF8">
        <w:rPr>
          <w:color w:val="auto"/>
        </w:rPr>
        <w:t>’</w:t>
      </w:r>
      <w:r w:rsidRPr="002D5FF8">
        <w:rPr>
          <w:color w:val="auto"/>
        </w:rPr>
        <w:t>accroître et de tirer parti des impacts positifs. En plus de l</w:t>
      </w:r>
      <w:r w:rsidR="00631D5D" w:rsidRPr="002D5FF8">
        <w:rPr>
          <w:color w:val="auto"/>
        </w:rPr>
        <w:t>’</w:t>
      </w:r>
      <w:r w:rsidRPr="002D5FF8">
        <w:rPr>
          <w:color w:val="auto"/>
        </w:rPr>
        <w:t>impact central des activités principales des entreprises tout au long de leurs chaînes de valeur et de leurs chaînes d</w:t>
      </w:r>
      <w:r w:rsidR="00631D5D" w:rsidRPr="002D5FF8">
        <w:rPr>
          <w:color w:val="auto"/>
        </w:rPr>
        <w:t>’</w:t>
      </w:r>
      <w:r w:rsidRPr="002D5FF8">
        <w:rPr>
          <w:color w:val="auto"/>
        </w:rPr>
        <w:t>approvisionnement, la responsabilité sociale des entreprises inclut le mécénat et l</w:t>
      </w:r>
      <w:r w:rsidR="00631D5D" w:rsidRPr="002D5FF8">
        <w:rPr>
          <w:color w:val="auto"/>
        </w:rPr>
        <w:t>’</w:t>
      </w:r>
      <w:r w:rsidRPr="002D5FF8">
        <w:rPr>
          <w:color w:val="auto"/>
        </w:rPr>
        <w:t>investissement communautaire, ainsi qu</w:t>
      </w:r>
      <w:r w:rsidR="00631D5D" w:rsidRPr="002D5FF8">
        <w:rPr>
          <w:color w:val="auto"/>
        </w:rPr>
        <w:t>’</w:t>
      </w:r>
      <w:r w:rsidRPr="002D5FF8">
        <w:rPr>
          <w:color w:val="auto"/>
        </w:rPr>
        <w:t>une interface de dialogue avec les politiques publiques et une contribution pour influencer les politiques publiques.</w:t>
      </w:r>
    </w:p>
    <w:p w14:paraId="3C344968" w14:textId="77777777" w:rsidR="00152893" w:rsidRPr="002D5FF8" w:rsidRDefault="00152893" w:rsidP="00152893">
      <w:pPr>
        <w:pStyle w:val="ListParagraph"/>
        <w:shd w:val="clear" w:color="auto" w:fill="FFFFFF"/>
        <w:spacing w:before="100" w:beforeAutospacing="1" w:after="100" w:afterAutospacing="1" w:line="270" w:lineRule="atLeast"/>
        <w:ind w:firstLine="0"/>
        <w:rPr>
          <w:color w:val="auto"/>
          <w:lang w:eastAsia="fi-FI"/>
        </w:rPr>
      </w:pPr>
    </w:p>
    <w:p w14:paraId="3CF0FC0A" w14:textId="77777777" w:rsidR="00152893" w:rsidRPr="002D5FF8" w:rsidRDefault="00152893" w:rsidP="00152893">
      <w:pPr>
        <w:pStyle w:val="ListParagraph"/>
        <w:numPr>
          <w:ilvl w:val="0"/>
          <w:numId w:val="4"/>
        </w:numPr>
        <w:shd w:val="clear" w:color="auto" w:fill="FFFFFF"/>
        <w:spacing w:before="100" w:beforeAutospacing="1" w:after="100" w:afterAutospacing="1" w:line="270" w:lineRule="atLeast"/>
        <w:rPr>
          <w:color w:val="auto"/>
        </w:rPr>
      </w:pPr>
      <w:r w:rsidRPr="002D5FF8">
        <w:rPr>
          <w:color w:val="auto"/>
        </w:rPr>
        <w:t>Un des domaines d</w:t>
      </w:r>
      <w:r w:rsidR="00631D5D" w:rsidRPr="002D5FF8">
        <w:rPr>
          <w:color w:val="auto"/>
        </w:rPr>
        <w:t>’</w:t>
      </w:r>
      <w:r w:rsidRPr="002D5FF8">
        <w:rPr>
          <w:color w:val="auto"/>
        </w:rPr>
        <w:t>intervention prioritaire est axé sur les entreprises inclusives, qui cherchent à fournir des biens, des services et des possibilités d</w:t>
      </w:r>
      <w:r w:rsidR="00631D5D" w:rsidRPr="002D5FF8">
        <w:rPr>
          <w:color w:val="auto"/>
        </w:rPr>
        <w:t>’</w:t>
      </w:r>
      <w:r w:rsidRPr="002D5FF8">
        <w:rPr>
          <w:color w:val="auto"/>
        </w:rPr>
        <w:t>emploi sur une base commercialement viable, à grande échelle ou évolutive, aux personnes vivant à la base de la pyramide économique</w:t>
      </w:r>
      <w:r w:rsidRPr="002D5FF8">
        <w:rPr>
          <w:rStyle w:val="FootnoteReference"/>
          <w:color w:val="auto"/>
          <w:lang w:eastAsia="fi-FI"/>
        </w:rPr>
        <w:footnoteReference w:customMarkFollows="1" w:id="1"/>
        <w:t>[1]</w:t>
      </w:r>
      <w:r w:rsidRPr="002D5FF8">
        <w:rPr>
          <w:color w:val="auto"/>
        </w:rPr>
        <w:t>. Les initiatives d</w:t>
      </w:r>
      <w:r w:rsidR="00631D5D" w:rsidRPr="002D5FF8">
        <w:rPr>
          <w:color w:val="auto"/>
        </w:rPr>
        <w:t>’</w:t>
      </w:r>
      <w:r w:rsidRPr="002D5FF8">
        <w:rPr>
          <w:color w:val="auto"/>
        </w:rPr>
        <w:t>entreprises inclusives sont délibérément conçues pour intégrer les populations mal desservies dans la chaîne de valeur des activités principales des entreprises en tant que fournisseurs, distributeurs, détaillants ou clients. Au fur et à mesure que les entreprises inclusives approfondissent leurs investissements dans les communautés à faible revenu, elles améliorent l</w:t>
      </w:r>
      <w:r w:rsidR="00631D5D" w:rsidRPr="002D5FF8">
        <w:rPr>
          <w:color w:val="auto"/>
        </w:rPr>
        <w:t>’</w:t>
      </w:r>
      <w:r w:rsidRPr="002D5FF8">
        <w:rPr>
          <w:color w:val="auto"/>
        </w:rPr>
        <w:t>accès à des produits et services de qualité abordables, améliorent la productivité et génèrent de nouvelles sources de revenus et de moyens de subsistance le long de la base de la pyramide économique. Ce faisant, elles permettent une croissance inclusive et un développement durable.</w:t>
      </w:r>
    </w:p>
    <w:p w14:paraId="0401DCA2" w14:textId="1941C261" w:rsidR="00335A95" w:rsidRPr="002D5FF8" w:rsidRDefault="00CB45FC" w:rsidP="00B36788">
      <w:pPr>
        <w:shd w:val="clear" w:color="auto" w:fill="FFFFFF"/>
        <w:spacing w:beforeAutospacing="1" w:after="100" w:afterAutospacing="1" w:line="270" w:lineRule="atLeast"/>
        <w:jc w:val="both"/>
        <w:rPr>
          <w:rFonts w:eastAsia="Times New Roman" w:cs="Arial"/>
        </w:rPr>
      </w:pPr>
      <w:r>
        <w:rPr>
          <w:b/>
          <w:bCs/>
        </w:rPr>
        <w:t>Contribution en</w:t>
      </w:r>
      <w:r w:rsidR="00DA2AB2" w:rsidRPr="002D5FF8">
        <w:rPr>
          <w:b/>
          <w:bCs/>
        </w:rPr>
        <w:t xml:space="preserve"> ressources aux programmes et projets du PNUD</w:t>
      </w:r>
    </w:p>
    <w:p w14:paraId="5679F3E3" w14:textId="0F1005B7" w:rsidR="00335A95" w:rsidRPr="002D5FF8" w:rsidRDefault="00410F76" w:rsidP="000C36BC">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Une série de ressources provenant d</w:t>
      </w:r>
      <w:r w:rsidR="00631D5D" w:rsidRPr="002D5FF8">
        <w:rPr>
          <w:color w:val="auto"/>
        </w:rPr>
        <w:t>’</w:t>
      </w:r>
      <w:r w:rsidRPr="002D5FF8">
        <w:rPr>
          <w:color w:val="auto"/>
        </w:rPr>
        <w:t>une ou de plusieurs entités du secteur privé peu</w:t>
      </w:r>
      <w:r w:rsidR="0024631F">
        <w:rPr>
          <w:color w:val="auto"/>
        </w:rPr>
        <w:t>t contribuer à un programme ou un</w:t>
      </w:r>
      <w:r w:rsidRPr="002D5FF8">
        <w:rPr>
          <w:color w:val="auto"/>
        </w:rPr>
        <w:t xml:space="preserve"> projet du PNUD. Du point de vue du secteur privé, les contributions sont des investissements sociaux sans rendement financier direct des activités.</w:t>
      </w:r>
      <w:r w:rsidR="00BE3E4E" w:rsidRPr="002D5FF8">
        <w:rPr>
          <w:color w:val="auto"/>
        </w:rPr>
        <w:t xml:space="preserve"> </w:t>
      </w:r>
      <w:r w:rsidRPr="002D5FF8">
        <w:rPr>
          <w:color w:val="auto"/>
        </w:rPr>
        <w:t>Les principaux types de contributions en ressources sont</w:t>
      </w:r>
      <w:r w:rsidR="00631D5D" w:rsidRPr="002D5FF8">
        <w:rPr>
          <w:color w:val="auto"/>
        </w:rPr>
        <w:t> :</w:t>
      </w:r>
    </w:p>
    <w:p w14:paraId="1F8E3EC8" w14:textId="77777777" w:rsidR="00725F1F" w:rsidRPr="002D5FF8" w:rsidRDefault="00725F1F" w:rsidP="00725F1F">
      <w:pPr>
        <w:pStyle w:val="ListParagraph"/>
        <w:shd w:val="clear" w:color="auto" w:fill="FFFFFF"/>
        <w:spacing w:before="100" w:beforeAutospacing="1" w:after="100" w:afterAutospacing="1" w:line="270" w:lineRule="atLeast"/>
        <w:ind w:left="1080" w:firstLine="0"/>
        <w:rPr>
          <w:rFonts w:eastAsia="Times New Roman" w:cs="Arial"/>
          <w:color w:val="auto"/>
          <w:lang w:eastAsia="fi-FI"/>
        </w:rPr>
      </w:pPr>
    </w:p>
    <w:p w14:paraId="2F0B470A" w14:textId="31A82736" w:rsidR="00351DC8" w:rsidRPr="002D5FF8" w:rsidRDefault="007E3264" w:rsidP="00887B83">
      <w:pPr>
        <w:pStyle w:val="ListParagraph"/>
        <w:numPr>
          <w:ilvl w:val="0"/>
          <w:numId w:val="9"/>
        </w:numPr>
        <w:shd w:val="clear" w:color="auto" w:fill="FFFFFF"/>
        <w:spacing w:before="100" w:beforeAutospacing="1" w:after="100" w:afterAutospacing="1" w:line="270" w:lineRule="atLeast"/>
        <w:rPr>
          <w:rFonts w:eastAsia="Times New Roman" w:cs="Arial"/>
          <w:color w:val="auto"/>
        </w:rPr>
      </w:pPr>
      <w:r w:rsidRPr="002D5FF8">
        <w:rPr>
          <w:b/>
          <w:color w:val="auto"/>
        </w:rPr>
        <w:t>Le f</w:t>
      </w:r>
      <w:r w:rsidR="00956EBD" w:rsidRPr="002D5FF8">
        <w:rPr>
          <w:b/>
          <w:color w:val="auto"/>
        </w:rPr>
        <w:t>inancement</w:t>
      </w:r>
      <w:r w:rsidR="00282DB9">
        <w:rPr>
          <w:color w:val="auto"/>
        </w:rPr>
        <w:t>- C</w:t>
      </w:r>
      <w:r w:rsidR="00351DC8" w:rsidRPr="002D5FF8">
        <w:rPr>
          <w:color w:val="auto"/>
        </w:rPr>
        <w:t>ontribution financière d</w:t>
      </w:r>
      <w:r w:rsidR="00631D5D" w:rsidRPr="002D5FF8">
        <w:rPr>
          <w:color w:val="auto"/>
        </w:rPr>
        <w:t>’</w:t>
      </w:r>
      <w:r w:rsidR="00351DC8" w:rsidRPr="002D5FF8">
        <w:rPr>
          <w:color w:val="auto"/>
        </w:rPr>
        <w:t>une entité du s</w:t>
      </w:r>
      <w:r w:rsidR="00282DB9">
        <w:rPr>
          <w:color w:val="auto"/>
        </w:rPr>
        <w:t>ecteur privé à un programme ou un</w:t>
      </w:r>
      <w:r w:rsidR="00351DC8" w:rsidRPr="002D5FF8">
        <w:rPr>
          <w:color w:val="auto"/>
        </w:rPr>
        <w:t xml:space="preserve"> projet du PNUD.</w:t>
      </w:r>
    </w:p>
    <w:p w14:paraId="5EB10FF1" w14:textId="77777777" w:rsidR="005E331D" w:rsidRPr="002D5FF8" w:rsidRDefault="005E331D" w:rsidP="005E331D">
      <w:pPr>
        <w:pStyle w:val="ListParagraph"/>
        <w:shd w:val="clear" w:color="auto" w:fill="FFFFFF"/>
        <w:spacing w:before="100" w:beforeAutospacing="1" w:after="100" w:afterAutospacing="1" w:line="270" w:lineRule="atLeast"/>
        <w:ind w:left="1080" w:firstLine="0"/>
        <w:rPr>
          <w:rFonts w:eastAsia="Times New Roman" w:cs="Arial"/>
          <w:color w:val="auto"/>
          <w:lang w:eastAsia="fi-FI"/>
        </w:rPr>
      </w:pPr>
    </w:p>
    <w:p w14:paraId="49BD6B10" w14:textId="07152DDF" w:rsidR="005E331D" w:rsidRPr="002D5FF8" w:rsidRDefault="00351DC8" w:rsidP="00887B83">
      <w:pPr>
        <w:pStyle w:val="ListParagraph"/>
        <w:numPr>
          <w:ilvl w:val="0"/>
          <w:numId w:val="9"/>
        </w:numPr>
        <w:shd w:val="clear" w:color="auto" w:fill="FFFFFF"/>
        <w:spacing w:before="100" w:beforeAutospacing="1" w:after="100" w:afterAutospacing="1" w:line="270" w:lineRule="atLeast"/>
        <w:rPr>
          <w:rFonts w:eastAsia="Times New Roman" w:cs="Arial"/>
          <w:color w:val="auto"/>
        </w:rPr>
      </w:pPr>
      <w:r w:rsidRPr="002D5FF8">
        <w:rPr>
          <w:b/>
          <w:color w:val="auto"/>
        </w:rPr>
        <w:lastRenderedPageBreak/>
        <w:t>Biens et services fournis à titre gracieux</w:t>
      </w:r>
      <w:r w:rsidR="00BE4BEC">
        <w:rPr>
          <w:color w:val="auto"/>
        </w:rPr>
        <w:t xml:space="preserve"> - F</w:t>
      </w:r>
      <w:r w:rsidRPr="002D5FF8">
        <w:rPr>
          <w:color w:val="auto"/>
        </w:rPr>
        <w:t>ourniture gratuite au PNUD de biens ou de services par une entité du secteur privé.</w:t>
      </w:r>
    </w:p>
    <w:p w14:paraId="02C12ED7" w14:textId="77777777" w:rsidR="00335A95" w:rsidRPr="002D5FF8" w:rsidRDefault="00335A95" w:rsidP="00813FC6">
      <w:pPr>
        <w:shd w:val="clear" w:color="auto" w:fill="FFFFFF"/>
        <w:spacing w:before="100" w:beforeAutospacing="1" w:after="100" w:afterAutospacing="1" w:line="270" w:lineRule="atLeast"/>
        <w:rPr>
          <w:rFonts w:eastAsia="Times New Roman" w:cs="Arial"/>
          <w:b/>
          <w:bCs/>
        </w:rPr>
      </w:pPr>
      <w:r w:rsidRPr="002D5FF8">
        <w:rPr>
          <w:b/>
          <w:bCs/>
        </w:rPr>
        <w:t>Utilisation de l</w:t>
      </w:r>
      <w:r w:rsidR="00631D5D" w:rsidRPr="002D5FF8">
        <w:rPr>
          <w:b/>
          <w:bCs/>
        </w:rPr>
        <w:t>’</w:t>
      </w:r>
      <w:r w:rsidRPr="002D5FF8">
        <w:rPr>
          <w:b/>
          <w:bCs/>
        </w:rPr>
        <w:t>emblème du PNUD dans le cadre d</w:t>
      </w:r>
      <w:r w:rsidR="00631D5D" w:rsidRPr="002D5FF8">
        <w:rPr>
          <w:b/>
          <w:bCs/>
        </w:rPr>
        <w:t>’</w:t>
      </w:r>
      <w:r w:rsidRPr="002D5FF8">
        <w:rPr>
          <w:b/>
          <w:bCs/>
        </w:rPr>
        <w:t>une relation avec le secteur privé</w:t>
      </w:r>
    </w:p>
    <w:p w14:paraId="482EA268" w14:textId="41A33163"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En vertu de </w:t>
      </w:r>
      <w:r w:rsidRPr="002D5FF8">
        <w:rPr>
          <w:color w:val="0070C0"/>
        </w:rPr>
        <w:t xml:space="preserve">la </w:t>
      </w:r>
      <w:hyperlink r:id="rId12" w:history="1">
        <w:r w:rsidRPr="00704F4B">
          <w:rPr>
            <w:rStyle w:val="Hyperlink"/>
          </w:rPr>
          <w:t>résolution</w:t>
        </w:r>
        <w:r w:rsidR="00401C1E" w:rsidRPr="00704F4B">
          <w:rPr>
            <w:rStyle w:val="Hyperlink"/>
          </w:rPr>
          <w:t> </w:t>
        </w:r>
        <w:r w:rsidRPr="00704F4B">
          <w:rPr>
            <w:rStyle w:val="Hyperlink"/>
          </w:rPr>
          <w:t>92 I) de l</w:t>
        </w:r>
        <w:r w:rsidR="00631D5D" w:rsidRPr="00704F4B">
          <w:rPr>
            <w:rStyle w:val="Hyperlink"/>
          </w:rPr>
          <w:t>’</w:t>
        </w:r>
        <w:r w:rsidR="0009713D" w:rsidRPr="00704F4B">
          <w:rPr>
            <w:rStyle w:val="Hyperlink"/>
          </w:rPr>
          <w:t>Assemblée générale</w:t>
        </w:r>
        <w:r w:rsidRPr="00704F4B">
          <w:rPr>
            <w:rStyle w:val="Hyperlink"/>
          </w:rPr>
          <w:t xml:space="preserve"> en date du 7</w:t>
        </w:r>
        <w:r w:rsidR="00401C1E" w:rsidRPr="00704F4B">
          <w:rPr>
            <w:rStyle w:val="Hyperlink"/>
          </w:rPr>
          <w:t> </w:t>
        </w:r>
        <w:r w:rsidRPr="00704F4B">
          <w:rPr>
            <w:rStyle w:val="Hyperlink"/>
          </w:rPr>
          <w:t>décembre</w:t>
        </w:r>
        <w:r w:rsidR="00401C1E" w:rsidRPr="00704F4B">
          <w:rPr>
            <w:rStyle w:val="Hyperlink"/>
          </w:rPr>
          <w:t> </w:t>
        </w:r>
        <w:r w:rsidRPr="00704F4B">
          <w:rPr>
            <w:rStyle w:val="Hyperlink"/>
          </w:rPr>
          <w:t>1946, l</w:t>
        </w:r>
      </w:hyperlink>
      <w:r w:rsidR="00631D5D" w:rsidRPr="002D5FF8">
        <w:rPr>
          <w:color w:val="auto"/>
        </w:rPr>
        <w:t>’</w:t>
      </w:r>
      <w:r w:rsidRPr="002D5FF8">
        <w:rPr>
          <w:color w:val="auto"/>
        </w:rPr>
        <w:t>utilisation du nom et de l</w:t>
      </w:r>
      <w:r w:rsidR="00631D5D" w:rsidRPr="002D5FF8">
        <w:rPr>
          <w:color w:val="auto"/>
        </w:rPr>
        <w:t>’</w:t>
      </w:r>
      <w:r w:rsidRPr="002D5FF8">
        <w:rPr>
          <w:color w:val="auto"/>
        </w:rPr>
        <w:t xml:space="preserve">emblème de </w:t>
      </w:r>
      <w:r w:rsidR="00401C1E" w:rsidRPr="002D5FF8">
        <w:rPr>
          <w:color w:val="auto"/>
        </w:rPr>
        <w:t>l’Organisation des Nations Unies (ONU)</w:t>
      </w:r>
      <w:r w:rsidRPr="002D5FF8">
        <w:rPr>
          <w:color w:val="auto"/>
        </w:rPr>
        <w:t xml:space="preserve"> est réservée à des fins </w:t>
      </w:r>
      <w:r w:rsidR="00A37DEE" w:rsidRPr="002D5FF8">
        <w:rPr>
          <w:color w:val="auto"/>
        </w:rPr>
        <w:t>officielles</w:t>
      </w:r>
      <w:r w:rsidRPr="002D5FF8">
        <w:rPr>
          <w:color w:val="auto"/>
        </w:rPr>
        <w:t xml:space="preserve"> de l</w:t>
      </w:r>
      <w:r w:rsidR="00631D5D" w:rsidRPr="002D5FF8">
        <w:rPr>
          <w:color w:val="auto"/>
        </w:rPr>
        <w:t>’</w:t>
      </w:r>
      <w:r w:rsidRPr="002D5FF8">
        <w:rPr>
          <w:color w:val="auto"/>
        </w:rPr>
        <w:t>ONU, et leur utilisation par des entités extérieures nécessite l</w:t>
      </w:r>
      <w:r w:rsidR="00631D5D" w:rsidRPr="002D5FF8">
        <w:rPr>
          <w:color w:val="auto"/>
        </w:rPr>
        <w:t>’</w:t>
      </w:r>
      <w:r w:rsidRPr="002D5FF8">
        <w:rPr>
          <w:color w:val="auto"/>
        </w:rPr>
        <w:t>autorisation préalable du Secrétaire général. Cette politique est fondée sur la nécessité de maintenir la protection accordée au nom et à l</w:t>
      </w:r>
      <w:r w:rsidR="00631D5D" w:rsidRPr="002D5FF8">
        <w:rPr>
          <w:color w:val="auto"/>
        </w:rPr>
        <w:t>’</w:t>
      </w:r>
      <w:r w:rsidRPr="002D5FF8">
        <w:rPr>
          <w:color w:val="auto"/>
        </w:rPr>
        <w:t xml:space="preserve">emblème de </w:t>
      </w:r>
      <w:r w:rsidR="00401C1E" w:rsidRPr="002D5FF8">
        <w:rPr>
          <w:color w:val="auto"/>
        </w:rPr>
        <w:t>l’ONU</w:t>
      </w:r>
      <w:r w:rsidRPr="002D5FF8">
        <w:rPr>
          <w:color w:val="auto"/>
        </w:rPr>
        <w:t xml:space="preserve"> (et de ses </w:t>
      </w:r>
      <w:r w:rsidR="00401C1E" w:rsidRPr="002D5FF8">
        <w:rPr>
          <w:color w:val="auto"/>
        </w:rPr>
        <w:t>organismes</w:t>
      </w:r>
      <w:r w:rsidRPr="002D5FF8">
        <w:rPr>
          <w:color w:val="auto"/>
        </w:rPr>
        <w:t>) en vertu du droit international, à condition qu</w:t>
      </w:r>
      <w:r w:rsidR="00631D5D" w:rsidRPr="002D5FF8">
        <w:rPr>
          <w:color w:val="auto"/>
        </w:rPr>
        <w:t>’</w:t>
      </w:r>
      <w:r w:rsidRPr="002D5FF8">
        <w:rPr>
          <w:color w:val="auto"/>
        </w:rPr>
        <w:t>ils ne soient pas utilisés à des fins commerciales.</w:t>
      </w:r>
    </w:p>
    <w:p w14:paraId="40194161"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23EE0FAA"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Cette politique protège également </w:t>
      </w:r>
      <w:r w:rsidR="00401C1E" w:rsidRPr="002D5FF8">
        <w:rPr>
          <w:color w:val="auto"/>
        </w:rPr>
        <w:t>l’ONU</w:t>
      </w:r>
      <w:r w:rsidRPr="002D5FF8">
        <w:rPr>
          <w:color w:val="auto"/>
        </w:rPr>
        <w:t xml:space="preserve"> contre les risques financiers liés à l</w:t>
      </w:r>
      <w:r w:rsidR="00631D5D" w:rsidRPr="002D5FF8">
        <w:rPr>
          <w:color w:val="auto"/>
        </w:rPr>
        <w:t>’</w:t>
      </w:r>
      <w:r w:rsidRPr="002D5FF8">
        <w:rPr>
          <w:color w:val="auto"/>
        </w:rPr>
        <w:t>utilisation commerciale du nom et de l</w:t>
      </w:r>
      <w:r w:rsidR="00631D5D" w:rsidRPr="002D5FF8">
        <w:rPr>
          <w:color w:val="auto"/>
        </w:rPr>
        <w:t>’</w:t>
      </w:r>
      <w:r w:rsidRPr="002D5FF8">
        <w:rPr>
          <w:color w:val="auto"/>
        </w:rPr>
        <w:t>emblème et, plus généralement, contre les risques pour les intérêts financiers ou autres de l</w:t>
      </w:r>
      <w:r w:rsidR="00631D5D" w:rsidRPr="002D5FF8">
        <w:rPr>
          <w:color w:val="auto"/>
        </w:rPr>
        <w:t>’</w:t>
      </w:r>
      <w:r w:rsidRPr="002D5FF8">
        <w:rPr>
          <w:color w:val="auto"/>
        </w:rPr>
        <w:t>ONU pouvant résulter de l</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w:t>
      </w:r>
      <w:r w:rsidR="00631D5D" w:rsidRPr="002D5FF8">
        <w:rPr>
          <w:color w:val="auto"/>
        </w:rPr>
        <w:t>’</w:t>
      </w:r>
      <w:r w:rsidRPr="002D5FF8">
        <w:rPr>
          <w:color w:val="auto"/>
        </w:rPr>
        <w:t>une manière ou par des individus ou des entités qui pourraient ne pas être compatibles avec les objectifs, les politiques et les activités de l</w:t>
      </w:r>
      <w:r w:rsidR="00631D5D" w:rsidRPr="002D5FF8">
        <w:rPr>
          <w:color w:val="auto"/>
        </w:rPr>
        <w:t>’</w:t>
      </w:r>
      <w:r w:rsidRPr="002D5FF8">
        <w:rPr>
          <w:color w:val="auto"/>
        </w:rPr>
        <w:t>ONU.</w:t>
      </w:r>
    </w:p>
    <w:p w14:paraId="7EDBB609" w14:textId="77777777" w:rsidR="004F4E07" w:rsidRPr="002D5FF8" w:rsidRDefault="004F4E07" w:rsidP="004F4E07">
      <w:pPr>
        <w:pStyle w:val="ListParagraph"/>
        <w:shd w:val="clear" w:color="auto" w:fill="FFFFFF"/>
        <w:spacing w:before="100" w:beforeAutospacing="1" w:after="100" w:afterAutospacing="1" w:line="240" w:lineRule="auto"/>
        <w:ind w:firstLine="0"/>
        <w:rPr>
          <w:rFonts w:eastAsia="Times New Roman" w:cs="Arial"/>
          <w:color w:val="auto"/>
          <w:lang w:eastAsia="fi-FI"/>
        </w:rPr>
      </w:pPr>
    </w:p>
    <w:p w14:paraId="4DE369D6" w14:textId="2CBEFD2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Tenant compte de l</w:t>
      </w:r>
      <w:r w:rsidR="00631D5D" w:rsidRPr="002D5FF8">
        <w:rPr>
          <w:color w:val="auto"/>
        </w:rPr>
        <w:t>’</w:t>
      </w:r>
      <w:r w:rsidRPr="002D5FF8">
        <w:rPr>
          <w:color w:val="auto"/>
        </w:rPr>
        <w:t>évolution des relations entre l</w:t>
      </w:r>
      <w:r w:rsidR="00631D5D" w:rsidRPr="002D5FF8">
        <w:rPr>
          <w:color w:val="auto"/>
        </w:rPr>
        <w:t>’</w:t>
      </w:r>
      <w:r w:rsidRPr="002D5FF8">
        <w:rPr>
          <w:color w:val="auto"/>
        </w:rPr>
        <w:t xml:space="preserve">ONU et le secteur privé, </w:t>
      </w:r>
      <w:hyperlink r:id="rId13" w:history="1">
        <w:r w:rsidRPr="002D5FF8">
          <w:rPr>
            <w:rStyle w:val="Hyperlink"/>
            <w:color w:val="0070C0"/>
          </w:rPr>
          <w:t>les directives d</w:t>
        </w:r>
        <w:r w:rsidR="00631D5D" w:rsidRPr="002D5FF8">
          <w:rPr>
            <w:rStyle w:val="Hyperlink"/>
            <w:color w:val="0070C0"/>
          </w:rPr>
          <w:t>’</w:t>
        </w:r>
        <w:r w:rsidRPr="002D5FF8">
          <w:rPr>
            <w:rStyle w:val="Hyperlink"/>
            <w:color w:val="0070C0"/>
          </w:rPr>
          <w:t>une approche fondée sur des principes de la coopération entre l</w:t>
        </w:r>
        <w:r w:rsidR="00631D5D" w:rsidRPr="002D5FF8">
          <w:rPr>
            <w:rStyle w:val="Hyperlink"/>
            <w:color w:val="0070C0"/>
          </w:rPr>
          <w:t>’</w:t>
        </w:r>
        <w:r w:rsidRPr="002D5FF8">
          <w:rPr>
            <w:rStyle w:val="Hyperlink"/>
            <w:color w:val="0070C0"/>
          </w:rPr>
          <w:t>ONU et le secteur privé</w:t>
        </w:r>
      </w:hyperlink>
      <w:r w:rsidRPr="002D5FF8">
        <w:rPr>
          <w:color w:val="auto"/>
        </w:rPr>
        <w:t xml:space="preserve"> clarifient les principes généraux d</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des Nations Unies, par le secteur privé dans le contexte d</w:t>
      </w:r>
      <w:r w:rsidR="00631D5D" w:rsidRPr="002D5FF8">
        <w:rPr>
          <w:color w:val="auto"/>
        </w:rPr>
        <w:t>’</w:t>
      </w:r>
      <w:r w:rsidRPr="002D5FF8">
        <w:rPr>
          <w:color w:val="auto"/>
        </w:rPr>
        <w:t>un partenariat.</w:t>
      </w:r>
    </w:p>
    <w:p w14:paraId="2860063E"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06DC47A7"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Par extension, cette politique s</w:t>
      </w:r>
      <w:r w:rsidR="00631D5D" w:rsidRPr="002D5FF8">
        <w:rPr>
          <w:color w:val="auto"/>
        </w:rPr>
        <w:t>’</w:t>
      </w:r>
      <w:r w:rsidRPr="002D5FF8">
        <w:rPr>
          <w:color w:val="auto"/>
        </w:rPr>
        <w:t>applique également à l</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du PNUD. Sur la base de cette politique, l</w:t>
      </w:r>
      <w:r w:rsidR="00631D5D" w:rsidRPr="002D5FF8">
        <w:rPr>
          <w:color w:val="auto"/>
        </w:rPr>
        <w:t>’</w:t>
      </w:r>
      <w:r w:rsidRPr="002D5FF8">
        <w:rPr>
          <w:color w:val="auto"/>
        </w:rPr>
        <w:t>ONU et le PNUD ont interdit aux individus ou aux entités faisant affaire avec le PNUD de publier généralement des contrats avec le PNUD pour promouvoir les affaires.</w:t>
      </w:r>
    </w:p>
    <w:p w14:paraId="4BB57DF3"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0CADBA88"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 PNUD reconnaît cependant qu</w:t>
      </w:r>
      <w:r w:rsidR="00631D5D" w:rsidRPr="002D5FF8">
        <w:rPr>
          <w:color w:val="auto"/>
        </w:rPr>
        <w:t>’</w:t>
      </w:r>
      <w:r w:rsidRPr="002D5FF8">
        <w:rPr>
          <w:color w:val="auto"/>
        </w:rPr>
        <w:t>il apprécie les contributions de la part des partenaires du secteur privé à ses travaux, d</w:t>
      </w:r>
      <w:r w:rsidR="00631D5D" w:rsidRPr="002D5FF8">
        <w:rPr>
          <w:color w:val="auto"/>
        </w:rPr>
        <w:t>’</w:t>
      </w:r>
      <w:r w:rsidRPr="002D5FF8">
        <w:rPr>
          <w:color w:val="auto"/>
        </w:rPr>
        <w:t>une manière appropriée qui répond aux préoccupations identifiées ci-dessus. Lorsque la collaboration avec l</w:t>
      </w:r>
      <w:r w:rsidR="00631D5D" w:rsidRPr="002D5FF8">
        <w:rPr>
          <w:color w:val="auto"/>
        </w:rPr>
        <w:t>’</w:t>
      </w:r>
      <w:r w:rsidRPr="002D5FF8">
        <w:rPr>
          <w:color w:val="auto"/>
        </w:rPr>
        <w:t>entreprise aboutit à un projet du PNUD, le PNUD doit tenir compte du fait que l</w:t>
      </w:r>
      <w:r w:rsidR="00631D5D" w:rsidRPr="002D5FF8">
        <w:rPr>
          <w:color w:val="auto"/>
        </w:rPr>
        <w:t>’</w:t>
      </w:r>
      <w:r w:rsidRPr="002D5FF8">
        <w:rPr>
          <w:color w:val="auto"/>
        </w:rPr>
        <w:t>entreprise a contribué au travail du PNUD, et peut donc autoriser l</w:t>
      </w:r>
      <w:r w:rsidR="00631D5D" w:rsidRPr="002D5FF8">
        <w:rPr>
          <w:color w:val="auto"/>
        </w:rPr>
        <w:t>’</w:t>
      </w:r>
      <w:r w:rsidRPr="002D5FF8">
        <w:rPr>
          <w:color w:val="auto"/>
        </w:rPr>
        <w:t>utilisation du nom et de l</w:t>
      </w:r>
      <w:r w:rsidR="00631D5D" w:rsidRPr="002D5FF8">
        <w:rPr>
          <w:color w:val="auto"/>
        </w:rPr>
        <w:t>’</w:t>
      </w:r>
      <w:r w:rsidRPr="002D5FF8">
        <w:rPr>
          <w:color w:val="auto"/>
        </w:rPr>
        <w:t>emblème du PNUD dans le cadre de cette contribution.</w:t>
      </w:r>
    </w:p>
    <w:p w14:paraId="7FD9B26B"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5D9EA9DB" w14:textId="00CF521E"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asciiTheme="minorHAnsi" w:eastAsia="Times New Roman" w:hAnsiTheme="minorHAnsi" w:cs="Arial"/>
          <w:color w:val="auto"/>
        </w:rPr>
      </w:pPr>
      <w:r w:rsidRPr="002D5FF8">
        <w:rPr>
          <w:color w:val="auto"/>
        </w:rPr>
        <w:t>Dans les cas où il n</w:t>
      </w:r>
      <w:r w:rsidR="00631D5D" w:rsidRPr="002D5FF8">
        <w:rPr>
          <w:color w:val="auto"/>
        </w:rPr>
        <w:t>’</w:t>
      </w:r>
      <w:r w:rsidRPr="002D5FF8">
        <w:rPr>
          <w:color w:val="auto"/>
        </w:rPr>
        <w:t>y</w:t>
      </w:r>
      <w:r w:rsidR="00E601A8">
        <w:rPr>
          <w:color w:val="auto"/>
        </w:rPr>
        <w:t xml:space="preserve"> a pas de projet du PNUD mais ou </w:t>
      </w:r>
      <w:r w:rsidRPr="002D5FF8">
        <w:rPr>
          <w:color w:val="auto"/>
        </w:rPr>
        <w:t>un bureau de pays souhaite malgré tout remercier le secteur privé pour son engagement en utilisant le nom et l</w:t>
      </w:r>
      <w:r w:rsidR="00631D5D" w:rsidRPr="002D5FF8">
        <w:rPr>
          <w:color w:val="auto"/>
        </w:rPr>
        <w:t>’</w:t>
      </w:r>
      <w:r w:rsidRPr="002D5FF8">
        <w:rPr>
          <w:color w:val="auto"/>
        </w:rPr>
        <w:t xml:space="preserve">emblème du PNUD, ces cas doivent être renvoyés au </w:t>
      </w:r>
      <w:hyperlink r:id="rId14" w:history="1">
        <w:r w:rsidRPr="002D5FF8">
          <w:rPr>
            <w:rStyle w:val="Hyperlink"/>
            <w:rFonts w:asciiTheme="minorHAnsi" w:hAnsiTheme="minorHAnsi"/>
            <w:color w:val="0070C0"/>
          </w:rPr>
          <w:t>Bureau des services de gestion, Service</w:t>
        </w:r>
        <w:r w:rsidR="007A232E">
          <w:rPr>
            <w:rStyle w:val="Hyperlink"/>
            <w:rFonts w:asciiTheme="minorHAnsi" w:hAnsiTheme="minorHAnsi"/>
            <w:color w:val="0070C0"/>
          </w:rPr>
          <w:t>s</w:t>
        </w:r>
        <w:r w:rsidRPr="002D5FF8">
          <w:rPr>
            <w:rStyle w:val="Hyperlink"/>
            <w:rFonts w:asciiTheme="minorHAnsi" w:hAnsiTheme="minorHAnsi"/>
            <w:color w:val="0070C0"/>
          </w:rPr>
          <w:t xml:space="preserve"> juridiqu</w:t>
        </w:r>
        <w:r w:rsidR="007A232E">
          <w:rPr>
            <w:rStyle w:val="Hyperlink"/>
            <w:rFonts w:asciiTheme="minorHAnsi" w:hAnsiTheme="minorHAnsi"/>
            <w:color w:val="0070C0"/>
          </w:rPr>
          <w:t>es</w:t>
        </w:r>
      </w:hyperlink>
      <w:r w:rsidRPr="002D5FF8">
        <w:rPr>
          <w:color w:val="auto"/>
        </w:rPr>
        <w:t>, pour avis.</w:t>
      </w:r>
    </w:p>
    <w:p w14:paraId="2AE7217C"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asciiTheme="minorHAnsi" w:eastAsia="Times New Roman" w:hAnsiTheme="minorHAnsi" w:cs="Arial"/>
          <w:color w:val="auto"/>
          <w:lang w:eastAsia="fi-FI"/>
        </w:rPr>
      </w:pPr>
    </w:p>
    <w:p w14:paraId="7FFC4D3D"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entreprises peuvent mentionner leurs contributions au travail du PNUD dans les communiqués de presse diffusés au public dans lesquels il est indiqué, par exemple, qu</w:t>
      </w:r>
      <w:r w:rsidR="00631D5D" w:rsidRPr="002D5FF8">
        <w:rPr>
          <w:color w:val="auto"/>
        </w:rPr>
        <w:t>’</w:t>
      </w:r>
      <w:r w:rsidRPr="002D5FF8">
        <w:rPr>
          <w:color w:val="auto"/>
        </w:rPr>
        <w:t>une société donnée a versé des fonds au PNUD à l</w:t>
      </w:r>
      <w:r w:rsidR="00631D5D" w:rsidRPr="002D5FF8">
        <w:rPr>
          <w:color w:val="auto"/>
        </w:rPr>
        <w:t>’</w:t>
      </w:r>
      <w:r w:rsidRPr="002D5FF8">
        <w:rPr>
          <w:color w:val="auto"/>
        </w:rPr>
        <w:t>appui de certaines activités. Le libellé du communiqué de presse ne peut cependant pas laisser supposer que le PNUD, en acceptant la contribution, soutienne directement ou indirectement l</w:t>
      </w:r>
      <w:r w:rsidR="00631D5D" w:rsidRPr="002D5FF8">
        <w:rPr>
          <w:color w:val="auto"/>
        </w:rPr>
        <w:t>’</w:t>
      </w:r>
      <w:r w:rsidRPr="002D5FF8">
        <w:rPr>
          <w:color w:val="auto"/>
        </w:rPr>
        <w:t>entreprise.</w:t>
      </w:r>
    </w:p>
    <w:p w14:paraId="0D2C0A09"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6D89ABE5" w14:textId="77777777" w:rsidR="004F4E07" w:rsidRPr="002D5FF8"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Pour cette raison, le PNUD doit préalablement approuver par écrit tout matériel destiné à être publié (sur support papier, électronique ou autre) mentionnant le PNUD, la contribution ou </w:t>
      </w:r>
      <w:r w:rsidRPr="002D5FF8">
        <w:rPr>
          <w:color w:val="auto"/>
        </w:rPr>
        <w:lastRenderedPageBreak/>
        <w:t>l</w:t>
      </w:r>
      <w:r w:rsidR="00631D5D" w:rsidRPr="002D5FF8">
        <w:rPr>
          <w:color w:val="auto"/>
        </w:rPr>
        <w:t>’</w:t>
      </w:r>
      <w:r w:rsidRPr="002D5FF8">
        <w:rPr>
          <w:color w:val="auto"/>
        </w:rPr>
        <w:t>activité que cette contribution appuie. Ce n</w:t>
      </w:r>
      <w:r w:rsidR="00631D5D" w:rsidRPr="002D5FF8">
        <w:rPr>
          <w:color w:val="auto"/>
        </w:rPr>
        <w:t>’</w:t>
      </w:r>
      <w:r w:rsidRPr="002D5FF8">
        <w:rPr>
          <w:color w:val="auto"/>
        </w:rPr>
        <w:t>est que dans le cas de déclarations factuelles aux actionnaires ou aux responsables internes du budget concernant le montant et l</w:t>
      </w:r>
      <w:r w:rsidR="00631D5D" w:rsidRPr="002D5FF8">
        <w:rPr>
          <w:color w:val="auto"/>
        </w:rPr>
        <w:t>’</w:t>
      </w:r>
      <w:r w:rsidRPr="002D5FF8">
        <w:rPr>
          <w:color w:val="auto"/>
        </w:rPr>
        <w:t>objet de la contribution qu</w:t>
      </w:r>
      <w:r w:rsidR="00631D5D" w:rsidRPr="002D5FF8">
        <w:rPr>
          <w:color w:val="auto"/>
        </w:rPr>
        <w:t>’</w:t>
      </w:r>
      <w:r w:rsidRPr="002D5FF8">
        <w:rPr>
          <w:color w:val="auto"/>
        </w:rPr>
        <w:t>une telle autorisation ne sera pas requise.</w:t>
      </w:r>
    </w:p>
    <w:p w14:paraId="55946BF9" w14:textId="77777777" w:rsidR="004F4E07" w:rsidRPr="002D5FF8" w:rsidRDefault="004F4E07" w:rsidP="004F4E07">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087BF5A1" w14:textId="5B08B826" w:rsidR="00C33D2A" w:rsidRPr="008B7A29" w:rsidRDefault="004F4E07" w:rsidP="005E331D">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En outre, si le partenaire du secteur privé souhaite mettre un lien vers le site Web du PNUD sur son site Web, le PNUD doit approuver la manière dont le lien est représenté et la page sur laquelle il est affiché. Il est préférable d</w:t>
      </w:r>
      <w:r w:rsidR="00631D5D" w:rsidRPr="002D5FF8">
        <w:rPr>
          <w:color w:val="auto"/>
        </w:rPr>
        <w:t>’</w:t>
      </w:r>
      <w:r w:rsidRPr="002D5FF8">
        <w:rPr>
          <w:color w:val="auto"/>
        </w:rPr>
        <w:t>utiliser le nom du PNUD sans l</w:t>
      </w:r>
      <w:r w:rsidR="00631D5D" w:rsidRPr="002D5FF8">
        <w:rPr>
          <w:color w:val="auto"/>
        </w:rPr>
        <w:t>’</w:t>
      </w:r>
      <w:r w:rsidRPr="002D5FF8">
        <w:rPr>
          <w:color w:val="auto"/>
        </w:rPr>
        <w:t>emblème. L</w:t>
      </w:r>
      <w:r w:rsidR="00631D5D" w:rsidRPr="002D5FF8">
        <w:rPr>
          <w:color w:val="auto"/>
        </w:rPr>
        <w:t>’</w:t>
      </w:r>
      <w:r w:rsidRPr="002D5FF8">
        <w:rPr>
          <w:color w:val="auto"/>
        </w:rPr>
        <w:t xml:space="preserve">entité du secteur privé doit également inclure une clause de non-responsabilité dans le lien stipulant </w:t>
      </w:r>
      <w:r w:rsidR="00631D5D" w:rsidRPr="002D5FF8">
        <w:rPr>
          <w:color w:val="auto"/>
        </w:rPr>
        <w:t>« </w:t>
      </w:r>
      <w:r w:rsidRPr="002D5FF8">
        <w:rPr>
          <w:color w:val="auto"/>
        </w:rPr>
        <w:t>Le lien vers le site Web du PNUD ne doit pas être interprété comme une approbation par le PNUD de l</w:t>
      </w:r>
      <w:r w:rsidR="00631D5D" w:rsidRPr="002D5FF8">
        <w:rPr>
          <w:color w:val="auto"/>
        </w:rPr>
        <w:t>’</w:t>
      </w:r>
      <w:r w:rsidRPr="002D5FF8">
        <w:rPr>
          <w:color w:val="auto"/>
        </w:rPr>
        <w:t>entreprise ou du contenu de son site Web</w:t>
      </w:r>
      <w:r w:rsidR="00A620EE">
        <w:rPr>
          <w:color w:val="auto"/>
        </w:rPr>
        <w:t xml:space="preserve"> </w:t>
      </w:r>
      <w:r w:rsidR="00631D5D" w:rsidRPr="002D5FF8">
        <w:rPr>
          <w:color w:val="auto"/>
        </w:rPr>
        <w:t>»</w:t>
      </w:r>
      <w:r w:rsidRPr="002D5FF8">
        <w:rPr>
          <w:color w:val="auto"/>
        </w:rPr>
        <w:t>.</w:t>
      </w:r>
      <w:bookmarkStart w:id="0" w:name="RelevantPolicies"/>
      <w:bookmarkEnd w:id="0"/>
    </w:p>
    <w:p w14:paraId="168AD99D" w14:textId="77777777" w:rsidR="005E331D" w:rsidRPr="002D5FF8" w:rsidRDefault="00D13947" w:rsidP="005E331D">
      <w:pPr>
        <w:jc w:val="both"/>
        <w:rPr>
          <w:rFonts w:eastAsia="Times New Roman" w:cs="Arial"/>
          <w:b/>
          <w:bCs/>
        </w:rPr>
      </w:pPr>
      <w:r w:rsidRPr="002D5FF8">
        <w:rPr>
          <w:b/>
          <w:bCs/>
        </w:rPr>
        <w:t>ÉVALUER LES PARTENARIATS AVEC LE SECTEUR PRIVÉ</w:t>
      </w:r>
    </w:p>
    <w:p w14:paraId="67CB1162" w14:textId="77777777" w:rsidR="0079670C" w:rsidRPr="002D5FF8" w:rsidRDefault="0079670C" w:rsidP="0079670C">
      <w:pPr>
        <w:pStyle w:val="ListParagraph"/>
        <w:numPr>
          <w:ilvl w:val="0"/>
          <w:numId w:val="4"/>
        </w:numPr>
        <w:shd w:val="clear" w:color="auto" w:fill="FFFFFF"/>
        <w:spacing w:line="270" w:lineRule="atLeast"/>
        <w:textAlignment w:val="top"/>
        <w:rPr>
          <w:rFonts w:eastAsia="Times New Roman" w:cs="Arial"/>
          <w:b/>
          <w:bCs/>
          <w:color w:val="auto"/>
        </w:rPr>
      </w:pPr>
      <w:bookmarkStart w:id="1" w:name="TemplatesForms"/>
      <w:bookmarkEnd w:id="1"/>
      <w:r w:rsidRPr="002D5FF8">
        <w:rPr>
          <w:bCs/>
          <w:color w:val="auto"/>
        </w:rPr>
        <w:t>Le PNUD cherchera à nouer des partenariats avec des entités du secteur privé attachées aux valeurs fondamentales et aux causes des Nations Unies et qui ne participent pas à des activités commerciales ou autres incompatibles avec les valeurs, la mission et la marque du PNUD.</w:t>
      </w:r>
      <w:r w:rsidR="00BE3E4E" w:rsidRPr="002D5FF8">
        <w:rPr>
          <w:bCs/>
          <w:color w:val="auto"/>
        </w:rPr>
        <w:t xml:space="preserve"> </w:t>
      </w:r>
      <w:r w:rsidRPr="002D5FF8">
        <w:rPr>
          <w:color w:val="auto"/>
        </w:rPr>
        <w:t xml:space="preserve">Les avantages et les risques associés à un partenariat proposé doivent être évalués avant de collaborer avec une entité du secteur privé. </w:t>
      </w:r>
      <w:bookmarkStart w:id="2" w:name="FlowChart"/>
      <w:bookmarkStart w:id="3" w:name="Procedures"/>
      <w:bookmarkEnd w:id="2"/>
      <w:bookmarkEnd w:id="3"/>
    </w:p>
    <w:p w14:paraId="7466C307" w14:textId="77777777" w:rsidR="0079670C" w:rsidRPr="002D5FF8" w:rsidRDefault="0079670C" w:rsidP="0079670C">
      <w:pPr>
        <w:pStyle w:val="ListParagraph"/>
        <w:shd w:val="clear" w:color="auto" w:fill="FFFFFF"/>
        <w:spacing w:line="270" w:lineRule="atLeast"/>
        <w:ind w:firstLine="0"/>
        <w:textAlignment w:val="top"/>
        <w:rPr>
          <w:rFonts w:eastAsia="Times New Roman" w:cs="Arial"/>
          <w:b/>
          <w:bCs/>
          <w:color w:val="auto"/>
          <w:lang w:val="fi-FI" w:eastAsia="fi-FI"/>
        </w:rPr>
      </w:pPr>
    </w:p>
    <w:p w14:paraId="2554C8FF" w14:textId="17DDDE1C" w:rsidR="0079670C" w:rsidRPr="002D5FF8" w:rsidRDefault="0079670C" w:rsidP="0079670C">
      <w:pPr>
        <w:pStyle w:val="ListParagraph"/>
        <w:numPr>
          <w:ilvl w:val="0"/>
          <w:numId w:val="4"/>
        </w:numPr>
        <w:shd w:val="clear" w:color="auto" w:fill="FFFFFF"/>
        <w:spacing w:line="270" w:lineRule="atLeast"/>
        <w:textAlignment w:val="top"/>
        <w:rPr>
          <w:rFonts w:eastAsia="Times New Roman" w:cs="Arial"/>
          <w:b/>
          <w:bCs/>
          <w:color w:val="auto"/>
        </w:rPr>
      </w:pPr>
      <w:r w:rsidRPr="002D5FF8">
        <w:rPr>
          <w:bCs/>
          <w:color w:val="auto"/>
        </w:rPr>
        <w:t xml:space="preserve">La </w:t>
      </w:r>
      <w:hyperlink r:id="rId15" w:history="1">
        <w:r w:rsidR="0047622B">
          <w:rPr>
            <w:rStyle w:val="Hyperlink"/>
            <w:bCs/>
          </w:rPr>
          <w:t>politique du PNUD en matière de diligence raisonnable et de partenariats avec le secteur privé [seulement en anglais]</w:t>
        </w:r>
      </w:hyperlink>
      <w:r w:rsidRPr="002D5FF8">
        <w:rPr>
          <w:bCs/>
          <w:color w:val="auto"/>
        </w:rPr>
        <w:t>, complétée par</w:t>
      </w:r>
      <w:r w:rsidR="0027442A">
        <w:rPr>
          <w:bCs/>
          <w:color w:val="auto"/>
        </w:rPr>
        <w:t xml:space="preserve"> </w:t>
      </w:r>
      <w:r w:rsidR="00CC2E08">
        <w:rPr>
          <w:bCs/>
          <w:color w:val="auto"/>
        </w:rPr>
        <w:t xml:space="preserve">le </w:t>
      </w:r>
      <w:hyperlink r:id="rId16" w:history="1">
        <w:r w:rsidR="00CC2E08">
          <w:rPr>
            <w:rStyle w:val="Hyperlink"/>
            <w:bCs/>
          </w:rPr>
          <w:t>Guide de l'outil d’évaluation des risques du secteur privé (hors ligne)</w:t>
        </w:r>
      </w:hyperlink>
      <w:r w:rsidR="0027442A">
        <w:rPr>
          <w:bCs/>
          <w:color w:val="auto"/>
        </w:rPr>
        <w:t xml:space="preserve"> </w:t>
      </w:r>
      <w:r w:rsidRPr="002D5FF8">
        <w:rPr>
          <w:bCs/>
          <w:color w:val="auto"/>
        </w:rPr>
        <w:t>et les lignes directrices sur l</w:t>
      </w:r>
      <w:r w:rsidR="00631D5D" w:rsidRPr="002D5FF8">
        <w:rPr>
          <w:bCs/>
          <w:color w:val="auto"/>
        </w:rPr>
        <w:t>’</w:t>
      </w:r>
      <w:r w:rsidRPr="002D5FF8">
        <w:rPr>
          <w:bCs/>
          <w:color w:val="auto"/>
        </w:rPr>
        <w:t>évaluation des risques, vise à guider le personnel tout au long du processus d</w:t>
      </w:r>
      <w:r w:rsidR="00631D5D" w:rsidRPr="002D5FF8">
        <w:rPr>
          <w:bCs/>
          <w:color w:val="auto"/>
        </w:rPr>
        <w:t>’</w:t>
      </w:r>
      <w:r w:rsidRPr="002D5FF8">
        <w:rPr>
          <w:bCs/>
          <w:color w:val="auto"/>
        </w:rPr>
        <w:t>évaluation des risques.</w:t>
      </w:r>
    </w:p>
    <w:p w14:paraId="40AFB661" w14:textId="77777777" w:rsidR="0079670C" w:rsidRPr="002D5FF8" w:rsidRDefault="0079670C" w:rsidP="0079670C">
      <w:pPr>
        <w:pStyle w:val="ListParagraph"/>
        <w:shd w:val="clear" w:color="auto" w:fill="FFFFFF"/>
        <w:spacing w:line="270" w:lineRule="atLeast"/>
        <w:ind w:firstLine="0"/>
        <w:textAlignment w:val="top"/>
        <w:rPr>
          <w:rFonts w:eastAsia="Times New Roman" w:cs="Arial"/>
          <w:b/>
          <w:bCs/>
          <w:color w:val="auto"/>
          <w:lang w:val="fi-FI" w:eastAsia="fi-FI"/>
        </w:rPr>
      </w:pPr>
    </w:p>
    <w:p w14:paraId="2FF4759D" w14:textId="77777777" w:rsidR="0079670C" w:rsidRPr="002D5FF8" w:rsidRDefault="0079670C" w:rsidP="0079670C">
      <w:pPr>
        <w:pStyle w:val="ListParagraph"/>
        <w:numPr>
          <w:ilvl w:val="0"/>
          <w:numId w:val="4"/>
        </w:numPr>
        <w:shd w:val="clear" w:color="auto" w:fill="FFFFFF"/>
        <w:spacing w:line="270" w:lineRule="atLeast"/>
        <w:textAlignment w:val="top"/>
        <w:rPr>
          <w:rFonts w:eastAsia="Times New Roman" w:cs="Arial"/>
          <w:b/>
          <w:bCs/>
          <w:color w:val="auto"/>
        </w:rPr>
      </w:pPr>
      <w:r w:rsidRPr="002D5FF8">
        <w:rPr>
          <w:bCs/>
          <w:color w:val="auto"/>
        </w:rPr>
        <w:t>Pour éclairer la décision de conclure ou non un partenariat avec une entité du secteur privé, l</w:t>
      </w:r>
      <w:r w:rsidR="00631D5D" w:rsidRPr="002D5FF8">
        <w:rPr>
          <w:bCs/>
          <w:color w:val="auto"/>
        </w:rPr>
        <w:t>’</w:t>
      </w:r>
      <w:r w:rsidRPr="002D5FF8">
        <w:rPr>
          <w:bCs/>
          <w:color w:val="auto"/>
        </w:rPr>
        <w:t>unité administrative initiatrice doit entreprendre, le plus tôt possible, la diligence raisonnable du partenaire potentiel, ce qui nécessite l</w:t>
      </w:r>
      <w:r w:rsidR="00631D5D" w:rsidRPr="002D5FF8">
        <w:rPr>
          <w:bCs/>
          <w:color w:val="auto"/>
        </w:rPr>
        <w:t>’</w:t>
      </w:r>
      <w:r w:rsidRPr="002D5FF8">
        <w:rPr>
          <w:bCs/>
          <w:color w:val="auto"/>
        </w:rPr>
        <w:t>exécution de l</w:t>
      </w:r>
      <w:r w:rsidR="00631D5D" w:rsidRPr="002D5FF8">
        <w:rPr>
          <w:bCs/>
          <w:color w:val="auto"/>
        </w:rPr>
        <w:t>’</w:t>
      </w:r>
      <w:r w:rsidRPr="002D5FF8">
        <w:rPr>
          <w:bCs/>
          <w:color w:val="auto"/>
        </w:rPr>
        <w:t>outil d</w:t>
      </w:r>
      <w:r w:rsidR="00631D5D" w:rsidRPr="002D5FF8">
        <w:rPr>
          <w:bCs/>
          <w:color w:val="auto"/>
        </w:rPr>
        <w:t>’</w:t>
      </w:r>
      <w:r w:rsidRPr="002D5FF8">
        <w:rPr>
          <w:bCs/>
          <w:color w:val="auto"/>
        </w:rPr>
        <w:t>évaluation des risques du secteur privé.</w:t>
      </w:r>
    </w:p>
    <w:p w14:paraId="5499FF52" w14:textId="77777777" w:rsidR="00054593" w:rsidRPr="002D5FF8" w:rsidRDefault="00054593" w:rsidP="0079670C">
      <w:pPr>
        <w:pStyle w:val="ListParagraph"/>
        <w:shd w:val="clear" w:color="auto" w:fill="FFFFFF"/>
        <w:spacing w:after="0" w:line="270" w:lineRule="atLeast"/>
        <w:ind w:firstLine="0"/>
        <w:textAlignment w:val="top"/>
        <w:rPr>
          <w:rFonts w:eastAsia="Times New Roman" w:cs="Arial"/>
          <w:color w:val="auto"/>
          <w:lang w:eastAsia="fi-FI"/>
        </w:rPr>
      </w:pPr>
    </w:p>
    <w:tbl>
      <w:tblPr>
        <w:tblW w:w="4874" w:type="pct"/>
        <w:tblCellMar>
          <w:top w:w="12" w:type="dxa"/>
          <w:left w:w="12" w:type="dxa"/>
          <w:bottom w:w="12" w:type="dxa"/>
          <w:right w:w="12" w:type="dxa"/>
        </w:tblCellMar>
        <w:tblLook w:val="04A0" w:firstRow="1" w:lastRow="0" w:firstColumn="1" w:lastColumn="0" w:noHBand="0" w:noVBand="1"/>
      </w:tblPr>
      <w:tblGrid>
        <w:gridCol w:w="9124"/>
      </w:tblGrid>
      <w:tr w:rsidR="00883925" w:rsidRPr="002D5FF8" w14:paraId="1EA2BE8E" w14:textId="77777777" w:rsidTr="00532081">
        <w:trPr>
          <w:trHeight w:val="2568"/>
        </w:trPr>
        <w:tc>
          <w:tcPr>
            <w:tcW w:w="0" w:type="auto"/>
            <w:tcMar>
              <w:top w:w="60" w:type="dxa"/>
              <w:left w:w="60" w:type="dxa"/>
              <w:bottom w:w="60" w:type="dxa"/>
              <w:right w:w="120" w:type="dxa"/>
            </w:tcMar>
            <w:hideMark/>
          </w:tcPr>
          <w:p w14:paraId="6CF853A5" w14:textId="1E4B6CBE" w:rsidR="00883925" w:rsidRPr="00F049F1" w:rsidRDefault="00A37DEE" w:rsidP="00F049F1">
            <w:pPr>
              <w:shd w:val="clear" w:color="auto" w:fill="FFFFFF"/>
              <w:spacing w:after="0" w:line="270" w:lineRule="atLeast"/>
              <w:jc w:val="both"/>
              <w:textAlignment w:val="top"/>
              <w:rPr>
                <w:rFonts w:eastAsia="Times New Roman" w:cs="Arial"/>
                <w:b/>
                <w:bCs/>
              </w:rPr>
            </w:pPr>
            <w:r w:rsidRPr="00F049F1">
              <w:rPr>
                <w:b/>
                <w:bCs/>
              </w:rPr>
              <w:t>FORMALISATION DES</w:t>
            </w:r>
            <w:r w:rsidR="005155DA" w:rsidRPr="00F049F1">
              <w:rPr>
                <w:b/>
                <w:bCs/>
              </w:rPr>
              <w:t xml:space="preserve"> PARTENARIATS AVEC LE SECTEUR PRIVÉ</w:t>
            </w:r>
          </w:p>
          <w:p w14:paraId="0DADD5C2" w14:textId="77777777" w:rsidR="00883925" w:rsidRPr="002D5FF8" w:rsidRDefault="00334E6C"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Cette politique guide le personnel sur la manière dont les différents types de collaborations peuvent être formalisés en utilisant les processus de gestion du PNUD et les accords de partenariat.</w:t>
            </w:r>
          </w:p>
          <w:p w14:paraId="60EE2DD8" w14:textId="77777777" w:rsidR="00054593" w:rsidRPr="002D5FF8" w:rsidRDefault="00054593" w:rsidP="00054593">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2C61A46A" w14:textId="722A0372"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b/>
                <w:bCs/>
                <w:color w:val="auto"/>
              </w:rPr>
            </w:pPr>
            <w:r w:rsidRPr="002D5FF8">
              <w:rPr>
                <w:color w:val="auto"/>
              </w:rPr>
              <w:t>Le PNUD travaille en partenariat avec les entreprises pour répondre à un besoin de développement particulier identifié dans des documents de planification tels que le plan d</w:t>
            </w:r>
            <w:r w:rsidR="00631D5D" w:rsidRPr="002D5FF8">
              <w:rPr>
                <w:color w:val="auto"/>
              </w:rPr>
              <w:t>’</w:t>
            </w:r>
            <w:r w:rsidRPr="002D5FF8">
              <w:rPr>
                <w:color w:val="auto"/>
              </w:rPr>
              <w:t>activité annuel de l</w:t>
            </w:r>
            <w:r w:rsidR="00631D5D" w:rsidRPr="002D5FF8">
              <w:rPr>
                <w:color w:val="auto"/>
              </w:rPr>
              <w:t>’</w:t>
            </w:r>
            <w:r w:rsidRPr="002D5FF8">
              <w:rPr>
                <w:color w:val="auto"/>
              </w:rPr>
              <w:t xml:space="preserve">organisation, et le </w:t>
            </w:r>
            <w:hyperlink r:id="rId17" w:history="1">
              <w:r w:rsidRPr="002D5FF8">
                <w:rPr>
                  <w:color w:val="0070C0"/>
                </w:rPr>
                <w:t>PNUAD</w:t>
              </w:r>
            </w:hyperlink>
            <w:r w:rsidRPr="002D5FF8">
              <w:rPr>
                <w:color w:val="auto"/>
              </w:rPr>
              <w:t xml:space="preserve"> et </w:t>
            </w:r>
            <w:r w:rsidR="00A37DEE" w:rsidRPr="002D5FF8">
              <w:rPr>
                <w:color w:val="auto"/>
              </w:rPr>
              <w:t>les descriptifs</w:t>
            </w:r>
            <w:r w:rsidRPr="002D5FF8">
              <w:rPr>
                <w:color w:val="auto"/>
              </w:rPr>
              <w:t xml:space="preserve"> des programmes de pays.</w:t>
            </w:r>
          </w:p>
          <w:p w14:paraId="38ED5465" w14:textId="77777777" w:rsidR="00883925" w:rsidRPr="002D5FF8" w:rsidRDefault="00883925" w:rsidP="00D13947">
            <w:pPr>
              <w:shd w:val="clear" w:color="auto" w:fill="FFFFFF"/>
              <w:spacing w:before="100" w:beforeAutospacing="1" w:after="100" w:afterAutospacing="1" w:line="270" w:lineRule="atLeast"/>
              <w:ind w:left="360"/>
              <w:jc w:val="both"/>
              <w:rPr>
                <w:rFonts w:eastAsia="Times New Roman" w:cs="Arial"/>
              </w:rPr>
            </w:pPr>
            <w:r w:rsidRPr="002D5FF8">
              <w:rPr>
                <w:b/>
                <w:bCs/>
              </w:rPr>
              <w:t>Collaborations informelles</w:t>
            </w:r>
          </w:p>
          <w:p w14:paraId="03CB7106" w14:textId="77777777"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partenariats doivent avoir des buts et objectifs convenus d</w:t>
            </w:r>
            <w:r w:rsidR="00631D5D" w:rsidRPr="002D5FF8">
              <w:rPr>
                <w:color w:val="auto"/>
              </w:rPr>
              <w:t>’</w:t>
            </w:r>
            <w:r w:rsidRPr="002D5FF8">
              <w:rPr>
                <w:color w:val="auto"/>
              </w:rPr>
              <w:t>un commun accord et des rôles et responsabilités clairement définis. S</w:t>
            </w:r>
            <w:r w:rsidR="00631D5D" w:rsidRPr="002D5FF8">
              <w:rPr>
                <w:color w:val="auto"/>
              </w:rPr>
              <w:t>’</w:t>
            </w:r>
            <w:r w:rsidRPr="002D5FF8">
              <w:rPr>
                <w:color w:val="auto"/>
              </w:rPr>
              <w:t>il n</w:t>
            </w:r>
            <w:r w:rsidR="00631D5D" w:rsidRPr="002D5FF8">
              <w:rPr>
                <w:color w:val="auto"/>
              </w:rPr>
              <w:t>’</w:t>
            </w:r>
            <w:r w:rsidRPr="002D5FF8">
              <w:rPr>
                <w:color w:val="auto"/>
              </w:rPr>
              <w:t>y a pas de résultats programmatiques, opérationnels, de services ou financiers, il est possible d</w:t>
            </w:r>
            <w:r w:rsidR="00631D5D" w:rsidRPr="002D5FF8">
              <w:rPr>
                <w:color w:val="auto"/>
              </w:rPr>
              <w:t>’</w:t>
            </w:r>
            <w:r w:rsidRPr="002D5FF8">
              <w:rPr>
                <w:color w:val="auto"/>
              </w:rPr>
              <w:t>établir une collaboration entre le PNUD et le secteur privé qui ne nécessite pas de formalisation par un accord de partenariat.</w:t>
            </w:r>
          </w:p>
          <w:p w14:paraId="71094049" w14:textId="6B3580BC"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lastRenderedPageBreak/>
              <w:t>Une collaboration informell</w:t>
            </w:r>
            <w:r w:rsidR="00AE4959" w:rsidRPr="002D5FF8">
              <w:rPr>
                <w:color w:val="auto"/>
              </w:rPr>
              <w:t>e et occasionnelle est possible</w:t>
            </w:r>
            <w:r w:rsidRPr="002D5FF8">
              <w:rPr>
                <w:color w:val="auto"/>
              </w:rPr>
              <w:t xml:space="preserve"> cependant, une unité administrative doit être consciente que si ces collaborations deviennent plus régulières, avec la perspective de résultats substantiels, elles présentent des opportunités et des risques pour le PNUD. Dans ces cas, les unités administratives doivent envisager une formalisation par le biais d</w:t>
            </w:r>
            <w:r w:rsidR="00631D5D" w:rsidRPr="002D5FF8">
              <w:rPr>
                <w:color w:val="auto"/>
              </w:rPr>
              <w:t>’</w:t>
            </w:r>
            <w:r w:rsidRPr="002D5FF8">
              <w:rPr>
                <w:color w:val="auto"/>
              </w:rPr>
              <w:t>un protocole d</w:t>
            </w:r>
            <w:r w:rsidR="00631D5D" w:rsidRPr="002D5FF8">
              <w:rPr>
                <w:color w:val="auto"/>
              </w:rPr>
              <w:t>’</w:t>
            </w:r>
            <w:r w:rsidRPr="002D5FF8">
              <w:rPr>
                <w:color w:val="auto"/>
              </w:rPr>
              <w:t>accord ou d</w:t>
            </w:r>
            <w:r w:rsidR="00631D5D" w:rsidRPr="002D5FF8">
              <w:rPr>
                <w:color w:val="auto"/>
              </w:rPr>
              <w:t>’</w:t>
            </w:r>
            <w:r w:rsidRPr="002D5FF8">
              <w:rPr>
                <w:color w:val="auto"/>
              </w:rPr>
              <w:t>un autre accord de partenariat approprié.</w:t>
            </w:r>
          </w:p>
          <w:p w14:paraId="0AF4244A" w14:textId="77777777" w:rsidR="00883925" w:rsidRPr="002D5FF8" w:rsidRDefault="00883925" w:rsidP="00D13947">
            <w:pPr>
              <w:ind w:left="360"/>
              <w:jc w:val="both"/>
              <w:rPr>
                <w:rFonts w:eastAsia="Times New Roman" w:cs="Arial"/>
                <w:b/>
              </w:rPr>
            </w:pPr>
            <w:r w:rsidRPr="002D5FF8">
              <w:rPr>
                <w:b/>
              </w:rPr>
              <w:t>Collaborations formelles</w:t>
            </w:r>
          </w:p>
          <w:p w14:paraId="5320D06C" w14:textId="5B167EC8" w:rsidR="005B402C" w:rsidRPr="002D5FF8" w:rsidRDefault="0094408F"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bCs/>
                <w:color w:val="auto"/>
              </w:rPr>
              <w:t xml:space="preserve">Les partenariats formels avec secteur privé sont des collaborations qui ont des résultats tangibles programmatiques, opérationnels, de service ou financiers. Les partenariats formels avec le secteur privé doivent suivre les procédures décrites dans le programme et le cycle de projet du PNUD. </w:t>
            </w:r>
            <w:r w:rsidRPr="002D5FF8">
              <w:rPr>
                <w:color w:val="auto"/>
              </w:rPr>
              <w:t>Une fois qu</w:t>
            </w:r>
            <w:r w:rsidR="00631D5D" w:rsidRPr="002D5FF8">
              <w:rPr>
                <w:color w:val="auto"/>
              </w:rPr>
              <w:t>’</w:t>
            </w:r>
            <w:r w:rsidRPr="002D5FF8">
              <w:rPr>
                <w:color w:val="auto"/>
              </w:rPr>
              <w:t>il a été décidé que les avantages de la collaboration avec le secteur privé sont suffisants pour justifier les risques auxquels le PNUD pourrait être confronté, le descriptif de projet peut être terminé et approuvé de la même manière que les autres projets du PNUD.</w:t>
            </w:r>
            <w:r w:rsidR="00BE3E4E" w:rsidRPr="002D5FF8">
              <w:rPr>
                <w:color w:val="auto"/>
              </w:rPr>
              <w:t xml:space="preserve"> </w:t>
            </w:r>
            <w:r w:rsidRPr="002D5FF8">
              <w:rPr>
                <w:color w:val="auto"/>
              </w:rPr>
              <w:t>Toute collaboration entre le PNUD et une entreprise impliquant un transfert de ressources entre le PNUD et l</w:t>
            </w:r>
            <w:r w:rsidR="00631D5D" w:rsidRPr="002D5FF8">
              <w:rPr>
                <w:color w:val="auto"/>
              </w:rPr>
              <w:t>’</w:t>
            </w:r>
            <w:r w:rsidRPr="002D5FF8">
              <w:rPr>
                <w:color w:val="auto"/>
              </w:rPr>
              <w:t xml:space="preserve">entreprise doit suivre les procédures détaillées dans la section </w:t>
            </w:r>
            <w:hyperlink r:id="rId18" w:history="1">
              <w:r w:rsidRPr="002D5FF8">
                <w:rPr>
                  <w:rStyle w:val="Hyperlink"/>
                </w:rPr>
                <w:t>Gestion des programmes et des projets</w:t>
              </w:r>
            </w:hyperlink>
            <w:r w:rsidR="007A232E">
              <w:rPr>
                <w:rStyle w:val="Hyperlink"/>
              </w:rPr>
              <w:t xml:space="preserve"> </w:t>
            </w:r>
            <w:r w:rsidR="007A232E" w:rsidRPr="002D5FF8">
              <w:rPr>
                <w:color w:val="auto"/>
              </w:rPr>
              <w:t>des POPP</w:t>
            </w:r>
            <w:r w:rsidR="007A232E">
              <w:rPr>
                <w:color w:val="auto"/>
              </w:rPr>
              <w:t>.</w:t>
            </w:r>
          </w:p>
          <w:p w14:paraId="2CE89926" w14:textId="77777777" w:rsidR="009F4A76" w:rsidRPr="002D5FF8" w:rsidRDefault="009F4A76" w:rsidP="009F4A76">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72481F71" w14:textId="77777777" w:rsidR="00883925"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 xml:space="preserve">Toutes les </w:t>
            </w:r>
            <w:r w:rsidRPr="002D5FF8">
              <w:rPr>
                <w:b/>
                <w:color w:val="auto"/>
              </w:rPr>
              <w:t>collaborations officielles</w:t>
            </w:r>
            <w:r w:rsidRPr="002D5FF8">
              <w:rPr>
                <w:color w:val="auto"/>
              </w:rPr>
              <w:t xml:space="preserve"> doivent être formalisées par l</w:t>
            </w:r>
            <w:r w:rsidR="00631D5D" w:rsidRPr="002D5FF8">
              <w:rPr>
                <w:color w:val="auto"/>
              </w:rPr>
              <w:t>’</w:t>
            </w:r>
            <w:r w:rsidRPr="002D5FF8">
              <w:rPr>
                <w:color w:val="auto"/>
              </w:rPr>
              <w:t>un des instruments suivant</w:t>
            </w:r>
            <w:r w:rsidR="00631D5D" w:rsidRPr="002D5FF8">
              <w:rPr>
                <w:color w:val="auto"/>
              </w:rPr>
              <w:t>s :</w:t>
            </w:r>
            <w:r w:rsidRPr="002D5FF8">
              <w:rPr>
                <w:color w:val="auto"/>
              </w:rPr>
              <w:br/>
            </w:r>
          </w:p>
          <w:tbl>
            <w:tblPr>
              <w:tblW w:w="0" w:type="auto"/>
              <w:tblCellMar>
                <w:left w:w="0" w:type="dxa"/>
                <w:right w:w="0" w:type="dxa"/>
              </w:tblCellMar>
              <w:tblLook w:val="04A0" w:firstRow="1" w:lastRow="0" w:firstColumn="1" w:lastColumn="0" w:noHBand="0" w:noVBand="1"/>
            </w:tblPr>
            <w:tblGrid>
              <w:gridCol w:w="2573"/>
              <w:gridCol w:w="6351"/>
            </w:tblGrid>
            <w:tr w:rsidR="00883925" w:rsidRPr="002D5FF8" w14:paraId="5A568352" w14:textId="77777777" w:rsidTr="00883925">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EB2DAE" w14:textId="77777777" w:rsidR="00883925" w:rsidRPr="002D5FF8" w:rsidRDefault="00883925" w:rsidP="000031F9">
                  <w:pPr>
                    <w:spacing w:line="276" w:lineRule="auto"/>
                    <w:rPr>
                      <w:rFonts w:eastAsia="Calibri" w:cstheme="minorHAnsi"/>
                      <w:b/>
                      <w:bCs/>
                      <w:shd w:val="clear" w:color="auto" w:fill="FFFFFF"/>
                    </w:rPr>
                  </w:pPr>
                  <w:r w:rsidRPr="002D5FF8">
                    <w:rPr>
                      <w:b/>
                      <w:bCs/>
                      <w:shd w:val="clear" w:color="auto" w:fill="FFFFFF"/>
                    </w:rPr>
                    <w:t>Types d</w:t>
                  </w:r>
                  <w:r w:rsidR="00631D5D" w:rsidRPr="002D5FF8">
                    <w:rPr>
                      <w:b/>
                      <w:bCs/>
                      <w:shd w:val="clear" w:color="auto" w:fill="FFFFFF"/>
                    </w:rPr>
                    <w:t>’</w:t>
                  </w:r>
                  <w:r w:rsidRPr="002D5FF8">
                    <w:rPr>
                      <w:b/>
                      <w:bCs/>
                      <w:shd w:val="clear" w:color="auto" w:fill="FFFFFF"/>
                    </w:rPr>
                    <w:t xml:space="preserve">accords de partenariat et modèles </w:t>
                  </w:r>
                </w:p>
              </w:tc>
              <w:tc>
                <w:tcPr>
                  <w:tcW w:w="6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46154" w14:textId="77777777" w:rsidR="00883925" w:rsidRPr="002D5FF8" w:rsidRDefault="00883925" w:rsidP="000031F9">
                  <w:pPr>
                    <w:spacing w:line="276" w:lineRule="auto"/>
                    <w:rPr>
                      <w:rFonts w:eastAsia="Calibri" w:cstheme="minorHAnsi"/>
                      <w:b/>
                      <w:bCs/>
                      <w:shd w:val="clear" w:color="auto" w:fill="FFFFFF"/>
                    </w:rPr>
                  </w:pPr>
                  <w:r w:rsidRPr="002D5FF8">
                    <w:rPr>
                      <w:b/>
                      <w:bCs/>
                      <w:shd w:val="clear" w:color="auto" w:fill="FFFFFF"/>
                    </w:rPr>
                    <w:t>Description</w:t>
                  </w:r>
                </w:p>
              </w:tc>
            </w:tr>
            <w:tr w:rsidR="00883925" w:rsidRPr="002D5FF8" w14:paraId="500EE7FE" w14:textId="77777777" w:rsidTr="007A232E">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3F8B649" w14:textId="77777777" w:rsidR="00883925" w:rsidRPr="002D5FF8" w:rsidRDefault="00883925" w:rsidP="000031F9">
                  <w:pPr>
                    <w:spacing w:line="276" w:lineRule="auto"/>
                    <w:rPr>
                      <w:rFonts w:eastAsia="Calibri" w:cstheme="minorHAnsi"/>
                      <w:shd w:val="clear" w:color="auto" w:fill="FFFFFF"/>
                    </w:rPr>
                  </w:pPr>
                  <w:r w:rsidRPr="002D5FF8">
                    <w:rPr>
                      <w:b/>
                      <w:bCs/>
                      <w:shd w:val="clear" w:color="auto" w:fill="FFFFFF"/>
                    </w:rPr>
                    <w:t>Mémorandum d</w:t>
                  </w:r>
                  <w:r w:rsidR="00631D5D" w:rsidRPr="002D5FF8">
                    <w:rPr>
                      <w:b/>
                      <w:bCs/>
                      <w:shd w:val="clear" w:color="auto" w:fill="FFFFFF"/>
                    </w:rPr>
                    <w:t>’</w:t>
                  </w:r>
                  <w:r w:rsidRPr="002D5FF8">
                    <w:rPr>
                      <w:b/>
                      <w:bCs/>
                      <w:shd w:val="clear" w:color="auto" w:fill="FFFFFF"/>
                    </w:rPr>
                    <w:t>accord</w:t>
                  </w:r>
                  <w:r w:rsidRPr="002D5FF8">
                    <w:rPr>
                      <w:shd w:val="clear" w:color="auto" w:fill="FFFFFF"/>
                    </w:rPr>
                    <w:t xml:space="preserve"> </w:t>
                  </w:r>
                </w:p>
                <w:p w14:paraId="3775DA0C" w14:textId="090A9607" w:rsidR="00883925" w:rsidRPr="002D5FF8" w:rsidRDefault="008B4C08" w:rsidP="000031F9">
                  <w:pPr>
                    <w:spacing w:line="276" w:lineRule="auto"/>
                    <w:rPr>
                      <w:rFonts w:eastAsia="Calibri" w:cstheme="minorHAnsi"/>
                      <w:shd w:val="clear" w:color="auto" w:fill="FFFFFF"/>
                    </w:rPr>
                  </w:pPr>
                  <w:hyperlink r:id="rId19" w:history="1">
                    <w:r w:rsidRPr="002D5FF8">
                      <w:rPr>
                        <w:rStyle w:val="Hyperlink"/>
                      </w:rPr>
                      <w:t>Modèle</w:t>
                    </w:r>
                    <w:r w:rsidR="007A232E">
                      <w:rPr>
                        <w:rStyle w:val="Hyperlink"/>
                      </w:rPr>
                      <w:t>s</w:t>
                    </w:r>
                    <w:r w:rsidRPr="002D5FF8">
                      <w:rPr>
                        <w:rStyle w:val="Hyperlink"/>
                      </w:rPr>
                      <w:t xml:space="preserve"> de mémorandum d</w:t>
                    </w:r>
                    <w:r w:rsidR="00631D5D" w:rsidRPr="002D5FF8">
                      <w:rPr>
                        <w:rStyle w:val="Hyperlink"/>
                      </w:rPr>
                      <w:t>’</w:t>
                    </w:r>
                    <w:r w:rsidRPr="002D5FF8">
                      <w:rPr>
                        <w:rStyle w:val="Hyperlink"/>
                      </w:rPr>
                      <w:t>accord</w:t>
                    </w:r>
                  </w:hyperlink>
                  <w:r w:rsidRPr="002D5FF8">
                    <w:t xml:space="preserve"> </w:t>
                  </w: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3F3ADBCC" w14:textId="026F67A8" w:rsidR="00883925" w:rsidRPr="002D5FF8" w:rsidRDefault="00883925" w:rsidP="00BE3E4E">
                  <w:pPr>
                    <w:spacing w:line="276" w:lineRule="auto"/>
                    <w:rPr>
                      <w:rFonts w:eastAsia="Calibri" w:cstheme="minorHAnsi"/>
                      <w:shd w:val="clear" w:color="auto" w:fill="FFFFFF"/>
                    </w:rPr>
                  </w:pPr>
                  <w:r w:rsidRPr="002D5FF8">
                    <w:rPr>
                      <w:shd w:val="clear" w:color="auto" w:fill="FFFFFF"/>
                    </w:rPr>
                    <w:t>Un mémorandum d</w:t>
                  </w:r>
                  <w:r w:rsidR="00631D5D" w:rsidRPr="002D5FF8">
                    <w:rPr>
                      <w:shd w:val="clear" w:color="auto" w:fill="FFFFFF"/>
                    </w:rPr>
                    <w:t>’</w:t>
                  </w:r>
                  <w:r w:rsidRPr="002D5FF8">
                    <w:rPr>
                      <w:shd w:val="clear" w:color="auto" w:fill="FFFFFF"/>
                    </w:rPr>
                    <w:t xml:space="preserve">accord peut être utile lorsque le PNUD et un partenaire souhaitent exprimer leur intérêt à explorer et à définir </w:t>
                  </w:r>
                  <w:r w:rsidRPr="002D5FF8">
                    <w:rPr>
                      <w:b/>
                      <w:shd w:val="clear" w:color="auto" w:fill="FFFFFF"/>
                    </w:rPr>
                    <w:t>la collaboration lorsque les engagements ne s</w:t>
                  </w:r>
                  <w:r w:rsidR="00631D5D" w:rsidRPr="002D5FF8">
                    <w:rPr>
                      <w:b/>
                      <w:shd w:val="clear" w:color="auto" w:fill="FFFFFF"/>
                    </w:rPr>
                    <w:t>’</w:t>
                  </w:r>
                  <w:r w:rsidRPr="002D5FF8">
                    <w:rPr>
                      <w:b/>
                      <w:shd w:val="clear" w:color="auto" w:fill="FFFFFF"/>
                    </w:rPr>
                    <w:t>étendent pas au transfert de ressources entre les partenaires</w:t>
                  </w:r>
                  <w:r w:rsidRPr="002D5FF8">
                    <w:rPr>
                      <w:shd w:val="clear" w:color="auto" w:fill="FFFFFF"/>
                    </w:rPr>
                    <w:t xml:space="preserve"> ou n</w:t>
                  </w:r>
                  <w:r w:rsidR="00631D5D" w:rsidRPr="002D5FF8">
                    <w:rPr>
                      <w:shd w:val="clear" w:color="auto" w:fill="FFFFFF"/>
                    </w:rPr>
                    <w:t>’</w:t>
                  </w:r>
                  <w:r w:rsidRPr="002D5FF8">
                    <w:rPr>
                      <w:shd w:val="clear" w:color="auto" w:fill="FFFFFF"/>
                    </w:rPr>
                    <w:t>impliquent pas de demandes financières au PNUD</w:t>
                  </w:r>
                </w:p>
              </w:tc>
            </w:tr>
            <w:tr w:rsidR="00883925" w:rsidRPr="002D5FF8" w14:paraId="591E1E8E" w14:textId="77777777" w:rsidTr="007A232E">
              <w:tc>
                <w:tcPr>
                  <w:tcW w:w="26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E6CEAB" w14:textId="793496B9" w:rsidR="00883925" w:rsidRPr="002D5FF8" w:rsidRDefault="00883925" w:rsidP="000031F9">
                  <w:pPr>
                    <w:spacing w:line="276" w:lineRule="auto"/>
                    <w:rPr>
                      <w:rFonts w:eastAsia="Calibri" w:cstheme="minorHAnsi"/>
                      <w:b/>
                      <w:bCs/>
                      <w:shd w:val="clear" w:color="auto" w:fill="FFFFFF"/>
                    </w:rPr>
                  </w:pPr>
                  <w:r w:rsidRPr="002D5FF8">
                    <w:rPr>
                      <w:b/>
                      <w:bCs/>
                      <w:shd w:val="clear" w:color="auto" w:fill="FFFFFF"/>
                    </w:rPr>
                    <w:t>Accord de</w:t>
                  </w:r>
                  <w:r w:rsidR="0047235B" w:rsidRPr="002D5FF8">
                    <w:rPr>
                      <w:b/>
                      <w:bCs/>
                      <w:shd w:val="clear" w:color="auto" w:fill="FFFFFF"/>
                    </w:rPr>
                    <w:t xml:space="preserve"> </w:t>
                  </w:r>
                  <w:proofErr w:type="gramStart"/>
                  <w:r w:rsidR="0047235B" w:rsidRPr="002D5FF8">
                    <w:rPr>
                      <w:b/>
                      <w:bCs/>
                      <w:shd w:val="clear" w:color="auto" w:fill="FFFFFF"/>
                    </w:rPr>
                    <w:t>financement</w:t>
                  </w:r>
                  <w:r w:rsidR="00631D5D" w:rsidRPr="002D5FF8">
                    <w:rPr>
                      <w:b/>
                      <w:bCs/>
                      <w:shd w:val="clear" w:color="auto" w:fill="FFFFFF"/>
                    </w:rPr>
                    <w:t>:</w:t>
                  </w:r>
                  <w:proofErr w:type="gramEnd"/>
                  <w:r w:rsidRPr="002D5FF8">
                    <w:rPr>
                      <w:b/>
                      <w:bCs/>
                      <w:shd w:val="clear" w:color="auto" w:fill="FFFFFF"/>
                    </w:rPr>
                    <w:t xml:space="preserve"> Accord type pour les contributions financières au PNUD</w:t>
                  </w:r>
                </w:p>
                <w:p w14:paraId="3F935654" w14:textId="77777777" w:rsidR="00883925" w:rsidRPr="002D5FF8" w:rsidRDefault="00883925" w:rsidP="000031F9">
                  <w:pPr>
                    <w:spacing w:line="276" w:lineRule="auto"/>
                    <w:rPr>
                      <w:b/>
                      <w:bCs/>
                      <w:shd w:val="clear" w:color="auto" w:fill="FFFFFF"/>
                    </w:rPr>
                  </w:pPr>
                  <w:r w:rsidRPr="002D5FF8">
                    <w:rPr>
                      <w:b/>
                      <w:bCs/>
                      <w:shd w:val="clear" w:color="auto" w:fill="FFFFFF"/>
                    </w:rPr>
                    <w:t>Modèles</w:t>
                  </w:r>
                </w:p>
                <w:p w14:paraId="7970BE7A" w14:textId="359E93D1" w:rsidR="00832CE0" w:rsidRPr="00A32235" w:rsidRDefault="00870D04" w:rsidP="00832CE0">
                  <w:pPr>
                    <w:spacing w:line="276" w:lineRule="auto"/>
                    <w:rPr>
                      <w:rFonts w:eastAsia="Calibri" w:cstheme="minorHAnsi"/>
                      <w:shd w:val="clear" w:color="auto" w:fill="FFFFFF"/>
                    </w:rPr>
                  </w:pPr>
                  <w:r w:rsidRPr="00A32235">
                    <w:rPr>
                      <w:rFonts w:eastAsia="Calibri" w:cstheme="minorHAnsi"/>
                      <w:shd w:val="clear" w:color="auto" w:fill="FFFFFF"/>
                    </w:rPr>
                    <w:t xml:space="preserve">Consulter </w:t>
                  </w:r>
                  <w:hyperlink r:id="rId20" w:history="1">
                    <w:r w:rsidRPr="00A32235">
                      <w:rPr>
                        <w:rStyle w:val="Hyperlink"/>
                        <w:rFonts w:eastAsia="Calibri" w:cstheme="minorHAnsi"/>
                        <w:shd w:val="clear" w:color="auto" w:fill="FFFFFF"/>
                      </w:rPr>
                      <w:t>accords de financement, m</w:t>
                    </w:r>
                    <w:r w:rsidR="000E1F71" w:rsidRPr="00A32235">
                      <w:rPr>
                        <w:rStyle w:val="Hyperlink"/>
                        <w:rFonts w:eastAsia="Calibri" w:cstheme="minorHAnsi"/>
                        <w:shd w:val="clear" w:color="auto" w:fill="FFFFFF"/>
                      </w:rPr>
                      <w:t>od</w:t>
                    </w:r>
                    <w:r w:rsidR="000E1F71" w:rsidRPr="00A32235">
                      <w:rPr>
                        <w:rStyle w:val="Hyperlink"/>
                        <w:shd w:val="clear" w:color="auto" w:fill="FFFFFF"/>
                      </w:rPr>
                      <w:t>èles</w:t>
                    </w:r>
                    <w:r w:rsidR="000E1F71" w:rsidRPr="00A32235">
                      <w:rPr>
                        <w:rStyle w:val="Hyperlink"/>
                        <w:rFonts w:eastAsia="Calibri" w:cstheme="minorHAnsi"/>
                        <w:shd w:val="clear" w:color="auto" w:fill="FFFFFF"/>
                      </w:rPr>
                      <w:t xml:space="preserve"> et dispositions </w:t>
                    </w:r>
                    <w:r w:rsidR="00832CE0" w:rsidRPr="00A32235">
                      <w:rPr>
                        <w:rStyle w:val="Hyperlink"/>
                        <w:rFonts w:eastAsia="Calibri" w:cstheme="minorHAnsi"/>
                        <w:shd w:val="clear" w:color="auto" w:fill="FFFFFF"/>
                      </w:rPr>
                      <w:t>types</w:t>
                    </w:r>
                  </w:hyperlink>
                  <w:r w:rsidR="00CC2E08">
                    <w:t xml:space="preserve"> (en anglais)</w:t>
                  </w:r>
                  <w:r w:rsidR="00832CE0" w:rsidRPr="00A32235">
                    <w:rPr>
                      <w:rFonts w:eastAsia="Calibri" w:cstheme="minorHAnsi"/>
                      <w:shd w:val="clear" w:color="auto" w:fill="FFFFFF"/>
                    </w:rPr>
                    <w:t xml:space="preserve"> d’une convention avec des conseils juridiques sur les </w:t>
                  </w:r>
                  <w:r w:rsidR="00832CE0" w:rsidRPr="00A32235">
                    <w:rPr>
                      <w:rFonts w:eastAsia="Calibri" w:cstheme="minorHAnsi"/>
                      <w:shd w:val="clear" w:color="auto" w:fill="FFFFFF"/>
                    </w:rPr>
                    <w:lastRenderedPageBreak/>
                    <w:t>questions fréquemment posées</w:t>
                  </w:r>
                  <w:r w:rsidR="00155346" w:rsidRPr="00A32235">
                    <w:rPr>
                      <w:rFonts w:eastAsia="Calibri" w:cstheme="minorHAnsi"/>
                      <w:shd w:val="clear" w:color="auto" w:fill="FFFFFF"/>
                    </w:rPr>
                    <w:t>.</w:t>
                  </w:r>
                </w:p>
                <w:p w14:paraId="002AEA5E" w14:textId="6FF969EF" w:rsidR="00870D04" w:rsidRPr="002D5FF8" w:rsidRDefault="00870D04" w:rsidP="000031F9">
                  <w:pPr>
                    <w:spacing w:line="276" w:lineRule="auto"/>
                    <w:rPr>
                      <w:rFonts w:eastAsia="Calibri" w:cstheme="minorHAnsi"/>
                      <w:b/>
                      <w:bCs/>
                      <w:shd w:val="clear" w:color="auto" w:fill="FFFFFF"/>
                    </w:rPr>
                  </w:pPr>
                </w:p>
                <w:p w14:paraId="09EC12E7" w14:textId="370EB5BB" w:rsidR="00883925" w:rsidRPr="002D5FF8" w:rsidRDefault="00883925" w:rsidP="000031F9">
                  <w:pPr>
                    <w:spacing w:line="276" w:lineRule="auto"/>
                    <w:rPr>
                      <w:rFonts w:eastAsia="Calibri" w:cstheme="minorHAnsi"/>
                      <w:shd w:val="clear" w:color="auto" w:fill="FFFFFF"/>
                    </w:rPr>
                  </w:pPr>
                </w:p>
              </w:tc>
              <w:tc>
                <w:tcPr>
                  <w:tcW w:w="6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9DDACB" w14:textId="2932127B" w:rsidR="00883925" w:rsidRPr="002D5FF8" w:rsidRDefault="00883925" w:rsidP="000031F9">
                  <w:pPr>
                    <w:spacing w:line="276" w:lineRule="auto"/>
                    <w:rPr>
                      <w:rFonts w:eastAsia="Calibri" w:cstheme="minorHAnsi"/>
                      <w:shd w:val="clear" w:color="auto" w:fill="FFFFFF"/>
                    </w:rPr>
                  </w:pPr>
                  <w:r w:rsidRPr="002D5FF8">
                    <w:rPr>
                      <w:shd w:val="clear" w:color="auto" w:fill="FFFFFF"/>
                    </w:rPr>
                    <w:lastRenderedPageBreak/>
                    <w:t>Lorsqu</w:t>
                  </w:r>
                  <w:r w:rsidR="00631D5D" w:rsidRPr="002D5FF8">
                    <w:rPr>
                      <w:shd w:val="clear" w:color="auto" w:fill="FFFFFF"/>
                    </w:rPr>
                    <w:t>’</w:t>
                  </w:r>
                  <w:r w:rsidRPr="002D5FF8">
                    <w:rPr>
                      <w:shd w:val="clear" w:color="auto" w:fill="FFFFFF"/>
                    </w:rPr>
                    <w:t>une entreprise souhaite apporter une contribution financière aux projets et aux programmes du PNUD, l</w:t>
                  </w:r>
                  <w:r w:rsidR="00631D5D" w:rsidRPr="002D5FF8">
                    <w:rPr>
                      <w:shd w:val="clear" w:color="auto" w:fill="FFFFFF"/>
                    </w:rPr>
                    <w:t>’</w:t>
                  </w:r>
                  <w:r w:rsidR="00F848F4" w:rsidRPr="002D5FF8">
                    <w:rPr>
                      <w:shd w:val="clear" w:color="auto" w:fill="FFFFFF"/>
                    </w:rPr>
                    <w:t>un des documents suivants des accords</w:t>
                  </w:r>
                  <w:r w:rsidRPr="002D5FF8">
                    <w:rPr>
                      <w:shd w:val="clear" w:color="auto" w:fill="FFFFFF"/>
                    </w:rPr>
                    <w:t xml:space="preserve"> </w:t>
                  </w:r>
                  <w:r w:rsidR="004117FF" w:rsidRPr="002D5FF8">
                    <w:rPr>
                      <w:shd w:val="clear" w:color="auto" w:fill="FFFFFF"/>
                    </w:rPr>
                    <w:t xml:space="preserve">financement </w:t>
                  </w:r>
                  <w:r w:rsidRPr="002D5FF8">
                    <w:rPr>
                      <w:shd w:val="clear" w:color="auto" w:fill="FFFFFF"/>
                    </w:rPr>
                    <w:t>doit être utilisé</w:t>
                  </w:r>
                  <w:r w:rsidR="00631D5D" w:rsidRPr="002D5FF8">
                    <w:rPr>
                      <w:shd w:val="clear" w:color="auto" w:fill="FFFFFF"/>
                    </w:rPr>
                    <w:t> :</w:t>
                  </w:r>
                </w:p>
                <w:p w14:paraId="02DF8467" w14:textId="77777777" w:rsidR="00883925" w:rsidRPr="002D5FF8" w:rsidRDefault="00883925" w:rsidP="00E527E6">
                  <w:pPr>
                    <w:shd w:val="clear" w:color="auto" w:fill="FFFFFF"/>
                    <w:spacing w:after="0" w:line="276" w:lineRule="auto"/>
                    <w:ind w:right="55"/>
                    <w:rPr>
                      <w:rFonts w:eastAsia="Calibri" w:cstheme="minorHAnsi"/>
                      <w:shd w:val="clear" w:color="auto" w:fill="FFFFFF"/>
                    </w:rPr>
                  </w:pPr>
                  <w:r w:rsidRPr="002D5FF8">
                    <w:rPr>
                      <w:shd w:val="clear" w:color="auto" w:fill="FFFFFF"/>
                    </w:rPr>
                    <w:t>Accord type pour les contributions financières du secteur privé, des OSC et des fondations (dépassant 100</w:t>
                  </w:r>
                  <w:r w:rsidR="00631D5D" w:rsidRPr="002D5FF8">
                    <w:rPr>
                      <w:shd w:val="clear" w:color="auto" w:fill="FFFFFF"/>
                    </w:rPr>
                    <w:t> </w:t>
                  </w:r>
                  <w:r w:rsidRPr="002D5FF8">
                    <w:rPr>
                      <w:shd w:val="clear" w:color="auto" w:fill="FFFFFF"/>
                    </w:rPr>
                    <w:t>000</w:t>
                  </w:r>
                  <w:r w:rsidR="00631D5D" w:rsidRPr="002D5FF8">
                    <w:rPr>
                      <w:shd w:val="clear" w:color="auto" w:fill="FFFFFF"/>
                    </w:rPr>
                    <w:t> </w:t>
                  </w:r>
                  <w:r w:rsidRPr="002D5FF8">
                    <w:rPr>
                      <w:shd w:val="clear" w:color="auto" w:fill="FFFFFF"/>
                    </w:rPr>
                    <w:t>dollars</w:t>
                  </w:r>
                  <w:r w:rsidR="00631D5D" w:rsidRPr="002D5FF8">
                    <w:rPr>
                      <w:shd w:val="clear" w:color="auto" w:fill="FFFFFF"/>
                    </w:rPr>
                    <w:t xml:space="preserve"> des États-Unis</w:t>
                  </w:r>
                  <w:r w:rsidRPr="002D5FF8">
                    <w:rPr>
                      <w:shd w:val="clear" w:color="auto" w:fill="FFFFFF"/>
                    </w:rPr>
                    <w:t>)</w:t>
                  </w:r>
                </w:p>
                <w:p w14:paraId="6B0CEBF0" w14:textId="77777777" w:rsidR="00E527E6" w:rsidRDefault="00E527E6" w:rsidP="00E527E6">
                  <w:pPr>
                    <w:shd w:val="clear" w:color="auto" w:fill="FFFFFF"/>
                    <w:spacing w:after="0" w:line="276" w:lineRule="auto"/>
                    <w:ind w:right="55"/>
                    <w:rPr>
                      <w:shd w:val="clear" w:color="auto" w:fill="FFFFFF"/>
                    </w:rPr>
                  </w:pPr>
                </w:p>
                <w:p w14:paraId="53E7110C" w14:textId="77777777" w:rsidR="00883925" w:rsidRPr="002D5FF8" w:rsidRDefault="00883925" w:rsidP="00E527E6">
                  <w:pPr>
                    <w:shd w:val="clear" w:color="auto" w:fill="FFFFFF"/>
                    <w:spacing w:after="0" w:line="276" w:lineRule="auto"/>
                    <w:ind w:right="55"/>
                    <w:rPr>
                      <w:rFonts w:eastAsia="Calibri" w:cstheme="minorHAnsi"/>
                    </w:rPr>
                  </w:pPr>
                  <w:r w:rsidRPr="002D5FF8">
                    <w:rPr>
                      <w:shd w:val="clear" w:color="auto" w:fill="FFFFFF"/>
                    </w:rPr>
                    <w:t xml:space="preserve">Accord type pour les petites contributions financières du secteur privé et des OSC </w:t>
                  </w:r>
                  <w:r w:rsidRPr="002D5FF8">
                    <w:t>(n</w:t>
                  </w:r>
                  <w:r w:rsidR="00631D5D" w:rsidRPr="002D5FF8">
                    <w:t>’</w:t>
                  </w:r>
                  <w:r w:rsidRPr="002D5FF8">
                    <w:t>excédant pas 100</w:t>
                  </w:r>
                  <w:r w:rsidR="00631D5D" w:rsidRPr="002D5FF8">
                    <w:t> </w:t>
                  </w:r>
                  <w:r w:rsidRPr="002D5FF8">
                    <w:t>000</w:t>
                  </w:r>
                  <w:r w:rsidR="00631D5D" w:rsidRPr="002D5FF8">
                    <w:t> </w:t>
                  </w:r>
                  <w:r w:rsidRPr="002D5FF8">
                    <w:t>dollars</w:t>
                  </w:r>
                  <w:r w:rsidR="00631D5D" w:rsidRPr="002D5FF8">
                    <w:t xml:space="preserve"> des États-Unis</w:t>
                  </w:r>
                  <w:r w:rsidRPr="002D5FF8">
                    <w:t>)</w:t>
                  </w:r>
                </w:p>
                <w:p w14:paraId="69C444C8" w14:textId="77777777" w:rsidR="00E527E6" w:rsidRDefault="00E527E6" w:rsidP="00E527E6">
                  <w:pPr>
                    <w:shd w:val="clear" w:color="auto" w:fill="FFFFFF"/>
                    <w:spacing w:after="0" w:line="276" w:lineRule="auto"/>
                    <w:ind w:right="55"/>
                    <w:rPr>
                      <w:shd w:val="clear" w:color="auto" w:fill="FFFFFF"/>
                    </w:rPr>
                  </w:pPr>
                </w:p>
                <w:p w14:paraId="6285EAF4" w14:textId="77777777" w:rsidR="00883925" w:rsidRPr="002D5FF8" w:rsidRDefault="00883925" w:rsidP="00E527E6">
                  <w:pPr>
                    <w:shd w:val="clear" w:color="auto" w:fill="FFFFFF"/>
                    <w:spacing w:after="0" w:line="276" w:lineRule="auto"/>
                    <w:ind w:right="55"/>
                    <w:rPr>
                      <w:rFonts w:eastAsia="Calibri" w:cstheme="minorHAnsi"/>
                    </w:rPr>
                  </w:pPr>
                  <w:r w:rsidRPr="002D5FF8">
                    <w:rPr>
                      <w:shd w:val="clear" w:color="auto" w:fill="FFFFFF"/>
                    </w:rPr>
                    <w:lastRenderedPageBreak/>
                    <w:t>Échange de lettres pour de petites contributions</w:t>
                  </w:r>
                  <w:r w:rsidRPr="002D5FF8">
                    <w:t xml:space="preserve"> </w:t>
                  </w:r>
                  <w:r w:rsidRPr="002D5FF8">
                    <w:rPr>
                      <w:shd w:val="clear" w:color="auto" w:fill="FFFFFF"/>
                    </w:rPr>
                    <w:t>(n</w:t>
                  </w:r>
                  <w:r w:rsidR="00631D5D" w:rsidRPr="002D5FF8">
                    <w:rPr>
                      <w:shd w:val="clear" w:color="auto" w:fill="FFFFFF"/>
                    </w:rPr>
                    <w:t>’</w:t>
                  </w:r>
                  <w:r w:rsidRPr="002D5FF8">
                    <w:rPr>
                      <w:shd w:val="clear" w:color="auto" w:fill="FFFFFF"/>
                    </w:rPr>
                    <w:t>excédant pas 100</w:t>
                  </w:r>
                  <w:r w:rsidR="00631D5D" w:rsidRPr="002D5FF8">
                    <w:rPr>
                      <w:shd w:val="clear" w:color="auto" w:fill="FFFFFF"/>
                    </w:rPr>
                    <w:t> </w:t>
                  </w:r>
                  <w:r w:rsidRPr="002D5FF8">
                    <w:rPr>
                      <w:shd w:val="clear" w:color="auto" w:fill="FFFFFF"/>
                    </w:rPr>
                    <w:t>000</w:t>
                  </w:r>
                  <w:r w:rsidR="00631D5D" w:rsidRPr="002D5FF8">
                    <w:rPr>
                      <w:shd w:val="clear" w:color="auto" w:fill="FFFFFF"/>
                    </w:rPr>
                    <w:t> </w:t>
                  </w:r>
                  <w:r w:rsidRPr="002D5FF8">
                    <w:rPr>
                      <w:shd w:val="clear" w:color="auto" w:fill="FFFFFF"/>
                    </w:rPr>
                    <w:t>dollars</w:t>
                  </w:r>
                  <w:r w:rsidR="00631D5D" w:rsidRPr="002D5FF8">
                    <w:rPr>
                      <w:shd w:val="clear" w:color="auto" w:fill="FFFFFF"/>
                    </w:rPr>
                    <w:t xml:space="preserve"> des États-Unis</w:t>
                  </w:r>
                  <w:r w:rsidRPr="002D5FF8">
                    <w:rPr>
                      <w:shd w:val="clear" w:color="auto" w:fill="FFFFFF"/>
                    </w:rPr>
                    <w:t>), pour lesquelles aucun rapport n</w:t>
                  </w:r>
                  <w:r w:rsidR="00631D5D" w:rsidRPr="002D5FF8">
                    <w:rPr>
                      <w:shd w:val="clear" w:color="auto" w:fill="FFFFFF"/>
                    </w:rPr>
                    <w:t>’</w:t>
                  </w:r>
                  <w:r w:rsidRPr="002D5FF8">
                    <w:rPr>
                      <w:shd w:val="clear" w:color="auto" w:fill="FFFFFF"/>
                    </w:rPr>
                    <w:t>est requis</w:t>
                  </w:r>
                </w:p>
                <w:p w14:paraId="46936B35" w14:textId="77777777" w:rsidR="00883925" w:rsidRPr="002D5FF8" w:rsidRDefault="00883925" w:rsidP="000031F9">
                  <w:pPr>
                    <w:shd w:val="clear" w:color="auto" w:fill="FFFFFF"/>
                    <w:spacing w:after="0" w:line="276" w:lineRule="auto"/>
                    <w:ind w:left="720"/>
                    <w:rPr>
                      <w:rFonts w:eastAsia="Calibri" w:cstheme="minorHAnsi"/>
                    </w:rPr>
                  </w:pPr>
                </w:p>
                <w:p w14:paraId="20849E8E" w14:textId="0B88CBE6" w:rsidR="00962265" w:rsidRPr="002D5FF8" w:rsidRDefault="0073415A" w:rsidP="000031F9">
                  <w:pPr>
                    <w:shd w:val="clear" w:color="auto" w:fill="FFFFFF"/>
                    <w:spacing w:line="276" w:lineRule="auto"/>
                    <w:rPr>
                      <w:shd w:val="clear" w:color="auto" w:fill="FFFFFF"/>
                    </w:rPr>
                  </w:pPr>
                  <w:r w:rsidRPr="002D5FF8">
                    <w:rPr>
                      <w:shd w:val="clear" w:color="auto" w:fill="FFFFFF"/>
                    </w:rPr>
                    <w:t>L’</w:t>
                  </w:r>
                  <w:r w:rsidR="00883925" w:rsidRPr="002D5FF8">
                    <w:rPr>
                      <w:shd w:val="clear" w:color="auto" w:fill="FFFFFF"/>
                    </w:rPr>
                    <w:t>accord</w:t>
                  </w:r>
                  <w:r w:rsidR="004B735A" w:rsidRPr="002D5FF8">
                    <w:rPr>
                      <w:shd w:val="clear" w:color="auto" w:fill="FFFFFF"/>
                    </w:rPr>
                    <w:t xml:space="preserve"> de</w:t>
                  </w:r>
                  <w:r w:rsidRPr="002D5FF8">
                    <w:rPr>
                      <w:shd w:val="clear" w:color="auto" w:fill="FFFFFF"/>
                    </w:rPr>
                    <w:t xml:space="preserve"> financement</w:t>
                  </w:r>
                  <w:r w:rsidR="00883925" w:rsidRPr="002D5FF8">
                    <w:rPr>
                      <w:shd w:val="clear" w:color="auto" w:fill="FFFFFF"/>
                    </w:rPr>
                    <w:t xml:space="preserve"> de cofinancem</w:t>
                  </w:r>
                  <w:r w:rsidR="00026127" w:rsidRPr="002D5FF8">
                    <w:rPr>
                      <w:shd w:val="clear" w:color="auto" w:fill="FFFFFF"/>
                    </w:rPr>
                    <w:t>ent avec un partenaire stipule</w:t>
                  </w:r>
                  <w:r w:rsidR="00883925" w:rsidRPr="002D5FF8">
                    <w:rPr>
                      <w:shd w:val="clear" w:color="auto" w:fill="FFFFFF"/>
                    </w:rPr>
                    <w:t xml:space="preserve"> les conditions de réception, d</w:t>
                  </w:r>
                  <w:r w:rsidR="00631D5D" w:rsidRPr="002D5FF8">
                    <w:rPr>
                      <w:shd w:val="clear" w:color="auto" w:fill="FFFFFF"/>
                    </w:rPr>
                    <w:t>’</w:t>
                  </w:r>
                  <w:r w:rsidR="00883925" w:rsidRPr="002D5FF8">
                    <w:rPr>
                      <w:shd w:val="clear" w:color="auto" w:fill="FFFFFF"/>
                    </w:rPr>
                    <w:t>administration, d</w:t>
                  </w:r>
                  <w:r w:rsidR="00631D5D" w:rsidRPr="002D5FF8">
                    <w:rPr>
                      <w:shd w:val="clear" w:color="auto" w:fill="FFFFFF"/>
                    </w:rPr>
                    <w:t>’</w:t>
                  </w:r>
                  <w:r w:rsidR="00883925" w:rsidRPr="002D5FF8">
                    <w:rPr>
                      <w:shd w:val="clear" w:color="auto" w:fill="FFFFFF"/>
                    </w:rPr>
                    <w:t>utilisation et de notification des ressources pour des activités de programme spécifiques du PNUD.</w:t>
                  </w:r>
                </w:p>
                <w:p w14:paraId="1AC3804F" w14:textId="26D66FB9" w:rsidR="00883925" w:rsidRPr="002D5FF8" w:rsidRDefault="00883925" w:rsidP="000031F9">
                  <w:pPr>
                    <w:shd w:val="clear" w:color="auto" w:fill="FFFFFF"/>
                    <w:spacing w:line="276" w:lineRule="auto"/>
                    <w:rPr>
                      <w:rFonts w:eastAsia="Calibri" w:cstheme="minorHAnsi"/>
                      <w:shd w:val="clear" w:color="auto" w:fill="FFFFFF"/>
                    </w:rPr>
                  </w:pPr>
                  <w:r w:rsidRPr="002D5FF8">
                    <w:rPr>
                      <w:shd w:val="clear" w:color="auto" w:fill="FFFFFF"/>
                    </w:rPr>
                    <w:t>Le descr</w:t>
                  </w:r>
                  <w:r w:rsidR="00E01EE5" w:rsidRPr="002D5FF8">
                    <w:rPr>
                      <w:shd w:val="clear" w:color="auto" w:fill="FFFFFF"/>
                    </w:rPr>
                    <w:t>iptif de projet sera joint à l’accord</w:t>
                  </w:r>
                  <w:r w:rsidR="004B735A" w:rsidRPr="002D5FF8">
                    <w:rPr>
                      <w:shd w:val="clear" w:color="auto" w:fill="FFFFFF"/>
                    </w:rPr>
                    <w:t xml:space="preserve"> de</w:t>
                  </w:r>
                  <w:r w:rsidR="00E01EE5" w:rsidRPr="002D5FF8">
                    <w:rPr>
                      <w:shd w:val="clear" w:color="auto" w:fill="FFFFFF"/>
                    </w:rPr>
                    <w:t xml:space="preserve"> financement et fera partie du contrat</w:t>
                  </w:r>
                  <w:r w:rsidRPr="002D5FF8">
                    <w:rPr>
                      <w:shd w:val="clear" w:color="auto" w:fill="FFFFFF"/>
                    </w:rPr>
                    <w:t>. Les entreprises ne peuvent pas signer de documents de projet, mais le secteur privé peut assumer une fonction de fournisseur au sein du comité de projet.</w:t>
                  </w:r>
                </w:p>
              </w:tc>
            </w:tr>
            <w:tr w:rsidR="00883925" w:rsidRPr="002D5FF8" w14:paraId="310C490B" w14:textId="77777777" w:rsidTr="00883925">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870ED7" w14:textId="191C79B6" w:rsidR="00883925" w:rsidRPr="002650AD" w:rsidRDefault="00883925" w:rsidP="000031F9">
                  <w:pPr>
                    <w:spacing w:line="276" w:lineRule="auto"/>
                    <w:rPr>
                      <w:rFonts w:eastAsia="Calibri" w:cstheme="minorHAnsi"/>
                      <w:b/>
                      <w:bCs/>
                      <w:shd w:val="clear" w:color="auto" w:fill="FFFFFF"/>
                      <w:lang w:val="it-IT"/>
                    </w:rPr>
                  </w:pPr>
                  <w:hyperlink r:id="rId21" w:history="1">
                    <w:r w:rsidRPr="002650AD">
                      <w:rPr>
                        <w:rStyle w:val="Hyperlink"/>
                        <w:b/>
                        <w:bCs/>
                        <w:shd w:val="clear" w:color="auto" w:fill="FFFFFF"/>
                        <w:lang w:val="it-IT"/>
                      </w:rPr>
                      <w:t xml:space="preserve">Accord </w:t>
                    </w:r>
                    <w:r w:rsidR="00631D5D" w:rsidRPr="002650AD">
                      <w:rPr>
                        <w:rStyle w:val="Hyperlink"/>
                        <w:b/>
                        <w:bCs/>
                        <w:shd w:val="clear" w:color="auto" w:fill="FFFFFF"/>
                        <w:lang w:val="it-IT"/>
                      </w:rPr>
                      <w:t>pro bono</w:t>
                    </w:r>
                  </w:hyperlink>
                </w:p>
                <w:p w14:paraId="1F514578" w14:textId="29B69E05" w:rsidR="00883925" w:rsidRPr="002650AD" w:rsidRDefault="00DA0D28" w:rsidP="000031F9">
                  <w:pPr>
                    <w:spacing w:line="276" w:lineRule="auto"/>
                    <w:rPr>
                      <w:rFonts w:eastAsia="Calibri" w:cstheme="minorHAnsi"/>
                      <w:u w:val="single"/>
                      <w:lang w:val="it-IT"/>
                    </w:rPr>
                  </w:pPr>
                  <w:r w:rsidRPr="002650AD">
                    <w:rPr>
                      <w:lang w:val="it-IT"/>
                    </w:rPr>
                    <w:t>Modèle : Accord pro bono</w:t>
                  </w:r>
                </w:p>
                <w:p w14:paraId="0BE2CDB6" w14:textId="16A3A17C" w:rsidR="000D7F0D" w:rsidRPr="002D5FF8" w:rsidRDefault="00883925" w:rsidP="000031F9">
                  <w:pPr>
                    <w:spacing w:line="276" w:lineRule="auto"/>
                    <w:rPr>
                      <w:rFonts w:eastAsia="Calibri" w:cstheme="minorHAnsi"/>
                      <w:bCs/>
                    </w:rPr>
                  </w:pPr>
                  <w:r w:rsidRPr="00A32235">
                    <w:t>Modèle complet</w:t>
                  </w:r>
                  <w:r w:rsidRPr="002D5FF8">
                    <w:t xml:space="preserve"> pour les biens ou services et dépenses accessoires, et autres contributions financières</w:t>
                  </w:r>
                  <w:r w:rsidRPr="002D5FF8">
                    <w:rPr>
                      <w:bCs/>
                    </w:rPr>
                    <w:t xml:space="preserve"> </w:t>
                  </w:r>
                </w:p>
                <w:p w14:paraId="16FA6CAD" w14:textId="77777777" w:rsidR="00883925" w:rsidRPr="002D5FF8" w:rsidRDefault="00A52479" w:rsidP="000031F9">
                  <w:pPr>
                    <w:spacing w:line="276" w:lineRule="auto"/>
                    <w:rPr>
                      <w:rFonts w:eastAsia="Calibri" w:cstheme="minorHAnsi"/>
                    </w:rPr>
                  </w:pPr>
                  <w:r w:rsidRPr="002D5FF8">
                    <w:rPr>
                      <w:bCs/>
                    </w:rPr>
                    <w:t xml:space="preserve">Le modèle complet offre la possibilité de formaliser </w:t>
                  </w:r>
                  <w:r w:rsidRPr="002D5FF8">
                    <w:rPr>
                      <w:bCs/>
                      <w:u w:val="single"/>
                    </w:rPr>
                    <w:t>à la fois</w:t>
                  </w:r>
                  <w:r w:rsidRPr="002D5FF8">
                    <w:rPr>
                      <w:bCs/>
                    </w:rPr>
                    <w:t xml:space="preserve"> les contributions à titre gracieux et financières.</w:t>
                  </w:r>
                </w:p>
                <w:p w14:paraId="2027ED1C" w14:textId="77777777" w:rsidR="00883925" w:rsidRPr="002D5FF8" w:rsidRDefault="00883925" w:rsidP="000031F9">
                  <w:pPr>
                    <w:spacing w:line="276" w:lineRule="auto"/>
                    <w:rPr>
                      <w:rFonts w:eastAsia="Calibri" w:cstheme="minorHAnsi"/>
                      <w:shd w:val="clear" w:color="auto" w:fill="FFFFFF"/>
                    </w:rPr>
                  </w:pP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36C010DB" w14:textId="612F7341" w:rsidR="00883925" w:rsidRPr="002D5FF8" w:rsidRDefault="00883925" w:rsidP="000031F9">
                  <w:pPr>
                    <w:spacing w:line="276" w:lineRule="auto"/>
                    <w:rPr>
                      <w:rFonts w:eastAsia="Calibri" w:cstheme="minorHAnsi"/>
                      <w:shd w:val="clear" w:color="auto" w:fill="FFFFFF"/>
                    </w:rPr>
                  </w:pPr>
                  <w:r w:rsidRPr="002D5FF8">
                    <w:rPr>
                      <w:shd w:val="clear" w:color="auto" w:fill="FFFFFF"/>
                    </w:rPr>
                    <w:t xml:space="preserve">Des accords </w:t>
                  </w:r>
                  <w:r w:rsidR="00631D5D" w:rsidRPr="002D5FF8">
                    <w:rPr>
                      <w:shd w:val="clear" w:color="auto" w:fill="FFFFFF"/>
                    </w:rPr>
                    <w:t xml:space="preserve">pro </w:t>
                  </w:r>
                  <w:proofErr w:type="spellStart"/>
                  <w:r w:rsidR="00631D5D" w:rsidRPr="002D5FF8">
                    <w:rPr>
                      <w:shd w:val="clear" w:color="auto" w:fill="FFFFFF"/>
                    </w:rPr>
                    <w:t>bono</w:t>
                  </w:r>
                  <w:proofErr w:type="spellEnd"/>
                  <w:r w:rsidRPr="002D5FF8">
                    <w:rPr>
                      <w:shd w:val="clear" w:color="auto" w:fill="FFFFFF"/>
                    </w:rPr>
                    <w:t xml:space="preserve"> peuvent être utilisés lorsque le </w:t>
                  </w:r>
                  <w:r w:rsidRPr="002D5FF8">
                    <w:rPr>
                      <w:b/>
                      <w:shd w:val="clear" w:color="auto" w:fill="FFFFFF"/>
                    </w:rPr>
                    <w:t>PNUD reçoit des biens ou des services</w:t>
                  </w:r>
                  <w:r w:rsidRPr="002D5FF8">
                    <w:rPr>
                      <w:shd w:val="clear" w:color="auto" w:fill="FFFFFF"/>
                    </w:rPr>
                    <w:t xml:space="preserve"> du secteur privé conformément au </w:t>
                  </w:r>
                  <w:hyperlink r:id="rId22" w:history="1">
                    <w:r w:rsidRPr="00E72626">
                      <w:rPr>
                        <w:rStyle w:val="Hyperlink"/>
                        <w:shd w:val="clear" w:color="auto" w:fill="FFFFFF"/>
                      </w:rPr>
                      <w:t xml:space="preserve">Bulletin du Secrétaire </w:t>
                    </w:r>
                    <w:r w:rsidR="00BE3E4E" w:rsidRPr="00E72626">
                      <w:rPr>
                        <w:rStyle w:val="Hyperlink"/>
                        <w:shd w:val="clear" w:color="auto" w:fill="FFFFFF"/>
                      </w:rPr>
                      <w:t>g</w:t>
                    </w:r>
                    <w:r w:rsidRPr="00E72626">
                      <w:rPr>
                        <w:rStyle w:val="Hyperlink"/>
                        <w:shd w:val="clear" w:color="auto" w:fill="FFFFFF"/>
                      </w:rPr>
                      <w:t>énéral des Nations Unies sur l</w:t>
                    </w:r>
                    <w:r w:rsidR="00631D5D" w:rsidRPr="00E72626">
                      <w:rPr>
                        <w:rStyle w:val="Hyperlink"/>
                        <w:shd w:val="clear" w:color="auto" w:fill="FFFFFF"/>
                      </w:rPr>
                      <w:t>’</w:t>
                    </w:r>
                    <w:r w:rsidRPr="00E72626">
                      <w:rPr>
                        <w:rStyle w:val="Hyperlink"/>
                        <w:shd w:val="clear" w:color="auto" w:fill="FFFFFF"/>
                      </w:rPr>
                      <w:t xml:space="preserve">acceptation de biens et services </w:t>
                    </w:r>
                    <w:r w:rsidR="00631D5D" w:rsidRPr="00E72626">
                      <w:rPr>
                        <w:rStyle w:val="Hyperlink"/>
                        <w:shd w:val="clear" w:color="auto" w:fill="FFFFFF"/>
                      </w:rPr>
                      <w:t xml:space="preserve">pro </w:t>
                    </w:r>
                    <w:proofErr w:type="spellStart"/>
                    <w:r w:rsidR="00631D5D" w:rsidRPr="00E72626">
                      <w:rPr>
                        <w:rStyle w:val="Hyperlink"/>
                        <w:shd w:val="clear" w:color="auto" w:fill="FFFFFF"/>
                      </w:rPr>
                      <w:t>bono</w:t>
                    </w:r>
                    <w:proofErr w:type="spellEnd"/>
                    <w:r w:rsidRPr="00E72626">
                      <w:rPr>
                        <w:rStyle w:val="Hyperlink"/>
                        <w:shd w:val="clear" w:color="auto" w:fill="FFFFFF"/>
                      </w:rPr>
                      <w:t xml:space="preserve"> (2006)</w:t>
                    </w:r>
                  </w:hyperlink>
                  <w:r w:rsidRPr="002D5FF8">
                    <w:t xml:space="preserve">, </w:t>
                  </w:r>
                  <w:r w:rsidRPr="002D5FF8">
                    <w:rPr>
                      <w:shd w:val="clear" w:color="auto" w:fill="FFFFFF"/>
                    </w:rPr>
                    <w:t>complété par les politiques du PNUD.</w:t>
                  </w:r>
                </w:p>
                <w:p w14:paraId="0153788E" w14:textId="77777777" w:rsidR="00883925" w:rsidRPr="002D5FF8" w:rsidRDefault="00883925" w:rsidP="000031F9">
                  <w:pPr>
                    <w:spacing w:line="276" w:lineRule="auto"/>
                    <w:rPr>
                      <w:rFonts w:eastAsia="Calibri" w:cstheme="minorHAnsi"/>
                      <w:shd w:val="clear" w:color="auto" w:fill="FFFFFF"/>
                    </w:rPr>
                  </w:pPr>
                  <w:r w:rsidRPr="002D5FF8">
                    <w:rPr>
                      <w:shd w:val="clear" w:color="auto" w:fill="FFFFFF"/>
                    </w:rPr>
                    <w:t>Les éléments suivants définiront une activité de collaboration du secteur privé et non un approvisionnement</w:t>
                  </w:r>
                  <w:r w:rsidR="00631D5D" w:rsidRPr="002D5FF8">
                    <w:rPr>
                      <w:shd w:val="clear" w:color="auto" w:fill="FFFFFF"/>
                    </w:rPr>
                    <w:t> :</w:t>
                  </w:r>
                </w:p>
                <w:p w14:paraId="7A448EA3" w14:textId="77777777" w:rsidR="00883925" w:rsidRPr="002D5FF8" w:rsidRDefault="00883925" w:rsidP="00DF413A">
                  <w:pPr>
                    <w:shd w:val="clear" w:color="auto" w:fill="FFFFFF"/>
                    <w:spacing w:after="0" w:line="276" w:lineRule="auto"/>
                    <w:ind w:right="55"/>
                    <w:contextualSpacing/>
                    <w:rPr>
                      <w:rFonts w:eastAsia="Times New Roman" w:cstheme="minorHAnsi"/>
                      <w:shd w:val="clear" w:color="auto" w:fill="FFFFFF"/>
                    </w:rPr>
                  </w:pPr>
                  <w:r w:rsidRPr="002D5FF8">
                    <w:rPr>
                      <w:shd w:val="clear" w:color="auto" w:fill="FFFFFF"/>
                    </w:rPr>
                    <w:t>Donné gratuitement et sans frais pour le PNUD, y compris les frais d</w:t>
                  </w:r>
                  <w:r w:rsidR="00631D5D" w:rsidRPr="002D5FF8">
                    <w:rPr>
                      <w:shd w:val="clear" w:color="auto" w:fill="FFFFFF"/>
                    </w:rPr>
                    <w:t>’</w:t>
                  </w:r>
                  <w:r w:rsidRPr="002D5FF8">
                    <w:rPr>
                      <w:shd w:val="clear" w:color="auto" w:fill="FFFFFF"/>
                    </w:rPr>
                    <w:t>expédition, de voyage et de séjour</w:t>
                  </w:r>
                  <w:r w:rsidR="00631D5D" w:rsidRPr="002D5FF8">
                    <w:rPr>
                      <w:shd w:val="clear" w:color="auto" w:fill="FFFFFF"/>
                    </w:rPr>
                    <w:t> ;</w:t>
                  </w:r>
                </w:p>
                <w:p w14:paraId="3321061E" w14:textId="6D35C312" w:rsidR="00883925" w:rsidRPr="002D5FF8" w:rsidRDefault="00883925" w:rsidP="00DF413A">
                  <w:pPr>
                    <w:shd w:val="clear" w:color="auto" w:fill="FFFFFF"/>
                    <w:spacing w:after="0" w:line="276" w:lineRule="auto"/>
                    <w:ind w:right="55"/>
                    <w:contextualSpacing/>
                    <w:rPr>
                      <w:rFonts w:eastAsia="Times New Roman" w:cstheme="minorHAnsi"/>
                      <w:shd w:val="clear" w:color="auto" w:fill="FFFFFF"/>
                    </w:rPr>
                  </w:pPr>
                  <w:r w:rsidRPr="002D5FF8">
                    <w:rPr>
                      <w:shd w:val="clear" w:color="auto" w:fill="FFFFFF"/>
                    </w:rPr>
                    <w:t>La dépendance n</w:t>
                  </w:r>
                  <w:r w:rsidR="00631D5D" w:rsidRPr="002D5FF8">
                    <w:rPr>
                      <w:shd w:val="clear" w:color="auto" w:fill="FFFFFF"/>
                    </w:rPr>
                    <w:t>’</w:t>
                  </w:r>
                  <w:r w:rsidRPr="002D5FF8">
                    <w:rPr>
                      <w:shd w:val="clear" w:color="auto" w:fill="FFFFFF"/>
                    </w:rPr>
                    <w:t>est pas créée à l</w:t>
                  </w:r>
                  <w:r w:rsidR="00631D5D" w:rsidRPr="002D5FF8">
                    <w:rPr>
                      <w:shd w:val="clear" w:color="auto" w:fill="FFFFFF"/>
                    </w:rPr>
                    <w:t>’</w:t>
                  </w:r>
                  <w:r w:rsidRPr="002D5FF8">
                    <w:rPr>
                      <w:shd w:val="clear" w:color="auto" w:fill="FFFFFF"/>
                    </w:rPr>
                    <w:t>aide de méthodes ou de technologies propriétaires qui entraînent de</w:t>
                  </w:r>
                  <w:r w:rsidR="005D4AE2">
                    <w:rPr>
                      <w:shd w:val="clear" w:color="auto" w:fill="FFFFFF"/>
                    </w:rPr>
                    <w:t>s coûts et une dépendance futur</w:t>
                  </w:r>
                  <w:r w:rsidR="00B44424">
                    <w:rPr>
                      <w:shd w:val="clear" w:color="auto" w:fill="FFFFFF"/>
                    </w:rPr>
                    <w:t>e</w:t>
                  </w:r>
                  <w:r w:rsidRPr="002D5FF8">
                    <w:rPr>
                      <w:shd w:val="clear" w:color="auto" w:fill="FFFFFF"/>
                    </w:rPr>
                    <w:t xml:space="preserve"> à l</w:t>
                  </w:r>
                  <w:r w:rsidR="00631D5D" w:rsidRPr="002D5FF8">
                    <w:rPr>
                      <w:shd w:val="clear" w:color="auto" w:fill="FFFFFF"/>
                    </w:rPr>
                    <w:t>’</w:t>
                  </w:r>
                  <w:r w:rsidRPr="002D5FF8">
                    <w:rPr>
                      <w:shd w:val="clear" w:color="auto" w:fill="FFFFFF"/>
                    </w:rPr>
                    <w:t>égard des produits ou des services de l</w:t>
                  </w:r>
                  <w:r w:rsidR="00631D5D" w:rsidRPr="002D5FF8">
                    <w:rPr>
                      <w:shd w:val="clear" w:color="auto" w:fill="FFFFFF"/>
                    </w:rPr>
                    <w:t>’</w:t>
                  </w:r>
                  <w:r w:rsidRPr="002D5FF8">
                    <w:rPr>
                      <w:shd w:val="clear" w:color="auto" w:fill="FFFFFF"/>
                    </w:rPr>
                    <w:t>entreprise.</w:t>
                  </w:r>
                </w:p>
                <w:p w14:paraId="14F47881" w14:textId="77777777" w:rsidR="00883925" w:rsidRPr="002D5FF8" w:rsidRDefault="00883925" w:rsidP="000031F9">
                  <w:pPr>
                    <w:shd w:val="clear" w:color="auto" w:fill="FFFFFF"/>
                    <w:tabs>
                      <w:tab w:val="left" w:pos="1805"/>
                    </w:tabs>
                    <w:spacing w:after="0" w:line="276" w:lineRule="auto"/>
                    <w:ind w:left="10" w:hanging="10"/>
                    <w:contextualSpacing/>
                    <w:rPr>
                      <w:rFonts w:eastAsia="Times New Roman" w:cstheme="minorHAnsi"/>
                      <w:shd w:val="clear" w:color="auto" w:fill="FFFFFF"/>
                    </w:rPr>
                  </w:pPr>
                </w:p>
                <w:p w14:paraId="01BFAAE8" w14:textId="1E28DB27" w:rsidR="00883925" w:rsidRPr="002D5FF8" w:rsidRDefault="00883925" w:rsidP="000031F9">
                  <w:pPr>
                    <w:shd w:val="clear" w:color="auto" w:fill="FFFFFF"/>
                    <w:spacing w:after="0" w:line="276" w:lineRule="auto"/>
                    <w:ind w:left="10" w:hanging="10"/>
                    <w:contextualSpacing/>
                    <w:rPr>
                      <w:rFonts w:eastAsia="Times New Roman" w:cstheme="minorHAnsi"/>
                      <w:shd w:val="clear" w:color="auto" w:fill="FFFFFF"/>
                    </w:rPr>
                  </w:pPr>
                  <w:r w:rsidRPr="002D5FF8">
                    <w:rPr>
                      <w:shd w:val="clear" w:color="auto" w:fill="FFFFFF"/>
                    </w:rPr>
                    <w:t>L</w:t>
                  </w:r>
                  <w:r w:rsidR="00631D5D" w:rsidRPr="002D5FF8">
                    <w:rPr>
                      <w:shd w:val="clear" w:color="auto" w:fill="FFFFFF"/>
                    </w:rPr>
                    <w:t>’</w:t>
                  </w:r>
                  <w:r w:rsidRPr="002D5FF8">
                    <w:rPr>
                      <w:shd w:val="clear" w:color="auto" w:fill="FFFFFF"/>
                    </w:rPr>
                    <w:t>évaluation et la déclaration des contributions à titre gracieux doivent être faites conformément aux normes comptables du système des</w:t>
                  </w:r>
                  <w:r w:rsidR="008A2E06" w:rsidRPr="002D5FF8">
                    <w:rPr>
                      <w:shd w:val="clear" w:color="auto" w:fill="FFFFFF"/>
                    </w:rPr>
                    <w:t xml:space="preserve"> Nations Unies. L</w:t>
                  </w:r>
                  <w:r w:rsidR="00631D5D" w:rsidRPr="002D5FF8">
                    <w:rPr>
                      <w:shd w:val="clear" w:color="auto" w:fill="FFFFFF"/>
                    </w:rPr>
                    <w:t>’</w:t>
                  </w:r>
                  <w:r w:rsidRPr="002D5FF8">
                    <w:rPr>
                      <w:shd w:val="clear" w:color="auto" w:fill="FFFFFF"/>
                    </w:rPr>
                    <w:t>évaluation de la contribution doit être calculée à la juste valeur, y compris, le cas échéant, l</w:t>
                  </w:r>
                  <w:r w:rsidR="00631D5D" w:rsidRPr="002D5FF8">
                    <w:rPr>
                      <w:shd w:val="clear" w:color="auto" w:fill="FFFFFF"/>
                    </w:rPr>
                    <w:t>’</w:t>
                  </w:r>
                  <w:r w:rsidRPr="002D5FF8">
                    <w:rPr>
                      <w:shd w:val="clear" w:color="auto" w:fill="FFFFFF"/>
                    </w:rPr>
                    <w:t>évaluation du donateur, telle que déterminée par l</w:t>
                  </w:r>
                  <w:r w:rsidR="00631D5D" w:rsidRPr="002D5FF8">
                    <w:rPr>
                      <w:shd w:val="clear" w:color="auto" w:fill="FFFFFF"/>
                    </w:rPr>
                    <w:t>’</w:t>
                  </w:r>
                  <w:r w:rsidRPr="002D5FF8">
                    <w:rPr>
                      <w:shd w:val="clear" w:color="auto" w:fill="FFFFFF"/>
                    </w:rPr>
                    <w:t>unité du PNUD concernée. Les questions relatives à la déclaration ou à l</w:t>
                  </w:r>
                  <w:r w:rsidR="00631D5D" w:rsidRPr="002D5FF8">
                    <w:rPr>
                      <w:shd w:val="clear" w:color="auto" w:fill="FFFFFF"/>
                    </w:rPr>
                    <w:t>’</w:t>
                  </w:r>
                  <w:r w:rsidRPr="002D5FF8">
                    <w:rPr>
                      <w:shd w:val="clear" w:color="auto" w:fill="FFFFFF"/>
                    </w:rPr>
                    <w:t>évaluation de ces contributions peuvent être adressées au Bureau du contrôleur.</w:t>
                  </w:r>
                </w:p>
              </w:tc>
            </w:tr>
          </w:tbl>
          <w:p w14:paraId="20EC98E5" w14:textId="77777777" w:rsidR="00883925" w:rsidRPr="002D5FF8" w:rsidRDefault="00883925" w:rsidP="00B36788">
            <w:pPr>
              <w:spacing w:after="0" w:line="240" w:lineRule="auto"/>
              <w:jc w:val="both"/>
              <w:rPr>
                <w:rFonts w:eastAsia="Calibri" w:cs="Times New Roman"/>
                <w:shd w:val="clear" w:color="auto" w:fill="FFFFFF"/>
              </w:rPr>
            </w:pPr>
          </w:p>
          <w:p w14:paraId="2FB24E0D" w14:textId="77777777" w:rsidR="00883925" w:rsidRPr="002D5FF8" w:rsidRDefault="00883925" w:rsidP="00B36788">
            <w:pPr>
              <w:spacing w:after="0" w:line="240" w:lineRule="auto"/>
              <w:jc w:val="both"/>
              <w:rPr>
                <w:rFonts w:eastAsia="Calibri" w:cs="Times New Roman"/>
                <w:b/>
              </w:rPr>
            </w:pPr>
            <w:r w:rsidRPr="002D5FF8">
              <w:rPr>
                <w:b/>
              </w:rPr>
              <w:t>Désignation de l</w:t>
            </w:r>
            <w:r w:rsidR="00631D5D" w:rsidRPr="002D5FF8">
              <w:rPr>
                <w:b/>
              </w:rPr>
              <w:t>’</w:t>
            </w:r>
            <w:r w:rsidRPr="002D5FF8">
              <w:rPr>
                <w:b/>
              </w:rPr>
              <w:t>autorité</w:t>
            </w:r>
          </w:p>
          <w:p w14:paraId="66691FCA" w14:textId="77777777" w:rsidR="00883925" w:rsidRPr="002D5FF8" w:rsidRDefault="00883925" w:rsidP="00B36788">
            <w:pPr>
              <w:spacing w:after="0" w:line="240" w:lineRule="auto"/>
              <w:jc w:val="both"/>
              <w:rPr>
                <w:rFonts w:eastAsia="Calibri" w:cs="Times New Roman"/>
                <w:lang w:eastAsia="fi-FI"/>
              </w:rPr>
            </w:pPr>
          </w:p>
          <w:p w14:paraId="69F564C4" w14:textId="39FAFB16" w:rsidR="00883925" w:rsidRPr="002D5FF8" w:rsidRDefault="00883925" w:rsidP="00A44814">
            <w:pPr>
              <w:pStyle w:val="ListParagraph"/>
              <w:numPr>
                <w:ilvl w:val="0"/>
                <w:numId w:val="4"/>
              </w:numPr>
              <w:spacing w:after="0" w:line="240" w:lineRule="auto"/>
              <w:rPr>
                <w:rFonts w:cs="Times New Roman"/>
                <w:color w:val="auto"/>
              </w:rPr>
            </w:pPr>
            <w:r w:rsidRPr="002D5FF8">
              <w:rPr>
                <w:color w:val="auto"/>
              </w:rPr>
              <w:t>Le pouvoir de signer un mémorandum d</w:t>
            </w:r>
            <w:r w:rsidR="00631D5D" w:rsidRPr="002D5FF8">
              <w:rPr>
                <w:color w:val="auto"/>
              </w:rPr>
              <w:t>’</w:t>
            </w:r>
            <w:r w:rsidRPr="002D5FF8">
              <w:rPr>
                <w:color w:val="auto"/>
              </w:rPr>
              <w:t xml:space="preserve">accord, </w:t>
            </w:r>
            <w:r w:rsidR="002C699C" w:rsidRPr="002D5FF8">
              <w:rPr>
                <w:color w:val="auto"/>
                <w:shd w:val="clear" w:color="auto" w:fill="FFFFFF"/>
              </w:rPr>
              <w:t>des accords de partenariat</w:t>
            </w:r>
            <w:r w:rsidR="00C47372" w:rsidRPr="002D5FF8">
              <w:rPr>
                <w:color w:val="auto"/>
                <w:shd w:val="clear" w:color="auto" w:fill="FFFFFF"/>
              </w:rPr>
              <w:t xml:space="preserve"> pour des accord</w:t>
            </w:r>
            <w:r w:rsidR="00754F4E">
              <w:rPr>
                <w:color w:val="auto"/>
                <w:shd w:val="clear" w:color="auto" w:fill="FFFFFF"/>
              </w:rPr>
              <w:t xml:space="preserve">s de </w:t>
            </w:r>
            <w:r w:rsidR="002C699C" w:rsidRPr="002D5FF8">
              <w:rPr>
                <w:color w:val="auto"/>
                <w:shd w:val="clear" w:color="auto" w:fill="FFFFFF"/>
              </w:rPr>
              <w:t>financement</w:t>
            </w:r>
            <w:r w:rsidRPr="002D5FF8">
              <w:rPr>
                <w:color w:val="auto"/>
                <w:shd w:val="clear" w:color="auto" w:fill="FFFFFF"/>
              </w:rPr>
              <w:t xml:space="preserve"> et des contributions bénévoles est délégué au coordonnateur ou au </w:t>
            </w:r>
            <w:r w:rsidRPr="002D5FF8">
              <w:rPr>
                <w:color w:val="auto"/>
                <w:shd w:val="clear" w:color="auto" w:fill="FFFFFF"/>
              </w:rPr>
              <w:lastRenderedPageBreak/>
              <w:t>représentant résident, ou à une personne désignée dans un bureau de pays, à condition que les conditions suivantes soient remplies</w:t>
            </w:r>
            <w:r w:rsidR="00631D5D" w:rsidRPr="002D5FF8">
              <w:rPr>
                <w:color w:val="auto"/>
              </w:rPr>
              <w:t> :</w:t>
            </w:r>
          </w:p>
          <w:p w14:paraId="0627B1FC" w14:textId="77777777" w:rsidR="00054593" w:rsidRPr="002D5FF8" w:rsidRDefault="00054593" w:rsidP="00054593">
            <w:pPr>
              <w:pStyle w:val="ListParagraph"/>
              <w:spacing w:after="0" w:line="240" w:lineRule="auto"/>
              <w:ind w:firstLine="0"/>
              <w:rPr>
                <w:rFonts w:cs="Times New Roman"/>
                <w:color w:val="auto"/>
                <w:lang w:eastAsia="fi-FI"/>
              </w:rPr>
            </w:pPr>
          </w:p>
          <w:p w14:paraId="3BE3D0E9" w14:textId="164206E8" w:rsidR="00883925" w:rsidRPr="002D5FF8" w:rsidRDefault="00754F4E" w:rsidP="007C0573">
            <w:pPr>
              <w:pStyle w:val="ListParagraph"/>
              <w:numPr>
                <w:ilvl w:val="1"/>
                <w:numId w:val="4"/>
              </w:numPr>
              <w:shd w:val="clear" w:color="auto" w:fill="FFFFFF"/>
              <w:spacing w:after="0" w:line="276" w:lineRule="auto"/>
              <w:rPr>
                <w:rFonts w:cs="Times New Roman"/>
                <w:color w:val="auto"/>
                <w:shd w:val="clear" w:color="auto" w:fill="FFFFFF"/>
              </w:rPr>
            </w:pPr>
            <w:r>
              <w:rPr>
                <w:color w:val="auto"/>
                <w:shd w:val="clear" w:color="auto" w:fill="FFFFFF"/>
              </w:rPr>
              <w:t>L</w:t>
            </w:r>
            <w:r w:rsidR="00631D5D" w:rsidRPr="002D5FF8">
              <w:rPr>
                <w:color w:val="auto"/>
                <w:shd w:val="clear" w:color="auto" w:fill="FFFFFF"/>
              </w:rPr>
              <w:t>’</w:t>
            </w:r>
            <w:r w:rsidR="00883925" w:rsidRPr="002D5FF8">
              <w:rPr>
                <w:color w:val="auto"/>
                <w:shd w:val="clear" w:color="auto" w:fill="FFFFFF"/>
              </w:rPr>
              <w:t>accord a des implications pour un seul pays (c</w:t>
            </w:r>
            <w:r w:rsidR="00631D5D" w:rsidRPr="002D5FF8">
              <w:rPr>
                <w:color w:val="auto"/>
                <w:shd w:val="clear" w:color="auto" w:fill="FFFFFF"/>
              </w:rPr>
              <w:t>’</w:t>
            </w:r>
            <w:r w:rsidR="00883925" w:rsidRPr="002D5FF8">
              <w:rPr>
                <w:color w:val="auto"/>
                <w:shd w:val="clear" w:color="auto" w:fill="FFFFFF"/>
              </w:rPr>
              <w:t>est-à-dire le pays dont le cadre supérieur est responsable)</w:t>
            </w:r>
            <w:r w:rsidR="00D6340F">
              <w:rPr>
                <w:color w:val="auto"/>
                <w:shd w:val="clear" w:color="auto" w:fill="FFFFFF"/>
              </w:rPr>
              <w:t> </w:t>
            </w:r>
          </w:p>
          <w:p w14:paraId="2DD2559C" w14:textId="15719B3F" w:rsidR="00883925"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883925" w:rsidRPr="002D5FF8">
              <w:rPr>
                <w:shd w:val="clear" w:color="auto" w:fill="FFFFFF"/>
              </w:rPr>
              <w:t>e partenariat est conclu avec une entité nationale ou avec une succursale nationale d</w:t>
            </w:r>
            <w:r w:rsidR="00631D5D" w:rsidRPr="002D5FF8">
              <w:rPr>
                <w:shd w:val="clear" w:color="auto" w:fill="FFFFFF"/>
              </w:rPr>
              <w:t>’</w:t>
            </w:r>
            <w:r w:rsidR="00883925" w:rsidRPr="002D5FF8">
              <w:rPr>
                <w:shd w:val="clear" w:color="auto" w:fill="FFFFFF"/>
              </w:rPr>
              <w:t>une entité multinationale</w:t>
            </w:r>
            <w:r w:rsidR="00D6340F">
              <w:rPr>
                <w:shd w:val="clear" w:color="auto" w:fill="FFFFFF"/>
              </w:rPr>
              <w:t> </w:t>
            </w:r>
          </w:p>
          <w:p w14:paraId="792B08C7" w14:textId="7E0FC094" w:rsidR="00883925"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631D5D" w:rsidRPr="002D5FF8">
              <w:rPr>
                <w:shd w:val="clear" w:color="auto" w:fill="FFFFFF"/>
              </w:rPr>
              <w:t>’</w:t>
            </w:r>
            <w:r w:rsidR="007821EC" w:rsidRPr="002D5FF8">
              <w:rPr>
                <w:shd w:val="clear" w:color="auto" w:fill="FFFFFF"/>
              </w:rPr>
              <w:t xml:space="preserve">accord est conforme </w:t>
            </w:r>
            <w:r w:rsidR="00A37DEE" w:rsidRPr="002D5FF8">
              <w:rPr>
                <w:shd w:val="clear" w:color="auto" w:fill="FFFFFF"/>
              </w:rPr>
              <w:t>aux modèles standards respectifs</w:t>
            </w:r>
          </w:p>
          <w:p w14:paraId="02FCA299" w14:textId="77777777" w:rsidR="00054593" w:rsidRPr="002D5FF8" w:rsidRDefault="00054593" w:rsidP="00B36788">
            <w:pPr>
              <w:spacing w:after="0" w:line="240" w:lineRule="auto"/>
              <w:jc w:val="both"/>
              <w:rPr>
                <w:rFonts w:eastAsia="Calibri" w:cs="Times New Roman"/>
                <w:lang w:eastAsia="fi-FI"/>
              </w:rPr>
            </w:pPr>
          </w:p>
          <w:p w14:paraId="30F67511" w14:textId="77777777" w:rsidR="00883925" w:rsidRPr="002D5FF8" w:rsidRDefault="00883925" w:rsidP="00A44814">
            <w:pPr>
              <w:pStyle w:val="ListParagraph"/>
              <w:numPr>
                <w:ilvl w:val="0"/>
                <w:numId w:val="4"/>
              </w:numPr>
              <w:spacing w:after="0" w:line="240" w:lineRule="auto"/>
              <w:rPr>
                <w:rFonts w:cs="Times New Roman"/>
                <w:color w:val="auto"/>
                <w:shd w:val="clear" w:color="auto" w:fill="FFFFFF"/>
              </w:rPr>
            </w:pPr>
            <w:r w:rsidRPr="002D5FF8">
              <w:rPr>
                <w:color w:val="auto"/>
              </w:rPr>
              <w:t>Le pouvoir de signer un mémorandum d</w:t>
            </w:r>
            <w:r w:rsidR="00631D5D" w:rsidRPr="002D5FF8">
              <w:rPr>
                <w:color w:val="auto"/>
              </w:rPr>
              <w:t>’</w:t>
            </w:r>
            <w:r w:rsidRPr="002D5FF8">
              <w:rPr>
                <w:color w:val="auto"/>
              </w:rPr>
              <w:t xml:space="preserve">accord, un accord de partenariat pour les contributions bénévoles et des </w:t>
            </w:r>
            <w:r w:rsidR="00A37DEE" w:rsidRPr="002D5FF8">
              <w:rPr>
                <w:color w:val="auto"/>
              </w:rPr>
              <w:t>accords</w:t>
            </w:r>
            <w:r w:rsidRPr="002D5FF8">
              <w:rPr>
                <w:color w:val="auto"/>
              </w:rPr>
              <w:t xml:space="preserve"> sur les services communs est délégué au directeur du Bureau régional ou à une personne désignée dans un bureau régional, à condition que les conditions suivantes soient remplies</w:t>
            </w:r>
            <w:r w:rsidR="00631D5D" w:rsidRPr="002D5FF8">
              <w:rPr>
                <w:color w:val="auto"/>
              </w:rPr>
              <w:t> :</w:t>
            </w:r>
          </w:p>
          <w:p w14:paraId="79F5CA77" w14:textId="77777777" w:rsidR="00401C1E" w:rsidRPr="002D5FF8" w:rsidRDefault="00401C1E" w:rsidP="00401C1E">
            <w:pPr>
              <w:pStyle w:val="ListParagraph"/>
              <w:spacing w:after="0" w:line="240" w:lineRule="auto"/>
              <w:ind w:firstLine="0"/>
              <w:rPr>
                <w:rFonts w:cs="Times New Roman"/>
                <w:color w:val="auto"/>
                <w:shd w:val="clear" w:color="auto" w:fill="FFFFFF"/>
              </w:rPr>
            </w:pPr>
          </w:p>
          <w:p w14:paraId="65653E66" w14:textId="4AF7BA8F" w:rsidR="008736D8"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631D5D" w:rsidRPr="002D5FF8">
              <w:rPr>
                <w:shd w:val="clear" w:color="auto" w:fill="FFFFFF"/>
              </w:rPr>
              <w:t>’</w:t>
            </w:r>
            <w:r w:rsidR="008736D8" w:rsidRPr="002D5FF8">
              <w:rPr>
                <w:shd w:val="clear" w:color="auto" w:fill="FFFFFF"/>
              </w:rPr>
              <w:t>accord a des implications pour une seule région (c</w:t>
            </w:r>
            <w:r w:rsidR="00631D5D" w:rsidRPr="002D5FF8">
              <w:rPr>
                <w:shd w:val="clear" w:color="auto" w:fill="FFFFFF"/>
              </w:rPr>
              <w:t>’</w:t>
            </w:r>
            <w:r w:rsidR="008736D8" w:rsidRPr="002D5FF8">
              <w:rPr>
                <w:shd w:val="clear" w:color="auto" w:fill="FFFFFF"/>
              </w:rPr>
              <w:t>est-à-dire la région dont le directeur du Bureau est responsable)</w:t>
            </w:r>
            <w:r w:rsidR="00D6340F">
              <w:rPr>
                <w:shd w:val="clear" w:color="auto" w:fill="FFFFFF"/>
              </w:rPr>
              <w:t> </w:t>
            </w:r>
          </w:p>
          <w:p w14:paraId="7817C2F7" w14:textId="1F586859" w:rsidR="008736D8"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L</w:t>
            </w:r>
            <w:r w:rsidR="008736D8" w:rsidRPr="002D5FF8">
              <w:rPr>
                <w:shd w:val="clear" w:color="auto" w:fill="FFFFFF"/>
              </w:rPr>
              <w:t>e</w:t>
            </w:r>
            <w:r w:rsidR="00363003" w:rsidRPr="002D5FF8">
              <w:rPr>
                <w:shd w:val="clear" w:color="auto" w:fill="FFFFFF"/>
              </w:rPr>
              <w:t xml:space="preserve"> partenariat </w:t>
            </w:r>
            <w:r w:rsidR="00D56953" w:rsidRPr="002D5FF8">
              <w:rPr>
                <w:shd w:val="clear" w:color="auto" w:fill="FFFFFF"/>
              </w:rPr>
              <w:t xml:space="preserve">est conclu </w:t>
            </w:r>
            <w:proofErr w:type="gramStart"/>
            <w:r w:rsidR="00EA13D5" w:rsidRPr="002D5FF8">
              <w:rPr>
                <w:shd w:val="clear" w:color="auto" w:fill="FFFFFF"/>
              </w:rPr>
              <w:t>entré</w:t>
            </w:r>
            <w:proofErr w:type="gramEnd"/>
            <w:r w:rsidR="008736D8" w:rsidRPr="002D5FF8">
              <w:rPr>
                <w:shd w:val="clear" w:color="auto" w:fill="FFFFFF"/>
              </w:rPr>
              <w:t xml:space="preserve"> avec une entité régionale ou avec une succursale régionale d</w:t>
            </w:r>
            <w:r w:rsidR="00631D5D" w:rsidRPr="002D5FF8">
              <w:rPr>
                <w:shd w:val="clear" w:color="auto" w:fill="FFFFFF"/>
              </w:rPr>
              <w:t>’</w:t>
            </w:r>
            <w:r w:rsidR="008736D8" w:rsidRPr="002D5FF8">
              <w:rPr>
                <w:shd w:val="clear" w:color="auto" w:fill="FFFFFF"/>
              </w:rPr>
              <w:t>une entité multinationale</w:t>
            </w:r>
            <w:r w:rsidR="00D6340F">
              <w:rPr>
                <w:shd w:val="clear" w:color="auto" w:fill="FFFFFF"/>
              </w:rPr>
              <w:t> </w:t>
            </w:r>
          </w:p>
          <w:p w14:paraId="429F7DDC" w14:textId="4F54B0A3" w:rsidR="008736D8" w:rsidRPr="002D5FF8" w:rsidRDefault="00754F4E" w:rsidP="007C0573">
            <w:pPr>
              <w:numPr>
                <w:ilvl w:val="1"/>
                <w:numId w:val="4"/>
              </w:numPr>
              <w:shd w:val="clear" w:color="auto" w:fill="FFFFFF"/>
              <w:spacing w:after="0" w:line="276" w:lineRule="auto"/>
              <w:ind w:right="55"/>
              <w:contextualSpacing/>
              <w:jc w:val="both"/>
              <w:rPr>
                <w:rFonts w:eastAsia="Calibri" w:cs="Times New Roman"/>
                <w:shd w:val="clear" w:color="auto" w:fill="FFFFFF"/>
              </w:rPr>
            </w:pPr>
            <w:r>
              <w:rPr>
                <w:shd w:val="clear" w:color="auto" w:fill="FFFFFF"/>
              </w:rPr>
              <w:t> L</w:t>
            </w:r>
            <w:r w:rsidR="00631D5D" w:rsidRPr="002D5FF8">
              <w:rPr>
                <w:shd w:val="clear" w:color="auto" w:fill="FFFFFF"/>
              </w:rPr>
              <w:t>’</w:t>
            </w:r>
            <w:r w:rsidR="008736D8" w:rsidRPr="002D5FF8">
              <w:rPr>
                <w:shd w:val="clear" w:color="auto" w:fill="FFFFFF"/>
              </w:rPr>
              <w:t>accord est conforme au modèle CSA</w:t>
            </w:r>
          </w:p>
          <w:p w14:paraId="7BAC2BC6" w14:textId="77777777" w:rsidR="009F076F" w:rsidRPr="002D5FF8" w:rsidRDefault="009F076F" w:rsidP="008736D8">
            <w:pPr>
              <w:spacing w:after="0" w:line="240" w:lineRule="auto"/>
              <w:rPr>
                <w:rFonts w:cs="Times New Roman"/>
                <w:shd w:val="clear" w:color="auto" w:fill="FFFFFF"/>
              </w:rPr>
            </w:pPr>
          </w:p>
          <w:p w14:paraId="17183661" w14:textId="77777777" w:rsidR="00893403" w:rsidRPr="002D5FF8" w:rsidRDefault="00893403" w:rsidP="00A44814">
            <w:pPr>
              <w:pStyle w:val="ListParagraph"/>
              <w:numPr>
                <w:ilvl w:val="0"/>
                <w:numId w:val="4"/>
              </w:numPr>
              <w:spacing w:after="0" w:line="240" w:lineRule="auto"/>
              <w:rPr>
                <w:rFonts w:cs="Times New Roman"/>
                <w:color w:val="auto"/>
                <w:shd w:val="clear" w:color="auto" w:fill="FFFFFF"/>
              </w:rPr>
            </w:pPr>
            <w:r w:rsidRPr="002D5FF8">
              <w:rPr>
                <w:b/>
                <w:color w:val="auto"/>
                <w:shd w:val="clear" w:color="auto" w:fill="FFFFFF"/>
              </w:rPr>
              <w:t>Mémorandum d</w:t>
            </w:r>
            <w:r w:rsidR="00631D5D" w:rsidRPr="002D5FF8">
              <w:rPr>
                <w:b/>
                <w:color w:val="auto"/>
                <w:shd w:val="clear" w:color="auto" w:fill="FFFFFF"/>
              </w:rPr>
              <w:t>’</w:t>
            </w:r>
            <w:r w:rsidRPr="002D5FF8">
              <w:rPr>
                <w:b/>
                <w:color w:val="auto"/>
                <w:shd w:val="clear" w:color="auto" w:fill="FFFFFF"/>
              </w:rPr>
              <w:t>accord de l</w:t>
            </w:r>
            <w:r w:rsidR="00631D5D" w:rsidRPr="002D5FF8">
              <w:rPr>
                <w:b/>
                <w:color w:val="auto"/>
                <w:shd w:val="clear" w:color="auto" w:fill="FFFFFF"/>
              </w:rPr>
              <w:t>’</w:t>
            </w:r>
            <w:r w:rsidRPr="002D5FF8">
              <w:rPr>
                <w:b/>
                <w:color w:val="auto"/>
                <w:shd w:val="clear" w:color="auto" w:fill="FFFFFF"/>
              </w:rPr>
              <w:t>organisation et mondial</w:t>
            </w:r>
            <w:r w:rsidR="00631D5D" w:rsidRPr="002D5FF8">
              <w:rPr>
                <w:color w:val="auto"/>
                <w:shd w:val="clear" w:color="auto" w:fill="FFFFFF"/>
              </w:rPr>
              <w:t> :</w:t>
            </w:r>
            <w:r w:rsidRPr="002D5FF8">
              <w:rPr>
                <w:color w:val="auto"/>
                <w:shd w:val="clear" w:color="auto" w:fill="FFFFFF"/>
              </w:rPr>
              <w:t xml:space="preserve"> un processus d</w:t>
            </w:r>
            <w:r w:rsidR="00631D5D" w:rsidRPr="002D5FF8">
              <w:rPr>
                <w:color w:val="auto"/>
                <w:shd w:val="clear" w:color="auto" w:fill="FFFFFF"/>
              </w:rPr>
              <w:t>’</w:t>
            </w:r>
            <w:r w:rsidRPr="002D5FF8">
              <w:rPr>
                <w:color w:val="auto"/>
                <w:shd w:val="clear" w:color="auto" w:fill="FFFFFF"/>
              </w:rPr>
              <w:t>examen par l</w:t>
            </w:r>
            <w:r w:rsidR="00631D5D" w:rsidRPr="002D5FF8">
              <w:rPr>
                <w:color w:val="auto"/>
                <w:shd w:val="clear" w:color="auto" w:fill="FFFFFF"/>
              </w:rPr>
              <w:t>’</w:t>
            </w:r>
            <w:r w:rsidRPr="002D5FF8">
              <w:rPr>
                <w:color w:val="auto"/>
                <w:shd w:val="clear" w:color="auto" w:fill="FFFFFF"/>
              </w:rPr>
              <w:t>organisation est obligatoire dans les deux cas ci-dessous</w:t>
            </w:r>
            <w:r w:rsidR="00631D5D" w:rsidRPr="002D5FF8">
              <w:rPr>
                <w:color w:val="auto"/>
                <w:shd w:val="clear" w:color="auto" w:fill="FFFFFF"/>
              </w:rPr>
              <w:t> :</w:t>
            </w:r>
          </w:p>
          <w:p w14:paraId="16EAED00" w14:textId="77777777" w:rsidR="00401C1E" w:rsidRPr="002D5FF8" w:rsidRDefault="00401C1E" w:rsidP="00401C1E">
            <w:pPr>
              <w:pStyle w:val="ListParagraph"/>
              <w:spacing w:after="0" w:line="240" w:lineRule="auto"/>
              <w:ind w:firstLine="0"/>
              <w:rPr>
                <w:rFonts w:cs="Times New Roman"/>
                <w:color w:val="auto"/>
                <w:shd w:val="clear" w:color="auto" w:fill="FFFFFF"/>
              </w:rPr>
            </w:pPr>
          </w:p>
          <w:p w14:paraId="4D92D099" w14:textId="4D625BD1" w:rsidR="00893403" w:rsidRPr="002D5FF8" w:rsidRDefault="000D0786" w:rsidP="00FC1E2E">
            <w:pPr>
              <w:pStyle w:val="ListParagraph"/>
              <w:numPr>
                <w:ilvl w:val="1"/>
                <w:numId w:val="4"/>
              </w:numPr>
              <w:spacing w:after="0"/>
              <w:rPr>
                <w:rFonts w:cs="Times New Roman"/>
                <w:color w:val="auto"/>
                <w:shd w:val="clear" w:color="auto" w:fill="FFFFFF"/>
              </w:rPr>
            </w:pPr>
            <w:proofErr w:type="gramStart"/>
            <w:r>
              <w:rPr>
                <w:color w:val="auto"/>
                <w:shd w:val="clear" w:color="auto" w:fill="FFFFFF"/>
              </w:rPr>
              <w:t>s</w:t>
            </w:r>
            <w:r w:rsidR="00401C1E" w:rsidRPr="002D5FF8">
              <w:rPr>
                <w:color w:val="auto"/>
                <w:shd w:val="clear" w:color="auto" w:fill="FFFFFF"/>
              </w:rPr>
              <w:t>i</w:t>
            </w:r>
            <w:proofErr w:type="gramEnd"/>
            <w:r w:rsidR="00401C1E" w:rsidRPr="002D5FF8">
              <w:rPr>
                <w:color w:val="auto"/>
                <w:shd w:val="clear" w:color="auto" w:fill="FFFFFF"/>
              </w:rPr>
              <w:t xml:space="preserve"> </w:t>
            </w:r>
            <w:r w:rsidR="00893403" w:rsidRPr="002D5FF8">
              <w:rPr>
                <w:color w:val="auto"/>
                <w:shd w:val="clear" w:color="auto" w:fill="FFFFFF"/>
              </w:rPr>
              <w:t>le mémorandum d</w:t>
            </w:r>
            <w:r w:rsidR="00631D5D" w:rsidRPr="002D5FF8">
              <w:rPr>
                <w:color w:val="auto"/>
                <w:shd w:val="clear" w:color="auto" w:fill="FFFFFF"/>
              </w:rPr>
              <w:t>’</w:t>
            </w:r>
            <w:r w:rsidR="00893403" w:rsidRPr="002D5FF8">
              <w:rPr>
                <w:color w:val="auto"/>
                <w:shd w:val="clear" w:color="auto" w:fill="FFFFFF"/>
              </w:rPr>
              <w:t>accord doit être signé par l</w:t>
            </w:r>
            <w:r w:rsidR="00631D5D" w:rsidRPr="002D5FF8">
              <w:rPr>
                <w:color w:val="auto"/>
                <w:shd w:val="clear" w:color="auto" w:fill="FFFFFF"/>
              </w:rPr>
              <w:t>’</w:t>
            </w:r>
            <w:r w:rsidR="00893403" w:rsidRPr="002D5FF8">
              <w:rPr>
                <w:color w:val="auto"/>
                <w:shd w:val="clear" w:color="auto" w:fill="FFFFFF"/>
              </w:rPr>
              <w:t>Administrateur ou l</w:t>
            </w:r>
            <w:r w:rsidR="00631D5D" w:rsidRPr="002D5FF8">
              <w:rPr>
                <w:color w:val="auto"/>
                <w:shd w:val="clear" w:color="auto" w:fill="FFFFFF"/>
              </w:rPr>
              <w:t>’</w:t>
            </w:r>
            <w:r w:rsidR="00893403" w:rsidRPr="002D5FF8">
              <w:rPr>
                <w:color w:val="auto"/>
                <w:shd w:val="clear" w:color="auto" w:fill="FFFFFF"/>
              </w:rPr>
              <w:t>Administrateur associé</w:t>
            </w:r>
            <w:r w:rsidR="00631D5D" w:rsidRPr="002D5FF8">
              <w:rPr>
                <w:color w:val="auto"/>
                <w:shd w:val="clear" w:color="auto" w:fill="FFFFFF"/>
              </w:rPr>
              <w:t> ;</w:t>
            </w:r>
            <w:r w:rsidR="00893403" w:rsidRPr="002D5FF8">
              <w:rPr>
                <w:color w:val="auto"/>
                <w:shd w:val="clear" w:color="auto" w:fill="FFFFFF"/>
              </w:rPr>
              <w:t xml:space="preserve"> </w:t>
            </w:r>
            <w:proofErr w:type="gramStart"/>
            <w:r w:rsidR="00893403" w:rsidRPr="002D5FF8">
              <w:rPr>
                <w:color w:val="auto"/>
                <w:shd w:val="clear" w:color="auto" w:fill="FFFFFF"/>
              </w:rPr>
              <w:t>ou</w:t>
            </w:r>
            <w:proofErr w:type="gramEnd"/>
          </w:p>
          <w:p w14:paraId="14594EE2" w14:textId="77777777" w:rsidR="00893403" w:rsidRPr="002D5FF8" w:rsidRDefault="00401C1E" w:rsidP="00FC1E2E">
            <w:pPr>
              <w:pStyle w:val="ListParagraph"/>
              <w:numPr>
                <w:ilvl w:val="1"/>
                <w:numId w:val="4"/>
              </w:numPr>
              <w:spacing w:after="0"/>
              <w:rPr>
                <w:rFonts w:cs="Times New Roman"/>
                <w:color w:val="auto"/>
                <w:shd w:val="clear" w:color="auto" w:fill="FFFFFF"/>
              </w:rPr>
            </w:pPr>
            <w:proofErr w:type="gramStart"/>
            <w:r w:rsidRPr="002D5FF8">
              <w:rPr>
                <w:color w:val="auto"/>
                <w:shd w:val="clear" w:color="auto" w:fill="FFFFFF"/>
              </w:rPr>
              <w:t>l</w:t>
            </w:r>
            <w:r w:rsidR="00893403" w:rsidRPr="002D5FF8">
              <w:rPr>
                <w:color w:val="auto"/>
                <w:shd w:val="clear" w:color="auto" w:fill="FFFFFF"/>
              </w:rPr>
              <w:t>e</w:t>
            </w:r>
            <w:proofErr w:type="gramEnd"/>
            <w:r w:rsidR="00893403" w:rsidRPr="002D5FF8">
              <w:rPr>
                <w:color w:val="auto"/>
                <w:shd w:val="clear" w:color="auto" w:fill="FFFFFF"/>
              </w:rPr>
              <w:t xml:space="preserve"> protocole d</w:t>
            </w:r>
            <w:r w:rsidR="00631D5D" w:rsidRPr="002D5FF8">
              <w:rPr>
                <w:color w:val="auto"/>
                <w:shd w:val="clear" w:color="auto" w:fill="FFFFFF"/>
              </w:rPr>
              <w:t>’</w:t>
            </w:r>
            <w:r w:rsidR="00893403" w:rsidRPr="002D5FF8">
              <w:rPr>
                <w:color w:val="auto"/>
                <w:shd w:val="clear" w:color="auto" w:fill="FFFFFF"/>
              </w:rPr>
              <w:t>accord est important pour l</w:t>
            </w:r>
            <w:r w:rsidR="00631D5D" w:rsidRPr="002D5FF8">
              <w:rPr>
                <w:color w:val="auto"/>
                <w:shd w:val="clear" w:color="auto" w:fill="FFFFFF"/>
              </w:rPr>
              <w:t>’</w:t>
            </w:r>
            <w:r w:rsidR="00893403" w:rsidRPr="002D5FF8">
              <w:rPr>
                <w:color w:val="auto"/>
                <w:shd w:val="clear" w:color="auto" w:fill="FFFFFF"/>
              </w:rPr>
              <w:t>organisation ou s</w:t>
            </w:r>
            <w:r w:rsidR="00631D5D" w:rsidRPr="002D5FF8">
              <w:rPr>
                <w:color w:val="auto"/>
                <w:shd w:val="clear" w:color="auto" w:fill="FFFFFF"/>
              </w:rPr>
              <w:t>’</w:t>
            </w:r>
            <w:r w:rsidR="00893403" w:rsidRPr="002D5FF8">
              <w:rPr>
                <w:color w:val="auto"/>
                <w:shd w:val="clear" w:color="auto" w:fill="FFFFFF"/>
              </w:rPr>
              <w:t>applique mondialement (et doit donc être signé à un niveau supérieur, souvent le SSG)</w:t>
            </w:r>
            <w:r w:rsidR="00631D5D" w:rsidRPr="002D5FF8">
              <w:rPr>
                <w:color w:val="auto"/>
                <w:shd w:val="clear" w:color="auto" w:fill="FFFFFF"/>
              </w:rPr>
              <w:t>.</w:t>
            </w:r>
          </w:p>
          <w:p w14:paraId="4133EAA6" w14:textId="77777777" w:rsidR="00401C1E" w:rsidRPr="002D5FF8" w:rsidRDefault="00401C1E" w:rsidP="00401C1E">
            <w:pPr>
              <w:pStyle w:val="ListParagraph"/>
              <w:spacing w:after="0"/>
              <w:ind w:left="1440" w:firstLine="0"/>
              <w:rPr>
                <w:rFonts w:cs="Times New Roman"/>
                <w:color w:val="auto"/>
                <w:shd w:val="clear" w:color="auto" w:fill="FFFFFF"/>
              </w:rPr>
            </w:pPr>
          </w:p>
          <w:p w14:paraId="7FBDC522" w14:textId="7A00D17D" w:rsidR="00893403" w:rsidRPr="002D5FF8" w:rsidRDefault="000C3544" w:rsidP="00A11C74">
            <w:pPr>
              <w:pStyle w:val="ListParagraph"/>
              <w:spacing w:line="240" w:lineRule="auto"/>
              <w:ind w:firstLine="0"/>
              <w:rPr>
                <w:rFonts w:cs="Times New Roman"/>
                <w:color w:val="auto"/>
                <w:shd w:val="clear" w:color="auto" w:fill="FFFFFF"/>
              </w:rPr>
            </w:pPr>
            <w:r w:rsidRPr="002D5FF8">
              <w:rPr>
                <w:color w:val="auto"/>
                <w:shd w:val="clear" w:color="auto" w:fill="FFFFFF"/>
              </w:rPr>
              <w:t>Pour initier une évaluation par l</w:t>
            </w:r>
            <w:r w:rsidR="00631D5D" w:rsidRPr="002D5FF8">
              <w:rPr>
                <w:color w:val="auto"/>
                <w:shd w:val="clear" w:color="auto" w:fill="FFFFFF"/>
              </w:rPr>
              <w:t>’</w:t>
            </w:r>
            <w:r w:rsidRPr="002D5FF8">
              <w:rPr>
                <w:color w:val="auto"/>
                <w:shd w:val="clear" w:color="auto" w:fill="FFFFFF"/>
              </w:rPr>
              <w:t>organisation, le mémorandum d</w:t>
            </w:r>
            <w:r w:rsidR="00631D5D" w:rsidRPr="002D5FF8">
              <w:rPr>
                <w:color w:val="auto"/>
                <w:shd w:val="clear" w:color="auto" w:fill="FFFFFF"/>
              </w:rPr>
              <w:t>’</w:t>
            </w:r>
            <w:r w:rsidRPr="002D5FF8">
              <w:rPr>
                <w:color w:val="auto"/>
                <w:shd w:val="clear" w:color="auto" w:fill="FFFFFF"/>
              </w:rPr>
              <w:t>accord doit être soumis par le bureau initiateur au</w:t>
            </w:r>
            <w:r w:rsidRPr="002D5FF8">
              <w:rPr>
                <w:color w:val="auto"/>
              </w:rPr>
              <w:t xml:space="preserve"> </w:t>
            </w:r>
            <w:hyperlink r:id="rId23" w:history="1">
              <w:r w:rsidRPr="002D5FF8">
                <w:rPr>
                  <w:rStyle w:val="Hyperlink"/>
                  <w:color w:val="0070C0"/>
                  <w:shd w:val="clear" w:color="auto" w:fill="FFFFFF"/>
                </w:rPr>
                <w:t>Groupe des partenariat</w:t>
              </w:r>
              <w:r w:rsidR="007A232E">
                <w:rPr>
                  <w:rStyle w:val="Hyperlink"/>
                  <w:color w:val="0070C0"/>
                  <w:shd w:val="clear" w:color="auto" w:fill="FFFFFF"/>
                </w:rPr>
                <w:t>s public</w:t>
              </w:r>
              <w:r w:rsidRPr="002D5FF8">
                <w:rPr>
                  <w:rStyle w:val="Hyperlink"/>
                  <w:color w:val="0070C0"/>
                  <w:shd w:val="clear" w:color="auto" w:fill="FFFFFF"/>
                </w:rPr>
                <w:t>s</w:t>
              </w:r>
            </w:hyperlink>
            <w:r w:rsidRPr="002D5FF8">
              <w:rPr>
                <w:color w:val="auto"/>
              </w:rPr>
              <w:t xml:space="preserve"> du </w:t>
            </w:r>
            <w:r w:rsidRPr="002D5FF8">
              <w:rPr>
                <w:color w:val="auto"/>
                <w:shd w:val="clear" w:color="auto" w:fill="FFFFFF"/>
              </w:rPr>
              <w:t>Bureau des relations extérieures et du plaidoyer</w:t>
            </w:r>
            <w:r w:rsidRPr="002D5FF8">
              <w:rPr>
                <w:color w:val="auto"/>
              </w:rPr>
              <w:t xml:space="preserve"> pour examen et approbation.</w:t>
            </w:r>
          </w:p>
          <w:p w14:paraId="2E409998" w14:textId="77777777" w:rsidR="009F076F" w:rsidRPr="002D5FF8" w:rsidRDefault="009F076F" w:rsidP="00A11C74">
            <w:pPr>
              <w:pStyle w:val="ListParagraph"/>
              <w:spacing w:after="0" w:line="240" w:lineRule="auto"/>
              <w:ind w:firstLine="0"/>
              <w:rPr>
                <w:rFonts w:cs="Times New Roman"/>
                <w:color w:val="auto"/>
                <w:shd w:val="clear" w:color="auto" w:fill="FFFFFF"/>
              </w:rPr>
            </w:pPr>
          </w:p>
          <w:p w14:paraId="6A292865" w14:textId="77777777" w:rsidR="00883925" w:rsidRPr="002D5FF8" w:rsidRDefault="00883925" w:rsidP="00B36788">
            <w:pPr>
              <w:spacing w:after="0" w:line="240" w:lineRule="auto"/>
              <w:jc w:val="both"/>
              <w:rPr>
                <w:rFonts w:eastAsia="Calibri" w:cs="Times New Roman"/>
                <w:b/>
                <w:shd w:val="clear" w:color="auto" w:fill="FFFFFF"/>
              </w:rPr>
            </w:pPr>
            <w:r w:rsidRPr="002D5FF8">
              <w:rPr>
                <w:b/>
                <w:shd w:val="clear" w:color="auto" w:fill="FFFFFF"/>
              </w:rPr>
              <w:t>Écart par rapport aux modèles standards</w:t>
            </w:r>
          </w:p>
          <w:p w14:paraId="47FF941E" w14:textId="77777777" w:rsidR="00883925" w:rsidRPr="002D5FF8" w:rsidRDefault="00883925" w:rsidP="00B36788">
            <w:pPr>
              <w:spacing w:after="0" w:line="240" w:lineRule="auto"/>
              <w:jc w:val="both"/>
              <w:rPr>
                <w:rFonts w:eastAsia="Calibri" w:cs="Times New Roman"/>
                <w:shd w:val="clear" w:color="auto" w:fill="FFFFFF"/>
              </w:rPr>
            </w:pPr>
          </w:p>
          <w:p w14:paraId="32E20C2E" w14:textId="123B34DC" w:rsidR="00883925" w:rsidRPr="002D5FF8" w:rsidRDefault="00883925" w:rsidP="00A44814">
            <w:pPr>
              <w:pStyle w:val="ListParagraph"/>
              <w:numPr>
                <w:ilvl w:val="0"/>
                <w:numId w:val="4"/>
              </w:numPr>
              <w:spacing w:after="0" w:line="240" w:lineRule="auto"/>
              <w:rPr>
                <w:rFonts w:cs="Times New Roman"/>
                <w:color w:val="auto"/>
              </w:rPr>
            </w:pPr>
            <w:r w:rsidRPr="002D5FF8">
              <w:rPr>
                <w:color w:val="auto"/>
                <w:shd w:val="clear" w:color="auto" w:fill="FFFFFF"/>
              </w:rPr>
              <w:t>Tout écart proposé par rapport aux modèles standards de mémorandum d</w:t>
            </w:r>
            <w:r w:rsidR="00631D5D" w:rsidRPr="002D5FF8">
              <w:rPr>
                <w:color w:val="auto"/>
                <w:shd w:val="clear" w:color="auto" w:fill="FFFFFF"/>
              </w:rPr>
              <w:t>’</w:t>
            </w:r>
            <w:r w:rsidRPr="002D5FF8">
              <w:rPr>
                <w:color w:val="auto"/>
                <w:shd w:val="clear" w:color="auto" w:fill="FFFFFF"/>
              </w:rPr>
              <w:t>accord, d</w:t>
            </w:r>
            <w:r w:rsidR="00631D5D" w:rsidRPr="002D5FF8">
              <w:rPr>
                <w:color w:val="auto"/>
                <w:shd w:val="clear" w:color="auto" w:fill="FFFFFF"/>
              </w:rPr>
              <w:t>’</w:t>
            </w:r>
            <w:r w:rsidRPr="002D5FF8">
              <w:rPr>
                <w:color w:val="auto"/>
                <w:shd w:val="clear" w:color="auto" w:fill="FFFFFF"/>
              </w:rPr>
              <w:t xml:space="preserve">accord </w:t>
            </w:r>
            <w:r w:rsidR="00631D5D" w:rsidRPr="002D5FF8">
              <w:rPr>
                <w:color w:val="auto"/>
                <w:shd w:val="clear" w:color="auto" w:fill="FFFFFF"/>
              </w:rPr>
              <w:t xml:space="preserve">pro </w:t>
            </w:r>
            <w:proofErr w:type="spellStart"/>
            <w:r w:rsidR="00631D5D" w:rsidRPr="002D5FF8">
              <w:rPr>
                <w:color w:val="auto"/>
                <w:shd w:val="clear" w:color="auto" w:fill="FFFFFF"/>
              </w:rPr>
              <w:t>bono</w:t>
            </w:r>
            <w:proofErr w:type="spellEnd"/>
            <w:r w:rsidR="00FD1AF9" w:rsidRPr="002D5FF8">
              <w:rPr>
                <w:color w:val="auto"/>
                <w:shd w:val="clear" w:color="auto" w:fill="FFFFFF"/>
              </w:rPr>
              <w:t xml:space="preserve"> ou </w:t>
            </w:r>
            <w:r w:rsidR="00574981" w:rsidRPr="002D5FF8">
              <w:rPr>
                <w:color w:val="auto"/>
                <w:shd w:val="clear" w:color="auto" w:fill="FFFFFF"/>
              </w:rPr>
              <w:t>d</w:t>
            </w:r>
            <w:r w:rsidR="00FD1AF9" w:rsidRPr="002D5FF8">
              <w:rPr>
                <w:color w:val="auto"/>
                <w:shd w:val="clear" w:color="auto" w:fill="FFFFFF"/>
              </w:rPr>
              <w:t>’accord</w:t>
            </w:r>
            <w:r w:rsidR="004B735A" w:rsidRPr="002D5FF8">
              <w:rPr>
                <w:color w:val="auto"/>
                <w:shd w:val="clear" w:color="auto" w:fill="FFFFFF"/>
              </w:rPr>
              <w:t xml:space="preserve"> de</w:t>
            </w:r>
            <w:r w:rsidR="00FD1AF9" w:rsidRPr="002D5FF8">
              <w:rPr>
                <w:color w:val="auto"/>
                <w:shd w:val="clear" w:color="auto" w:fill="FFFFFF"/>
              </w:rPr>
              <w:t xml:space="preserve"> financement</w:t>
            </w:r>
            <w:r w:rsidRPr="002D5FF8">
              <w:rPr>
                <w:color w:val="auto"/>
                <w:shd w:val="clear" w:color="auto" w:fill="FFFFFF"/>
              </w:rPr>
              <w:t xml:space="preserve"> doit être examiné avant signature par le Directeur du Bureau d</w:t>
            </w:r>
            <w:r w:rsidR="00631D5D" w:rsidRPr="002D5FF8">
              <w:rPr>
                <w:color w:val="auto"/>
                <w:shd w:val="clear" w:color="auto" w:fill="FFFFFF"/>
              </w:rPr>
              <w:t>’</w:t>
            </w:r>
            <w:r w:rsidRPr="002D5FF8">
              <w:rPr>
                <w:color w:val="auto"/>
                <w:shd w:val="clear" w:color="auto" w:fill="FFFFFF"/>
              </w:rPr>
              <w:t xml:space="preserve">appui juridique (LSO/BMS). </w:t>
            </w:r>
            <w:r w:rsidRPr="002D5FF8">
              <w:rPr>
                <w:color w:val="auto"/>
              </w:rPr>
              <w:t>Tous les mémorandums d</w:t>
            </w:r>
            <w:r w:rsidR="00631D5D" w:rsidRPr="002D5FF8">
              <w:rPr>
                <w:color w:val="auto"/>
              </w:rPr>
              <w:t>’</w:t>
            </w:r>
            <w:r w:rsidRPr="002D5FF8">
              <w:rPr>
                <w:color w:val="auto"/>
              </w:rPr>
              <w:t xml:space="preserve">accord doivent être téléchargés dans la </w:t>
            </w:r>
            <w:hyperlink r:id="rId24" w:history="1">
              <w:r w:rsidRPr="002D5FF8">
                <w:rPr>
                  <w:color w:val="0070C0"/>
                  <w:u w:val="single"/>
                </w:rPr>
                <w:t>bibliothèque des mémorandums d</w:t>
              </w:r>
              <w:r w:rsidR="00631D5D" w:rsidRPr="002D5FF8">
                <w:rPr>
                  <w:color w:val="0070C0"/>
                  <w:u w:val="single"/>
                </w:rPr>
                <w:t>’</w:t>
              </w:r>
              <w:r w:rsidRPr="002D5FF8">
                <w:rPr>
                  <w:color w:val="0070C0"/>
                  <w:u w:val="single"/>
                </w:rPr>
                <w:t>accord</w:t>
              </w:r>
              <w:r w:rsidRPr="002D5FF8">
                <w:rPr>
                  <w:color w:val="auto"/>
                </w:rPr>
                <w:t xml:space="preserve"> de </w:t>
              </w:r>
            </w:hyperlink>
            <w:r w:rsidRPr="002D5FF8">
              <w:rPr>
                <w:color w:val="auto"/>
              </w:rPr>
              <w:t>partenariat.</w:t>
            </w:r>
          </w:p>
          <w:p w14:paraId="24FA0CEA" w14:textId="77777777" w:rsidR="00883925" w:rsidRPr="002D5FF8" w:rsidRDefault="00883925" w:rsidP="00B36788">
            <w:pPr>
              <w:shd w:val="clear" w:color="auto" w:fill="FFFFFF"/>
              <w:spacing w:before="100" w:beforeAutospacing="1" w:after="100" w:afterAutospacing="1" w:line="270" w:lineRule="atLeast"/>
              <w:jc w:val="both"/>
              <w:rPr>
                <w:rFonts w:eastAsia="Times New Roman" w:cs="Arial"/>
                <w:b/>
                <w:bCs/>
              </w:rPr>
            </w:pPr>
            <w:r w:rsidRPr="002D5FF8">
              <w:rPr>
                <w:b/>
                <w:bCs/>
              </w:rPr>
              <w:t>Définition commune d</w:t>
            </w:r>
            <w:r w:rsidR="00631D5D" w:rsidRPr="002D5FF8">
              <w:rPr>
                <w:b/>
                <w:bCs/>
              </w:rPr>
              <w:t>’</w:t>
            </w:r>
            <w:r w:rsidRPr="002D5FF8">
              <w:rPr>
                <w:b/>
                <w:bCs/>
              </w:rPr>
              <w:t>un projet potentiel avec des partenaires commerciaux</w:t>
            </w:r>
          </w:p>
          <w:p w14:paraId="27CE3C6F" w14:textId="77777777" w:rsidR="00054593"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Les partenaires commerciaux auront beaucoup à apporter lors de l</w:t>
            </w:r>
            <w:r w:rsidR="00631D5D" w:rsidRPr="002D5FF8">
              <w:rPr>
                <w:color w:val="auto"/>
              </w:rPr>
              <w:t>’</w:t>
            </w:r>
            <w:r w:rsidRPr="002D5FF8">
              <w:rPr>
                <w:color w:val="auto"/>
              </w:rPr>
              <w:t>optimisation de la conception du projet.</w:t>
            </w:r>
            <w:r w:rsidR="00401C1E" w:rsidRPr="002D5FF8">
              <w:rPr>
                <w:color w:val="auto"/>
              </w:rPr>
              <w:t xml:space="preserve"> </w:t>
            </w:r>
            <w:r w:rsidRPr="002D5FF8">
              <w:rPr>
                <w:color w:val="auto"/>
              </w:rPr>
              <w:t>Les entreprises peuvent contribuer à la définition commune d</w:t>
            </w:r>
            <w:r w:rsidR="00631D5D" w:rsidRPr="002D5FF8">
              <w:rPr>
                <w:color w:val="auto"/>
              </w:rPr>
              <w:t>’</w:t>
            </w:r>
            <w:r w:rsidRPr="002D5FF8">
              <w:rPr>
                <w:color w:val="auto"/>
              </w:rPr>
              <w:t>un projet grâce à leur expertise, l</w:t>
            </w:r>
            <w:r w:rsidR="00631D5D" w:rsidRPr="002D5FF8">
              <w:rPr>
                <w:color w:val="auto"/>
              </w:rPr>
              <w:t>’</w:t>
            </w:r>
            <w:r w:rsidRPr="002D5FF8">
              <w:rPr>
                <w:color w:val="auto"/>
              </w:rPr>
              <w:t>information, le savoir-faire, la technologie, l</w:t>
            </w:r>
            <w:r w:rsidR="00631D5D" w:rsidRPr="002D5FF8">
              <w:rPr>
                <w:color w:val="auto"/>
              </w:rPr>
              <w:t>’</w:t>
            </w:r>
            <w:r w:rsidRPr="002D5FF8">
              <w:rPr>
                <w:color w:val="auto"/>
              </w:rPr>
              <w:t xml:space="preserve">accès aux </w:t>
            </w:r>
            <w:r w:rsidRPr="002D5FF8">
              <w:rPr>
                <w:color w:val="auto"/>
              </w:rPr>
              <w:lastRenderedPageBreak/>
              <w:t>réseaux, les outils de planification et l</w:t>
            </w:r>
            <w:r w:rsidR="00631D5D" w:rsidRPr="002D5FF8">
              <w:rPr>
                <w:color w:val="auto"/>
              </w:rPr>
              <w:t>’</w:t>
            </w:r>
            <w:r w:rsidRPr="002D5FF8">
              <w:rPr>
                <w:color w:val="auto"/>
              </w:rPr>
              <w:t>utilisation des infrastructures et des biens, la gouvernance et la participation au conseil d</w:t>
            </w:r>
            <w:r w:rsidR="00631D5D" w:rsidRPr="002D5FF8">
              <w:rPr>
                <w:color w:val="auto"/>
              </w:rPr>
              <w:t>’</w:t>
            </w:r>
            <w:r w:rsidRPr="002D5FF8">
              <w:rPr>
                <w:color w:val="auto"/>
              </w:rPr>
              <w:t>administration du projet.</w:t>
            </w:r>
          </w:p>
          <w:p w14:paraId="2DF1367B" w14:textId="77777777" w:rsidR="00054593" w:rsidRPr="002D5FF8" w:rsidRDefault="00054593" w:rsidP="00054593">
            <w:pPr>
              <w:pStyle w:val="ListParagraph"/>
              <w:shd w:val="clear" w:color="auto" w:fill="FFFFFF"/>
              <w:spacing w:before="100" w:beforeAutospacing="1" w:after="100" w:afterAutospacing="1" w:line="270" w:lineRule="atLeast"/>
              <w:ind w:firstLine="0"/>
              <w:rPr>
                <w:rFonts w:eastAsia="Times New Roman" w:cs="Arial"/>
                <w:color w:val="auto"/>
                <w:lang w:eastAsia="fi-FI"/>
              </w:rPr>
            </w:pPr>
          </w:p>
          <w:p w14:paraId="19C3E374" w14:textId="77777777" w:rsidR="00256157" w:rsidRPr="002D5FF8"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auto"/>
              </w:rPr>
            </w:pPr>
            <w:r w:rsidRPr="002D5FF8">
              <w:rPr>
                <w:color w:val="auto"/>
              </w:rPr>
              <w:t>L</w:t>
            </w:r>
            <w:r w:rsidR="00631D5D" w:rsidRPr="002D5FF8">
              <w:rPr>
                <w:color w:val="auto"/>
              </w:rPr>
              <w:t>’</w:t>
            </w:r>
            <w:r w:rsidRPr="002D5FF8">
              <w:rPr>
                <w:color w:val="auto"/>
              </w:rPr>
              <w:t xml:space="preserve">objectif est de faire en sorte que le PNUD tire pleinement parti des compétences, des atouts et des ressources du secteur privé dans la définition des projets. Une définition conjointe du projet encouragera le secteur privé à maximiser ses contributions au projet </w:t>
            </w:r>
            <w:r w:rsidR="00BE3E4E" w:rsidRPr="002D5FF8">
              <w:rPr>
                <w:color w:val="auto"/>
              </w:rPr>
              <w:t xml:space="preserve">en matière </w:t>
            </w:r>
            <w:r w:rsidRPr="002D5FF8">
              <w:rPr>
                <w:color w:val="auto"/>
              </w:rPr>
              <w:t>de financement, de bénévolat, de contributions en nature et de bénévolat des employés. Il peut y avoir des situations où le secteur privé ne participe pas à la « définition commune » mais ne fournit que les ressources nécessaires ou demandées par le PNUD.</w:t>
            </w:r>
          </w:p>
          <w:p w14:paraId="0AF999A8" w14:textId="77777777" w:rsidR="00054593" w:rsidRPr="002D5FF8" w:rsidRDefault="00256157" w:rsidP="00054593">
            <w:pPr>
              <w:shd w:val="clear" w:color="auto" w:fill="FFFFFF"/>
              <w:spacing w:after="0" w:line="270" w:lineRule="atLeast"/>
              <w:ind w:right="55"/>
              <w:contextualSpacing/>
              <w:jc w:val="both"/>
              <w:rPr>
                <w:rFonts w:eastAsia="Times New Roman" w:cs="Arial"/>
                <w:b/>
                <w:bCs/>
              </w:rPr>
            </w:pPr>
            <w:r w:rsidRPr="002D5FF8">
              <w:rPr>
                <w:b/>
                <w:bCs/>
              </w:rPr>
              <w:t>Informations supplémentaires et outils</w:t>
            </w:r>
          </w:p>
          <w:p w14:paraId="24888492" w14:textId="77777777" w:rsidR="00054593" w:rsidRPr="002D5FF8" w:rsidRDefault="00054593" w:rsidP="00054593">
            <w:pPr>
              <w:shd w:val="clear" w:color="auto" w:fill="FFFFFF"/>
              <w:spacing w:after="0" w:line="270" w:lineRule="atLeast"/>
              <w:ind w:right="55"/>
              <w:contextualSpacing/>
              <w:jc w:val="both"/>
              <w:rPr>
                <w:rFonts w:eastAsia="Times New Roman" w:cs="Arial"/>
                <w:b/>
                <w:bCs/>
                <w:lang w:eastAsia="fi-FI"/>
              </w:rPr>
            </w:pPr>
          </w:p>
          <w:p w14:paraId="245293E8" w14:textId="5F3ED64A" w:rsidR="00883925" w:rsidRPr="00E22E28" w:rsidRDefault="00401C1E" w:rsidP="00FC1E2E">
            <w:pPr>
              <w:pStyle w:val="ListParagraph"/>
              <w:numPr>
                <w:ilvl w:val="0"/>
                <w:numId w:val="22"/>
              </w:numPr>
              <w:shd w:val="clear" w:color="auto" w:fill="FFFFFF"/>
              <w:spacing w:after="0" w:line="270" w:lineRule="atLeast"/>
            </w:pPr>
            <w:hyperlink r:id="rId25" w:history="1">
              <w:r w:rsidRPr="002D5FF8">
                <w:rPr>
                  <w:bCs/>
                  <w:color w:val="0070C0"/>
                  <w:u w:val="single"/>
                </w:rPr>
                <w:t>A</w:t>
              </w:r>
              <w:r w:rsidR="008B4C08" w:rsidRPr="002D5FF8">
                <w:rPr>
                  <w:bCs/>
                  <w:color w:val="0070C0"/>
                  <w:u w:val="single"/>
                </w:rPr>
                <w:t>ccords de financement et modèles</w:t>
              </w:r>
            </w:hyperlink>
            <w:r w:rsidR="00CC2E08" w:rsidRPr="00E22E28">
              <w:t xml:space="preserve"> (en anglais)</w:t>
            </w:r>
          </w:p>
          <w:p w14:paraId="0F00EDF9" w14:textId="1C6EAD39" w:rsidR="00883925" w:rsidRPr="002D5FF8" w:rsidRDefault="00F527FE" w:rsidP="00FC1E2E">
            <w:pPr>
              <w:pStyle w:val="ListParagraph"/>
              <w:numPr>
                <w:ilvl w:val="0"/>
                <w:numId w:val="22"/>
              </w:numPr>
              <w:shd w:val="clear" w:color="auto" w:fill="FFFFFF"/>
              <w:spacing w:after="0" w:line="270" w:lineRule="atLeast"/>
              <w:rPr>
                <w:rFonts w:eastAsia="Times New Roman" w:cs="Arial"/>
                <w:b/>
                <w:bCs/>
                <w:color w:val="0070C0"/>
                <w:u w:val="single"/>
              </w:rPr>
            </w:pPr>
            <w:hyperlink r:id="rId26" w:history="1">
              <w:r w:rsidRPr="002D5FF8">
                <w:rPr>
                  <w:bCs/>
                  <w:color w:val="0070C0"/>
                  <w:u w:val="single"/>
                </w:rPr>
                <w:t>Mémorandum d’accord</w:t>
              </w:r>
            </w:hyperlink>
            <w:r w:rsidR="00401C1E" w:rsidRPr="00E01D88">
              <w:rPr>
                <w:color w:val="0070C0"/>
              </w:rPr>
              <w:t> </w:t>
            </w:r>
            <w:r w:rsidR="00E01D88" w:rsidRPr="00E22E28">
              <w:t>(en anglais)</w:t>
            </w:r>
          </w:p>
          <w:p w14:paraId="31B60FE5" w14:textId="719FD9AD" w:rsidR="00883925" w:rsidRPr="002D5FF8" w:rsidRDefault="00F527FE" w:rsidP="00FC1E2E">
            <w:pPr>
              <w:pStyle w:val="ListParagraph"/>
              <w:numPr>
                <w:ilvl w:val="0"/>
                <w:numId w:val="22"/>
              </w:numPr>
              <w:shd w:val="clear" w:color="auto" w:fill="FFFFFF"/>
              <w:spacing w:after="0" w:line="270" w:lineRule="atLeast"/>
              <w:rPr>
                <w:rFonts w:eastAsia="Times New Roman" w:cs="Arial"/>
                <w:b/>
                <w:bCs/>
                <w:color w:val="0070C0"/>
                <w:u w:val="single"/>
              </w:rPr>
            </w:pPr>
            <w:hyperlink r:id="rId27" w:history="1">
              <w:r w:rsidRPr="002D5FF8">
                <w:rPr>
                  <w:rStyle w:val="Hyperlink"/>
                  <w:color w:val="0070C0"/>
                </w:rPr>
                <w:t>Bibliothèque des mémorandums</w:t>
              </w:r>
              <w:r w:rsidRPr="00E01D88">
                <w:rPr>
                  <w:rStyle w:val="Hyperlink"/>
                  <w:color w:val="0070C0"/>
                  <w:u w:val="none"/>
                </w:rPr>
                <w:t xml:space="preserve"> </w:t>
              </w:r>
            </w:hyperlink>
            <w:r w:rsidR="00E01D88" w:rsidRPr="00E22E28">
              <w:t>(en anglais)</w:t>
            </w:r>
          </w:p>
          <w:p w14:paraId="513ED69C" w14:textId="364D6459" w:rsidR="00D10841" w:rsidRPr="001265DE" w:rsidRDefault="00FB0414" w:rsidP="00FC1E2E">
            <w:pPr>
              <w:pStyle w:val="ListParagraph"/>
              <w:numPr>
                <w:ilvl w:val="0"/>
                <w:numId w:val="22"/>
              </w:numPr>
              <w:rPr>
                <w:rStyle w:val="Hyperlink"/>
                <w:b/>
                <w:bCs/>
                <w:color w:val="auto"/>
                <w:u w:val="none"/>
              </w:rPr>
            </w:pPr>
            <w:hyperlink r:id="rId28" w:history="1">
              <w:r w:rsidRPr="002D5FF8">
                <w:rPr>
                  <w:rStyle w:val="Hyperlink"/>
                </w:rPr>
                <w:t>Partenariats avec le secteur privé</w:t>
              </w:r>
            </w:hyperlink>
            <w:r w:rsidR="00E01D88">
              <w:t xml:space="preserve"> </w:t>
            </w:r>
            <w:r w:rsidR="00E01D88" w:rsidRPr="00E22E28">
              <w:t>(en anglais)</w:t>
            </w:r>
          </w:p>
          <w:p w14:paraId="255B33D6" w14:textId="379665EF" w:rsidR="001265DE" w:rsidRPr="001265DE" w:rsidRDefault="001265DE" w:rsidP="00FC1E2E">
            <w:pPr>
              <w:pStyle w:val="ListParagraph"/>
              <w:numPr>
                <w:ilvl w:val="0"/>
                <w:numId w:val="22"/>
              </w:numPr>
              <w:rPr>
                <w:rStyle w:val="Hyperlink"/>
                <w:color w:val="auto"/>
                <w:u w:val="none"/>
              </w:rPr>
            </w:pPr>
            <w:hyperlink r:id="rId29" w:history="1">
              <w:r w:rsidRPr="001265DE">
                <w:rPr>
                  <w:rStyle w:val="Hyperlink"/>
                </w:rPr>
                <w:t>Boîte à outils pour la mobilisation des ressources du secteur privé</w:t>
              </w:r>
            </w:hyperlink>
            <w:r w:rsidR="00E01D88">
              <w:t xml:space="preserve"> </w:t>
            </w:r>
            <w:r w:rsidR="00E01D88" w:rsidRPr="00E22E28">
              <w:t>(en anglais)</w:t>
            </w:r>
          </w:p>
          <w:p w14:paraId="46CB9A86" w14:textId="77777777" w:rsidR="006E4961" w:rsidRPr="00532081" w:rsidRDefault="006E4961" w:rsidP="006E4961">
            <w:pPr>
              <w:pStyle w:val="ListParagraph"/>
              <w:ind w:left="1080" w:firstLine="0"/>
              <w:rPr>
                <w:rStyle w:val="Hyperlink"/>
                <w:b/>
                <w:bCs/>
                <w:color w:val="auto"/>
                <w:u w:val="none"/>
              </w:rPr>
            </w:pPr>
          </w:p>
          <w:p w14:paraId="72BC0A6A" w14:textId="77777777" w:rsidR="00532081" w:rsidRPr="002D5FF8" w:rsidRDefault="00532081" w:rsidP="00532081">
            <w:pPr>
              <w:shd w:val="clear" w:color="auto" w:fill="FFFFFF"/>
              <w:spacing w:after="0" w:line="270" w:lineRule="atLeast"/>
              <w:jc w:val="both"/>
              <w:rPr>
                <w:rFonts w:eastAsia="Calibri" w:cs="Times New Roman"/>
                <w:b/>
                <w:bCs/>
              </w:rPr>
            </w:pPr>
            <w:r w:rsidRPr="002D5FF8">
              <w:rPr>
                <w:b/>
                <w:bCs/>
              </w:rPr>
              <w:t>SUIVI DES PARTENARIATS AVEC LE SECTEUR PRIVÉ</w:t>
            </w:r>
          </w:p>
          <w:p w14:paraId="32E88C5B" w14:textId="77777777" w:rsidR="00532081" w:rsidRPr="002D5FF8" w:rsidRDefault="00532081" w:rsidP="00532081">
            <w:pPr>
              <w:shd w:val="clear" w:color="auto" w:fill="FFFFFF"/>
              <w:spacing w:after="0" w:line="270" w:lineRule="atLeast"/>
              <w:jc w:val="both"/>
              <w:rPr>
                <w:rFonts w:eastAsia="Calibri" w:cs="Times New Roman"/>
                <w:b/>
                <w:bCs/>
                <w:lang w:eastAsia="fi-FI"/>
              </w:rPr>
            </w:pPr>
          </w:p>
          <w:p w14:paraId="1E5D3EAD" w14:textId="0590C616" w:rsidR="00532081" w:rsidRPr="006E4961" w:rsidRDefault="00532081" w:rsidP="006E4961">
            <w:pPr>
              <w:pStyle w:val="ListParagraph"/>
              <w:numPr>
                <w:ilvl w:val="0"/>
                <w:numId w:val="4"/>
              </w:numPr>
              <w:shd w:val="clear" w:color="auto" w:fill="FFFFFF"/>
              <w:spacing w:after="0" w:line="270" w:lineRule="atLeast"/>
              <w:rPr>
                <w:rFonts w:cs="Times New Roman"/>
              </w:rPr>
            </w:pPr>
            <w:r w:rsidRPr="006E4961">
              <w:t>Le suivi du programme est une fonction continue qui donne aux principales parties prenantes du programme des indications anticipées sur la qualité, la quantité et la ponctualité des progrès en vue de la réalisation des résultats escomptés.</w:t>
            </w:r>
          </w:p>
          <w:p w14:paraId="7A3A2E7D" w14:textId="77777777" w:rsidR="00532081" w:rsidRPr="002D5FF8" w:rsidRDefault="00532081" w:rsidP="00532081">
            <w:pPr>
              <w:shd w:val="clear" w:color="auto" w:fill="FFFFFF"/>
              <w:spacing w:after="0" w:line="270" w:lineRule="atLeast"/>
              <w:jc w:val="both"/>
              <w:rPr>
                <w:rFonts w:eastAsia="Calibri" w:cs="Times New Roman"/>
                <w:lang w:eastAsia="fi-FI"/>
              </w:rPr>
            </w:pPr>
          </w:p>
          <w:p w14:paraId="308CA500" w14:textId="322A699A" w:rsidR="00532081" w:rsidRPr="002D5FF8" w:rsidRDefault="00532081" w:rsidP="00F67F1A">
            <w:pPr>
              <w:pStyle w:val="ListParagraph"/>
              <w:numPr>
                <w:ilvl w:val="0"/>
                <w:numId w:val="4"/>
              </w:numPr>
              <w:shd w:val="clear" w:color="auto" w:fill="FFFFFF"/>
              <w:spacing w:after="0" w:line="270" w:lineRule="atLeast"/>
              <w:rPr>
                <w:b/>
                <w:bCs/>
                <w:color w:val="auto"/>
              </w:rPr>
            </w:pPr>
            <w:r w:rsidRPr="002D5FF8">
              <w:rPr>
                <w:color w:val="auto"/>
              </w:rPr>
              <w:t xml:space="preserve">Le suivi des progrès réalisés dans le cadre des partenariats avec le secteur privé doit être guidé par les outils et les mécanismes de politique décrits dans les sections sur </w:t>
            </w:r>
            <w:hyperlink r:id="rId30" w:history="1">
              <w:r w:rsidRPr="002D5FF8">
                <w:rPr>
                  <w:rStyle w:val="Hyperlink"/>
                </w:rPr>
                <w:t>la gestion du programme et la gestion de projet</w:t>
              </w:r>
            </w:hyperlink>
            <w:r w:rsidRPr="002D5FF8">
              <w:rPr>
                <w:color w:val="auto"/>
              </w:rPr>
              <w:t xml:space="preserve"> des POPP.</w:t>
            </w:r>
            <w:r w:rsidR="00F67F1A">
              <w:rPr>
                <w:color w:val="auto"/>
              </w:rPr>
              <w:t xml:space="preserve"> </w:t>
            </w:r>
          </w:p>
        </w:tc>
      </w:tr>
      <w:tr w:rsidR="005E7FF4" w:rsidRPr="002D5FF8" w14:paraId="7A1CC1CA" w14:textId="77777777" w:rsidTr="00532081">
        <w:trPr>
          <w:trHeight w:val="2568"/>
        </w:trPr>
        <w:tc>
          <w:tcPr>
            <w:tcW w:w="0" w:type="auto"/>
            <w:tcMar>
              <w:top w:w="60" w:type="dxa"/>
              <w:left w:w="60" w:type="dxa"/>
              <w:bottom w:w="60" w:type="dxa"/>
              <w:right w:w="120" w:type="dxa"/>
            </w:tcMar>
          </w:tcPr>
          <w:p w14:paraId="14E4FFE9" w14:textId="77777777" w:rsidR="00F67F1A" w:rsidRPr="007A2479" w:rsidRDefault="00F67F1A" w:rsidP="00E22E28">
            <w:pPr>
              <w:shd w:val="clear" w:color="auto" w:fill="FFFFFF"/>
              <w:spacing w:after="0" w:line="270" w:lineRule="atLeast"/>
              <w:rPr>
                <w:rFonts w:eastAsia="Calibri" w:cs="Times New Roman"/>
                <w:b/>
                <w:bCs/>
                <w:i/>
                <w:lang w:eastAsia="fi-FI"/>
              </w:rPr>
            </w:pPr>
          </w:p>
          <w:p w14:paraId="45F812E6" w14:textId="77777777" w:rsidR="00F67F1A" w:rsidRPr="007A2479" w:rsidRDefault="00F67F1A" w:rsidP="00E22E28">
            <w:pPr>
              <w:shd w:val="clear" w:color="auto" w:fill="FFFFFF"/>
              <w:spacing w:after="0" w:line="270" w:lineRule="atLeast"/>
              <w:rPr>
                <w:rFonts w:eastAsia="Calibri" w:cs="Times New Roman"/>
                <w:b/>
                <w:bCs/>
                <w:i/>
                <w:lang w:eastAsia="fi-FI"/>
              </w:rPr>
            </w:pPr>
          </w:p>
          <w:p w14:paraId="05203AD5" w14:textId="77777777" w:rsidR="00F67F1A" w:rsidRPr="007A2479" w:rsidRDefault="00F67F1A" w:rsidP="00E22E28">
            <w:pPr>
              <w:shd w:val="clear" w:color="auto" w:fill="FFFFFF"/>
              <w:spacing w:after="0" w:line="270" w:lineRule="atLeast"/>
              <w:rPr>
                <w:rFonts w:eastAsia="Calibri" w:cs="Times New Roman"/>
                <w:b/>
                <w:bCs/>
                <w:i/>
                <w:lang w:eastAsia="fi-FI"/>
              </w:rPr>
            </w:pPr>
          </w:p>
          <w:p w14:paraId="1939989E" w14:textId="77777777" w:rsidR="005614A4" w:rsidRPr="00A20DFF" w:rsidRDefault="005614A4" w:rsidP="005614A4">
            <w:pPr>
              <w:shd w:val="clear" w:color="auto" w:fill="FFFFFF"/>
              <w:spacing w:after="0" w:line="240" w:lineRule="auto"/>
              <w:rPr>
                <w:rFonts w:ascii="Calibri" w:eastAsia="Times New Roman" w:hAnsi="Calibri" w:cs="Times New Roman"/>
                <w:i/>
                <w:color w:val="000000"/>
              </w:rPr>
            </w:pPr>
            <w:r w:rsidRPr="00A20DFF">
              <w:rPr>
                <w:rFonts w:ascii="Calibri" w:eastAsia="Times New Roman" w:hAnsi="Calibri" w:cs="Times New Roman"/>
                <w:b/>
                <w:bCs/>
                <w:i/>
                <w:color w:val="212121"/>
                <w:u w:val="single"/>
              </w:rPr>
              <w:t>Avertissement</w:t>
            </w:r>
            <w:r>
              <w:rPr>
                <w:rFonts w:ascii="Calibri" w:eastAsia="Times New Roman" w:hAnsi="Calibri" w:cs="Times New Roman"/>
                <w:b/>
                <w:bCs/>
                <w:i/>
                <w:color w:val="212121"/>
                <w:u w:val="single"/>
              </w:rPr>
              <w:t xml:space="preserve"> </w:t>
            </w:r>
            <w:r w:rsidRPr="00A20DFF">
              <w:rPr>
                <w:rFonts w:ascii="Calibri" w:eastAsia="Times New Roman" w:hAnsi="Calibri" w:cs="Times New Roman"/>
                <w:b/>
                <w:bCs/>
                <w:i/>
                <w:color w:val="212121"/>
                <w:u w:val="single"/>
              </w:rPr>
              <w:t>:</w:t>
            </w:r>
            <w:r w:rsidRPr="00A20DFF">
              <w:rPr>
                <w:rFonts w:ascii="Calibri" w:eastAsia="Times New Roman" w:hAnsi="Calibri" w:cs="Times New Roman"/>
                <w:i/>
                <w:color w:val="212121"/>
              </w:rPr>
              <w:t> Ce document a été traduit de l'anglais vers le français. En cas de divergence entre cette traduction et le document anglais original, le document anglais original prévaudra.</w:t>
            </w:r>
          </w:p>
          <w:p w14:paraId="51A099B3" w14:textId="77777777" w:rsidR="005614A4" w:rsidRPr="00A20DFF" w:rsidRDefault="005614A4" w:rsidP="005614A4">
            <w:pPr>
              <w:shd w:val="clear" w:color="auto" w:fill="FFFFFF"/>
              <w:spacing w:after="0" w:line="240" w:lineRule="auto"/>
              <w:rPr>
                <w:rFonts w:ascii="Calibri" w:eastAsia="Times New Roman" w:hAnsi="Calibri" w:cs="Times New Roman"/>
                <w:i/>
                <w:color w:val="000000"/>
              </w:rPr>
            </w:pPr>
          </w:p>
          <w:p w14:paraId="187FCE5F" w14:textId="0CEC737C" w:rsidR="005E7FF4" w:rsidRPr="002D5FF8" w:rsidRDefault="005614A4" w:rsidP="00E22E28">
            <w:pPr>
              <w:shd w:val="clear" w:color="auto" w:fill="FFFFFF"/>
              <w:spacing w:after="0" w:line="270" w:lineRule="atLeast"/>
              <w:rPr>
                <w:b/>
                <w:bCs/>
              </w:rPr>
            </w:pPr>
            <w:r w:rsidRPr="00A20DFF">
              <w:rPr>
                <w:rFonts w:ascii="Calibri" w:eastAsia="Times New Roman" w:hAnsi="Calibri" w:cs="Times New Roman"/>
                <w:b/>
                <w:bCs/>
                <w:i/>
                <w:color w:val="000000"/>
                <w:u w:val="single"/>
                <w:lang w:val="en-GB"/>
              </w:rPr>
              <w:t>Disclaimer:</w:t>
            </w:r>
            <w:r w:rsidRPr="00A20DFF">
              <w:rPr>
                <w:rFonts w:ascii="Calibri" w:eastAsia="Times New Roman" w:hAnsi="Calibri" w:cs="Times New Roman"/>
                <w:i/>
                <w:color w:val="000000"/>
                <w:lang w:val="en-GB"/>
              </w:rPr>
              <w:t> This document was translated from English into French. In the event of any discrepancy between this translation and the original English document, the original English document shall prevail.</w:t>
            </w:r>
          </w:p>
        </w:tc>
      </w:tr>
    </w:tbl>
    <w:p w14:paraId="5FD4FBB5" w14:textId="77777777" w:rsidR="00E32EE8" w:rsidRPr="002D5FF8" w:rsidRDefault="00E32EE8" w:rsidP="00B36788">
      <w:pPr>
        <w:shd w:val="clear" w:color="auto" w:fill="FFFFFF"/>
        <w:spacing w:after="0" w:line="270" w:lineRule="atLeast"/>
        <w:jc w:val="both"/>
        <w:rPr>
          <w:rFonts w:eastAsia="Calibri" w:cs="Times New Roman"/>
          <w:b/>
          <w:bCs/>
          <w:lang w:eastAsia="fi-FI"/>
        </w:rPr>
      </w:pPr>
    </w:p>
    <w:sectPr w:rsidR="00E32EE8" w:rsidRPr="002D5FF8" w:rsidSect="005C7649">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2F98" w14:textId="77777777" w:rsidR="008F4A6F" w:rsidRDefault="008F4A6F" w:rsidP="00104339">
      <w:pPr>
        <w:spacing w:after="0" w:line="240" w:lineRule="auto"/>
      </w:pPr>
      <w:r>
        <w:separator/>
      </w:r>
    </w:p>
  </w:endnote>
  <w:endnote w:type="continuationSeparator" w:id="0">
    <w:p w14:paraId="3A5769BE" w14:textId="77777777" w:rsidR="008F4A6F" w:rsidRDefault="008F4A6F" w:rsidP="0010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612880"/>
      <w:docPartObj>
        <w:docPartGallery w:val="Page Numbers (Bottom of Page)"/>
        <w:docPartUnique/>
      </w:docPartObj>
    </w:sdtPr>
    <w:sdtEndPr>
      <w:rPr>
        <w:noProof/>
      </w:rPr>
    </w:sdtEndPr>
    <w:sdtContent>
      <w:p w14:paraId="01D09EDD" w14:textId="6BB076D4" w:rsidR="00401C1E" w:rsidRDefault="00522C68" w:rsidP="00E22E28">
        <w:pPr>
          <w:pStyle w:val="Footer"/>
        </w:pPr>
        <w:r w:rsidRPr="00522C68">
          <w:rPr>
            <w:lang w:val="fr-CH"/>
          </w:rPr>
          <w:t xml:space="preserve">Page </w:t>
        </w:r>
        <w:r>
          <w:rPr>
            <w:b/>
            <w:bCs/>
          </w:rPr>
          <w:fldChar w:fldCharType="begin"/>
        </w:r>
        <w:r w:rsidRPr="00522C68">
          <w:rPr>
            <w:b/>
            <w:bCs/>
            <w:lang w:val="fr-CH"/>
          </w:rPr>
          <w:instrText xml:space="preserve"> PAGE  \* Arabic  \* MERGEFORMAT </w:instrText>
        </w:r>
        <w:r>
          <w:rPr>
            <w:b/>
            <w:bCs/>
          </w:rPr>
          <w:fldChar w:fldCharType="separate"/>
        </w:r>
        <w:r w:rsidRPr="00522C68">
          <w:rPr>
            <w:b/>
            <w:bCs/>
            <w:lang w:val="fr-CH"/>
          </w:rPr>
          <w:t>1</w:t>
        </w:r>
        <w:r>
          <w:rPr>
            <w:b/>
            <w:bCs/>
          </w:rPr>
          <w:fldChar w:fldCharType="end"/>
        </w:r>
        <w:r w:rsidRPr="00522C68">
          <w:rPr>
            <w:lang w:val="fr-CH"/>
          </w:rPr>
          <w:t xml:space="preserve"> </w:t>
        </w:r>
        <w:r w:rsidR="004F4D4B">
          <w:rPr>
            <w:lang w:val="fr-CH"/>
          </w:rPr>
          <w:t>de</w:t>
        </w:r>
        <w:r w:rsidRPr="00522C68">
          <w:rPr>
            <w:lang w:val="fr-CH"/>
          </w:rPr>
          <w:t xml:space="preserve"> </w:t>
        </w:r>
        <w:r>
          <w:rPr>
            <w:b/>
            <w:bCs/>
          </w:rPr>
          <w:fldChar w:fldCharType="begin"/>
        </w:r>
        <w:r w:rsidRPr="00522C68">
          <w:rPr>
            <w:b/>
            <w:bCs/>
            <w:lang w:val="fr-CH"/>
          </w:rPr>
          <w:instrText xml:space="preserve"> NUMPAGES  \* Arabic  \* MERGEFORMAT </w:instrText>
        </w:r>
        <w:r>
          <w:rPr>
            <w:b/>
            <w:bCs/>
          </w:rPr>
          <w:fldChar w:fldCharType="separate"/>
        </w:r>
        <w:r w:rsidRPr="00522C68">
          <w:rPr>
            <w:b/>
            <w:bCs/>
            <w:lang w:val="fr-CH"/>
          </w:rPr>
          <w:t>11</w:t>
        </w:r>
        <w:r>
          <w:rPr>
            <w:b/>
            <w:bCs/>
          </w:rPr>
          <w:fldChar w:fldCharType="end"/>
        </w:r>
        <w:r>
          <w:ptab w:relativeTo="margin" w:alignment="center" w:leader="none"/>
        </w:r>
        <w:r>
          <w:t>D</w:t>
        </w:r>
        <w:proofErr w:type="spellStart"/>
        <w:r w:rsidRPr="00522C68">
          <w:rPr>
            <w:lang w:val="fr-CH"/>
          </w:rPr>
          <w:t>ate</w:t>
        </w:r>
        <w:proofErr w:type="spellEnd"/>
        <w:r w:rsidRPr="00522C68">
          <w:rPr>
            <w:lang w:val="fr-CH"/>
          </w:rPr>
          <w:t xml:space="preserve"> d'entrée en </w:t>
        </w:r>
        <w:r w:rsidR="005614A4" w:rsidRPr="00522C68">
          <w:rPr>
            <w:lang w:val="fr-CH"/>
          </w:rPr>
          <w:t>vigueur :</w:t>
        </w:r>
        <w:r w:rsidR="007A232E">
          <w:rPr>
            <w:lang w:val="fr-CH"/>
          </w:rPr>
          <w:t xml:space="preserve"> 31/12/2016</w:t>
        </w:r>
        <w:r>
          <w:ptab w:relativeTo="margin" w:alignment="right" w:leader="none"/>
        </w:r>
        <w:r w:rsidRPr="00522C68">
          <w:rPr>
            <w:lang w:val="fr-CH"/>
          </w:rPr>
          <w:t>Versi</w:t>
        </w:r>
        <w:r w:rsidR="00A242EC">
          <w:rPr>
            <w:lang w:val="fr-CH"/>
          </w:rPr>
          <w:t>on</w:t>
        </w:r>
        <w:r w:rsidRPr="00522C68">
          <w:rPr>
            <w:lang w:val="fr-CH"/>
          </w:rPr>
          <w:t xml:space="preserve"> </w:t>
        </w:r>
        <w:r w:rsidR="005614A4" w:rsidRPr="00522C68">
          <w:rPr>
            <w:lang w:val="fr-CH"/>
          </w:rPr>
          <w:t>#</w:t>
        </w:r>
        <w:r w:rsidR="005614A4">
          <w:rPr>
            <w:lang w:val="fr-CH"/>
          </w:rPr>
          <w:t xml:space="preserve"> :</w:t>
        </w:r>
        <w:r w:rsidR="007A232E">
          <w:rPr>
            <w:lang w:val="fr-CH"/>
          </w:rPr>
          <w:t xml:space="preserve"> </w:t>
        </w:r>
        <w:r w:rsidR="00F049F1">
          <w:rPr>
            <w:lang w:val="fr-CH"/>
          </w:rPr>
          <w:t>3</w:t>
        </w:r>
        <w:r w:rsidRPr="00522C68">
          <w:rPr>
            <w:lang w:val="fr-CH"/>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43F7" w14:textId="77777777" w:rsidR="008F4A6F" w:rsidRDefault="008F4A6F" w:rsidP="00104339">
      <w:pPr>
        <w:spacing w:after="0" w:line="240" w:lineRule="auto"/>
      </w:pPr>
      <w:r>
        <w:separator/>
      </w:r>
    </w:p>
  </w:footnote>
  <w:footnote w:type="continuationSeparator" w:id="0">
    <w:p w14:paraId="434942BD" w14:textId="77777777" w:rsidR="008F4A6F" w:rsidRDefault="008F4A6F" w:rsidP="00104339">
      <w:pPr>
        <w:spacing w:after="0" w:line="240" w:lineRule="auto"/>
      </w:pPr>
      <w:r>
        <w:continuationSeparator/>
      </w:r>
    </w:p>
  </w:footnote>
  <w:footnote w:id="1">
    <w:p w14:paraId="2BCE517A" w14:textId="77777777" w:rsidR="00401C1E" w:rsidRDefault="00401C1E" w:rsidP="00152893">
      <w:pPr>
        <w:pStyle w:val="FootnoteText"/>
      </w:pPr>
      <w:r>
        <w:rPr>
          <w:rStyle w:val="FootnoteReference"/>
        </w:rPr>
        <w:t>[1]</w:t>
      </w:r>
      <w:r>
        <w:t xml:space="preserve"> La base de la pyramide économique (ou BOP) est utilisée pour décrire les hommes et les femmes à faible revenu ou qui n’ont pas accès aux biens et services de base.</w:t>
      </w:r>
      <w:r>
        <w:rPr>
          <w:sz w:val="18"/>
          <w:szCs w:val="18"/>
        </w:rPr>
        <w:t xml:space="preserve"> Le segment à faible revenu est généralement considéré comme incluant les personnes gagnant jusqu’à 8 dollars des États-Unis par jour </w:t>
      </w:r>
      <w:r w:rsidR="00BE3E4E">
        <w:rPr>
          <w:sz w:val="18"/>
          <w:szCs w:val="18"/>
        </w:rPr>
        <w:t>en matière</w:t>
      </w:r>
      <w:r>
        <w:rPr>
          <w:sz w:val="18"/>
          <w:szCs w:val="18"/>
        </w:rPr>
        <w:t xml:space="preserve"> de parité de pouvoir d’achat (PPA). Fixer le maximum </w:t>
      </w:r>
      <w:r w:rsidR="00BE3E4E">
        <w:rPr>
          <w:sz w:val="18"/>
          <w:szCs w:val="18"/>
        </w:rPr>
        <w:t>en matière</w:t>
      </w:r>
      <w:r>
        <w:rPr>
          <w:sz w:val="18"/>
          <w:szCs w:val="18"/>
        </w:rPr>
        <w:t xml:space="preserve"> de PPA ajuste le chiffre réel pour égaliser les pouvoirs d’achat relatifs entre les différents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50A6" w14:textId="1B49D4E9" w:rsidR="00275B62" w:rsidRDefault="00CC2E08" w:rsidP="00275B62">
    <w:pPr>
      <w:pStyle w:val="Header"/>
      <w:jc w:val="right"/>
    </w:pPr>
    <w:r>
      <w:rPr>
        <w:noProof/>
      </w:rPr>
      <w:drawing>
        <wp:inline distT="0" distB="0" distL="0" distR="0" wp14:anchorId="2F8CE1C3" wp14:editId="4ABDC065">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3480BE6" w14:textId="77777777" w:rsidR="00BC130E" w:rsidRDefault="00BC130E" w:rsidP="00275B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953"/>
    <w:multiLevelType w:val="hybridMultilevel"/>
    <w:tmpl w:val="7F009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E7991"/>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E0091"/>
    <w:multiLevelType w:val="hybridMultilevel"/>
    <w:tmpl w:val="DF265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22359"/>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3128"/>
    <w:multiLevelType w:val="hybridMultilevel"/>
    <w:tmpl w:val="23BC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3F85"/>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DD5"/>
    <w:multiLevelType w:val="hybridMultilevel"/>
    <w:tmpl w:val="7756B04A"/>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8895D44"/>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A7E25"/>
    <w:multiLevelType w:val="hybridMultilevel"/>
    <w:tmpl w:val="3E62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42279F"/>
    <w:multiLevelType w:val="hybridMultilevel"/>
    <w:tmpl w:val="85BE6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017A8"/>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4289"/>
    <w:multiLevelType w:val="hybridMultilevel"/>
    <w:tmpl w:val="862A5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43E70"/>
    <w:multiLevelType w:val="hybridMultilevel"/>
    <w:tmpl w:val="3BC8C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727BD7"/>
    <w:multiLevelType w:val="hybridMultilevel"/>
    <w:tmpl w:val="847034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8B199C"/>
    <w:multiLevelType w:val="hybridMultilevel"/>
    <w:tmpl w:val="46F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E5AEF"/>
    <w:multiLevelType w:val="hybridMultilevel"/>
    <w:tmpl w:val="7CB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75026"/>
    <w:multiLevelType w:val="multilevel"/>
    <w:tmpl w:val="1E9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66A6B"/>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15A8D"/>
    <w:multiLevelType w:val="hybridMultilevel"/>
    <w:tmpl w:val="A0348540"/>
    <w:lvl w:ilvl="0" w:tplc="50B47B80">
      <w:start w:val="1"/>
      <w:numFmt w:val="bullet"/>
      <w:lvlText w:val=""/>
      <w:lvlJc w:val="left"/>
      <w:pPr>
        <w:ind w:left="1080" w:hanging="360"/>
      </w:pPr>
      <w:rPr>
        <w:rFonts w:ascii="Symbol" w:hAnsi="Symbol" w:hint="default"/>
        <w:b w:val="0"/>
        <w:color w:val="404040" w:themeColor="text1" w:themeTint="BF"/>
        <w:lang w:val="fi-F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AF092A"/>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54E25"/>
    <w:multiLevelType w:val="hybridMultilevel"/>
    <w:tmpl w:val="635E9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361BCC"/>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31D72"/>
    <w:multiLevelType w:val="hybridMultilevel"/>
    <w:tmpl w:val="8CCC10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207F0"/>
    <w:multiLevelType w:val="hybridMultilevel"/>
    <w:tmpl w:val="5AEC85F4"/>
    <w:lvl w:ilvl="0" w:tplc="A34E670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686620">
    <w:abstractNumId w:val="15"/>
  </w:num>
  <w:num w:numId="2" w16cid:durableId="467094343">
    <w:abstractNumId w:val="14"/>
  </w:num>
  <w:num w:numId="3" w16cid:durableId="1704745542">
    <w:abstractNumId w:val="7"/>
  </w:num>
  <w:num w:numId="4" w16cid:durableId="2006081430">
    <w:abstractNumId w:val="5"/>
  </w:num>
  <w:num w:numId="5" w16cid:durableId="1440487745">
    <w:abstractNumId w:val="6"/>
  </w:num>
  <w:num w:numId="6" w16cid:durableId="1359359186">
    <w:abstractNumId w:val="11"/>
  </w:num>
  <w:num w:numId="7" w16cid:durableId="1898590578">
    <w:abstractNumId w:val="22"/>
  </w:num>
  <w:num w:numId="8" w16cid:durableId="1839883927">
    <w:abstractNumId w:val="9"/>
  </w:num>
  <w:num w:numId="9" w16cid:durableId="1982074184">
    <w:abstractNumId w:val="23"/>
  </w:num>
  <w:num w:numId="10" w16cid:durableId="322393034">
    <w:abstractNumId w:val="13"/>
  </w:num>
  <w:num w:numId="11" w16cid:durableId="311063739">
    <w:abstractNumId w:val="2"/>
  </w:num>
  <w:num w:numId="12" w16cid:durableId="905797074">
    <w:abstractNumId w:val="1"/>
  </w:num>
  <w:num w:numId="13" w16cid:durableId="252588723">
    <w:abstractNumId w:val="4"/>
  </w:num>
  <w:num w:numId="14" w16cid:durableId="1172338659">
    <w:abstractNumId w:val="20"/>
  </w:num>
  <w:num w:numId="15" w16cid:durableId="1969045376">
    <w:abstractNumId w:val="16"/>
  </w:num>
  <w:num w:numId="16" w16cid:durableId="1318074266">
    <w:abstractNumId w:val="8"/>
  </w:num>
  <w:num w:numId="17" w16cid:durableId="364257620">
    <w:abstractNumId w:val="17"/>
  </w:num>
  <w:num w:numId="18" w16cid:durableId="765922589">
    <w:abstractNumId w:val="0"/>
  </w:num>
  <w:num w:numId="19" w16cid:durableId="1715428200">
    <w:abstractNumId w:val="10"/>
  </w:num>
  <w:num w:numId="20" w16cid:durableId="690454420">
    <w:abstractNumId w:val="21"/>
  </w:num>
  <w:num w:numId="21" w16cid:durableId="640766596">
    <w:abstractNumId w:val="3"/>
  </w:num>
  <w:num w:numId="22" w16cid:durableId="765153155">
    <w:abstractNumId w:val="18"/>
  </w:num>
  <w:num w:numId="23" w16cid:durableId="20541604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309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D"/>
    <w:rsid w:val="00000B70"/>
    <w:rsid w:val="000031F9"/>
    <w:rsid w:val="00004DCE"/>
    <w:rsid w:val="0000693A"/>
    <w:rsid w:val="00022F66"/>
    <w:rsid w:val="00025289"/>
    <w:rsid w:val="00026127"/>
    <w:rsid w:val="0003379F"/>
    <w:rsid w:val="00035E03"/>
    <w:rsid w:val="00040DDA"/>
    <w:rsid w:val="00045AA3"/>
    <w:rsid w:val="00054593"/>
    <w:rsid w:val="00055CEB"/>
    <w:rsid w:val="00056CDC"/>
    <w:rsid w:val="00060354"/>
    <w:rsid w:val="00063B73"/>
    <w:rsid w:val="0007408C"/>
    <w:rsid w:val="00075E13"/>
    <w:rsid w:val="00083B7C"/>
    <w:rsid w:val="00086684"/>
    <w:rsid w:val="00093337"/>
    <w:rsid w:val="00094B69"/>
    <w:rsid w:val="0009713D"/>
    <w:rsid w:val="000A2B9C"/>
    <w:rsid w:val="000A77EF"/>
    <w:rsid w:val="000B1857"/>
    <w:rsid w:val="000B1ECF"/>
    <w:rsid w:val="000B3ACF"/>
    <w:rsid w:val="000B5DCA"/>
    <w:rsid w:val="000C3544"/>
    <w:rsid w:val="000C36BC"/>
    <w:rsid w:val="000D0786"/>
    <w:rsid w:val="000D0C9D"/>
    <w:rsid w:val="000D690A"/>
    <w:rsid w:val="000D7F0D"/>
    <w:rsid w:val="000E1F71"/>
    <w:rsid w:val="000E3611"/>
    <w:rsid w:val="000E5ADF"/>
    <w:rsid w:val="000E71CE"/>
    <w:rsid w:val="000F12D8"/>
    <w:rsid w:val="000F4637"/>
    <w:rsid w:val="0010157E"/>
    <w:rsid w:val="00102847"/>
    <w:rsid w:val="00104339"/>
    <w:rsid w:val="00104D37"/>
    <w:rsid w:val="001166D2"/>
    <w:rsid w:val="00117A4A"/>
    <w:rsid w:val="001265DE"/>
    <w:rsid w:val="00131EE3"/>
    <w:rsid w:val="001354A4"/>
    <w:rsid w:val="00135A5E"/>
    <w:rsid w:val="001364E9"/>
    <w:rsid w:val="00140162"/>
    <w:rsid w:val="00141AF4"/>
    <w:rsid w:val="00146727"/>
    <w:rsid w:val="0015142E"/>
    <w:rsid w:val="00152893"/>
    <w:rsid w:val="001546CA"/>
    <w:rsid w:val="00155346"/>
    <w:rsid w:val="001649EF"/>
    <w:rsid w:val="00170634"/>
    <w:rsid w:val="001707BA"/>
    <w:rsid w:val="00173521"/>
    <w:rsid w:val="00181884"/>
    <w:rsid w:val="00181F9B"/>
    <w:rsid w:val="0018658C"/>
    <w:rsid w:val="00190E85"/>
    <w:rsid w:val="001960F6"/>
    <w:rsid w:val="001A0927"/>
    <w:rsid w:val="001A73A6"/>
    <w:rsid w:val="001B7402"/>
    <w:rsid w:val="001D5CCF"/>
    <w:rsid w:val="001E1485"/>
    <w:rsid w:val="001F103D"/>
    <w:rsid w:val="001F66BB"/>
    <w:rsid w:val="00203558"/>
    <w:rsid w:val="00210526"/>
    <w:rsid w:val="00217E84"/>
    <w:rsid w:val="00220F83"/>
    <w:rsid w:val="0022392C"/>
    <w:rsid w:val="00223C70"/>
    <w:rsid w:val="00224185"/>
    <w:rsid w:val="00224BB9"/>
    <w:rsid w:val="00225726"/>
    <w:rsid w:val="0024301B"/>
    <w:rsid w:val="00243155"/>
    <w:rsid w:val="0024631F"/>
    <w:rsid w:val="00251E8A"/>
    <w:rsid w:val="00256157"/>
    <w:rsid w:val="0026001D"/>
    <w:rsid w:val="00262F7B"/>
    <w:rsid w:val="002650AD"/>
    <w:rsid w:val="002734C0"/>
    <w:rsid w:val="0027442A"/>
    <w:rsid w:val="00275B62"/>
    <w:rsid w:val="00282DB9"/>
    <w:rsid w:val="00284206"/>
    <w:rsid w:val="00284D5B"/>
    <w:rsid w:val="0028645B"/>
    <w:rsid w:val="002940E7"/>
    <w:rsid w:val="002A10A3"/>
    <w:rsid w:val="002A3DF5"/>
    <w:rsid w:val="002A6547"/>
    <w:rsid w:val="002B3F4F"/>
    <w:rsid w:val="002C331B"/>
    <w:rsid w:val="002C699C"/>
    <w:rsid w:val="002C7943"/>
    <w:rsid w:val="002D00FB"/>
    <w:rsid w:val="002D0154"/>
    <w:rsid w:val="002D0DC3"/>
    <w:rsid w:val="002D5FF8"/>
    <w:rsid w:val="002D782B"/>
    <w:rsid w:val="002E011F"/>
    <w:rsid w:val="002E01F5"/>
    <w:rsid w:val="002E2C09"/>
    <w:rsid w:val="002E49F3"/>
    <w:rsid w:val="002F2074"/>
    <w:rsid w:val="002F5E1D"/>
    <w:rsid w:val="003112D6"/>
    <w:rsid w:val="00312A49"/>
    <w:rsid w:val="00313C52"/>
    <w:rsid w:val="003265A4"/>
    <w:rsid w:val="00327E5C"/>
    <w:rsid w:val="00332AE0"/>
    <w:rsid w:val="00334E6C"/>
    <w:rsid w:val="003350D3"/>
    <w:rsid w:val="00335A95"/>
    <w:rsid w:val="003458B2"/>
    <w:rsid w:val="00351DC8"/>
    <w:rsid w:val="00352165"/>
    <w:rsid w:val="00354A27"/>
    <w:rsid w:val="00360E47"/>
    <w:rsid w:val="00363003"/>
    <w:rsid w:val="00363A8F"/>
    <w:rsid w:val="00366BC8"/>
    <w:rsid w:val="00372185"/>
    <w:rsid w:val="0037512C"/>
    <w:rsid w:val="00380CD7"/>
    <w:rsid w:val="003859C4"/>
    <w:rsid w:val="003A4AB2"/>
    <w:rsid w:val="003A66A1"/>
    <w:rsid w:val="003A6943"/>
    <w:rsid w:val="003A6F76"/>
    <w:rsid w:val="003B07F9"/>
    <w:rsid w:val="003B449E"/>
    <w:rsid w:val="003B4DD8"/>
    <w:rsid w:val="003C3E46"/>
    <w:rsid w:val="003C4DC1"/>
    <w:rsid w:val="003D776A"/>
    <w:rsid w:val="003E198B"/>
    <w:rsid w:val="003F2A0C"/>
    <w:rsid w:val="00401678"/>
    <w:rsid w:val="00401C1E"/>
    <w:rsid w:val="0040322E"/>
    <w:rsid w:val="004044F5"/>
    <w:rsid w:val="00410F76"/>
    <w:rsid w:val="004117FF"/>
    <w:rsid w:val="00414353"/>
    <w:rsid w:val="00415D68"/>
    <w:rsid w:val="004238D9"/>
    <w:rsid w:val="00440D07"/>
    <w:rsid w:val="0044139B"/>
    <w:rsid w:val="00442CBE"/>
    <w:rsid w:val="00443A9F"/>
    <w:rsid w:val="00444C00"/>
    <w:rsid w:val="0044774D"/>
    <w:rsid w:val="004520DC"/>
    <w:rsid w:val="004572D4"/>
    <w:rsid w:val="0046281F"/>
    <w:rsid w:val="00464576"/>
    <w:rsid w:val="00464897"/>
    <w:rsid w:val="0046528C"/>
    <w:rsid w:val="0046557E"/>
    <w:rsid w:val="004709EE"/>
    <w:rsid w:val="0047235B"/>
    <w:rsid w:val="0047402E"/>
    <w:rsid w:val="004749E5"/>
    <w:rsid w:val="0047622B"/>
    <w:rsid w:val="00484EA7"/>
    <w:rsid w:val="00493107"/>
    <w:rsid w:val="00495C4C"/>
    <w:rsid w:val="004B09D3"/>
    <w:rsid w:val="004B309C"/>
    <w:rsid w:val="004B5AB8"/>
    <w:rsid w:val="004B5FF0"/>
    <w:rsid w:val="004B735A"/>
    <w:rsid w:val="004C06EC"/>
    <w:rsid w:val="004C40E3"/>
    <w:rsid w:val="004D1D07"/>
    <w:rsid w:val="004E5EA2"/>
    <w:rsid w:val="004E68AA"/>
    <w:rsid w:val="004F4D4B"/>
    <w:rsid w:val="004F4E07"/>
    <w:rsid w:val="005011D0"/>
    <w:rsid w:val="00512C30"/>
    <w:rsid w:val="00514D88"/>
    <w:rsid w:val="005155DA"/>
    <w:rsid w:val="00521DA0"/>
    <w:rsid w:val="00522C68"/>
    <w:rsid w:val="0052321D"/>
    <w:rsid w:val="005267DC"/>
    <w:rsid w:val="00532081"/>
    <w:rsid w:val="005436ED"/>
    <w:rsid w:val="0054451B"/>
    <w:rsid w:val="00551F87"/>
    <w:rsid w:val="00560963"/>
    <w:rsid w:val="005614A4"/>
    <w:rsid w:val="005640F0"/>
    <w:rsid w:val="0056519E"/>
    <w:rsid w:val="00574681"/>
    <w:rsid w:val="00574981"/>
    <w:rsid w:val="00575A78"/>
    <w:rsid w:val="00582698"/>
    <w:rsid w:val="00585DB3"/>
    <w:rsid w:val="00587BB2"/>
    <w:rsid w:val="005913D7"/>
    <w:rsid w:val="0059404C"/>
    <w:rsid w:val="00596D5F"/>
    <w:rsid w:val="005A4B73"/>
    <w:rsid w:val="005B402C"/>
    <w:rsid w:val="005B504C"/>
    <w:rsid w:val="005C7649"/>
    <w:rsid w:val="005D4AE2"/>
    <w:rsid w:val="005E331D"/>
    <w:rsid w:val="005E7FF4"/>
    <w:rsid w:val="005F0D69"/>
    <w:rsid w:val="005F12B7"/>
    <w:rsid w:val="0060543B"/>
    <w:rsid w:val="006074D0"/>
    <w:rsid w:val="00611B13"/>
    <w:rsid w:val="00614509"/>
    <w:rsid w:val="00614AA3"/>
    <w:rsid w:val="0062099F"/>
    <w:rsid w:val="006244E7"/>
    <w:rsid w:val="00631D5D"/>
    <w:rsid w:val="00636253"/>
    <w:rsid w:val="0063659E"/>
    <w:rsid w:val="006371BC"/>
    <w:rsid w:val="006406E0"/>
    <w:rsid w:val="006429D3"/>
    <w:rsid w:val="00653198"/>
    <w:rsid w:val="006568CE"/>
    <w:rsid w:val="00657D96"/>
    <w:rsid w:val="006678BD"/>
    <w:rsid w:val="00674CCC"/>
    <w:rsid w:val="006779F6"/>
    <w:rsid w:val="00680CA1"/>
    <w:rsid w:val="00685DAE"/>
    <w:rsid w:val="006864D8"/>
    <w:rsid w:val="00692636"/>
    <w:rsid w:val="006954E6"/>
    <w:rsid w:val="006A6AF2"/>
    <w:rsid w:val="006A77D8"/>
    <w:rsid w:val="006B28FF"/>
    <w:rsid w:val="006C75FA"/>
    <w:rsid w:val="006D04CF"/>
    <w:rsid w:val="006D6039"/>
    <w:rsid w:val="006D6EFF"/>
    <w:rsid w:val="006E4961"/>
    <w:rsid w:val="006E7E62"/>
    <w:rsid w:val="006F39A4"/>
    <w:rsid w:val="00703213"/>
    <w:rsid w:val="00703ED0"/>
    <w:rsid w:val="00704BD7"/>
    <w:rsid w:val="00704F4B"/>
    <w:rsid w:val="00706B37"/>
    <w:rsid w:val="00710280"/>
    <w:rsid w:val="0071245D"/>
    <w:rsid w:val="00712AB6"/>
    <w:rsid w:val="0071646F"/>
    <w:rsid w:val="00724492"/>
    <w:rsid w:val="00725F1F"/>
    <w:rsid w:val="00732192"/>
    <w:rsid w:val="00732F17"/>
    <w:rsid w:val="0073415A"/>
    <w:rsid w:val="00743937"/>
    <w:rsid w:val="0074528A"/>
    <w:rsid w:val="007468D9"/>
    <w:rsid w:val="00751C8A"/>
    <w:rsid w:val="00754F4E"/>
    <w:rsid w:val="00757DF3"/>
    <w:rsid w:val="0076154C"/>
    <w:rsid w:val="00761BE5"/>
    <w:rsid w:val="007651DD"/>
    <w:rsid w:val="007678B9"/>
    <w:rsid w:val="00777DE8"/>
    <w:rsid w:val="007821EC"/>
    <w:rsid w:val="0079325A"/>
    <w:rsid w:val="00793FC4"/>
    <w:rsid w:val="007966E9"/>
    <w:rsid w:val="0079670C"/>
    <w:rsid w:val="00797490"/>
    <w:rsid w:val="007A13A4"/>
    <w:rsid w:val="007A1E41"/>
    <w:rsid w:val="007A232E"/>
    <w:rsid w:val="007A2479"/>
    <w:rsid w:val="007A580F"/>
    <w:rsid w:val="007A6037"/>
    <w:rsid w:val="007B027E"/>
    <w:rsid w:val="007B0358"/>
    <w:rsid w:val="007B0769"/>
    <w:rsid w:val="007B60C9"/>
    <w:rsid w:val="007C0573"/>
    <w:rsid w:val="007D002F"/>
    <w:rsid w:val="007D0761"/>
    <w:rsid w:val="007D1FD5"/>
    <w:rsid w:val="007D317C"/>
    <w:rsid w:val="007D6452"/>
    <w:rsid w:val="007D7BBC"/>
    <w:rsid w:val="007E0E17"/>
    <w:rsid w:val="007E3264"/>
    <w:rsid w:val="007E4E33"/>
    <w:rsid w:val="007E5151"/>
    <w:rsid w:val="008005D8"/>
    <w:rsid w:val="00804FB8"/>
    <w:rsid w:val="008058BD"/>
    <w:rsid w:val="0081001F"/>
    <w:rsid w:val="00813FC6"/>
    <w:rsid w:val="00817401"/>
    <w:rsid w:val="00824394"/>
    <w:rsid w:val="008244AF"/>
    <w:rsid w:val="00832CE0"/>
    <w:rsid w:val="008337E7"/>
    <w:rsid w:val="008410D5"/>
    <w:rsid w:val="00842CDB"/>
    <w:rsid w:val="00843550"/>
    <w:rsid w:val="00851940"/>
    <w:rsid w:val="008521C6"/>
    <w:rsid w:val="00854131"/>
    <w:rsid w:val="00855B41"/>
    <w:rsid w:val="00862B36"/>
    <w:rsid w:val="00863F0B"/>
    <w:rsid w:val="0086672E"/>
    <w:rsid w:val="00870D04"/>
    <w:rsid w:val="008736D8"/>
    <w:rsid w:val="00877CE6"/>
    <w:rsid w:val="00883925"/>
    <w:rsid w:val="008856DB"/>
    <w:rsid w:val="00887B83"/>
    <w:rsid w:val="00893403"/>
    <w:rsid w:val="0089573F"/>
    <w:rsid w:val="00895F6D"/>
    <w:rsid w:val="00897C5B"/>
    <w:rsid w:val="008A2E06"/>
    <w:rsid w:val="008A3926"/>
    <w:rsid w:val="008A6801"/>
    <w:rsid w:val="008B124D"/>
    <w:rsid w:val="008B1FEC"/>
    <w:rsid w:val="008B40D7"/>
    <w:rsid w:val="008B4C08"/>
    <w:rsid w:val="008B7A29"/>
    <w:rsid w:val="008C4365"/>
    <w:rsid w:val="008D1612"/>
    <w:rsid w:val="008D2734"/>
    <w:rsid w:val="008D313F"/>
    <w:rsid w:val="008D421A"/>
    <w:rsid w:val="008D43AE"/>
    <w:rsid w:val="008E0A8E"/>
    <w:rsid w:val="008F1CF2"/>
    <w:rsid w:val="008F3FF5"/>
    <w:rsid w:val="008F4A6F"/>
    <w:rsid w:val="008F77B3"/>
    <w:rsid w:val="00901EB2"/>
    <w:rsid w:val="0090384B"/>
    <w:rsid w:val="00911D1A"/>
    <w:rsid w:val="009241AC"/>
    <w:rsid w:val="00924CCC"/>
    <w:rsid w:val="00924DB0"/>
    <w:rsid w:val="0094408F"/>
    <w:rsid w:val="009466CC"/>
    <w:rsid w:val="00946B12"/>
    <w:rsid w:val="009533A3"/>
    <w:rsid w:val="00955A2F"/>
    <w:rsid w:val="00955CA6"/>
    <w:rsid w:val="00956EBD"/>
    <w:rsid w:val="00962265"/>
    <w:rsid w:val="00963194"/>
    <w:rsid w:val="00965DA0"/>
    <w:rsid w:val="00970C8C"/>
    <w:rsid w:val="00983F87"/>
    <w:rsid w:val="0099120A"/>
    <w:rsid w:val="009A5145"/>
    <w:rsid w:val="009B3F77"/>
    <w:rsid w:val="009B48FC"/>
    <w:rsid w:val="009B6B8D"/>
    <w:rsid w:val="009B6BA0"/>
    <w:rsid w:val="009C1114"/>
    <w:rsid w:val="009D2936"/>
    <w:rsid w:val="009D35F8"/>
    <w:rsid w:val="009E561E"/>
    <w:rsid w:val="009E59B9"/>
    <w:rsid w:val="009E5FD4"/>
    <w:rsid w:val="009F076F"/>
    <w:rsid w:val="009F2A7E"/>
    <w:rsid w:val="009F4429"/>
    <w:rsid w:val="009F4A76"/>
    <w:rsid w:val="00A013D8"/>
    <w:rsid w:val="00A025D7"/>
    <w:rsid w:val="00A0368C"/>
    <w:rsid w:val="00A03DE2"/>
    <w:rsid w:val="00A0463A"/>
    <w:rsid w:val="00A04D01"/>
    <w:rsid w:val="00A11C74"/>
    <w:rsid w:val="00A1785B"/>
    <w:rsid w:val="00A22E4F"/>
    <w:rsid w:val="00A235C9"/>
    <w:rsid w:val="00A242D4"/>
    <w:rsid w:val="00A242EC"/>
    <w:rsid w:val="00A24F29"/>
    <w:rsid w:val="00A32235"/>
    <w:rsid w:val="00A362B3"/>
    <w:rsid w:val="00A371DE"/>
    <w:rsid w:val="00A37DEE"/>
    <w:rsid w:val="00A37FD7"/>
    <w:rsid w:val="00A42B07"/>
    <w:rsid w:val="00A44814"/>
    <w:rsid w:val="00A52479"/>
    <w:rsid w:val="00A53734"/>
    <w:rsid w:val="00A60128"/>
    <w:rsid w:val="00A620EE"/>
    <w:rsid w:val="00A629B9"/>
    <w:rsid w:val="00A638CF"/>
    <w:rsid w:val="00A63984"/>
    <w:rsid w:val="00A64729"/>
    <w:rsid w:val="00A6563D"/>
    <w:rsid w:val="00A65AE0"/>
    <w:rsid w:val="00A71B6B"/>
    <w:rsid w:val="00A730C6"/>
    <w:rsid w:val="00A736D7"/>
    <w:rsid w:val="00A779C0"/>
    <w:rsid w:val="00A77DCE"/>
    <w:rsid w:val="00A85858"/>
    <w:rsid w:val="00A9147E"/>
    <w:rsid w:val="00A93816"/>
    <w:rsid w:val="00A93A3D"/>
    <w:rsid w:val="00A94C1A"/>
    <w:rsid w:val="00A965A8"/>
    <w:rsid w:val="00AA7F0A"/>
    <w:rsid w:val="00AB347F"/>
    <w:rsid w:val="00AC254D"/>
    <w:rsid w:val="00AC53D5"/>
    <w:rsid w:val="00AE36F4"/>
    <w:rsid w:val="00AE4959"/>
    <w:rsid w:val="00AF392B"/>
    <w:rsid w:val="00AF5375"/>
    <w:rsid w:val="00B0195A"/>
    <w:rsid w:val="00B0554C"/>
    <w:rsid w:val="00B05E26"/>
    <w:rsid w:val="00B13A0A"/>
    <w:rsid w:val="00B15331"/>
    <w:rsid w:val="00B247CA"/>
    <w:rsid w:val="00B30862"/>
    <w:rsid w:val="00B34219"/>
    <w:rsid w:val="00B36788"/>
    <w:rsid w:val="00B36A37"/>
    <w:rsid w:val="00B44424"/>
    <w:rsid w:val="00B44582"/>
    <w:rsid w:val="00B505ED"/>
    <w:rsid w:val="00B54CCD"/>
    <w:rsid w:val="00B6712E"/>
    <w:rsid w:val="00B70DBC"/>
    <w:rsid w:val="00B7138A"/>
    <w:rsid w:val="00B7160A"/>
    <w:rsid w:val="00B73825"/>
    <w:rsid w:val="00B75673"/>
    <w:rsid w:val="00B82F6A"/>
    <w:rsid w:val="00B83C3D"/>
    <w:rsid w:val="00B8572C"/>
    <w:rsid w:val="00B9083D"/>
    <w:rsid w:val="00B91BEA"/>
    <w:rsid w:val="00B95185"/>
    <w:rsid w:val="00B96298"/>
    <w:rsid w:val="00BA2754"/>
    <w:rsid w:val="00BA40B2"/>
    <w:rsid w:val="00BA52BE"/>
    <w:rsid w:val="00BB3447"/>
    <w:rsid w:val="00BC11A2"/>
    <w:rsid w:val="00BC130E"/>
    <w:rsid w:val="00BC3467"/>
    <w:rsid w:val="00BD496B"/>
    <w:rsid w:val="00BD4B07"/>
    <w:rsid w:val="00BE3E4E"/>
    <w:rsid w:val="00BE4BEC"/>
    <w:rsid w:val="00BE5A31"/>
    <w:rsid w:val="00BF6C91"/>
    <w:rsid w:val="00C03B39"/>
    <w:rsid w:val="00C03E99"/>
    <w:rsid w:val="00C04D69"/>
    <w:rsid w:val="00C06C2A"/>
    <w:rsid w:val="00C11E1D"/>
    <w:rsid w:val="00C1576A"/>
    <w:rsid w:val="00C27DB8"/>
    <w:rsid w:val="00C30D5C"/>
    <w:rsid w:val="00C33D2A"/>
    <w:rsid w:val="00C3413C"/>
    <w:rsid w:val="00C342DC"/>
    <w:rsid w:val="00C44817"/>
    <w:rsid w:val="00C47372"/>
    <w:rsid w:val="00C513C9"/>
    <w:rsid w:val="00C548FB"/>
    <w:rsid w:val="00C70F9B"/>
    <w:rsid w:val="00C805F1"/>
    <w:rsid w:val="00C90B62"/>
    <w:rsid w:val="00CA3280"/>
    <w:rsid w:val="00CB1CAE"/>
    <w:rsid w:val="00CB2326"/>
    <w:rsid w:val="00CB2AD1"/>
    <w:rsid w:val="00CB45FC"/>
    <w:rsid w:val="00CC2E08"/>
    <w:rsid w:val="00CC3012"/>
    <w:rsid w:val="00CD504C"/>
    <w:rsid w:val="00CD5C13"/>
    <w:rsid w:val="00CE24D8"/>
    <w:rsid w:val="00CE3F2C"/>
    <w:rsid w:val="00CF5A1C"/>
    <w:rsid w:val="00D00A00"/>
    <w:rsid w:val="00D04E4C"/>
    <w:rsid w:val="00D10841"/>
    <w:rsid w:val="00D13764"/>
    <w:rsid w:val="00D13947"/>
    <w:rsid w:val="00D20D24"/>
    <w:rsid w:val="00D256F1"/>
    <w:rsid w:val="00D27E36"/>
    <w:rsid w:val="00D30A1A"/>
    <w:rsid w:val="00D52B01"/>
    <w:rsid w:val="00D56953"/>
    <w:rsid w:val="00D6168F"/>
    <w:rsid w:val="00D62A32"/>
    <w:rsid w:val="00D6340F"/>
    <w:rsid w:val="00D824DF"/>
    <w:rsid w:val="00D94566"/>
    <w:rsid w:val="00D95476"/>
    <w:rsid w:val="00D97F17"/>
    <w:rsid w:val="00DA0D28"/>
    <w:rsid w:val="00DA2AB2"/>
    <w:rsid w:val="00DA2E77"/>
    <w:rsid w:val="00DA73EA"/>
    <w:rsid w:val="00DB3815"/>
    <w:rsid w:val="00DC1356"/>
    <w:rsid w:val="00DC1FF7"/>
    <w:rsid w:val="00DD25BD"/>
    <w:rsid w:val="00DE2CB5"/>
    <w:rsid w:val="00DE2D76"/>
    <w:rsid w:val="00DE5443"/>
    <w:rsid w:val="00DE7097"/>
    <w:rsid w:val="00DE7535"/>
    <w:rsid w:val="00DF413A"/>
    <w:rsid w:val="00DF4ECD"/>
    <w:rsid w:val="00DF5198"/>
    <w:rsid w:val="00E01D88"/>
    <w:rsid w:val="00E01EE5"/>
    <w:rsid w:val="00E073A6"/>
    <w:rsid w:val="00E145DB"/>
    <w:rsid w:val="00E22E28"/>
    <w:rsid w:val="00E30E3D"/>
    <w:rsid w:val="00E32EE8"/>
    <w:rsid w:val="00E33F43"/>
    <w:rsid w:val="00E37CE8"/>
    <w:rsid w:val="00E4163B"/>
    <w:rsid w:val="00E46ADF"/>
    <w:rsid w:val="00E527E6"/>
    <w:rsid w:val="00E536B6"/>
    <w:rsid w:val="00E601A8"/>
    <w:rsid w:val="00E622E9"/>
    <w:rsid w:val="00E70C8B"/>
    <w:rsid w:val="00E72626"/>
    <w:rsid w:val="00E72ABE"/>
    <w:rsid w:val="00E854FD"/>
    <w:rsid w:val="00E865B1"/>
    <w:rsid w:val="00E867A1"/>
    <w:rsid w:val="00E93C75"/>
    <w:rsid w:val="00E946BB"/>
    <w:rsid w:val="00EA13D5"/>
    <w:rsid w:val="00ED5E22"/>
    <w:rsid w:val="00EE1C3D"/>
    <w:rsid w:val="00EE1CF9"/>
    <w:rsid w:val="00EE7669"/>
    <w:rsid w:val="00EF0783"/>
    <w:rsid w:val="00F02424"/>
    <w:rsid w:val="00F02893"/>
    <w:rsid w:val="00F049F1"/>
    <w:rsid w:val="00F066A2"/>
    <w:rsid w:val="00F06A04"/>
    <w:rsid w:val="00F13C83"/>
    <w:rsid w:val="00F14135"/>
    <w:rsid w:val="00F22512"/>
    <w:rsid w:val="00F31B43"/>
    <w:rsid w:val="00F3317F"/>
    <w:rsid w:val="00F366BB"/>
    <w:rsid w:val="00F40600"/>
    <w:rsid w:val="00F41262"/>
    <w:rsid w:val="00F527FE"/>
    <w:rsid w:val="00F55E2A"/>
    <w:rsid w:val="00F56A4B"/>
    <w:rsid w:val="00F6193A"/>
    <w:rsid w:val="00F67F1A"/>
    <w:rsid w:val="00F83F97"/>
    <w:rsid w:val="00F848F4"/>
    <w:rsid w:val="00F86330"/>
    <w:rsid w:val="00F86C9B"/>
    <w:rsid w:val="00F87688"/>
    <w:rsid w:val="00F9349F"/>
    <w:rsid w:val="00F9579D"/>
    <w:rsid w:val="00F96F4C"/>
    <w:rsid w:val="00FA3B9C"/>
    <w:rsid w:val="00FA79DC"/>
    <w:rsid w:val="00FB0414"/>
    <w:rsid w:val="00FB749B"/>
    <w:rsid w:val="00FC1E2E"/>
    <w:rsid w:val="00FC2DB4"/>
    <w:rsid w:val="00FD1AF9"/>
    <w:rsid w:val="00FD316C"/>
    <w:rsid w:val="00FD5480"/>
    <w:rsid w:val="00FD638E"/>
    <w:rsid w:val="00FD6A79"/>
    <w:rsid w:val="00FE587B"/>
    <w:rsid w:val="00FE5E12"/>
    <w:rsid w:val="13BFF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227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EA"/>
  </w:style>
  <w:style w:type="paragraph" w:styleId="Heading2">
    <w:name w:val="heading 2"/>
    <w:basedOn w:val="Normal"/>
    <w:next w:val="Normal"/>
    <w:link w:val="Heading2Char"/>
    <w:uiPriority w:val="9"/>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05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3"/>
  </w:style>
  <w:style w:type="paragraph" w:styleId="Footer">
    <w:name w:val="footer"/>
    <w:basedOn w:val="Normal"/>
    <w:link w:val="FooterChar"/>
    <w:uiPriority w:val="99"/>
    <w:unhideWhenUsed/>
    <w:rsid w:val="0005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3"/>
  </w:style>
  <w:style w:type="character" w:customStyle="1" w:styleId="apple-converted-space">
    <w:name w:val="apple-converted-space"/>
    <w:basedOn w:val="DefaultParagraphFont"/>
    <w:rsid w:val="00893403"/>
  </w:style>
  <w:style w:type="paragraph" w:customStyle="1" w:styleId="Default">
    <w:name w:val="Default"/>
    <w:rsid w:val="0018658C"/>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832CE0"/>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832CE0"/>
    <w:rPr>
      <w:rFonts w:ascii="Courier" w:hAnsi="Courier"/>
      <w:sz w:val="20"/>
      <w:szCs w:val="20"/>
    </w:rPr>
  </w:style>
  <w:style w:type="character" w:styleId="UnresolvedMention">
    <w:name w:val="Unresolved Mention"/>
    <w:basedOn w:val="DefaultParagraphFont"/>
    <w:uiPriority w:val="99"/>
    <w:semiHidden/>
    <w:unhideWhenUsed/>
    <w:rsid w:val="00704F4B"/>
    <w:rPr>
      <w:color w:val="605E5C"/>
      <w:shd w:val="clear" w:color="auto" w:fill="E1DFDD"/>
    </w:rPr>
  </w:style>
  <w:style w:type="character" w:styleId="PlaceholderText">
    <w:name w:val="Placeholder Text"/>
    <w:basedOn w:val="DefaultParagraphFont"/>
    <w:uiPriority w:val="99"/>
    <w:semiHidden/>
    <w:rsid w:val="00522C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26982">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076518347">
      <w:bodyDiv w:val="1"/>
      <w:marLeft w:val="0"/>
      <w:marRight w:val="0"/>
      <w:marTop w:val="0"/>
      <w:marBottom w:val="0"/>
      <w:divBdr>
        <w:top w:val="none" w:sz="0" w:space="0" w:color="auto"/>
        <w:left w:val="none" w:sz="0" w:space="0" w:color="auto"/>
        <w:bottom w:val="none" w:sz="0" w:space="0" w:color="auto"/>
        <w:right w:val="none" w:sz="0" w:space="0" w:color="auto"/>
      </w:divBdr>
      <w:divsChild>
        <w:div w:id="131337742">
          <w:marLeft w:val="0"/>
          <w:marRight w:val="0"/>
          <w:marTop w:val="0"/>
          <w:marBottom w:val="0"/>
          <w:divBdr>
            <w:top w:val="none" w:sz="0" w:space="0" w:color="auto"/>
            <w:left w:val="none" w:sz="0" w:space="0" w:color="auto"/>
            <w:bottom w:val="none" w:sz="0" w:space="0" w:color="auto"/>
            <w:right w:val="none" w:sz="0" w:space="0" w:color="auto"/>
          </w:divBdr>
        </w:div>
        <w:div w:id="322321925">
          <w:marLeft w:val="0"/>
          <w:marRight w:val="0"/>
          <w:marTop w:val="0"/>
          <w:marBottom w:val="0"/>
          <w:divBdr>
            <w:top w:val="none" w:sz="0" w:space="0" w:color="auto"/>
            <w:left w:val="none" w:sz="0" w:space="0" w:color="auto"/>
            <w:bottom w:val="none" w:sz="0" w:space="0" w:color="auto"/>
            <w:right w:val="none" w:sz="0" w:space="0" w:color="auto"/>
          </w:divBdr>
        </w:div>
        <w:div w:id="603927759">
          <w:marLeft w:val="0"/>
          <w:marRight w:val="0"/>
          <w:marTop w:val="0"/>
          <w:marBottom w:val="0"/>
          <w:divBdr>
            <w:top w:val="none" w:sz="0" w:space="0" w:color="auto"/>
            <w:left w:val="none" w:sz="0" w:space="0" w:color="auto"/>
            <w:bottom w:val="none" w:sz="0" w:space="0" w:color="auto"/>
            <w:right w:val="none" w:sz="0" w:space="0" w:color="auto"/>
          </w:divBdr>
        </w:div>
        <w:div w:id="1465469341">
          <w:marLeft w:val="0"/>
          <w:marRight w:val="0"/>
          <w:marTop w:val="0"/>
          <w:marBottom w:val="0"/>
          <w:divBdr>
            <w:top w:val="none" w:sz="0" w:space="0" w:color="auto"/>
            <w:left w:val="none" w:sz="0" w:space="0" w:color="auto"/>
            <w:bottom w:val="none" w:sz="0" w:space="0" w:color="auto"/>
            <w:right w:val="none" w:sz="0" w:space="0" w:color="auto"/>
          </w:divBdr>
        </w:div>
      </w:divsChild>
    </w:div>
    <w:div w:id="1222792500">
      <w:bodyDiv w:val="1"/>
      <w:marLeft w:val="0"/>
      <w:marRight w:val="0"/>
      <w:marTop w:val="0"/>
      <w:marBottom w:val="0"/>
      <w:divBdr>
        <w:top w:val="none" w:sz="0" w:space="0" w:color="auto"/>
        <w:left w:val="none" w:sz="0" w:space="0" w:color="auto"/>
        <w:bottom w:val="none" w:sz="0" w:space="0" w:color="auto"/>
        <w:right w:val="none" w:sz="0" w:space="0" w:color="auto"/>
      </w:divBdr>
    </w:div>
    <w:div w:id="1258053164">
      <w:bodyDiv w:val="1"/>
      <w:marLeft w:val="0"/>
      <w:marRight w:val="0"/>
      <w:marTop w:val="0"/>
      <w:marBottom w:val="0"/>
      <w:divBdr>
        <w:top w:val="none" w:sz="0" w:space="0" w:color="auto"/>
        <w:left w:val="none" w:sz="0" w:space="0" w:color="auto"/>
        <w:bottom w:val="none" w:sz="0" w:space="0" w:color="auto"/>
        <w:right w:val="none" w:sz="0" w:space="0" w:color="auto"/>
      </w:divBdr>
    </w:div>
    <w:div w:id="1588996944">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docs/issues_doc/un_business_partnerships/guidelines_principle_based_approach_between_un_business_sector.pdf" TargetMode="External"/><Relationship Id="rId18" Type="http://schemas.openxmlformats.org/officeDocument/2006/relationships/hyperlink" Target="https://popp.undp.org/fr/taxonomy/term/36" TargetMode="External"/><Relationship Id="rId26" Type="http://schemas.openxmlformats.org/officeDocument/2006/relationships/hyperlink" Target="https://undp.sharepoint.com/teams/BERA-Portal/SitePages/PublicPartnerships/NonFinancialAgreements/MoUs-and-SoIs.aspx" TargetMode="External"/><Relationship Id="rId3" Type="http://schemas.openxmlformats.org/officeDocument/2006/relationships/customXml" Target="../customXml/item3.xml"/><Relationship Id="rId21" Type="http://schemas.openxmlformats.org/officeDocument/2006/relationships/hyperlink" Target="https://undp.sharepoint.com/teams/BERA-Portal/Financing%20Agreements%20and%20Templates/Forms/AllItems.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library.un.org/record/209869/files/A_RES_92%28I%29-FR.pdf" TargetMode="External"/><Relationship Id="rId17" Type="http://schemas.openxmlformats.org/officeDocument/2006/relationships/hyperlink" Target="https://undg.org/document/2017-undaf-guidance/" TargetMode="External"/><Relationship Id="rId25" Type="http://schemas.openxmlformats.org/officeDocument/2006/relationships/hyperlink" Target="https://undp.sharepoint.com/teams/BERA-Portal/SitePages/PublicPartnerships/FinancingAgreementTemplates/General-Information.aspx?OR=Teams-HL&amp;CT=170984421998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fr/document/guide-de-loutil-devaluation-des-risques-du-secteur-prive-hors-ligne" TargetMode="External"/><Relationship Id="rId20" Type="http://schemas.openxmlformats.org/officeDocument/2006/relationships/hyperlink" Target="https://undp.sharepoint.com/teams/BERA-Portal/SitePages/PublicPartnerships/FinancingAgreementTemplates/General-Information.aspx?OR=Teams-HL&amp;CT=1709844219980" TargetMode="External"/><Relationship Id="rId29" Type="http://schemas.openxmlformats.org/officeDocument/2006/relationships/hyperlink" Target="https://undp.sharepoint.com/teams/ps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fr/taxonomy/term/186" TargetMode="External"/><Relationship Id="rId24" Type="http://schemas.openxmlformats.org/officeDocument/2006/relationships/hyperlink" Target="https://undp.lightning.force.com/lightning/o/Agreement__c/list?filterName=00B6N000000ZR8GUAW"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pp.undp.org/fr/node/20646" TargetMode="External"/><Relationship Id="rId23" Type="http://schemas.openxmlformats.org/officeDocument/2006/relationships/hyperlink" Target="mailto:steve.utterwulghe@undp.org" TargetMode="External"/><Relationship Id="rId28" Type="http://schemas.openxmlformats.org/officeDocument/2006/relationships/hyperlink" Target="https://undp.sharepoint.com/teams/BERA-Portal/SitePages/PrivatePartnerships/Home.aspx" TargetMode="External"/><Relationship Id="rId10" Type="http://schemas.openxmlformats.org/officeDocument/2006/relationships/endnotes" Target="endnotes.xml"/><Relationship Id="rId19" Type="http://schemas.openxmlformats.org/officeDocument/2006/relationships/hyperlink" Target="https://undp.sharepoint.com/teams/BERA-Portal/MOUTemplatesLibrary/Forms/AllItems.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OLS" TargetMode="External"/><Relationship Id="rId22" Type="http://schemas.openxmlformats.org/officeDocument/2006/relationships/hyperlink" Target="https://digitallibrary.un.org/record/572057" TargetMode="External"/><Relationship Id="rId27" Type="http://schemas.openxmlformats.org/officeDocument/2006/relationships/hyperlink" Target="https://undp.sharepoint.com/teams/BERA-Portal/MOUTemplatesLibrary/Forms/AllItems.aspx" TargetMode="External"/><Relationship Id="rId30" Type="http://schemas.openxmlformats.org/officeDocument/2006/relationships/hyperlink" Target="https://popp.undp.org/fr/taxonomy/term/36"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bac64ba-0994-44c4-ac1f-cfbdbbcd60dd" xsi:nil="true"/>
    <SharedWithUsers xmlns="c26dc373-2944-4fff-a656-1635ba5514b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781D-B44E-4174-B5DD-C73840C55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C1EB0-EC4B-4164-AB49-9D1EEDD9A97C}">
  <ds:schemaRefs>
    <ds:schemaRef ds:uri="http://schemas.microsoft.com/office/2006/metadata/properties"/>
    <ds:schemaRef ds:uri="http://schemas.microsoft.com/office/infopath/2007/PartnerControls"/>
    <ds:schemaRef ds:uri="1bac64ba-0994-44c4-ac1f-cfbdbbcd60dd"/>
    <ds:schemaRef ds:uri="c26dc373-2944-4fff-a656-1635ba5514b5"/>
  </ds:schemaRefs>
</ds:datastoreItem>
</file>

<file path=customXml/itemProps3.xml><?xml version="1.0" encoding="utf-8"?>
<ds:datastoreItem xmlns:ds="http://schemas.openxmlformats.org/officeDocument/2006/customXml" ds:itemID="{FBF228A7-F4C8-4414-A342-690869EA3979}">
  <ds:schemaRefs>
    <ds:schemaRef ds:uri="http://schemas.microsoft.com/sharepoint/v3/contenttype/forms"/>
  </ds:schemaRefs>
</ds:datastoreItem>
</file>

<file path=customXml/itemProps4.xml><?xml version="1.0" encoding="utf-8"?>
<ds:datastoreItem xmlns:ds="http://schemas.openxmlformats.org/officeDocument/2006/customXml" ds:itemID="{4021D685-388B-4C6F-8F88-B0F8569B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lastModifiedBy>Arilda Dragjoshi</cp:lastModifiedBy>
  <cp:revision>10</cp:revision>
  <dcterms:created xsi:type="dcterms:W3CDTF">2023-11-09T22:53:00Z</dcterms:created>
  <dcterms:modified xsi:type="dcterms:W3CDTF">2026-04-27T17:25:00Z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d4f2921d-5b41-4072-94c4-8de181a74aa6</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French</vt:lpwstr>
  </property>
  <property fmtid="{D5CDD505-2E9C-101B-9397-08002B2CF9AE}" pid="19" name="UNDP_POPP_FILEVERSION">
    <vt:r8>7680</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ComplianceAssetId">
    <vt:lpwstr/>
  </property>
  <property fmtid="{D5CDD505-2E9C-101B-9397-08002B2CF9AE}" pid="25" name="_ExtendedDescription">
    <vt:lpwstr/>
  </property>
  <property fmtid="{D5CDD505-2E9C-101B-9397-08002B2CF9AE}" pid="26" name="TriggerFlowInfo">
    <vt:lpwstr/>
  </property>
</Properties>
</file>