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8903" w14:textId="77777777" w:rsidR="005A4B73" w:rsidRPr="005A4B73" w:rsidRDefault="005A4B73" w:rsidP="00B36788">
      <w:pPr>
        <w:shd w:val="clear" w:color="auto" w:fill="FFFFFF"/>
        <w:spacing w:before="100" w:beforeAutospacing="1" w:after="100" w:afterAutospacing="1" w:line="270" w:lineRule="atLeast"/>
        <w:jc w:val="both"/>
        <w:rPr>
          <w:rFonts w:eastAsia="Times New Roman" w:cs="Arial"/>
          <w:b/>
          <w:bCs/>
          <w:color w:val="333333"/>
          <w:sz w:val="28"/>
          <w:szCs w:val="28"/>
        </w:rPr>
      </w:pPr>
      <w:r>
        <w:rPr>
          <w:b/>
          <w:color w:val="333333"/>
          <w:sz w:val="28"/>
        </w:rPr>
        <w:t xml:space="preserve">Asociaciones del Sector Privado </w:t>
      </w:r>
    </w:p>
    <w:p w14:paraId="3BDDEF24" w14:textId="77777777" w:rsidR="00335A95" w:rsidRPr="005A4B73" w:rsidRDefault="00335A95" w:rsidP="00B36788">
      <w:pPr>
        <w:shd w:val="clear" w:color="auto" w:fill="FFFFFF"/>
        <w:spacing w:before="100" w:beforeAutospacing="1" w:after="100" w:afterAutospacing="1" w:line="270" w:lineRule="atLeast"/>
        <w:jc w:val="both"/>
        <w:rPr>
          <w:rFonts w:eastAsia="Times New Roman" w:cs="Arial"/>
          <w:color w:val="333333"/>
        </w:rPr>
      </w:pPr>
      <w:r>
        <w:rPr>
          <w:b/>
          <w:color w:val="333333"/>
        </w:rPr>
        <w:t>OBJETIVO Y DEFINICIONES</w:t>
      </w:r>
    </w:p>
    <w:p w14:paraId="3C683439" w14:textId="28683749" w:rsidR="007A580F" w:rsidRDefault="0010634A"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El Sector Privado incluye</w:t>
      </w:r>
      <w:r w:rsidR="00352165">
        <w:rPr>
          <w:color w:val="333333"/>
        </w:rPr>
        <w:t xml:space="preserve">, entre otras, a empresas con fines de lucro de cualquier tamaño, fundaciones corporativas, asociaciones empresariales, coaliciones y alianzas, y empresas de propiedad estatal. El término «sector privado» hace referencia a cualquier entidad que podría colaborar o que colabora con el Programa de las Naciones Unidas para el Desarrollo (PNUD). El PNUD puede trabajar con un grupo del sector </w:t>
      </w:r>
      <w:r w:rsidR="00BE0BEC">
        <w:rPr>
          <w:color w:val="333333"/>
        </w:rPr>
        <w:t>privado (</w:t>
      </w:r>
      <w:r>
        <w:rPr>
          <w:color w:val="333333"/>
        </w:rPr>
        <w:t xml:space="preserve">conglomerado, consorcio, o asociación temporal) </w:t>
      </w:r>
      <w:r w:rsidR="00352165">
        <w:rPr>
          <w:color w:val="333333"/>
        </w:rPr>
        <w:t>o con una compañía individual.</w:t>
      </w:r>
    </w:p>
    <w:p w14:paraId="03626FEE" w14:textId="77777777" w:rsidR="005E331D" w:rsidRPr="005E331D" w:rsidRDefault="005E331D" w:rsidP="005E331D">
      <w:pPr>
        <w:pStyle w:val="ListParagraph"/>
        <w:shd w:val="clear" w:color="auto" w:fill="FFFFFF"/>
        <w:spacing w:before="100" w:beforeAutospacing="1" w:after="100" w:afterAutospacing="1" w:line="270" w:lineRule="atLeast"/>
        <w:ind w:firstLine="0"/>
        <w:rPr>
          <w:rFonts w:eastAsia="Times New Roman" w:cs="Arial"/>
          <w:color w:val="333333"/>
        </w:rPr>
      </w:pPr>
    </w:p>
    <w:p w14:paraId="548471E3" w14:textId="77777777" w:rsid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Las interacciones del PNUD con el sector privado se pueden dividir en tres áreas:</w:t>
      </w:r>
    </w:p>
    <w:p w14:paraId="30920BF9" w14:textId="77777777" w:rsidR="0071245D" w:rsidRPr="0071245D" w:rsidRDefault="0071245D" w:rsidP="0071245D">
      <w:pPr>
        <w:pStyle w:val="ListParagraph"/>
        <w:rPr>
          <w:rFonts w:eastAsia="Times New Roman" w:cs="Arial"/>
          <w:color w:val="333333"/>
        </w:rPr>
      </w:pPr>
    </w:p>
    <w:p w14:paraId="4DFDA3BB" w14:textId="587D85DC" w:rsidR="0071245D" w:rsidRDefault="00335A95" w:rsidP="00887B83">
      <w:pPr>
        <w:pStyle w:val="ListParagraph"/>
        <w:numPr>
          <w:ilvl w:val="0"/>
          <w:numId w:val="5"/>
        </w:numPr>
        <w:shd w:val="clear" w:color="auto" w:fill="FFFFFF"/>
        <w:spacing w:after="0" w:line="270" w:lineRule="atLeast"/>
        <w:rPr>
          <w:rFonts w:eastAsia="Times New Roman" w:cs="Arial"/>
          <w:color w:val="333333"/>
        </w:rPr>
      </w:pPr>
      <w:r>
        <w:rPr>
          <w:color w:val="333333"/>
        </w:rPr>
        <w:t xml:space="preserve">Apoyo al desarrollo del sector privado: las intervenciones del PNUD </w:t>
      </w:r>
      <w:r w:rsidR="0010634A">
        <w:rPr>
          <w:color w:val="333333"/>
        </w:rPr>
        <w:t xml:space="preserve">tienen como objetivo </w:t>
      </w:r>
      <w:r>
        <w:rPr>
          <w:color w:val="333333"/>
        </w:rPr>
        <w:t>a brindar apoyo al desarrollo del sector privado mediante políticas, capacidad e intervenciones de construcción de instituciones con el sector privado como beneficiario.</w:t>
      </w:r>
    </w:p>
    <w:p w14:paraId="77906A69" w14:textId="167F2CF4" w:rsidR="0071245D" w:rsidRDefault="0000693A" w:rsidP="0071245D">
      <w:pPr>
        <w:pStyle w:val="ListParagraph"/>
        <w:shd w:val="clear" w:color="auto" w:fill="FFFFFF"/>
        <w:spacing w:after="0" w:line="270" w:lineRule="atLeast"/>
        <w:ind w:left="1095" w:firstLine="0"/>
        <w:rPr>
          <w:rFonts w:eastAsia="Times New Roman" w:cs="Arial"/>
          <w:color w:val="333333"/>
        </w:rPr>
      </w:pPr>
      <w:r>
        <w:rPr>
          <w:color w:val="333333"/>
        </w:rPr>
        <w:t xml:space="preserve"> </w:t>
      </w:r>
    </w:p>
    <w:p w14:paraId="1CF784A3" w14:textId="7A4F4456" w:rsidR="00335A95" w:rsidRDefault="00335A95" w:rsidP="00887B83">
      <w:pPr>
        <w:pStyle w:val="ListParagraph"/>
        <w:numPr>
          <w:ilvl w:val="0"/>
          <w:numId w:val="5"/>
        </w:numPr>
        <w:shd w:val="clear" w:color="auto" w:fill="FFFFFF"/>
        <w:spacing w:after="0" w:line="270" w:lineRule="atLeast"/>
        <w:rPr>
          <w:rFonts w:eastAsia="Times New Roman" w:cs="Arial"/>
          <w:color w:val="333333"/>
        </w:rPr>
      </w:pPr>
      <w:r>
        <w:rPr>
          <w:color w:val="333333"/>
        </w:rPr>
        <w:t>Participación del sector privado: el sector privado colabora con el PNUD para el avance de la agenda de desarrollo sostenible mediante el respaldo a iniciativas, programas de desarrollo y proyectos del PNUD.</w:t>
      </w:r>
    </w:p>
    <w:p w14:paraId="7B6394CC" w14:textId="77777777" w:rsidR="005E331D" w:rsidRDefault="005E331D" w:rsidP="005E331D">
      <w:pPr>
        <w:pStyle w:val="ListParagraph"/>
        <w:shd w:val="clear" w:color="auto" w:fill="FFFFFF"/>
        <w:spacing w:after="0" w:line="270" w:lineRule="atLeast"/>
        <w:ind w:left="1095" w:firstLine="0"/>
        <w:rPr>
          <w:rFonts w:eastAsia="Times New Roman" w:cs="Arial"/>
          <w:color w:val="333333"/>
        </w:rPr>
      </w:pPr>
    </w:p>
    <w:p w14:paraId="197DD7DD" w14:textId="3C0C0A69" w:rsidR="00335A95" w:rsidRPr="00E21339" w:rsidRDefault="00335A95" w:rsidP="00887B83">
      <w:pPr>
        <w:pStyle w:val="ListParagraph"/>
        <w:numPr>
          <w:ilvl w:val="0"/>
          <w:numId w:val="5"/>
        </w:numPr>
        <w:shd w:val="clear" w:color="auto" w:fill="FFFFFF"/>
        <w:spacing w:after="0" w:line="270" w:lineRule="atLeast"/>
        <w:rPr>
          <w:rFonts w:eastAsia="Times New Roman" w:cs="Arial"/>
          <w:color w:val="333333"/>
        </w:rPr>
      </w:pPr>
      <w:r>
        <w:rPr>
          <w:color w:val="333333"/>
        </w:rPr>
        <w:t xml:space="preserve">Adquisición: el sector privado provee bienes y servicios al PNUD </w:t>
      </w:r>
      <w:r w:rsidR="0010634A">
        <w:rPr>
          <w:color w:val="333333"/>
        </w:rPr>
        <w:t xml:space="preserve">a través </w:t>
      </w:r>
      <w:r>
        <w:rPr>
          <w:color w:val="333333"/>
        </w:rPr>
        <w:t xml:space="preserve">de un contrato comercial. Los procedimientos de esta sección de las Políticas y Procedimientos de Operaciones y Programas (POPP) no cubren la adquisición del sector privado. </w:t>
      </w:r>
      <w:r w:rsidRPr="00E21339">
        <w:rPr>
          <w:color w:val="333333"/>
        </w:rPr>
        <w:t xml:space="preserve">Para conocer las políticas relacionadas con la adquisición de bienes y servicios del sector privado, véanse las </w:t>
      </w:r>
      <w:hyperlink r:id="rId11" w:history="1">
        <w:r w:rsidRPr="006354A6">
          <w:rPr>
            <w:rStyle w:val="Hyperlink"/>
          </w:rPr>
          <w:t>Políticas de Adquisición en las POPP</w:t>
        </w:r>
      </w:hyperlink>
      <w:r w:rsidRPr="00E21339">
        <w:rPr>
          <w:color w:val="333333"/>
        </w:rPr>
        <w:t>.</w:t>
      </w:r>
    </w:p>
    <w:p w14:paraId="4527CD41" w14:textId="77777777" w:rsidR="00335A95" w:rsidRPr="00E21339" w:rsidRDefault="00335A95" w:rsidP="00B36788">
      <w:pPr>
        <w:shd w:val="clear" w:color="auto" w:fill="FFFFFF"/>
        <w:spacing w:before="100" w:beforeAutospacing="1" w:after="100" w:afterAutospacing="1" w:line="270" w:lineRule="atLeast"/>
        <w:jc w:val="both"/>
        <w:rPr>
          <w:rFonts w:eastAsia="Times New Roman" w:cs="Arial"/>
          <w:color w:val="333333"/>
        </w:rPr>
      </w:pPr>
      <w:r w:rsidRPr="00E21339">
        <w:rPr>
          <w:b/>
          <w:color w:val="333333"/>
        </w:rPr>
        <w:t>Tipos de participación</w:t>
      </w:r>
    </w:p>
    <w:p w14:paraId="25D9495F" w14:textId="77777777" w:rsidR="00335A95" w:rsidRP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Existen tres tipos principales de participación del PNUD con el sector privado:</w:t>
      </w:r>
    </w:p>
    <w:p w14:paraId="1197D537" w14:textId="77777777" w:rsidR="005E331D" w:rsidRDefault="00335A95" w:rsidP="00887B83">
      <w:pPr>
        <w:pStyle w:val="ListParagraph"/>
        <w:numPr>
          <w:ilvl w:val="0"/>
          <w:numId w:val="6"/>
        </w:numPr>
        <w:shd w:val="clear" w:color="auto" w:fill="FFFFFF"/>
        <w:spacing w:after="0" w:line="270" w:lineRule="atLeast"/>
        <w:rPr>
          <w:rFonts w:eastAsia="Times New Roman" w:cs="Arial"/>
          <w:color w:val="333333"/>
        </w:rPr>
      </w:pPr>
      <w:r>
        <w:rPr>
          <w:color w:val="333333"/>
        </w:rPr>
        <w:t>Compromisos de promoción</w:t>
      </w:r>
    </w:p>
    <w:p w14:paraId="4C07A796" w14:textId="77777777" w:rsidR="005E331D" w:rsidRDefault="005E331D" w:rsidP="005E331D">
      <w:pPr>
        <w:pStyle w:val="ListParagraph"/>
        <w:shd w:val="clear" w:color="auto" w:fill="FFFFFF"/>
        <w:spacing w:after="0" w:line="270" w:lineRule="atLeast"/>
        <w:ind w:left="1080" w:firstLine="0"/>
        <w:rPr>
          <w:rFonts w:eastAsia="Times New Roman" w:cs="Arial"/>
          <w:color w:val="333333"/>
        </w:rPr>
      </w:pPr>
    </w:p>
    <w:p w14:paraId="70D54C12" w14:textId="77777777" w:rsidR="005E331D" w:rsidRPr="005E331D" w:rsidRDefault="00335A95" w:rsidP="00887B83">
      <w:pPr>
        <w:pStyle w:val="ListParagraph"/>
        <w:numPr>
          <w:ilvl w:val="0"/>
          <w:numId w:val="6"/>
        </w:numPr>
        <w:shd w:val="clear" w:color="auto" w:fill="FFFFFF"/>
        <w:spacing w:after="0" w:line="270" w:lineRule="atLeast"/>
        <w:rPr>
          <w:rFonts w:eastAsia="Times New Roman" w:cs="Arial"/>
          <w:color w:val="333333"/>
        </w:rPr>
      </w:pPr>
      <w:r>
        <w:rPr>
          <w:color w:val="333333"/>
        </w:rPr>
        <w:t>Operaciones centrales de las empresas y cadenas de valor</w:t>
      </w:r>
    </w:p>
    <w:p w14:paraId="46B756E5" w14:textId="77777777" w:rsidR="005E331D" w:rsidRPr="005E331D" w:rsidRDefault="005E331D" w:rsidP="005E331D">
      <w:pPr>
        <w:shd w:val="clear" w:color="auto" w:fill="FFFFFF"/>
        <w:spacing w:after="0" w:line="270" w:lineRule="atLeast"/>
        <w:rPr>
          <w:rFonts w:eastAsia="Times New Roman" w:cs="Arial"/>
          <w:color w:val="333333"/>
        </w:rPr>
      </w:pPr>
    </w:p>
    <w:p w14:paraId="5BD90423" w14:textId="77777777" w:rsidR="005E331D" w:rsidRPr="00725F1F" w:rsidRDefault="00DA2AB2" w:rsidP="00887B83">
      <w:pPr>
        <w:pStyle w:val="ListParagraph"/>
        <w:numPr>
          <w:ilvl w:val="0"/>
          <w:numId w:val="6"/>
        </w:numPr>
        <w:shd w:val="clear" w:color="auto" w:fill="FFFFFF"/>
        <w:spacing w:after="0" w:line="270" w:lineRule="atLeast"/>
        <w:rPr>
          <w:rFonts w:eastAsia="Times New Roman" w:cs="Arial"/>
          <w:color w:val="333333"/>
        </w:rPr>
      </w:pPr>
      <w:r>
        <w:rPr>
          <w:color w:val="333333"/>
        </w:rPr>
        <w:t>Contribución de recursos a programas y proyectos del PNUD.</w:t>
      </w:r>
    </w:p>
    <w:p w14:paraId="685785C6" w14:textId="77777777" w:rsidR="00725F1F" w:rsidRDefault="00725F1F" w:rsidP="00725F1F">
      <w:pPr>
        <w:pStyle w:val="ListParagraph"/>
        <w:shd w:val="clear" w:color="auto" w:fill="FFFFFF"/>
        <w:spacing w:before="100" w:beforeAutospacing="1" w:after="100" w:afterAutospacing="1" w:line="270" w:lineRule="atLeast"/>
        <w:ind w:firstLine="0"/>
        <w:rPr>
          <w:rFonts w:eastAsia="Times New Roman" w:cs="Arial"/>
          <w:color w:val="333333"/>
        </w:rPr>
      </w:pPr>
    </w:p>
    <w:p w14:paraId="4E1F441A" w14:textId="77777777" w:rsidR="00335A95" w:rsidRPr="005E331D" w:rsidRDefault="00335A95" w:rsidP="00653198">
      <w:pPr>
        <w:pStyle w:val="ListParagraph"/>
        <w:shd w:val="clear" w:color="auto" w:fill="FFFFFF"/>
        <w:spacing w:before="100" w:beforeAutospacing="1" w:after="100" w:afterAutospacing="1" w:line="270" w:lineRule="atLeast"/>
        <w:ind w:firstLine="0"/>
        <w:rPr>
          <w:rFonts w:eastAsia="Times New Roman" w:cs="Arial"/>
          <w:color w:val="333333"/>
        </w:rPr>
      </w:pPr>
      <w:r>
        <w:rPr>
          <w:color w:val="333333"/>
        </w:rPr>
        <w:t>Todos estos tipos de participación utilizan uno o más procedimientos para formalizar las asociaciones con el sector privado.</w:t>
      </w:r>
    </w:p>
    <w:p w14:paraId="2CB4E270" w14:textId="35CCAE93" w:rsidR="00335A95" w:rsidRPr="000C36BC" w:rsidRDefault="00335A95" w:rsidP="000C36BC">
      <w:pPr>
        <w:shd w:val="clear" w:color="auto" w:fill="FFFFFF"/>
        <w:spacing w:beforeAutospacing="1" w:after="100" w:afterAutospacing="1" w:line="270" w:lineRule="atLeast"/>
        <w:rPr>
          <w:rFonts w:eastAsia="Times New Roman" w:cs="Arial"/>
          <w:color w:val="333333"/>
        </w:rPr>
      </w:pPr>
      <w:r>
        <w:rPr>
          <w:b/>
          <w:color w:val="333333"/>
        </w:rPr>
        <w:t>Compromisos de promoción</w:t>
      </w:r>
    </w:p>
    <w:p w14:paraId="2186EE0B" w14:textId="77777777" w:rsidR="00335A95" w:rsidRPr="005E331D" w:rsidRDefault="00335A95" w:rsidP="00887B83">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En los compromisos de promoción, el PNUD puede trabajar con una empresa o una red empresarial para convenir una plataforma del sector privado con el fin de participar en la promoción conjunta para generar un cambio en el ambiente externo de importancia mutua para ambos, la empresa y el PNUD. Esto puede incluir la participación directa con una empresa o un </w:t>
      </w:r>
      <w:r>
        <w:rPr>
          <w:color w:val="333333"/>
        </w:rPr>
        <w:lastRenderedPageBreak/>
        <w:t>grupo de empresas, o la influencia sobre estos, para adoptar un nuevo modelo comercial sostenible e inclusivo. El PNUD también puede convenir foros de múltiples partes interesadas.</w:t>
      </w:r>
    </w:p>
    <w:p w14:paraId="60D2C77F" w14:textId="77777777" w:rsidR="00335A95" w:rsidRPr="005A4B73" w:rsidRDefault="00335A95" w:rsidP="00B36788">
      <w:pPr>
        <w:shd w:val="clear" w:color="auto" w:fill="FFFFFF"/>
        <w:spacing w:beforeAutospacing="1" w:after="100" w:afterAutospacing="1" w:line="270" w:lineRule="atLeast"/>
        <w:jc w:val="both"/>
        <w:rPr>
          <w:rFonts w:eastAsia="Times New Roman" w:cs="Arial"/>
          <w:color w:val="333333"/>
        </w:rPr>
      </w:pPr>
      <w:r>
        <w:rPr>
          <w:b/>
          <w:color w:val="333333"/>
        </w:rPr>
        <w:t>Operaciones centrales de las empresas y cadena de valor</w:t>
      </w:r>
    </w:p>
    <w:p w14:paraId="6B86944E" w14:textId="15B0754C" w:rsidR="00152893" w:rsidRDefault="00152893" w:rsidP="00152893">
      <w:pPr>
        <w:pStyle w:val="ListParagraph"/>
        <w:numPr>
          <w:ilvl w:val="0"/>
          <w:numId w:val="4"/>
        </w:numPr>
        <w:shd w:val="clear" w:color="auto" w:fill="FFFFFF"/>
        <w:spacing w:before="100" w:beforeAutospacing="1" w:after="100" w:afterAutospacing="1" w:line="270" w:lineRule="atLeast"/>
        <w:rPr>
          <w:color w:val="333333"/>
        </w:rPr>
      </w:pPr>
      <w:r>
        <w:rPr>
          <w:color w:val="333333"/>
        </w:rPr>
        <w:t xml:space="preserve">El PNUD puede avanzar en el desarrollo a través de las actividades centrales de las empresas </w:t>
      </w:r>
      <w:r w:rsidR="0010634A">
        <w:rPr>
          <w:color w:val="333333"/>
        </w:rPr>
        <w:t>respaldando a</w:t>
      </w:r>
      <w:r>
        <w:rPr>
          <w:color w:val="333333"/>
        </w:rPr>
        <w:t xml:space="preserve"> los Gobiernos para establecer un entorno propicio o el trabajo directo con el sector privado. Las operaciones y las inversiones centrales de las empresas pueden contribuir al desarrollo cuando se llevan a cabo de una manera rentable, productiva y responsable, con el objetivo de minimizar cualquier aspecto negativo e incrementar y aprovechar los impactos positivos. </w:t>
      </w:r>
      <w:r w:rsidRPr="005D4DAC">
        <w:rPr>
          <w:color w:val="333333"/>
        </w:rPr>
        <w:t xml:space="preserve">Además del impacto básico de las actividades centrales de las empresas a lo largo de sus cadenas de valor y cadenas de suministro, la Responsabilidad Social de las Empresas incluye la filantropía corporativa y la inversión en la comunidad, y la interacción de las empresas con los diálogos sobre políticas públicas y su contribución para influir sobre las políticas públicas. </w:t>
      </w:r>
    </w:p>
    <w:p w14:paraId="4E6763A4" w14:textId="77777777" w:rsidR="00152893" w:rsidRDefault="00152893" w:rsidP="00152893">
      <w:pPr>
        <w:pStyle w:val="ListParagraph"/>
        <w:shd w:val="clear" w:color="auto" w:fill="FFFFFF"/>
        <w:spacing w:before="100" w:beforeAutospacing="1" w:after="100" w:afterAutospacing="1" w:line="270" w:lineRule="atLeast"/>
        <w:ind w:firstLine="0"/>
        <w:rPr>
          <w:color w:val="333333"/>
        </w:rPr>
      </w:pPr>
    </w:p>
    <w:p w14:paraId="58DB544A" w14:textId="0B2690F1" w:rsidR="00152893" w:rsidRPr="00152893" w:rsidRDefault="00152893" w:rsidP="00152893">
      <w:pPr>
        <w:pStyle w:val="ListParagraph"/>
        <w:numPr>
          <w:ilvl w:val="0"/>
          <w:numId w:val="4"/>
        </w:numPr>
        <w:shd w:val="clear" w:color="auto" w:fill="FFFFFF"/>
        <w:spacing w:before="100" w:beforeAutospacing="1" w:after="100" w:afterAutospacing="1" w:line="270" w:lineRule="atLeast"/>
        <w:rPr>
          <w:color w:val="333333"/>
        </w:rPr>
      </w:pPr>
      <w:r>
        <w:rPr>
          <w:color w:val="333333"/>
        </w:rPr>
        <w:t>Un área de enfoque clave del trabajo del PNUD es la empresa inclusiva, que busca proveer bienes, servicios y oportunidades de empleo sobre una base comercialmente viable, ya sea a escala o escalable, a las personas que viven en la base de la pirámide económica</w:t>
      </w:r>
      <w:r>
        <w:rPr>
          <w:rStyle w:val="FootnoteReference"/>
          <w:color w:val="333333"/>
        </w:rPr>
        <w:footnoteReference w:customMarkFollows="1" w:id="1"/>
        <w:t>[1]</w:t>
      </w:r>
      <w:r>
        <w:rPr>
          <w:color w:val="333333"/>
        </w:rPr>
        <w:t xml:space="preserve">. Las iniciativas empresariales inclusivas están diseñadas deliberadamente para hacer de los grupos de población </w:t>
      </w:r>
      <w:proofErr w:type="spellStart"/>
      <w:r>
        <w:rPr>
          <w:color w:val="333333"/>
        </w:rPr>
        <w:t>subatendidos</w:t>
      </w:r>
      <w:proofErr w:type="spellEnd"/>
      <w:r>
        <w:rPr>
          <w:color w:val="333333"/>
        </w:rPr>
        <w:t xml:space="preserve"> parte de la cadena de valor de las actividades centrales de las empresas ya sea como proveedores, distribuidores, vendedores o clientes.  A medida que las empresas inclusivas profundizan las inversiones en comunidades de bajos ingresos, mejoran el acceso a productos y servicios de calidad, aumentan la productividad, y generan nuevas oportunidades de ingresos y medios de vida a lo largo de la base de la pirámide económica. Al hacer esto, permiten el crecimiento inclusivo y el desarrollo sostenible. </w:t>
      </w:r>
    </w:p>
    <w:p w14:paraId="0F84F228" w14:textId="77777777" w:rsidR="00335A95" w:rsidRPr="005A4B73" w:rsidRDefault="00DA2AB2" w:rsidP="00B36788">
      <w:pPr>
        <w:shd w:val="clear" w:color="auto" w:fill="FFFFFF"/>
        <w:spacing w:beforeAutospacing="1" w:after="100" w:afterAutospacing="1" w:line="270" w:lineRule="atLeast"/>
        <w:jc w:val="both"/>
        <w:rPr>
          <w:rFonts w:eastAsia="Times New Roman" w:cs="Arial"/>
          <w:color w:val="333333"/>
        </w:rPr>
      </w:pPr>
      <w:r>
        <w:rPr>
          <w:b/>
          <w:color w:val="333333"/>
        </w:rPr>
        <w:t>Contribuciones de recursos a programas y proyectos del PNUD</w:t>
      </w:r>
    </w:p>
    <w:p w14:paraId="78EFA7BC" w14:textId="6A3CEB3A" w:rsidR="00335A95" w:rsidRPr="000C36BC" w:rsidRDefault="0010634A" w:rsidP="000C36BC">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Recursos provenientes</w:t>
      </w:r>
      <w:r w:rsidR="00410F76">
        <w:rPr>
          <w:color w:val="333333"/>
        </w:rPr>
        <w:t xml:space="preserve"> de una o varias entidades del sector privado puede contribuir a un programa o proyecto del PNUD. Desde la perspectiva del sector privado, las contribuciones son inversiones sociales sin un rendimiento financiero directo de las actividades.  Los principales tipos de contribuciones de recursos son los siguientes:</w:t>
      </w:r>
    </w:p>
    <w:p w14:paraId="0A3599DE" w14:textId="77777777" w:rsidR="00725F1F" w:rsidRPr="00725F1F" w:rsidRDefault="00725F1F" w:rsidP="00725F1F">
      <w:pPr>
        <w:pStyle w:val="ListParagraph"/>
        <w:shd w:val="clear" w:color="auto" w:fill="FFFFFF"/>
        <w:spacing w:before="100" w:beforeAutospacing="1" w:after="100" w:afterAutospacing="1" w:line="270" w:lineRule="atLeast"/>
        <w:ind w:left="1080" w:firstLine="0"/>
        <w:rPr>
          <w:rFonts w:eastAsia="Times New Roman" w:cs="Arial"/>
          <w:color w:val="333333"/>
        </w:rPr>
      </w:pPr>
    </w:p>
    <w:p w14:paraId="538EDEC8" w14:textId="3E18F9F2" w:rsidR="00351DC8" w:rsidRDefault="00652D4C" w:rsidP="00887B83">
      <w:pPr>
        <w:pStyle w:val="ListParagraph"/>
        <w:numPr>
          <w:ilvl w:val="0"/>
          <w:numId w:val="9"/>
        </w:numPr>
        <w:shd w:val="clear" w:color="auto" w:fill="FFFFFF"/>
        <w:spacing w:before="100" w:beforeAutospacing="1" w:after="100" w:afterAutospacing="1" w:line="270" w:lineRule="atLeast"/>
        <w:rPr>
          <w:rFonts w:eastAsia="Times New Roman" w:cs="Arial"/>
          <w:color w:val="333333"/>
        </w:rPr>
      </w:pPr>
      <w:r w:rsidRPr="00EB6959">
        <w:rPr>
          <w:rStyle w:val="Hyperlink"/>
          <w:b/>
          <w:color w:val="333333"/>
          <w:u w:val="none"/>
        </w:rPr>
        <w:t>Financiamiento</w:t>
      </w:r>
      <w:r w:rsidR="00351DC8" w:rsidRPr="003E119D">
        <w:rPr>
          <w:b/>
          <w:color w:val="333333"/>
        </w:rPr>
        <w:t>:</w:t>
      </w:r>
      <w:r w:rsidR="00351DC8">
        <w:rPr>
          <w:color w:val="333333"/>
        </w:rPr>
        <w:t xml:space="preserve"> contribución financiera de una entidad del sector privado a un programa o proyecto del PNUD.</w:t>
      </w:r>
    </w:p>
    <w:p w14:paraId="0A34209D" w14:textId="77777777" w:rsidR="005E331D" w:rsidRPr="005E331D" w:rsidRDefault="005E331D" w:rsidP="005E331D">
      <w:pPr>
        <w:pStyle w:val="ListParagraph"/>
        <w:shd w:val="clear" w:color="auto" w:fill="FFFFFF"/>
        <w:spacing w:before="100" w:beforeAutospacing="1" w:after="100" w:afterAutospacing="1" w:line="270" w:lineRule="atLeast"/>
        <w:ind w:left="1080" w:firstLine="0"/>
        <w:rPr>
          <w:rFonts w:eastAsia="Times New Roman" w:cs="Arial"/>
          <w:color w:val="333333"/>
        </w:rPr>
      </w:pPr>
    </w:p>
    <w:p w14:paraId="000A4CCC" w14:textId="77777777" w:rsidR="005E331D" w:rsidRPr="002C01EF" w:rsidRDefault="00351DC8" w:rsidP="00887B83">
      <w:pPr>
        <w:pStyle w:val="ListParagraph"/>
        <w:numPr>
          <w:ilvl w:val="0"/>
          <w:numId w:val="9"/>
        </w:numPr>
        <w:shd w:val="clear" w:color="auto" w:fill="FFFFFF"/>
        <w:spacing w:before="100" w:beforeAutospacing="1" w:after="100" w:afterAutospacing="1" w:line="270" w:lineRule="atLeast"/>
        <w:rPr>
          <w:rFonts w:eastAsia="Times New Roman" w:cs="Arial"/>
          <w:color w:val="333333"/>
        </w:rPr>
      </w:pPr>
      <w:r>
        <w:rPr>
          <w:b/>
          <w:color w:val="333333"/>
        </w:rPr>
        <w:t xml:space="preserve">Bienes y servicios </w:t>
      </w:r>
      <w:proofErr w:type="gramStart"/>
      <w:r>
        <w:rPr>
          <w:b/>
          <w:i/>
          <w:color w:val="333333"/>
        </w:rPr>
        <w:t>pro bono</w:t>
      </w:r>
      <w:proofErr w:type="gramEnd"/>
      <w:r>
        <w:rPr>
          <w:b/>
          <w:color w:val="333333"/>
        </w:rPr>
        <w:t>:</w:t>
      </w:r>
      <w:r>
        <w:rPr>
          <w:color w:val="333333"/>
        </w:rPr>
        <w:t xml:space="preserve"> contribución sin costo de bienes y servicios por parte de una entidad del sector privado al PNUD.</w:t>
      </w:r>
    </w:p>
    <w:p w14:paraId="49ED1DCE" w14:textId="77777777" w:rsidR="002C01EF" w:rsidRPr="002C01EF" w:rsidRDefault="002C01EF" w:rsidP="002C01EF">
      <w:pPr>
        <w:pStyle w:val="ListParagraph"/>
        <w:rPr>
          <w:rFonts w:eastAsia="Times New Roman" w:cs="Arial"/>
          <w:color w:val="333333"/>
        </w:rPr>
      </w:pPr>
    </w:p>
    <w:p w14:paraId="6E5B9196" w14:textId="77777777" w:rsidR="002C01EF" w:rsidRPr="00725F1F" w:rsidRDefault="002C01EF" w:rsidP="002C01EF">
      <w:pPr>
        <w:pStyle w:val="ListParagraph"/>
        <w:shd w:val="clear" w:color="auto" w:fill="FFFFFF"/>
        <w:spacing w:before="100" w:beforeAutospacing="1" w:after="100" w:afterAutospacing="1" w:line="270" w:lineRule="atLeast"/>
        <w:ind w:left="1080" w:firstLine="0"/>
        <w:rPr>
          <w:rFonts w:eastAsia="Times New Roman" w:cs="Arial"/>
          <w:color w:val="333333"/>
        </w:rPr>
      </w:pPr>
    </w:p>
    <w:p w14:paraId="0BB82908" w14:textId="3F47CF74" w:rsidR="00335A95" w:rsidRDefault="00335A95" w:rsidP="00813FC6">
      <w:pPr>
        <w:shd w:val="clear" w:color="auto" w:fill="FFFFFF"/>
        <w:spacing w:before="100" w:beforeAutospacing="1" w:after="100" w:afterAutospacing="1" w:line="270" w:lineRule="atLeast"/>
        <w:rPr>
          <w:rFonts w:eastAsia="Times New Roman" w:cs="Arial"/>
          <w:b/>
          <w:bCs/>
          <w:color w:val="333333"/>
        </w:rPr>
      </w:pPr>
      <w:r>
        <w:rPr>
          <w:b/>
          <w:color w:val="333333"/>
        </w:rPr>
        <w:lastRenderedPageBreak/>
        <w:t>Uso del Emblema del PNUD en conexión con la participación del Sector Privado</w:t>
      </w:r>
    </w:p>
    <w:p w14:paraId="5C48F5EA" w14:textId="650D726B" w:rsidR="004F4E07" w:rsidRPr="004F4E07"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De acuerdo con la </w:t>
      </w:r>
      <w:hyperlink r:id="rId12" w:history="1">
        <w:r w:rsidRPr="00EF0410">
          <w:rPr>
            <w:rStyle w:val="Hyperlink"/>
          </w:rPr>
          <w:t>resolución 92(I) de la Asamblea General del 7 de diciembre de 1946</w:t>
        </w:r>
      </w:hyperlink>
      <w:r>
        <w:rPr>
          <w:color w:val="333333"/>
        </w:rPr>
        <w:t xml:space="preserve">, el uso del nombre y el emblema de las Naciones Unidas (ONU) se reserva para objetivos oficiales de la ONU, y las entidades externas requieren una autorización previa del </w:t>
      </w:r>
      <w:proofErr w:type="gramStart"/>
      <w:r>
        <w:rPr>
          <w:color w:val="333333"/>
        </w:rPr>
        <w:t>Secretario General</w:t>
      </w:r>
      <w:proofErr w:type="gramEnd"/>
      <w:r>
        <w:rPr>
          <w:color w:val="333333"/>
        </w:rPr>
        <w:t xml:space="preserve"> para utilizarlos. La política se basa en la necesidad de mantener la protección provista al nombre y el emblema de las Naciones Unidas (y sus organizaciones) de acuerdo con </w:t>
      </w:r>
      <w:r w:rsidR="0010634A">
        <w:rPr>
          <w:color w:val="333333"/>
        </w:rPr>
        <w:t>el derecho</w:t>
      </w:r>
      <w:r>
        <w:rPr>
          <w:color w:val="333333"/>
        </w:rPr>
        <w:t xml:space="preserve"> internacional siempre que no se usen con objetivos comerciales. </w:t>
      </w:r>
    </w:p>
    <w:p w14:paraId="760F0B17"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3A295F93"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Esta política también protege a la ONU de los riesgos financieros asociados con el uso comercial del nombre y el emblema y, más generalmente, de los riesgos asociados los intereses financieros y otros intereses de la ONU que puedan derivarse del uso del nombre y el emblema de una manera o por individuos o entidades que pueden no ser coherentes con los objetivos, las políticas y las actividades de la ONU.</w:t>
      </w:r>
    </w:p>
    <w:p w14:paraId="60446BBC" w14:textId="77777777" w:rsidR="004F4E07" w:rsidRPr="005E331D" w:rsidRDefault="004F4E07" w:rsidP="004F4E07">
      <w:pPr>
        <w:pStyle w:val="ListParagraph"/>
        <w:shd w:val="clear" w:color="auto" w:fill="FFFFFF"/>
        <w:spacing w:before="100" w:beforeAutospacing="1" w:after="100" w:afterAutospacing="1" w:line="240" w:lineRule="auto"/>
        <w:ind w:firstLine="0"/>
        <w:rPr>
          <w:rFonts w:eastAsia="Times New Roman" w:cs="Arial"/>
          <w:color w:val="333333"/>
        </w:rPr>
      </w:pPr>
    </w:p>
    <w:p w14:paraId="3BE5E343" w14:textId="4DA89DB3"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Al reconocer la relación en evolución de las Naciones Unidas con el sector empresarial, </w:t>
      </w:r>
      <w:hyperlink r:id="rId13" w:history="1">
        <w:r w:rsidRPr="00EF0410">
          <w:rPr>
            <w:rStyle w:val="Hyperlink"/>
          </w:rPr>
          <w:t>las Directrices sobre un Enfoque de la Cooperación entre las Naciones Unidas y el Sector Empresarial basado en Principios</w:t>
        </w:r>
      </w:hyperlink>
      <w:r>
        <w:rPr>
          <w:color w:val="333333"/>
        </w:rPr>
        <w:t xml:space="preserve"> proveen mayor aclaración sobre los principios generales para el uso del Nombre y el Emblema de las Naciones Unidas por parte del sector empresarial en el contexto de una asociación.</w:t>
      </w:r>
    </w:p>
    <w:p w14:paraId="7D4C649E"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76BCF516" w14:textId="3CC8BE6B"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Por extensión, esta política rige igualmente para el uso del nombre y el emblema del PNUD. Con base en esa política, la ONU y el PNUD han prohibido a individuos y entidades que hacen negocios con el PNUD </w:t>
      </w:r>
      <w:r w:rsidR="0010634A">
        <w:rPr>
          <w:color w:val="333333"/>
        </w:rPr>
        <w:t xml:space="preserve">hacer pública su relación con el PNUD para efectos comerciales y de mercadeo. </w:t>
      </w:r>
    </w:p>
    <w:p w14:paraId="4A133837"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5E606D1F"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Sin embargo, el PNUD reconoce su apreciación de las contribuciones de los asociados del sector privado al trabajo del PNUD de una manera apropiada que contempla las preocupaciones identificadas anteriormente.</w:t>
      </w:r>
      <w:r>
        <w:t xml:space="preserve"> </w:t>
      </w:r>
      <w:r>
        <w:rPr>
          <w:color w:val="333333"/>
        </w:rPr>
        <w:t>Cuando la participación con una empresa derive en un proyecto del PNUD, el PNUD considerará que la empresa ha contribuido al trabajo del PNUD y, por lo tanto, será posible que el PNUD autorice el uso del nombre y el emblema del PNUD en relación con esta contribución.</w:t>
      </w:r>
    </w:p>
    <w:p w14:paraId="3447219E"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27E17EB2" w14:textId="6C26EC9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asciiTheme="minorHAnsi" w:eastAsia="Times New Roman" w:hAnsiTheme="minorHAnsi" w:cs="Arial"/>
          <w:color w:val="333333"/>
        </w:rPr>
      </w:pPr>
      <w:r>
        <w:rPr>
          <w:rFonts w:asciiTheme="minorHAnsi" w:hAnsiTheme="minorHAnsi"/>
          <w:color w:val="333333"/>
        </w:rPr>
        <w:t xml:space="preserve">Si hubiera circunstancias en que no exista un proyecto del PNUD, pero en que una Oficina en el País (CO) quisiera mostrar apreciación a la participación del sector privado mediante el uso del nombre y el emblema del PNUD, deberá remitir dichos casos a la </w:t>
      </w:r>
      <w:hyperlink r:id="rId14" w:history="1">
        <w:r w:rsidRPr="00EF0410">
          <w:rPr>
            <w:rStyle w:val="Hyperlink"/>
            <w:rFonts w:asciiTheme="minorHAnsi" w:hAnsiTheme="minorHAnsi"/>
          </w:rPr>
          <w:t>Dirección de Servicios de Gestión, Oficina Legal</w:t>
        </w:r>
      </w:hyperlink>
      <w:r>
        <w:rPr>
          <w:rFonts w:asciiTheme="minorHAnsi" w:hAnsiTheme="minorHAnsi"/>
          <w:color w:val="333333"/>
        </w:rPr>
        <w:t>, para obtener asesoramiento.</w:t>
      </w:r>
    </w:p>
    <w:p w14:paraId="10C63368" w14:textId="77777777" w:rsidR="004F4E07" w:rsidRPr="005A4B73" w:rsidRDefault="004F4E07" w:rsidP="004F4E07">
      <w:pPr>
        <w:pStyle w:val="ListParagraph"/>
        <w:shd w:val="clear" w:color="auto" w:fill="FFFFFF"/>
        <w:spacing w:before="100" w:beforeAutospacing="1" w:after="100" w:afterAutospacing="1" w:line="270" w:lineRule="atLeast"/>
        <w:ind w:firstLine="0"/>
        <w:rPr>
          <w:rFonts w:asciiTheme="minorHAnsi" w:eastAsia="Times New Roman" w:hAnsiTheme="minorHAnsi" w:cs="Arial"/>
          <w:color w:val="333333"/>
        </w:rPr>
      </w:pPr>
    </w:p>
    <w:p w14:paraId="1EAECDDD"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Las empresas pueden mencionar sus contribuciones al trabajo del PNUD en comunicados de prensa al público en que se indique, por ejemplo, que cierta corporación ha contribuido fondos al PNUD en respaldo de determinadas actividades. Sin embargo, el lenguaje utilizado en el comunicado de prensa no puede dar a entender que el PNUD, al aceptar la contribución, avala directa o indirectamente a la empresa.</w:t>
      </w:r>
    </w:p>
    <w:p w14:paraId="331C49CA"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5F478E31" w14:textId="510D8BC4"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Por esta razón, el PNUD debe aprobar por escrito y con anticipación cualquier material </w:t>
      </w:r>
      <w:r w:rsidR="00255E5F">
        <w:rPr>
          <w:color w:val="333333"/>
        </w:rPr>
        <w:t>para publicación</w:t>
      </w:r>
      <w:r>
        <w:rPr>
          <w:color w:val="333333"/>
        </w:rPr>
        <w:t xml:space="preserve"> (ya sea impreso, electrónicamente o de otra manera) que mencione al PNUD, la contribución o la actividad para la que fue provista. No se requeriría dicha autorización solo en el </w:t>
      </w:r>
      <w:r>
        <w:rPr>
          <w:color w:val="333333"/>
        </w:rPr>
        <w:lastRenderedPageBreak/>
        <w:t xml:space="preserve">caso de las representaciones fácticas a accionistas o </w:t>
      </w:r>
      <w:r w:rsidR="00255E5F">
        <w:rPr>
          <w:color w:val="333333"/>
        </w:rPr>
        <w:t>auditores internos</w:t>
      </w:r>
      <w:r>
        <w:rPr>
          <w:color w:val="333333"/>
        </w:rPr>
        <w:t xml:space="preserve"> sobre el monto y el objetivo de la contribución.</w:t>
      </w:r>
    </w:p>
    <w:p w14:paraId="5726D666" w14:textId="77777777" w:rsidR="004F4E07" w:rsidRPr="005E331D" w:rsidRDefault="004F4E07" w:rsidP="004F4E07">
      <w:pPr>
        <w:pStyle w:val="ListParagraph"/>
        <w:shd w:val="clear" w:color="auto" w:fill="FFFFFF"/>
        <w:spacing w:before="100" w:beforeAutospacing="1" w:after="100" w:afterAutospacing="1" w:line="270" w:lineRule="atLeast"/>
        <w:ind w:firstLine="0"/>
        <w:rPr>
          <w:rFonts w:eastAsia="Times New Roman" w:cs="Arial"/>
          <w:color w:val="333333"/>
        </w:rPr>
      </w:pPr>
    </w:p>
    <w:p w14:paraId="07FBF6C7" w14:textId="77777777" w:rsidR="004F4E07" w:rsidRPr="005E331D" w:rsidRDefault="004F4E07" w:rsidP="004F4E07">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Además, si el asociado del sector privado quisiera incluir en su sitio web un enlace al sitio web del PNUD, el PNUD deberá aprobar la forma y la página en que se muestra el enlace. Es preferible utilizar el nombre del PNUD sin el emblema. La entidad del sector privado también debe incluir un descargo de responsabilidad en el enlace que declare «El enlace a la página web del PNUD no se debe considerar un aval del PNUD a la compañía o el contenido de su sitio web».</w:t>
      </w:r>
      <w:bookmarkStart w:id="0" w:name="RelevantPolicies"/>
      <w:bookmarkEnd w:id="0"/>
    </w:p>
    <w:p w14:paraId="3F529A2B" w14:textId="2093A422" w:rsidR="005E331D" w:rsidRDefault="00D13947" w:rsidP="005E331D">
      <w:pPr>
        <w:jc w:val="both"/>
        <w:rPr>
          <w:rFonts w:eastAsia="Times New Roman" w:cs="Arial"/>
          <w:b/>
          <w:bCs/>
          <w:color w:val="000000" w:themeColor="text1"/>
        </w:rPr>
      </w:pPr>
      <w:r>
        <w:rPr>
          <w:b/>
          <w:color w:val="000000" w:themeColor="text1"/>
        </w:rPr>
        <w:t>EVALUACIÓN DE ASOCIACIONES CON EL SECTOR PRIVADO</w:t>
      </w:r>
    </w:p>
    <w:p w14:paraId="16BB8DE4" w14:textId="05AE017C" w:rsidR="0079670C" w:rsidRPr="0079670C" w:rsidRDefault="0079670C" w:rsidP="0079670C">
      <w:pPr>
        <w:pStyle w:val="ListParagraph"/>
        <w:numPr>
          <w:ilvl w:val="0"/>
          <w:numId w:val="4"/>
        </w:numPr>
        <w:shd w:val="clear" w:color="auto" w:fill="FFFFFF"/>
        <w:spacing w:line="270" w:lineRule="atLeast"/>
        <w:textAlignment w:val="top"/>
        <w:rPr>
          <w:rFonts w:eastAsia="Times New Roman" w:cs="Arial"/>
          <w:b/>
          <w:bCs/>
          <w:color w:val="333333"/>
        </w:rPr>
      </w:pPr>
      <w:bookmarkStart w:id="1" w:name="TemplatesForms"/>
      <w:bookmarkEnd w:id="1"/>
      <w:r>
        <w:rPr>
          <w:color w:val="333333"/>
        </w:rPr>
        <w:t xml:space="preserve">El PNUD buscará asociarse con entidades del sector privado que estén comprometidas con los valores básicos y las causas de la ONU, y que no estén involucradas en actividades comerciales o de otro tipo incompatibles con los valores, la misión y la marca del PNUD.  Los beneficios y los riesgos vinculados a una asociación propuesta se deben evaluar antes del compromiso con una entidad del sector privado. </w:t>
      </w:r>
      <w:bookmarkStart w:id="2" w:name="FlowChart"/>
      <w:bookmarkStart w:id="3" w:name="Procedures"/>
      <w:bookmarkEnd w:id="2"/>
      <w:bookmarkEnd w:id="3"/>
    </w:p>
    <w:p w14:paraId="19732169" w14:textId="77777777" w:rsidR="0079670C" w:rsidRPr="0079670C" w:rsidRDefault="0079670C" w:rsidP="0079670C">
      <w:pPr>
        <w:pStyle w:val="ListParagraph"/>
        <w:shd w:val="clear" w:color="auto" w:fill="FFFFFF"/>
        <w:spacing w:line="270" w:lineRule="atLeast"/>
        <w:ind w:firstLine="0"/>
        <w:textAlignment w:val="top"/>
        <w:rPr>
          <w:rFonts w:eastAsia="Times New Roman" w:cs="Arial"/>
          <w:b/>
          <w:bCs/>
          <w:color w:val="333333"/>
        </w:rPr>
      </w:pPr>
    </w:p>
    <w:p w14:paraId="343F1F8C" w14:textId="76922CE8" w:rsidR="0079670C" w:rsidRPr="00813FC6" w:rsidRDefault="0079670C" w:rsidP="0079670C">
      <w:pPr>
        <w:pStyle w:val="ListParagraph"/>
        <w:numPr>
          <w:ilvl w:val="0"/>
          <w:numId w:val="4"/>
        </w:numPr>
        <w:shd w:val="clear" w:color="auto" w:fill="FFFFFF"/>
        <w:spacing w:line="270" w:lineRule="atLeast"/>
        <w:textAlignment w:val="top"/>
        <w:rPr>
          <w:rFonts w:eastAsia="Times New Roman" w:cs="Arial"/>
          <w:b/>
          <w:bCs/>
          <w:color w:val="333333"/>
        </w:rPr>
      </w:pPr>
      <w:r>
        <w:rPr>
          <w:color w:val="333333"/>
        </w:rPr>
        <w:t xml:space="preserve">La </w:t>
      </w:r>
      <w:hyperlink r:id="rId15" w:history="1">
        <w:r w:rsidR="006B02A1">
          <w:rPr>
            <w:rStyle w:val="Hyperlink"/>
          </w:rPr>
          <w:t>Política del PNUD sobre la debida diligencia y las asociaciones con el sector privado [solamente en inglés)</w:t>
        </w:r>
      </w:hyperlink>
      <w:r>
        <w:rPr>
          <w:color w:val="333333"/>
        </w:rPr>
        <w:t xml:space="preserve">, complementada por </w:t>
      </w:r>
      <w:r w:rsidR="00940E97">
        <w:rPr>
          <w:color w:val="333333"/>
        </w:rPr>
        <w:t xml:space="preserve">la </w:t>
      </w:r>
      <w:hyperlink r:id="rId16" w:history="1">
        <w:r w:rsidR="00B77F05">
          <w:rPr>
            <w:rStyle w:val="Hyperlink"/>
          </w:rPr>
          <w:t>Guía de la herramienta de evaluación de riesgos del sector privado (fuera de línea)</w:t>
        </w:r>
      </w:hyperlink>
      <w:r w:rsidR="00925F2A">
        <w:rPr>
          <w:color w:val="333333"/>
        </w:rPr>
        <w:t xml:space="preserve"> </w:t>
      </w:r>
      <w:r w:rsidR="00925F2A" w:rsidRPr="00925F2A">
        <w:rPr>
          <w:color w:val="333333"/>
        </w:rPr>
        <w:t xml:space="preserve"> </w:t>
      </w:r>
      <w:r>
        <w:rPr>
          <w:color w:val="333333"/>
        </w:rPr>
        <w:t>y las Directrices del Instrumento de Evaluación de Riesgos, busca guiar al personal durante el proceso de evaluación de riesgos.</w:t>
      </w:r>
    </w:p>
    <w:p w14:paraId="74AA0EC7" w14:textId="77777777" w:rsidR="0079670C" w:rsidRDefault="0079670C" w:rsidP="0079670C">
      <w:pPr>
        <w:pStyle w:val="ListParagraph"/>
        <w:shd w:val="clear" w:color="auto" w:fill="FFFFFF"/>
        <w:spacing w:line="270" w:lineRule="atLeast"/>
        <w:ind w:firstLine="0"/>
        <w:textAlignment w:val="top"/>
        <w:rPr>
          <w:rFonts w:eastAsia="Times New Roman" w:cs="Arial"/>
          <w:b/>
          <w:bCs/>
          <w:color w:val="333333"/>
        </w:rPr>
      </w:pPr>
    </w:p>
    <w:p w14:paraId="3B05EF17" w14:textId="0FB7B101" w:rsidR="0079670C" w:rsidRPr="005E331D" w:rsidRDefault="0079670C" w:rsidP="0079670C">
      <w:pPr>
        <w:pStyle w:val="ListParagraph"/>
        <w:numPr>
          <w:ilvl w:val="0"/>
          <w:numId w:val="4"/>
        </w:numPr>
        <w:shd w:val="clear" w:color="auto" w:fill="FFFFFF"/>
        <w:spacing w:line="270" w:lineRule="atLeast"/>
        <w:textAlignment w:val="top"/>
        <w:rPr>
          <w:rFonts w:eastAsia="Times New Roman" w:cs="Arial"/>
          <w:b/>
          <w:bCs/>
          <w:color w:val="333333"/>
        </w:rPr>
      </w:pPr>
      <w:r>
        <w:rPr>
          <w:color w:val="333333"/>
        </w:rPr>
        <w:t xml:space="preserve">Para informar la decisión sobre involucrarse o no en una asociación con una entidad del sector privado, la </w:t>
      </w:r>
      <w:r w:rsidR="00255E5F">
        <w:rPr>
          <w:color w:val="333333"/>
        </w:rPr>
        <w:t>oficina o unidad de negocio</w:t>
      </w:r>
      <w:r>
        <w:rPr>
          <w:color w:val="333333"/>
        </w:rPr>
        <w:t xml:space="preserve"> debe realizar, tan pronto como sea posible, la diligencia debida del asociado potencial, lo que requiere completar el Instrumento de Evaluación de Riesgos del Sector Privado. </w:t>
      </w:r>
    </w:p>
    <w:tbl>
      <w:tblPr>
        <w:tblW w:w="4874" w:type="pct"/>
        <w:tblCellMar>
          <w:top w:w="12" w:type="dxa"/>
          <w:left w:w="12" w:type="dxa"/>
          <w:bottom w:w="12" w:type="dxa"/>
          <w:right w:w="12" w:type="dxa"/>
        </w:tblCellMar>
        <w:tblLook w:val="04A0" w:firstRow="1" w:lastRow="0" w:firstColumn="1" w:lastColumn="0" w:noHBand="0" w:noVBand="1"/>
        <w:tblDescription w:val="Financing Agreements and Templates "/>
      </w:tblPr>
      <w:tblGrid>
        <w:gridCol w:w="9124"/>
      </w:tblGrid>
      <w:tr w:rsidR="00883925" w:rsidRPr="005A4B73" w14:paraId="5EF70F60" w14:textId="77777777" w:rsidTr="13BFFD09">
        <w:tc>
          <w:tcPr>
            <w:tcW w:w="0" w:type="auto"/>
            <w:tcMar>
              <w:top w:w="60" w:type="dxa"/>
              <w:left w:w="60" w:type="dxa"/>
              <w:bottom w:w="60" w:type="dxa"/>
              <w:right w:w="120" w:type="dxa"/>
            </w:tcMar>
            <w:hideMark/>
          </w:tcPr>
          <w:p w14:paraId="411A79CC" w14:textId="40551009" w:rsidR="000852C2" w:rsidRPr="000852C2" w:rsidRDefault="000852C2" w:rsidP="000852C2">
            <w:pPr>
              <w:shd w:val="clear" w:color="auto" w:fill="FFFFFF"/>
              <w:spacing w:after="0" w:line="270" w:lineRule="atLeast"/>
              <w:jc w:val="both"/>
              <w:textAlignment w:val="top"/>
              <w:rPr>
                <w:rFonts w:eastAsia="Times New Roman" w:cs="Arial"/>
                <w:b/>
                <w:bCs/>
                <w:color w:val="333333"/>
              </w:rPr>
            </w:pPr>
            <w:r>
              <w:t xml:space="preserve"> </w:t>
            </w:r>
          </w:p>
          <w:p w14:paraId="1B483357" w14:textId="63D3B315" w:rsidR="00883925" w:rsidRPr="00054593" w:rsidRDefault="005155DA" w:rsidP="00054593">
            <w:pPr>
              <w:shd w:val="clear" w:color="auto" w:fill="FFFFFF"/>
              <w:spacing w:after="0" w:line="270" w:lineRule="atLeast"/>
              <w:jc w:val="both"/>
              <w:rPr>
                <w:rFonts w:eastAsia="Times New Roman" w:cs="Arial"/>
                <w:b/>
                <w:bCs/>
                <w:color w:val="000000" w:themeColor="text1"/>
              </w:rPr>
            </w:pPr>
            <w:r>
              <w:rPr>
                <w:b/>
                <w:color w:val="000000" w:themeColor="text1"/>
              </w:rPr>
              <w:t>FORMALIZACIÓN DE ASOCIACIONES CON EL SECTOR PRIVADO</w:t>
            </w:r>
          </w:p>
          <w:p w14:paraId="0285BDB3" w14:textId="6A84BD48" w:rsidR="00883925" w:rsidRPr="00A44814" w:rsidRDefault="00334E6C"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Esta política orienta al personal sobre cómo se pueden formalizar diferentes tipos de participación utilizando los procesos de gestión y los acuerdos de asociación del PNUD.</w:t>
            </w:r>
          </w:p>
          <w:p w14:paraId="77321306" w14:textId="77777777" w:rsidR="00054593" w:rsidRPr="00054593"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rPr>
            </w:pPr>
          </w:p>
          <w:p w14:paraId="2A68EA1B" w14:textId="150C39D2" w:rsidR="00883925" w:rsidRPr="00054593"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b/>
                <w:bCs/>
                <w:color w:val="333333"/>
              </w:rPr>
            </w:pPr>
            <w:r>
              <w:rPr>
                <w:color w:val="333333"/>
              </w:rPr>
              <w:t>El PNUD se asocia con empresas para cumplir con una necesidad de desarrollo particular identificada mediante documentos de planificación, tales como el Plan Empresarial Anual corporativo, y el </w:t>
            </w:r>
            <w:hyperlink r:id="rId17" w:history="1">
              <w:r w:rsidRPr="00D61DDB">
                <w:rPr>
                  <w:rStyle w:val="Hyperlink"/>
                </w:rPr>
                <w:t>Marco de Asistencia de las Naciones Unidas para el Desarrollo (MANUD)</w:t>
              </w:r>
            </w:hyperlink>
            <w:r>
              <w:rPr>
                <w:color w:val="333333"/>
              </w:rPr>
              <w:t xml:space="preserve"> y </w:t>
            </w:r>
            <w:r w:rsidRPr="00BE4F31">
              <w:rPr>
                <w:color w:val="333333"/>
              </w:rPr>
              <w:t>el documento del programa para el país (DPP) a nivel país.</w:t>
            </w:r>
          </w:p>
          <w:p w14:paraId="0CC37137" w14:textId="77777777" w:rsidR="00883925" w:rsidRPr="005A4B73" w:rsidRDefault="00883925" w:rsidP="00D13947">
            <w:pPr>
              <w:shd w:val="clear" w:color="auto" w:fill="FFFFFF"/>
              <w:spacing w:before="100" w:beforeAutospacing="1" w:after="100" w:afterAutospacing="1" w:line="270" w:lineRule="atLeast"/>
              <w:ind w:left="360"/>
              <w:jc w:val="both"/>
              <w:rPr>
                <w:rFonts w:eastAsia="Times New Roman" w:cs="Arial"/>
                <w:color w:val="333333"/>
              </w:rPr>
            </w:pPr>
            <w:r>
              <w:rPr>
                <w:b/>
                <w:color w:val="333333"/>
              </w:rPr>
              <w:t>Participaciones informales</w:t>
            </w:r>
          </w:p>
          <w:p w14:paraId="5434956A" w14:textId="7C8C2F65" w:rsidR="00883925" w:rsidRPr="00A44814"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Las asociaciones </w:t>
            </w:r>
            <w:r w:rsidR="00255E5F">
              <w:rPr>
                <w:color w:val="333333"/>
              </w:rPr>
              <w:t xml:space="preserve">deben </w:t>
            </w:r>
            <w:r>
              <w:rPr>
                <w:color w:val="333333"/>
              </w:rPr>
              <w:t>contar con metas y objetivos acordados mutuamente, y con funciones y responsabilidades claramente definidas. Si no hay entregables programáticos, operacionales/de servicios o financieros, es posible tener una participación entre el PNUD y el sector privado que no requiera formalización mediante un acuerdo de asociación.</w:t>
            </w:r>
          </w:p>
          <w:p w14:paraId="6017BECF" w14:textId="77777777" w:rsidR="00054593" w:rsidRPr="00054593"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rPr>
            </w:pPr>
          </w:p>
          <w:p w14:paraId="20A7EDE2" w14:textId="5DED105D" w:rsidR="00883925" w:rsidRPr="00054593" w:rsidRDefault="00883925"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lastRenderedPageBreak/>
              <w:t xml:space="preserve">La participación informal y ocasional es </w:t>
            </w:r>
            <w:proofErr w:type="gramStart"/>
            <w:r>
              <w:rPr>
                <w:color w:val="333333"/>
              </w:rPr>
              <w:t>posible</w:t>
            </w:r>
            <w:proofErr w:type="gramEnd"/>
            <w:r>
              <w:rPr>
                <w:color w:val="333333"/>
              </w:rPr>
              <w:t xml:space="preserve"> sin embargo, una dependencia comercial debería estar al tanto de que si dichas participaciones comienzan a ser regulares, con la posibilidad de entregables sustantivos, presentan oportunidades y riesgos para el PNUD. En tales casos, las dependencias comerciales deberían considerar la formalización mediante un Memorando de Entendimiento (</w:t>
            </w:r>
            <w:proofErr w:type="spellStart"/>
            <w:r>
              <w:rPr>
                <w:color w:val="333333"/>
              </w:rPr>
              <w:t>MoU</w:t>
            </w:r>
            <w:proofErr w:type="spellEnd"/>
            <w:r>
              <w:rPr>
                <w:color w:val="333333"/>
              </w:rPr>
              <w:t>) u otros acuerdos de asociaciones apropiados.</w:t>
            </w:r>
          </w:p>
          <w:p w14:paraId="12124267" w14:textId="77777777" w:rsidR="00883925" w:rsidRPr="005A4B73" w:rsidRDefault="00883925" w:rsidP="00D13947">
            <w:pPr>
              <w:ind w:left="360"/>
              <w:jc w:val="both"/>
              <w:rPr>
                <w:rFonts w:eastAsia="Times New Roman" w:cs="Arial"/>
                <w:b/>
                <w:color w:val="333333"/>
              </w:rPr>
            </w:pPr>
            <w:r>
              <w:rPr>
                <w:b/>
                <w:color w:val="333333"/>
              </w:rPr>
              <w:t>Participaciones formales</w:t>
            </w:r>
          </w:p>
          <w:p w14:paraId="55A829E1" w14:textId="53319095" w:rsidR="005B402C" w:rsidRDefault="0094408F" w:rsidP="00A44814">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Las asociaciones formales con el sector privado son participaciones que tienen entregables tangibles programáticos, financieros u operacionales/de servicios. Las asociaciones formales con el sector privado deben seguir los procedimientos establecidos en el ciclo de programación y proyecto del PNUD. Una vez que se haya decidido que los beneficios de participación con el sector privado son suficientes para justificar los riesgos que pueda enfrentar el PNUD, se puede completar y aprobar el Documento del Proyecto de la misma manera que en otros proyectos del PNUD.  Cualquier participación entre el PNUD y una empresa que involucre una transferencia de recursos entre el PNUD y la empresa debería seguir los procedimientos detallados en la sección de </w:t>
            </w:r>
            <w:hyperlink r:id="rId18" w:history="1">
              <w:r w:rsidRPr="00F16E7E">
                <w:rPr>
                  <w:rStyle w:val="Hyperlink"/>
                </w:rPr>
                <w:t>Gestión de Programa y Proyecto</w:t>
              </w:r>
            </w:hyperlink>
            <w:r w:rsidRPr="000B41A6">
              <w:rPr>
                <w:color w:val="333333"/>
              </w:rPr>
              <w:t xml:space="preserve">.  </w:t>
            </w:r>
          </w:p>
          <w:p w14:paraId="5BADE2B9" w14:textId="77777777" w:rsidR="009F4A76" w:rsidRDefault="009F4A76" w:rsidP="009F4A76">
            <w:pPr>
              <w:pStyle w:val="ListParagraph"/>
              <w:shd w:val="clear" w:color="auto" w:fill="FFFFFF"/>
              <w:spacing w:before="100" w:beforeAutospacing="1" w:after="100" w:afterAutospacing="1" w:line="270" w:lineRule="atLeast"/>
              <w:ind w:firstLine="0"/>
              <w:rPr>
                <w:rFonts w:eastAsia="Times New Roman" w:cs="Arial"/>
                <w:color w:val="333333"/>
              </w:rPr>
            </w:pPr>
          </w:p>
          <w:p w14:paraId="7674AE22" w14:textId="0AA1BC06" w:rsidR="00883925" w:rsidRPr="00054593" w:rsidRDefault="00883925" w:rsidP="00543355">
            <w:pPr>
              <w:pStyle w:val="ListParagraph"/>
              <w:numPr>
                <w:ilvl w:val="0"/>
                <w:numId w:val="4"/>
              </w:numPr>
              <w:shd w:val="clear" w:color="auto" w:fill="FFFFFF"/>
              <w:spacing w:before="100" w:beforeAutospacing="1" w:after="100" w:afterAutospacing="1" w:line="270" w:lineRule="atLeast"/>
              <w:jc w:val="left"/>
              <w:rPr>
                <w:rFonts w:eastAsia="Times New Roman" w:cs="Arial"/>
                <w:color w:val="333333"/>
              </w:rPr>
            </w:pPr>
            <w:r>
              <w:rPr>
                <w:color w:val="333333"/>
              </w:rPr>
              <w:t xml:space="preserve">Todas las </w:t>
            </w:r>
            <w:r>
              <w:rPr>
                <w:b/>
                <w:color w:val="333333"/>
              </w:rPr>
              <w:t>participaciones formales</w:t>
            </w:r>
            <w:r>
              <w:rPr>
                <w:color w:val="333333"/>
              </w:rPr>
              <w:t xml:space="preserve"> deberían hacerse oficiales mediante alguno de los instrumentos siguientes:</w:t>
            </w:r>
            <w:r w:rsidR="002C01EF">
              <w:rPr>
                <w:color w:val="333333"/>
              </w:rPr>
              <w:t xml:space="preserve"> </w:t>
            </w:r>
            <w:r>
              <w:rPr>
                <w:rFonts w:eastAsia="Times New Roman" w:cs="Arial"/>
                <w:color w:val="333333"/>
              </w:rPr>
              <w:br/>
            </w:r>
          </w:p>
          <w:tbl>
            <w:tblPr>
              <w:tblW w:w="0" w:type="auto"/>
              <w:tblCellMar>
                <w:left w:w="0" w:type="dxa"/>
                <w:right w:w="0" w:type="dxa"/>
              </w:tblCellMar>
              <w:tblLook w:val="04A0" w:firstRow="1" w:lastRow="0" w:firstColumn="1" w:lastColumn="0" w:noHBand="0" w:noVBand="1"/>
            </w:tblPr>
            <w:tblGrid>
              <w:gridCol w:w="2588"/>
              <w:gridCol w:w="6336"/>
            </w:tblGrid>
            <w:tr w:rsidR="00883925" w:rsidRPr="005A4B73" w14:paraId="4E2C489B" w14:textId="77777777" w:rsidTr="00883925">
              <w:tc>
                <w:tcPr>
                  <w:tcW w:w="2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BD08A" w14:textId="77777777" w:rsidR="00883925" w:rsidRPr="005A4B73" w:rsidRDefault="00883925" w:rsidP="000031F9">
                  <w:pPr>
                    <w:spacing w:line="276" w:lineRule="auto"/>
                    <w:rPr>
                      <w:rFonts w:eastAsia="Calibri" w:cstheme="minorHAnsi"/>
                      <w:b/>
                      <w:bCs/>
                      <w:color w:val="4C4C4C"/>
                      <w:shd w:val="clear" w:color="auto" w:fill="FFFFFF"/>
                    </w:rPr>
                  </w:pPr>
                  <w:r>
                    <w:rPr>
                      <w:rFonts w:cstheme="minorHAnsi"/>
                      <w:b/>
                      <w:color w:val="4C4C4C"/>
                      <w:shd w:val="clear" w:color="auto" w:fill="FFFFFF"/>
                    </w:rPr>
                    <w:t xml:space="preserve">Acuerdos y plantillas de Tipos de Asociaciones </w:t>
                  </w:r>
                </w:p>
              </w:tc>
              <w:tc>
                <w:tcPr>
                  <w:tcW w:w="6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F3194" w14:textId="77777777" w:rsidR="00883925" w:rsidRPr="005A4B73" w:rsidRDefault="00883925" w:rsidP="000031F9">
                  <w:pPr>
                    <w:spacing w:line="276" w:lineRule="auto"/>
                    <w:rPr>
                      <w:rFonts w:eastAsia="Calibri" w:cstheme="minorHAnsi"/>
                      <w:b/>
                      <w:bCs/>
                      <w:color w:val="4C4C4C"/>
                      <w:shd w:val="clear" w:color="auto" w:fill="FFFFFF"/>
                    </w:rPr>
                  </w:pPr>
                  <w:r>
                    <w:rPr>
                      <w:rFonts w:cstheme="minorHAnsi"/>
                      <w:b/>
                      <w:color w:val="4C4C4C"/>
                      <w:shd w:val="clear" w:color="auto" w:fill="FFFFFF"/>
                    </w:rPr>
                    <w:t>Descripción</w:t>
                  </w:r>
                </w:p>
              </w:tc>
            </w:tr>
            <w:tr w:rsidR="00883925" w:rsidRPr="005A4B73" w14:paraId="749168C0" w14:textId="77777777" w:rsidTr="002C01EF">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FFAA5F6" w14:textId="77777777" w:rsidR="00883925" w:rsidRPr="005A4B73" w:rsidRDefault="00883925" w:rsidP="000031F9">
                  <w:pPr>
                    <w:spacing w:line="276" w:lineRule="auto"/>
                    <w:rPr>
                      <w:rFonts w:eastAsia="Calibri" w:cstheme="minorHAnsi"/>
                      <w:color w:val="4C4C4C"/>
                      <w:shd w:val="clear" w:color="auto" w:fill="FFFFFF"/>
                    </w:rPr>
                  </w:pPr>
                  <w:r>
                    <w:rPr>
                      <w:rFonts w:cstheme="minorHAnsi"/>
                      <w:b/>
                      <w:color w:val="4C4C4C"/>
                      <w:shd w:val="clear" w:color="auto" w:fill="FFFFFF"/>
                    </w:rPr>
                    <w:t>Memorando de Entendimiento</w:t>
                  </w:r>
                  <w:r>
                    <w:rPr>
                      <w:rFonts w:cstheme="minorHAnsi"/>
                      <w:color w:val="4C4C4C"/>
                      <w:shd w:val="clear" w:color="auto" w:fill="FFFFFF"/>
                    </w:rPr>
                    <w:t xml:space="preserve"> </w:t>
                  </w:r>
                </w:p>
                <w:p w14:paraId="5BB95FB1" w14:textId="69BFB528" w:rsidR="00883925" w:rsidRPr="005A4B73" w:rsidRDefault="00521538" w:rsidP="000031F9">
                  <w:pPr>
                    <w:spacing w:line="276" w:lineRule="auto"/>
                    <w:rPr>
                      <w:rFonts w:eastAsia="Calibri" w:cstheme="minorHAnsi"/>
                      <w:color w:val="4C4C4C"/>
                      <w:shd w:val="clear" w:color="auto" w:fill="FFFFFF"/>
                    </w:rPr>
                  </w:pPr>
                  <w:hyperlink r:id="rId19" w:history="1">
                    <w:r w:rsidRPr="007679D0">
                      <w:rPr>
                        <w:rStyle w:val="Hyperlink"/>
                        <w:rFonts w:cstheme="minorHAnsi"/>
                      </w:rPr>
                      <w:t>Plantilla</w:t>
                    </w:r>
                    <w:r w:rsidR="002C01EF">
                      <w:rPr>
                        <w:rStyle w:val="Hyperlink"/>
                        <w:rFonts w:cstheme="minorHAnsi"/>
                      </w:rPr>
                      <w:t>s</w:t>
                    </w:r>
                    <w:r w:rsidRPr="007679D0">
                      <w:rPr>
                        <w:rStyle w:val="Hyperlink"/>
                        <w:rFonts w:cstheme="minorHAnsi"/>
                      </w:rPr>
                      <w:t xml:space="preserve">: </w:t>
                    </w:r>
                    <w:proofErr w:type="spellStart"/>
                    <w:r w:rsidRPr="007679D0">
                      <w:rPr>
                        <w:rStyle w:val="Hyperlink"/>
                        <w:rFonts w:cstheme="minorHAnsi"/>
                      </w:rPr>
                      <w:t>MoU</w:t>
                    </w:r>
                    <w:proofErr w:type="spellEnd"/>
                  </w:hyperlink>
                  <w:r>
                    <w:rPr>
                      <w:rFonts w:cstheme="minorHAnsi"/>
                      <w:color w:val="1F497D"/>
                    </w:rPr>
                    <w:t xml:space="preserve"> </w:t>
                  </w: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0ECDD3E5" w14:textId="77777777" w:rsidR="00883925" w:rsidRPr="005A4B73" w:rsidRDefault="00883925" w:rsidP="000031F9">
                  <w:pPr>
                    <w:spacing w:line="276" w:lineRule="auto"/>
                    <w:rPr>
                      <w:rFonts w:eastAsia="Calibri" w:cstheme="minorHAnsi"/>
                      <w:shd w:val="clear" w:color="auto" w:fill="FFFFFF"/>
                    </w:rPr>
                  </w:pPr>
                  <w:r w:rsidRPr="000B41A6">
                    <w:rPr>
                      <w:color w:val="333333"/>
                    </w:rPr>
                    <w:t xml:space="preserve">Un </w:t>
                  </w:r>
                  <w:proofErr w:type="spellStart"/>
                  <w:r w:rsidRPr="000B41A6">
                    <w:rPr>
                      <w:color w:val="333333"/>
                    </w:rPr>
                    <w:t>MoU</w:t>
                  </w:r>
                  <w:proofErr w:type="spellEnd"/>
                  <w:r w:rsidRPr="000B41A6">
                    <w:rPr>
                      <w:color w:val="333333"/>
                    </w:rPr>
                    <w:t xml:space="preserve"> puede ser útil cuando el PNUD y un asociado desean expresar interés en explorar y determinar</w:t>
                  </w:r>
                  <w:r w:rsidRPr="000B41A6">
                    <w:rPr>
                      <w:rFonts w:cstheme="minorHAnsi"/>
                      <w:b/>
                      <w:color w:val="333333"/>
                      <w:shd w:val="clear" w:color="auto" w:fill="FFFFFF"/>
                    </w:rPr>
                    <w:t xml:space="preserve"> una colaboración cuando la participación no se extiende a la transferencia de recursos entre asociados</w:t>
                  </w:r>
                  <w:r w:rsidRPr="000B41A6">
                    <w:rPr>
                      <w:color w:val="333333"/>
                    </w:rPr>
                    <w:t xml:space="preserve"> ni implica demandas financieras para el PNUD.  </w:t>
                  </w:r>
                </w:p>
              </w:tc>
            </w:tr>
            <w:tr w:rsidR="00883925" w:rsidRPr="005A4B73" w14:paraId="4AC68E07" w14:textId="77777777" w:rsidTr="002C01EF">
              <w:tc>
                <w:tcPr>
                  <w:tcW w:w="26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3AAFFD" w14:textId="6A99B0B3" w:rsidR="00883925" w:rsidRPr="005A4B73" w:rsidRDefault="00883925" w:rsidP="000031F9">
                  <w:pPr>
                    <w:spacing w:line="276" w:lineRule="auto"/>
                    <w:rPr>
                      <w:rFonts w:eastAsia="Calibri" w:cstheme="minorHAnsi"/>
                      <w:b/>
                      <w:bCs/>
                      <w:color w:val="4C4C4C"/>
                      <w:shd w:val="clear" w:color="auto" w:fill="FFFFFF"/>
                    </w:rPr>
                  </w:pPr>
                  <w:r>
                    <w:rPr>
                      <w:rFonts w:cstheme="minorHAnsi"/>
                      <w:b/>
                      <w:color w:val="4C4C4C"/>
                      <w:shd w:val="clear" w:color="auto" w:fill="FFFFFF"/>
                    </w:rPr>
                    <w:t xml:space="preserve">Acuerdo de </w:t>
                  </w:r>
                  <w:r w:rsidR="003E119D">
                    <w:rPr>
                      <w:rFonts w:cstheme="minorHAnsi"/>
                      <w:b/>
                      <w:color w:val="4C4C4C"/>
                      <w:shd w:val="clear" w:color="auto" w:fill="FFFFFF"/>
                    </w:rPr>
                    <w:t>F</w:t>
                  </w:r>
                  <w:r w:rsidR="003E119D" w:rsidRPr="003E119D">
                    <w:rPr>
                      <w:rFonts w:cstheme="minorHAnsi"/>
                      <w:b/>
                      <w:color w:val="4C4C4C"/>
                      <w:shd w:val="clear" w:color="auto" w:fill="FFFFFF"/>
                    </w:rPr>
                    <w:t>inanciamiento</w:t>
                  </w:r>
                  <w:r w:rsidR="00E37A0F">
                    <w:rPr>
                      <w:rFonts w:cstheme="minorHAnsi"/>
                      <w:b/>
                      <w:color w:val="4C4C4C"/>
                      <w:shd w:val="clear" w:color="auto" w:fill="FFFFFF"/>
                    </w:rPr>
                    <w:t xml:space="preserve"> </w:t>
                  </w:r>
                  <w:r>
                    <w:rPr>
                      <w:rFonts w:cstheme="minorHAnsi"/>
                      <w:b/>
                      <w:color w:val="4C4C4C"/>
                      <w:shd w:val="clear" w:color="auto" w:fill="FFFFFF"/>
                    </w:rPr>
                    <w:t>Acuerdo estándar de contribuciones financieras al PNUD</w:t>
                  </w:r>
                </w:p>
                <w:p w14:paraId="7A6EAD2E" w14:textId="60D1B072" w:rsidR="00883925" w:rsidRPr="005A4B73" w:rsidRDefault="007566CA" w:rsidP="000031F9">
                  <w:pPr>
                    <w:spacing w:line="276" w:lineRule="auto"/>
                    <w:rPr>
                      <w:rFonts w:eastAsia="Calibri" w:cstheme="minorHAnsi"/>
                      <w:color w:val="4C4C4C"/>
                      <w:shd w:val="clear" w:color="auto" w:fill="FFFFFF"/>
                    </w:rPr>
                  </w:pPr>
                  <w:r w:rsidRPr="0005080A">
                    <w:rPr>
                      <w:rFonts w:cstheme="minorHAnsi"/>
                      <w:color w:val="4C4C4C"/>
                      <w:shd w:val="clear" w:color="auto" w:fill="FFFFFF"/>
                    </w:rPr>
                    <w:t xml:space="preserve">Por favor, </w:t>
                  </w:r>
                  <w:hyperlink r:id="rId20" w:history="1">
                    <w:r w:rsidRPr="00236CFF">
                      <w:rPr>
                        <w:rStyle w:val="Hyperlink"/>
                      </w:rPr>
                      <w:t>c</w:t>
                    </w:r>
                    <w:r w:rsidR="00BF710E" w:rsidRPr="00236CFF">
                      <w:rPr>
                        <w:rStyle w:val="Hyperlink"/>
                      </w:rPr>
                      <w:t>onsulte los acuerdos y plantillas de financiamiento</w:t>
                    </w:r>
                  </w:hyperlink>
                  <w:r w:rsidR="00BF710E" w:rsidRPr="00236CFF">
                    <w:rPr>
                      <w:rStyle w:val="Hyperlink"/>
                      <w:color w:val="333333"/>
                      <w:u w:val="none"/>
                    </w:rPr>
                    <w:t xml:space="preserve"> </w:t>
                  </w:r>
                  <w:r w:rsidR="00B77F05">
                    <w:rPr>
                      <w:rStyle w:val="Hyperlink"/>
                      <w:color w:val="333333"/>
                      <w:u w:val="none"/>
                    </w:rPr>
                    <w:t>(</w:t>
                  </w:r>
                  <w:r w:rsidR="00B77F05" w:rsidRPr="00B77F05">
                    <w:rPr>
                      <w:rStyle w:val="Hyperlink"/>
                      <w:color w:val="333333"/>
                      <w:u w:val="none"/>
                    </w:rPr>
                    <w:t>en inglés</w:t>
                  </w:r>
                  <w:r w:rsidR="00B77F05">
                    <w:rPr>
                      <w:rStyle w:val="Hyperlink"/>
                      <w:color w:val="333333"/>
                    </w:rPr>
                    <w:t xml:space="preserve">) </w:t>
                  </w:r>
                  <w:r w:rsidR="00BF710E" w:rsidRPr="00236CFF">
                    <w:rPr>
                      <w:rStyle w:val="Hyperlink"/>
                      <w:color w:val="333333"/>
                      <w:u w:val="none"/>
                    </w:rPr>
                    <w:t>y las</w:t>
                  </w:r>
                  <w:r w:rsidR="00BF710E" w:rsidRPr="007566CA">
                    <w:rPr>
                      <w:rStyle w:val="Hyperlink"/>
                    </w:rPr>
                    <w:t xml:space="preserve"> </w:t>
                  </w:r>
                  <w:r w:rsidR="00BF710E" w:rsidRPr="00534FF2">
                    <w:t>disposiciones estándar de un acuerdo de financiamiento</w:t>
                  </w:r>
                  <w:r w:rsidR="00BF710E" w:rsidRPr="00BA6C50">
                    <w:rPr>
                      <w:rStyle w:val="Hyperlink"/>
                      <w:color w:val="333333"/>
                      <w:u w:val="none"/>
                    </w:rPr>
                    <w:t xml:space="preserve"> con orientación legal sobre las </w:t>
                  </w:r>
                  <w:r w:rsidR="00BF710E" w:rsidRPr="00BA6C50">
                    <w:rPr>
                      <w:rStyle w:val="Hyperlink"/>
                      <w:color w:val="333333"/>
                      <w:u w:val="none"/>
                    </w:rPr>
                    <w:lastRenderedPageBreak/>
                    <w:t>preguntas más frecuentes</w:t>
                  </w:r>
                  <w:r w:rsidRPr="00BA6C50">
                    <w:rPr>
                      <w:rStyle w:val="Hyperlink"/>
                      <w:color w:val="333333"/>
                      <w:u w:val="none"/>
                    </w:rPr>
                    <w:t xml:space="preserve"> más comunes</w:t>
                  </w:r>
                  <w:r w:rsidR="00BF710E" w:rsidRPr="00BA6C50">
                    <w:rPr>
                      <w:rStyle w:val="Hyperlink"/>
                      <w:color w:val="333333"/>
                      <w:u w:val="none"/>
                    </w:rPr>
                    <w:t>.</w:t>
                  </w:r>
                </w:p>
              </w:tc>
              <w:tc>
                <w:tcPr>
                  <w:tcW w:w="6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015BD1" w14:textId="14926363" w:rsidR="00883925" w:rsidRPr="005A4B73" w:rsidRDefault="00883925" w:rsidP="000031F9">
                  <w:pPr>
                    <w:spacing w:line="276" w:lineRule="auto"/>
                    <w:rPr>
                      <w:rFonts w:eastAsia="Calibri" w:cstheme="minorHAnsi"/>
                      <w:shd w:val="clear" w:color="auto" w:fill="FFFFFF"/>
                    </w:rPr>
                  </w:pPr>
                  <w:r w:rsidRPr="000B41A6">
                    <w:rPr>
                      <w:color w:val="333333"/>
                    </w:rPr>
                    <w:lastRenderedPageBreak/>
                    <w:t>Cuando una empresa desea hacer una contribución financiera a los proyectos y programas del PNUD, se debe utilizar uno de los siguientes documentos de Acuerdo</w:t>
                  </w:r>
                  <w:r w:rsidR="00731B17" w:rsidRPr="000B41A6">
                    <w:rPr>
                      <w:color w:val="333333"/>
                    </w:rPr>
                    <w:t>s de</w:t>
                  </w:r>
                  <w:r w:rsidR="003E119D" w:rsidRPr="00E340AB">
                    <w:rPr>
                      <w:color w:val="333333"/>
                    </w:rPr>
                    <w:t xml:space="preserve"> </w:t>
                  </w:r>
                  <w:r w:rsidR="003E119D" w:rsidRPr="00E340AB">
                    <w:rPr>
                      <w:rStyle w:val="Hyperlink"/>
                      <w:color w:val="333333"/>
                      <w:u w:val="none"/>
                    </w:rPr>
                    <w:t>financiamiento</w:t>
                  </w:r>
                  <w:r w:rsidR="00731B17">
                    <w:t>:</w:t>
                  </w:r>
                </w:p>
                <w:p w14:paraId="52C702B5" w14:textId="77777777" w:rsidR="00883925" w:rsidRPr="000B41A6" w:rsidRDefault="00883925" w:rsidP="000031F9">
                  <w:pPr>
                    <w:numPr>
                      <w:ilvl w:val="0"/>
                      <w:numId w:val="1"/>
                    </w:numPr>
                    <w:shd w:val="clear" w:color="auto" w:fill="FFFFFF"/>
                    <w:spacing w:after="0" w:line="276" w:lineRule="auto"/>
                    <w:ind w:right="55"/>
                    <w:rPr>
                      <w:rFonts w:eastAsia="Calibri" w:cstheme="minorHAnsi"/>
                      <w:color w:val="333333"/>
                      <w:shd w:val="clear" w:color="auto" w:fill="FFFFFF"/>
                    </w:rPr>
                  </w:pPr>
                  <w:r w:rsidRPr="000B41A6">
                    <w:rPr>
                      <w:color w:val="333333"/>
                    </w:rPr>
                    <w:t>Acuerdo estándar para contribuciones financieras del Sector privado, Organizaciones de la Sociedad Civil (CSO) y Fundaciones (que exceden los USD 100 000)</w:t>
                  </w:r>
                </w:p>
                <w:p w14:paraId="14F4A5C9" w14:textId="77777777" w:rsidR="00883925" w:rsidRPr="000B41A6" w:rsidRDefault="00883925" w:rsidP="000031F9">
                  <w:pPr>
                    <w:numPr>
                      <w:ilvl w:val="0"/>
                      <w:numId w:val="1"/>
                    </w:numPr>
                    <w:shd w:val="clear" w:color="auto" w:fill="FFFFFF"/>
                    <w:spacing w:after="0" w:line="276" w:lineRule="auto"/>
                    <w:ind w:right="55"/>
                    <w:rPr>
                      <w:rFonts w:eastAsia="Calibri" w:cstheme="minorHAnsi"/>
                      <w:color w:val="333333"/>
                    </w:rPr>
                  </w:pPr>
                  <w:r w:rsidRPr="000B41A6">
                    <w:rPr>
                      <w:color w:val="333333"/>
                    </w:rPr>
                    <w:t>Acuerdo estándar para contribuciones financieras pequeñas del Sector privado y CSO (que no exceden los USD 100 000)</w:t>
                  </w:r>
                </w:p>
                <w:p w14:paraId="5B72F5FB" w14:textId="77777777" w:rsidR="00883925" w:rsidRPr="000B41A6" w:rsidRDefault="00883925" w:rsidP="000031F9">
                  <w:pPr>
                    <w:numPr>
                      <w:ilvl w:val="0"/>
                      <w:numId w:val="1"/>
                    </w:numPr>
                    <w:shd w:val="clear" w:color="auto" w:fill="FFFFFF"/>
                    <w:spacing w:after="0" w:line="276" w:lineRule="auto"/>
                    <w:ind w:right="55"/>
                    <w:rPr>
                      <w:rFonts w:eastAsia="Calibri" w:cstheme="minorHAnsi"/>
                      <w:color w:val="333333"/>
                    </w:rPr>
                  </w:pPr>
                  <w:r w:rsidRPr="000B41A6">
                    <w:rPr>
                      <w:color w:val="333333"/>
                    </w:rPr>
                    <w:t xml:space="preserve">Intercambio de cartas (EOL) para contribuciones pequeñas (que no exceden los USD 100 000), donde no se requiere la presentación de informes. </w:t>
                  </w:r>
                </w:p>
                <w:p w14:paraId="4141637E" w14:textId="77777777" w:rsidR="00883925" w:rsidRPr="000B41A6" w:rsidRDefault="00883925" w:rsidP="000031F9">
                  <w:pPr>
                    <w:shd w:val="clear" w:color="auto" w:fill="FFFFFF"/>
                    <w:spacing w:after="0" w:line="276" w:lineRule="auto"/>
                    <w:ind w:left="720"/>
                    <w:rPr>
                      <w:rFonts w:eastAsia="Calibri" w:cstheme="minorHAnsi"/>
                      <w:color w:val="333333"/>
                    </w:rPr>
                  </w:pPr>
                </w:p>
                <w:p w14:paraId="144F1B32" w14:textId="4EFB8DB4" w:rsidR="00962265" w:rsidRPr="000B41A6" w:rsidRDefault="00883925" w:rsidP="000031F9">
                  <w:pPr>
                    <w:shd w:val="clear" w:color="auto" w:fill="FFFFFF"/>
                    <w:spacing w:line="276" w:lineRule="auto"/>
                    <w:rPr>
                      <w:rFonts w:eastAsia="Calibri" w:cstheme="minorHAnsi"/>
                      <w:color w:val="333333"/>
                      <w:shd w:val="clear" w:color="auto" w:fill="FFFFFF"/>
                    </w:rPr>
                  </w:pPr>
                  <w:r w:rsidRPr="000B41A6">
                    <w:rPr>
                      <w:color w:val="333333"/>
                    </w:rPr>
                    <w:t xml:space="preserve">El </w:t>
                  </w:r>
                  <w:r w:rsidR="003D32BF" w:rsidRPr="000B41A6">
                    <w:rPr>
                      <w:color w:val="333333"/>
                    </w:rPr>
                    <w:t>acuerdo</w:t>
                  </w:r>
                  <w:r w:rsidR="00706829" w:rsidRPr="000B41A6">
                    <w:rPr>
                      <w:color w:val="333333"/>
                    </w:rPr>
                    <w:t xml:space="preserve"> de</w:t>
                  </w:r>
                  <w:r w:rsidR="00706829" w:rsidRPr="00AB6F48">
                    <w:rPr>
                      <w:color w:val="333333"/>
                    </w:rPr>
                    <w:t xml:space="preserve"> </w:t>
                  </w:r>
                  <w:r w:rsidR="00706829" w:rsidRPr="00AB6F48">
                    <w:rPr>
                      <w:rStyle w:val="Hyperlink"/>
                      <w:color w:val="333333"/>
                      <w:u w:val="none"/>
                    </w:rPr>
                    <w:t>financiamiento</w:t>
                  </w:r>
                  <w:r w:rsidR="003D32BF" w:rsidRPr="00AB6F48" w:rsidDel="003D32BF">
                    <w:rPr>
                      <w:color w:val="333333"/>
                    </w:rPr>
                    <w:t xml:space="preserve"> </w:t>
                  </w:r>
                  <w:r w:rsidRPr="000B41A6">
                    <w:rPr>
                      <w:color w:val="333333"/>
                    </w:rPr>
                    <w:t xml:space="preserve">con un asociado que estipula las condiciones de recepción, administración, utilización y presentación de informes de recursos para actividades de programas específicos del PNUD. </w:t>
                  </w:r>
                </w:p>
                <w:p w14:paraId="10491E27" w14:textId="4F1E093E" w:rsidR="00883925" w:rsidRPr="005A4B73" w:rsidRDefault="00883925" w:rsidP="00CF254E">
                  <w:pPr>
                    <w:shd w:val="clear" w:color="auto" w:fill="FFFFFF"/>
                    <w:spacing w:line="276" w:lineRule="auto"/>
                    <w:rPr>
                      <w:rFonts w:eastAsia="Calibri" w:cstheme="minorHAnsi"/>
                      <w:shd w:val="clear" w:color="auto" w:fill="FFFFFF"/>
                    </w:rPr>
                  </w:pPr>
                  <w:r w:rsidRPr="000B41A6">
                    <w:rPr>
                      <w:color w:val="333333"/>
                    </w:rPr>
                    <w:t xml:space="preserve">El Documento del Proyecto será adjuntado al </w:t>
                  </w:r>
                  <w:r w:rsidR="0017463C" w:rsidRPr="000B41A6">
                    <w:rPr>
                      <w:color w:val="333333"/>
                    </w:rPr>
                    <w:t xml:space="preserve">acuerdo de </w:t>
                  </w:r>
                  <w:proofErr w:type="gramStart"/>
                  <w:r w:rsidR="00CF254E" w:rsidRPr="000B41A6">
                    <w:rPr>
                      <w:color w:val="333333"/>
                    </w:rPr>
                    <w:t>financiamiento</w:t>
                  </w:r>
                  <w:r w:rsidR="0017463C" w:rsidRPr="000B41A6" w:rsidDel="0017463C">
                    <w:rPr>
                      <w:color w:val="333333"/>
                    </w:rPr>
                    <w:t xml:space="preserve"> </w:t>
                  </w:r>
                  <w:r w:rsidRPr="000B41A6">
                    <w:rPr>
                      <w:color w:val="333333"/>
                    </w:rPr>
                    <w:t xml:space="preserve"> y</w:t>
                  </w:r>
                  <w:proofErr w:type="gramEnd"/>
                  <w:r w:rsidRPr="000B41A6">
                    <w:rPr>
                      <w:color w:val="333333"/>
                    </w:rPr>
                    <w:t xml:space="preserve"> formará parte del </w:t>
                  </w:r>
                  <w:r w:rsidR="004F5524" w:rsidRPr="000B41A6">
                    <w:rPr>
                      <w:color w:val="333333"/>
                    </w:rPr>
                    <w:t>contrato</w:t>
                  </w:r>
                  <w:r w:rsidRPr="000B41A6">
                    <w:rPr>
                      <w:color w:val="333333"/>
                    </w:rPr>
                    <w:t>. Las empresas pueden no firmar Documentos del Proyecto; sin embargo, el sector privado puede asumir una función de proveedor en la junta del proyecto.</w:t>
                  </w:r>
                </w:p>
              </w:tc>
            </w:tr>
            <w:tr w:rsidR="00883925" w:rsidRPr="005A4B73" w14:paraId="60FB9D80" w14:textId="77777777" w:rsidTr="00883925">
              <w:tc>
                <w:tcPr>
                  <w:tcW w:w="266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1F8C82A" w14:textId="1DB04471" w:rsidR="00883925" w:rsidRPr="005A4B73" w:rsidRDefault="00883925" w:rsidP="000031F9">
                  <w:pPr>
                    <w:spacing w:line="276" w:lineRule="auto"/>
                    <w:rPr>
                      <w:rFonts w:eastAsia="Calibri" w:cstheme="minorHAnsi"/>
                      <w:b/>
                      <w:bCs/>
                      <w:color w:val="4C4C4C"/>
                      <w:shd w:val="clear" w:color="auto" w:fill="FFFFFF"/>
                    </w:rPr>
                  </w:pPr>
                  <w:hyperlink r:id="rId21" w:history="1">
                    <w:r w:rsidRPr="00566635">
                      <w:rPr>
                        <w:rStyle w:val="Hyperlink"/>
                        <w:rFonts w:cstheme="minorHAnsi"/>
                        <w:b/>
                        <w:shd w:val="clear" w:color="auto" w:fill="FFFFFF"/>
                      </w:rPr>
                      <w:t xml:space="preserve">Acuerdo </w:t>
                    </w:r>
                    <w:proofErr w:type="gramStart"/>
                    <w:r w:rsidRPr="00566635">
                      <w:rPr>
                        <w:rStyle w:val="Hyperlink"/>
                        <w:rFonts w:cstheme="minorHAnsi"/>
                        <w:b/>
                        <w:i/>
                        <w:shd w:val="clear" w:color="auto" w:fill="FFFFFF"/>
                      </w:rPr>
                      <w:t>pro bono</w:t>
                    </w:r>
                    <w:proofErr w:type="gramEnd"/>
                  </w:hyperlink>
                </w:p>
                <w:p w14:paraId="61F46886" w14:textId="582FDB2C" w:rsidR="00883925" w:rsidRPr="00566635" w:rsidRDefault="00521538" w:rsidP="000031F9">
                  <w:pPr>
                    <w:spacing w:line="276" w:lineRule="auto"/>
                    <w:rPr>
                      <w:rFonts w:eastAsia="Calibri" w:cstheme="minorHAnsi"/>
                      <w:u w:val="single"/>
                    </w:rPr>
                  </w:pPr>
                  <w:r w:rsidRPr="00566635">
                    <w:rPr>
                      <w:rFonts w:cstheme="minorHAnsi"/>
                      <w:u w:val="single"/>
                    </w:rPr>
                    <w:t xml:space="preserve">Plantilla: Acuerdo </w:t>
                  </w:r>
                  <w:proofErr w:type="gramStart"/>
                  <w:r w:rsidRPr="00566635">
                    <w:rPr>
                      <w:rFonts w:cstheme="minorHAnsi"/>
                      <w:u w:val="single"/>
                    </w:rPr>
                    <w:t>pro bono</w:t>
                  </w:r>
                  <w:proofErr w:type="gramEnd"/>
                </w:p>
                <w:p w14:paraId="64D5B8EA" w14:textId="58F8B475" w:rsidR="000D7F0D" w:rsidRDefault="00883925" w:rsidP="000031F9">
                  <w:pPr>
                    <w:spacing w:line="276" w:lineRule="auto"/>
                    <w:rPr>
                      <w:rFonts w:eastAsia="Calibri" w:cstheme="minorHAnsi"/>
                      <w:bCs/>
                      <w:color w:val="1F497D"/>
                    </w:rPr>
                  </w:pPr>
                  <w:r w:rsidRPr="00F72AD3">
                    <w:rPr>
                      <w:rFonts w:cstheme="minorHAnsi"/>
                      <w:color w:val="333333"/>
                    </w:rPr>
                    <w:t xml:space="preserve">Plantilla integral para Bienes y/o servicios y gastos derivados, y otras contribuciones financieras </w:t>
                  </w:r>
                </w:p>
                <w:p w14:paraId="460F8B86" w14:textId="3333AEF0" w:rsidR="00883925" w:rsidRPr="000D7F0D" w:rsidRDefault="00A52479" w:rsidP="000031F9">
                  <w:pPr>
                    <w:spacing w:line="276" w:lineRule="auto"/>
                    <w:rPr>
                      <w:rFonts w:eastAsia="Calibri" w:cstheme="minorHAnsi"/>
                      <w:color w:val="1F497D"/>
                    </w:rPr>
                  </w:pPr>
                  <w:r w:rsidRPr="00CD7B6E">
                    <w:rPr>
                      <w:rFonts w:cstheme="minorHAnsi"/>
                      <w:color w:val="333333"/>
                    </w:rPr>
                    <w:t>La plantilla integral</w:t>
                  </w:r>
                  <w:r w:rsidR="0010176A" w:rsidRPr="00CD7B6E">
                    <w:rPr>
                      <w:rFonts w:cstheme="minorHAnsi"/>
                      <w:color w:val="333333"/>
                    </w:rPr>
                    <w:t>/detallada</w:t>
                  </w:r>
                  <w:r>
                    <w:rPr>
                      <w:rFonts w:cstheme="minorHAnsi"/>
                      <w:color w:val="1F497D"/>
                    </w:rPr>
                    <w:t xml:space="preserve"> </w:t>
                  </w:r>
                  <w:r w:rsidRPr="00F72AD3">
                    <w:rPr>
                      <w:rFonts w:cstheme="minorHAnsi"/>
                      <w:color w:val="333333"/>
                    </w:rPr>
                    <w:t xml:space="preserve">tiene la opción de formalizar </w:t>
                  </w:r>
                  <w:r w:rsidRPr="00F72AD3">
                    <w:rPr>
                      <w:rFonts w:cstheme="minorHAnsi"/>
                      <w:color w:val="333333"/>
                      <w:u w:val="single"/>
                    </w:rPr>
                    <w:t>ambas</w:t>
                  </w:r>
                  <w:r w:rsidRPr="00F72AD3">
                    <w:rPr>
                      <w:rFonts w:cstheme="minorHAnsi"/>
                      <w:color w:val="333333"/>
                    </w:rPr>
                    <w:t xml:space="preserve"> contribuciones, </w:t>
                  </w:r>
                  <w:proofErr w:type="gramStart"/>
                  <w:r w:rsidRPr="00F72AD3">
                    <w:rPr>
                      <w:rFonts w:cstheme="minorHAnsi"/>
                      <w:i/>
                      <w:color w:val="333333"/>
                    </w:rPr>
                    <w:t>pro bono</w:t>
                  </w:r>
                  <w:proofErr w:type="gramEnd"/>
                  <w:r w:rsidRPr="00F72AD3">
                    <w:rPr>
                      <w:rFonts w:cstheme="minorHAnsi"/>
                      <w:color w:val="333333"/>
                    </w:rPr>
                    <w:t xml:space="preserve"> y financieras</w:t>
                  </w:r>
                </w:p>
                <w:p w14:paraId="03AD421D" w14:textId="77777777" w:rsidR="00883925" w:rsidRPr="005A4B73" w:rsidRDefault="00883925" w:rsidP="000031F9">
                  <w:pPr>
                    <w:spacing w:line="276" w:lineRule="auto"/>
                    <w:rPr>
                      <w:rFonts w:eastAsia="Calibri" w:cstheme="minorHAnsi"/>
                      <w:color w:val="4C4C4C"/>
                      <w:shd w:val="clear" w:color="auto" w:fill="FFFFFF"/>
                    </w:rPr>
                  </w:pPr>
                </w:p>
              </w:tc>
              <w:tc>
                <w:tcPr>
                  <w:tcW w:w="6732" w:type="dxa"/>
                  <w:tcBorders>
                    <w:top w:val="nil"/>
                    <w:left w:val="nil"/>
                    <w:bottom w:val="single" w:sz="4" w:space="0" w:color="auto"/>
                    <w:right w:val="single" w:sz="8" w:space="0" w:color="auto"/>
                  </w:tcBorders>
                  <w:tcMar>
                    <w:top w:w="0" w:type="dxa"/>
                    <w:left w:w="108" w:type="dxa"/>
                    <w:bottom w:w="0" w:type="dxa"/>
                    <w:right w:w="108" w:type="dxa"/>
                  </w:tcMar>
                </w:tcPr>
                <w:p w14:paraId="648351F4" w14:textId="590D1D93" w:rsidR="00883925" w:rsidRPr="005A4B73" w:rsidRDefault="00883925" w:rsidP="000031F9">
                  <w:pPr>
                    <w:spacing w:line="276" w:lineRule="auto"/>
                    <w:rPr>
                      <w:rFonts w:eastAsia="Calibri" w:cstheme="minorHAnsi"/>
                      <w:color w:val="4C4C4C"/>
                      <w:shd w:val="clear" w:color="auto" w:fill="FFFFFF"/>
                    </w:rPr>
                  </w:pPr>
                  <w:r>
                    <w:rPr>
                      <w:rFonts w:cstheme="minorHAnsi"/>
                      <w:color w:val="4C4C4C"/>
                      <w:shd w:val="clear" w:color="auto" w:fill="FFFFFF"/>
                    </w:rPr>
                    <w:t xml:space="preserve">Los acuerdos </w:t>
                  </w:r>
                  <w:proofErr w:type="gramStart"/>
                  <w:r>
                    <w:rPr>
                      <w:rFonts w:cstheme="minorHAnsi"/>
                      <w:i/>
                      <w:color w:val="4C4C4C"/>
                      <w:shd w:val="clear" w:color="auto" w:fill="FFFFFF"/>
                    </w:rPr>
                    <w:t>pro bono</w:t>
                  </w:r>
                  <w:proofErr w:type="gramEnd"/>
                  <w:r>
                    <w:rPr>
                      <w:rFonts w:cstheme="minorHAnsi"/>
                      <w:color w:val="4C4C4C"/>
                      <w:shd w:val="clear" w:color="auto" w:fill="FFFFFF"/>
                    </w:rPr>
                    <w:t xml:space="preserve"> se pueden utilizar cuando el </w:t>
                  </w:r>
                  <w:r>
                    <w:rPr>
                      <w:rFonts w:cstheme="minorHAnsi"/>
                      <w:b/>
                      <w:color w:val="4C4C4C"/>
                      <w:shd w:val="clear" w:color="auto" w:fill="FFFFFF"/>
                    </w:rPr>
                    <w:t>PNUD recibe bienes y/o servicios</w:t>
                  </w:r>
                  <w:r>
                    <w:rPr>
                      <w:rFonts w:cstheme="minorHAnsi"/>
                      <w:color w:val="4C4C4C"/>
                      <w:shd w:val="clear" w:color="auto" w:fill="FFFFFF"/>
                    </w:rPr>
                    <w:t xml:space="preserve"> del sector privado de acuerdo con el </w:t>
                  </w:r>
                  <w:hyperlink r:id="rId22" w:history="1">
                    <w:r w:rsidRPr="004F6607">
                      <w:rPr>
                        <w:rStyle w:val="Hyperlink"/>
                        <w:rFonts w:cstheme="minorHAnsi"/>
                        <w:shd w:val="clear" w:color="auto" w:fill="FFFFFF"/>
                      </w:rPr>
                      <w:t xml:space="preserve">Boletín del </w:t>
                    </w:r>
                    <w:proofErr w:type="gramStart"/>
                    <w:r w:rsidRPr="004F6607">
                      <w:rPr>
                        <w:rStyle w:val="Hyperlink"/>
                        <w:rFonts w:cstheme="minorHAnsi"/>
                        <w:shd w:val="clear" w:color="auto" w:fill="FFFFFF"/>
                      </w:rPr>
                      <w:t>Secretario General</w:t>
                    </w:r>
                    <w:proofErr w:type="gramEnd"/>
                    <w:r w:rsidRPr="004F6607">
                      <w:rPr>
                        <w:rStyle w:val="Hyperlink"/>
                        <w:rFonts w:cstheme="minorHAnsi"/>
                        <w:shd w:val="clear" w:color="auto" w:fill="FFFFFF"/>
                      </w:rPr>
                      <w:t xml:space="preserve"> (SG) de la ONU sobre Aceptación de bienes y servicios </w:t>
                    </w:r>
                    <w:proofErr w:type="gramStart"/>
                    <w:r w:rsidRPr="004F6607">
                      <w:rPr>
                        <w:rStyle w:val="Hyperlink"/>
                        <w:rFonts w:cstheme="minorHAnsi"/>
                        <w:i/>
                        <w:shd w:val="clear" w:color="auto" w:fill="FFFFFF"/>
                      </w:rPr>
                      <w:t>pro bono</w:t>
                    </w:r>
                    <w:proofErr w:type="gramEnd"/>
                    <w:r w:rsidRPr="004F6607">
                      <w:rPr>
                        <w:rStyle w:val="Hyperlink"/>
                        <w:rFonts w:cstheme="minorHAnsi"/>
                        <w:shd w:val="clear" w:color="auto" w:fill="FFFFFF"/>
                      </w:rPr>
                      <w:t xml:space="preserve"> (2006),</w:t>
                    </w:r>
                  </w:hyperlink>
                  <w:r>
                    <w:rPr>
                      <w:rFonts w:cstheme="minorHAnsi"/>
                      <w:color w:val="4C4C4C"/>
                      <w:shd w:val="clear" w:color="auto" w:fill="FFFFFF"/>
                    </w:rPr>
                    <w:t xml:space="preserve"> complementado por las políticas del PNUD.</w:t>
                  </w:r>
                </w:p>
                <w:p w14:paraId="455A450F" w14:textId="77777777" w:rsidR="00883925" w:rsidRPr="005A4B73" w:rsidRDefault="00883925" w:rsidP="000031F9">
                  <w:pPr>
                    <w:spacing w:line="276" w:lineRule="auto"/>
                    <w:rPr>
                      <w:rFonts w:eastAsia="Calibri" w:cstheme="minorHAnsi"/>
                      <w:color w:val="4C4C4C"/>
                      <w:shd w:val="clear" w:color="auto" w:fill="FFFFFF"/>
                    </w:rPr>
                  </w:pPr>
                  <w:r>
                    <w:rPr>
                      <w:rFonts w:cstheme="minorHAnsi"/>
                      <w:color w:val="4C4C4C"/>
                      <w:shd w:val="clear" w:color="auto" w:fill="FFFFFF"/>
                    </w:rPr>
                    <w:t>Lo siguiente define una actividad de participación del sector privado y no una adquisición:</w:t>
                  </w:r>
                </w:p>
                <w:p w14:paraId="12A29F48" w14:textId="77777777" w:rsidR="00883925" w:rsidRPr="005A4B73" w:rsidRDefault="00883925" w:rsidP="000031F9">
                  <w:pPr>
                    <w:numPr>
                      <w:ilvl w:val="0"/>
                      <w:numId w:val="2"/>
                    </w:numPr>
                    <w:shd w:val="clear" w:color="auto" w:fill="FFFFFF"/>
                    <w:spacing w:after="0" w:line="276" w:lineRule="auto"/>
                    <w:ind w:right="55"/>
                    <w:contextualSpacing/>
                    <w:rPr>
                      <w:rFonts w:eastAsia="Times New Roman" w:cstheme="minorHAnsi"/>
                      <w:color w:val="4C4C4C"/>
                      <w:shd w:val="clear" w:color="auto" w:fill="FFFFFF"/>
                    </w:rPr>
                  </w:pPr>
                  <w:r>
                    <w:rPr>
                      <w:rFonts w:cstheme="minorHAnsi"/>
                      <w:color w:val="4C4C4C"/>
                      <w:shd w:val="clear" w:color="auto" w:fill="FFFFFF"/>
                    </w:rPr>
                    <w:t>Donación gratis y sin costo para el PNUD, con la inclusión de gastos de envío, viaje y subsistencia.</w:t>
                  </w:r>
                </w:p>
                <w:p w14:paraId="284E1854" w14:textId="77777777" w:rsidR="00883925" w:rsidRPr="005A4B73" w:rsidRDefault="00883925" w:rsidP="000031F9">
                  <w:pPr>
                    <w:numPr>
                      <w:ilvl w:val="0"/>
                      <w:numId w:val="2"/>
                    </w:numPr>
                    <w:shd w:val="clear" w:color="auto" w:fill="FFFFFF"/>
                    <w:spacing w:after="0" w:line="276" w:lineRule="auto"/>
                    <w:ind w:right="55"/>
                    <w:contextualSpacing/>
                    <w:rPr>
                      <w:rFonts w:eastAsia="Times New Roman" w:cstheme="minorHAnsi"/>
                      <w:color w:val="4C4C4C"/>
                      <w:shd w:val="clear" w:color="auto" w:fill="FFFFFF"/>
                    </w:rPr>
                  </w:pPr>
                  <w:r>
                    <w:rPr>
                      <w:rFonts w:cstheme="minorHAnsi"/>
                      <w:color w:val="4C4C4C"/>
                      <w:shd w:val="clear" w:color="auto" w:fill="FFFFFF"/>
                    </w:rPr>
                    <w:t>No se crea dependencia mediante métodos o tecnologías amparados por un derecho de propiedad intelectual que significarán costos futuros y dependencia de los productos o los servicios de la empresa.</w:t>
                  </w:r>
                </w:p>
                <w:p w14:paraId="7CCCD728" w14:textId="77777777" w:rsidR="00883925" w:rsidRPr="005A4B73" w:rsidRDefault="00FE587B" w:rsidP="000031F9">
                  <w:pPr>
                    <w:shd w:val="clear" w:color="auto" w:fill="FFFFFF"/>
                    <w:tabs>
                      <w:tab w:val="left" w:pos="1805"/>
                    </w:tabs>
                    <w:spacing w:after="0" w:line="276" w:lineRule="auto"/>
                    <w:ind w:left="10" w:hanging="10"/>
                    <w:contextualSpacing/>
                    <w:rPr>
                      <w:rFonts w:eastAsia="Times New Roman" w:cstheme="minorHAnsi"/>
                      <w:color w:val="4C4C4C"/>
                      <w:shd w:val="clear" w:color="auto" w:fill="FFFFFF"/>
                    </w:rPr>
                  </w:pPr>
                  <w:r>
                    <w:tab/>
                  </w:r>
                  <w:r>
                    <w:tab/>
                  </w:r>
                </w:p>
                <w:p w14:paraId="2559ADC2" w14:textId="402A8A44" w:rsidR="00883925" w:rsidRPr="005A4B73" w:rsidRDefault="00883925" w:rsidP="000031F9">
                  <w:pPr>
                    <w:shd w:val="clear" w:color="auto" w:fill="FFFFFF"/>
                    <w:spacing w:after="0" w:line="276" w:lineRule="auto"/>
                    <w:ind w:left="10" w:hanging="10"/>
                    <w:contextualSpacing/>
                    <w:rPr>
                      <w:rFonts w:eastAsia="Times New Roman" w:cstheme="minorHAnsi"/>
                      <w:color w:val="4C4C4C"/>
                      <w:shd w:val="clear" w:color="auto" w:fill="FFFFFF"/>
                    </w:rPr>
                  </w:pPr>
                  <w:r>
                    <w:rPr>
                      <w:rFonts w:cstheme="minorHAnsi"/>
                      <w:color w:val="4C4C4C"/>
                      <w:shd w:val="clear" w:color="auto" w:fill="FFFFFF"/>
                    </w:rPr>
                    <w:t xml:space="preserve">La valoración y la presentación de informes de contribuciones </w:t>
                  </w:r>
                  <w:proofErr w:type="gramStart"/>
                  <w:r>
                    <w:rPr>
                      <w:rFonts w:cstheme="minorHAnsi"/>
                      <w:i/>
                      <w:color w:val="4C4C4C"/>
                      <w:shd w:val="clear" w:color="auto" w:fill="FFFFFF"/>
                    </w:rPr>
                    <w:t>pro bono</w:t>
                  </w:r>
                  <w:proofErr w:type="gramEnd"/>
                  <w:r>
                    <w:rPr>
                      <w:rFonts w:cstheme="minorHAnsi"/>
                      <w:color w:val="4C4C4C"/>
                      <w:shd w:val="clear" w:color="auto" w:fill="FFFFFF"/>
                    </w:rPr>
                    <w:t xml:space="preserve"> se deben realizar de acuerdo con las Normas de Contabilidad del Sistema de las Naciones Unidas. </w:t>
                  </w:r>
                  <w:r w:rsidR="00FB2A77">
                    <w:rPr>
                      <w:rFonts w:cstheme="minorHAnsi"/>
                      <w:color w:val="4C4C4C"/>
                      <w:shd w:val="clear" w:color="auto" w:fill="FFFFFF"/>
                    </w:rPr>
                    <w:t>L</w:t>
                  </w:r>
                  <w:r>
                    <w:rPr>
                      <w:rFonts w:cstheme="minorHAnsi"/>
                      <w:color w:val="4C4C4C"/>
                      <w:shd w:val="clear" w:color="auto" w:fill="FFFFFF"/>
                    </w:rPr>
                    <w:t>a valoración de la contribución se debe calcular a un valor razonable, con la inclusión de la valoración del donante, si corresponde, según lo determine la dependencia del PNUD involucrada. Se pueden dirigir las consultas relacionadas con la presentación de informes o la valoración de tales contribuciones a la Oficina del Contralor.</w:t>
                  </w:r>
                </w:p>
              </w:tc>
            </w:tr>
          </w:tbl>
          <w:p w14:paraId="556FC2CB" w14:textId="77777777" w:rsidR="00883925" w:rsidRPr="005A4B73" w:rsidRDefault="00883925" w:rsidP="00B36788">
            <w:pPr>
              <w:spacing w:after="0" w:line="240" w:lineRule="auto"/>
              <w:jc w:val="both"/>
              <w:rPr>
                <w:rFonts w:eastAsia="Calibri" w:cs="Times New Roman"/>
                <w:shd w:val="clear" w:color="auto" w:fill="FFFFFF"/>
              </w:rPr>
            </w:pPr>
          </w:p>
          <w:p w14:paraId="6E4760A3" w14:textId="77777777" w:rsidR="00883925" w:rsidRPr="005A4B73" w:rsidRDefault="00883925" w:rsidP="00B36788">
            <w:pPr>
              <w:spacing w:after="0" w:line="240" w:lineRule="auto"/>
              <w:jc w:val="both"/>
              <w:rPr>
                <w:rFonts w:eastAsia="Calibri" w:cs="Times New Roman"/>
                <w:shd w:val="clear" w:color="auto" w:fill="FFFFFF"/>
              </w:rPr>
            </w:pPr>
          </w:p>
          <w:p w14:paraId="1A097708" w14:textId="77777777" w:rsidR="00883925" w:rsidRPr="00C0672B" w:rsidRDefault="00883925" w:rsidP="00B36788">
            <w:pPr>
              <w:spacing w:after="0" w:line="240" w:lineRule="auto"/>
              <w:jc w:val="both"/>
              <w:rPr>
                <w:rFonts w:eastAsia="Calibri" w:cs="Times New Roman"/>
                <w:b/>
                <w:color w:val="333333"/>
              </w:rPr>
            </w:pPr>
            <w:r w:rsidRPr="00C0672B">
              <w:rPr>
                <w:b/>
                <w:color w:val="333333"/>
              </w:rPr>
              <w:t>Designación de Autoridad</w:t>
            </w:r>
          </w:p>
          <w:p w14:paraId="1827E876" w14:textId="77777777" w:rsidR="00883925" w:rsidRPr="00C0672B" w:rsidRDefault="00883925" w:rsidP="00B36788">
            <w:pPr>
              <w:spacing w:after="0" w:line="240" w:lineRule="auto"/>
              <w:jc w:val="both"/>
              <w:rPr>
                <w:rFonts w:eastAsia="Calibri" w:cs="Times New Roman"/>
                <w:color w:val="333333"/>
              </w:rPr>
            </w:pPr>
          </w:p>
          <w:p w14:paraId="5688108D" w14:textId="1ACC3E9F" w:rsidR="00883925" w:rsidRPr="00C0672B" w:rsidRDefault="00883925" w:rsidP="005F0F3B">
            <w:pPr>
              <w:pStyle w:val="ListParagraph"/>
              <w:numPr>
                <w:ilvl w:val="0"/>
                <w:numId w:val="4"/>
              </w:numPr>
              <w:spacing w:after="0" w:line="240" w:lineRule="auto"/>
              <w:rPr>
                <w:rFonts w:cs="Times New Roman"/>
                <w:color w:val="333333"/>
              </w:rPr>
            </w:pPr>
            <w:r w:rsidRPr="00C0672B">
              <w:rPr>
                <w:color w:val="333333"/>
              </w:rPr>
              <w:t xml:space="preserve">La autoridad para firmar un </w:t>
            </w:r>
            <w:proofErr w:type="spellStart"/>
            <w:r w:rsidRPr="00C0672B">
              <w:rPr>
                <w:color w:val="333333"/>
              </w:rPr>
              <w:t>MoU</w:t>
            </w:r>
            <w:proofErr w:type="spellEnd"/>
            <w:r w:rsidRPr="00C0672B">
              <w:rPr>
                <w:color w:val="333333"/>
              </w:rPr>
              <w:t xml:space="preserve">, acuerdos de asociación para </w:t>
            </w:r>
            <w:r w:rsidR="005F0F3B" w:rsidRPr="00C0672B">
              <w:rPr>
                <w:color w:val="333333"/>
              </w:rPr>
              <w:t>los acuerdos de financiamiento</w:t>
            </w:r>
            <w:r w:rsidRPr="00C0672B">
              <w:rPr>
                <w:color w:val="333333"/>
              </w:rPr>
              <w:t xml:space="preserve"> y contribuciones </w:t>
            </w:r>
            <w:proofErr w:type="gramStart"/>
            <w:r w:rsidRPr="00C0672B">
              <w:rPr>
                <w:i/>
                <w:color w:val="333333"/>
              </w:rPr>
              <w:t>pro bono</w:t>
            </w:r>
            <w:proofErr w:type="gramEnd"/>
            <w:r w:rsidRPr="00C0672B">
              <w:rPr>
                <w:color w:val="333333"/>
              </w:rPr>
              <w:t xml:space="preserve"> se delega al RC/RR o a la persona designada en una Oficina </w:t>
            </w:r>
            <w:proofErr w:type="gramStart"/>
            <w:r w:rsidR="008B32CD" w:rsidRPr="00C0672B">
              <w:rPr>
                <w:color w:val="333333"/>
              </w:rPr>
              <w:t xml:space="preserve">de </w:t>
            </w:r>
            <w:r w:rsidRPr="00C0672B">
              <w:rPr>
                <w:color w:val="333333"/>
              </w:rPr>
              <w:t xml:space="preserve"> País</w:t>
            </w:r>
            <w:proofErr w:type="gramEnd"/>
            <w:r w:rsidRPr="00C0672B">
              <w:rPr>
                <w:color w:val="333333"/>
              </w:rPr>
              <w:t>, siempre que se cumplan las siguientes condiciones:</w:t>
            </w:r>
          </w:p>
          <w:p w14:paraId="6D24D101" w14:textId="77777777" w:rsidR="00054593" w:rsidRPr="00C0672B" w:rsidRDefault="00054593" w:rsidP="00054593">
            <w:pPr>
              <w:pStyle w:val="ListParagraph"/>
              <w:spacing w:after="0" w:line="240" w:lineRule="auto"/>
              <w:ind w:firstLine="0"/>
              <w:rPr>
                <w:rFonts w:cs="Times New Roman"/>
                <w:color w:val="333333"/>
              </w:rPr>
            </w:pPr>
          </w:p>
          <w:p w14:paraId="63489C5A" w14:textId="77777777" w:rsidR="00883925" w:rsidRPr="00C0672B" w:rsidRDefault="00883925" w:rsidP="007C0573">
            <w:pPr>
              <w:pStyle w:val="ListParagraph"/>
              <w:numPr>
                <w:ilvl w:val="1"/>
                <w:numId w:val="4"/>
              </w:numPr>
              <w:shd w:val="clear" w:color="auto" w:fill="FFFFFF"/>
              <w:spacing w:after="0" w:line="276" w:lineRule="auto"/>
              <w:rPr>
                <w:rFonts w:cs="Times New Roman"/>
                <w:color w:val="333333"/>
                <w:shd w:val="clear" w:color="auto" w:fill="FFFFFF"/>
              </w:rPr>
            </w:pPr>
            <w:r w:rsidRPr="00C0672B">
              <w:rPr>
                <w:color w:val="333333"/>
              </w:rPr>
              <w:t>El acuerdo tiene implicaciones solo para un país (es decir, el país por el que el personal directivo superior es responsable).</w:t>
            </w:r>
          </w:p>
          <w:p w14:paraId="4315913A" w14:textId="77777777" w:rsidR="00883925" w:rsidRPr="00C0672B" w:rsidRDefault="00883925"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La relación que se entabla es con una entidad con base nacional o con una rama nacional de una entidad multinacional.</w:t>
            </w:r>
          </w:p>
          <w:p w14:paraId="082817E7" w14:textId="77777777" w:rsidR="00883925" w:rsidRPr="00C0672B" w:rsidRDefault="007821EC"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El acuerdo cumple con las respectivas plantillas estándar.</w:t>
            </w:r>
          </w:p>
          <w:p w14:paraId="14308159" w14:textId="77777777" w:rsidR="00054593" w:rsidRPr="00C0672B" w:rsidRDefault="00054593" w:rsidP="00B36788">
            <w:pPr>
              <w:spacing w:after="0" w:line="240" w:lineRule="auto"/>
              <w:jc w:val="both"/>
              <w:rPr>
                <w:rFonts w:eastAsia="Calibri" w:cs="Times New Roman"/>
                <w:color w:val="333333"/>
              </w:rPr>
            </w:pPr>
          </w:p>
          <w:p w14:paraId="2EB2E52C" w14:textId="798249D5" w:rsidR="00883925" w:rsidRPr="00C0672B" w:rsidRDefault="00883925" w:rsidP="007A61A4">
            <w:pPr>
              <w:pStyle w:val="ListParagraph"/>
              <w:numPr>
                <w:ilvl w:val="0"/>
                <w:numId w:val="4"/>
              </w:numPr>
              <w:spacing w:after="0" w:line="240" w:lineRule="auto"/>
              <w:rPr>
                <w:rFonts w:cs="Times New Roman"/>
                <w:color w:val="333333"/>
                <w:shd w:val="clear" w:color="auto" w:fill="FFFFFF"/>
              </w:rPr>
            </w:pPr>
            <w:r w:rsidRPr="00C0672B">
              <w:rPr>
                <w:color w:val="333333"/>
              </w:rPr>
              <w:t xml:space="preserve">La autoridad para firmar un </w:t>
            </w:r>
            <w:proofErr w:type="spellStart"/>
            <w:r w:rsidRPr="00C0672B">
              <w:rPr>
                <w:color w:val="333333"/>
              </w:rPr>
              <w:t>MoU</w:t>
            </w:r>
            <w:proofErr w:type="spellEnd"/>
            <w:r w:rsidRPr="00C0672B">
              <w:rPr>
                <w:color w:val="333333"/>
              </w:rPr>
              <w:t xml:space="preserve">, un acuerdo de asociación para contribuciones </w:t>
            </w:r>
            <w:proofErr w:type="gramStart"/>
            <w:r w:rsidRPr="00C0672B">
              <w:rPr>
                <w:i/>
                <w:color w:val="333333"/>
              </w:rPr>
              <w:t>pro bono</w:t>
            </w:r>
            <w:proofErr w:type="gramEnd"/>
            <w:r w:rsidRPr="00C0672B">
              <w:rPr>
                <w:color w:val="333333"/>
              </w:rPr>
              <w:t xml:space="preserve"> </w:t>
            </w:r>
            <w:r w:rsidR="007A61A4" w:rsidRPr="00C0672B">
              <w:rPr>
                <w:color w:val="333333"/>
              </w:rPr>
              <w:t xml:space="preserve">y acuerdos de financiamiento </w:t>
            </w:r>
            <w:r w:rsidRPr="00C0672B">
              <w:rPr>
                <w:color w:val="333333"/>
              </w:rPr>
              <w:t xml:space="preserve">se delega al </w:t>
            </w:r>
            <w:proofErr w:type="gramStart"/>
            <w:r w:rsidRPr="00C0672B">
              <w:rPr>
                <w:color w:val="333333"/>
              </w:rPr>
              <w:t>Director</w:t>
            </w:r>
            <w:proofErr w:type="gramEnd"/>
            <w:r w:rsidRPr="00C0672B">
              <w:rPr>
                <w:color w:val="333333"/>
              </w:rPr>
              <w:t xml:space="preserve"> de la Dirección Regional o a la persona designada en una Dirección Regional, siempre que se cumplan las siguientes condiciones:</w:t>
            </w:r>
          </w:p>
          <w:p w14:paraId="3F8021BD" w14:textId="77777777" w:rsidR="008736D8" w:rsidRPr="00C0672B" w:rsidRDefault="008736D8"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 xml:space="preserve">El acuerdo tiene implicaciones solo para una región (es decir, la región por la que el </w:t>
            </w:r>
            <w:proofErr w:type="gramStart"/>
            <w:r w:rsidRPr="00C0672B">
              <w:rPr>
                <w:color w:val="333333"/>
              </w:rPr>
              <w:t>Director</w:t>
            </w:r>
            <w:proofErr w:type="gramEnd"/>
            <w:r w:rsidRPr="00C0672B">
              <w:rPr>
                <w:color w:val="333333"/>
              </w:rPr>
              <w:t xml:space="preserve"> de la Dirección es responsable).</w:t>
            </w:r>
          </w:p>
          <w:p w14:paraId="6F91AAE6" w14:textId="288B2511" w:rsidR="0087010F" w:rsidRPr="00C0672B" w:rsidRDefault="008736D8" w:rsidP="007C0573">
            <w:pPr>
              <w:numPr>
                <w:ilvl w:val="1"/>
                <w:numId w:val="4"/>
              </w:numPr>
              <w:shd w:val="clear" w:color="auto" w:fill="FFFFFF"/>
              <w:spacing w:after="0" w:line="276" w:lineRule="auto"/>
              <w:ind w:right="55"/>
              <w:contextualSpacing/>
              <w:jc w:val="both"/>
              <w:rPr>
                <w:rFonts w:eastAsia="Calibri" w:cs="Times New Roman"/>
                <w:color w:val="333333"/>
                <w:shd w:val="clear" w:color="auto" w:fill="FFFFFF"/>
              </w:rPr>
            </w:pPr>
            <w:r w:rsidRPr="00C0672B">
              <w:rPr>
                <w:color w:val="333333"/>
              </w:rPr>
              <w:t>La relación que se entabla es con una entidad con base regional o con una rama regional de una entidad multinacional.</w:t>
            </w:r>
          </w:p>
          <w:p w14:paraId="231FE630" w14:textId="77777777" w:rsidR="0004314A" w:rsidRPr="00C0672B" w:rsidRDefault="0087010F" w:rsidP="0005080A">
            <w:pPr>
              <w:numPr>
                <w:ilvl w:val="1"/>
                <w:numId w:val="4"/>
              </w:numPr>
              <w:shd w:val="clear" w:color="auto" w:fill="FFFFFF"/>
              <w:spacing w:after="0" w:line="276" w:lineRule="auto"/>
              <w:ind w:right="55"/>
              <w:contextualSpacing/>
              <w:jc w:val="both"/>
              <w:rPr>
                <w:rFonts w:cs="Times New Roman"/>
                <w:color w:val="333333"/>
                <w:shd w:val="clear" w:color="auto" w:fill="FFFFFF"/>
              </w:rPr>
            </w:pPr>
            <w:r w:rsidRPr="00C0672B">
              <w:rPr>
                <w:color w:val="333333"/>
              </w:rPr>
              <w:t>El acuerdo se ajusta a las respectivas plantillas estándar.</w:t>
            </w:r>
          </w:p>
          <w:p w14:paraId="258FC498" w14:textId="77777777" w:rsidR="009F076F" w:rsidRPr="00C0672B" w:rsidRDefault="009F076F" w:rsidP="0005080A">
            <w:pPr>
              <w:shd w:val="clear" w:color="auto" w:fill="FFFFFF"/>
              <w:spacing w:after="0" w:line="276" w:lineRule="auto"/>
              <w:ind w:left="1440" w:right="55"/>
              <w:contextualSpacing/>
              <w:jc w:val="both"/>
              <w:rPr>
                <w:rFonts w:cs="Times New Roman"/>
                <w:color w:val="333333"/>
                <w:shd w:val="clear" w:color="auto" w:fill="FFFFFF"/>
              </w:rPr>
            </w:pPr>
          </w:p>
          <w:p w14:paraId="10214411" w14:textId="534228F9" w:rsidR="00893403" w:rsidRPr="00C0672B" w:rsidRDefault="00893403" w:rsidP="00A44814">
            <w:pPr>
              <w:pStyle w:val="ListParagraph"/>
              <w:numPr>
                <w:ilvl w:val="0"/>
                <w:numId w:val="4"/>
              </w:numPr>
              <w:spacing w:after="0" w:line="240" w:lineRule="auto"/>
              <w:rPr>
                <w:rFonts w:cs="Times New Roman"/>
                <w:color w:val="333333"/>
                <w:shd w:val="clear" w:color="auto" w:fill="FFFFFF"/>
              </w:rPr>
            </w:pPr>
            <w:proofErr w:type="spellStart"/>
            <w:r w:rsidRPr="00C0672B">
              <w:rPr>
                <w:b/>
                <w:color w:val="333333"/>
                <w:shd w:val="clear" w:color="auto" w:fill="FFFFFF"/>
              </w:rPr>
              <w:t>MoU</w:t>
            </w:r>
            <w:proofErr w:type="spellEnd"/>
            <w:r w:rsidRPr="00C0672B">
              <w:rPr>
                <w:b/>
                <w:color w:val="333333"/>
                <w:shd w:val="clear" w:color="auto" w:fill="FFFFFF"/>
              </w:rPr>
              <w:t xml:space="preserve"> Corporativos y Globales:</w:t>
            </w:r>
            <w:r w:rsidRPr="00C0672B">
              <w:rPr>
                <w:color w:val="333333"/>
              </w:rPr>
              <w:t xml:space="preserve"> es obligatorio realizar un proceso de revisión corporativa en los dos casos siguientes:</w:t>
            </w:r>
          </w:p>
          <w:p w14:paraId="673CF91F" w14:textId="77777777" w:rsidR="00893403" w:rsidRPr="00C0672B" w:rsidRDefault="00893403" w:rsidP="00FC1E2E">
            <w:pPr>
              <w:pStyle w:val="ListParagraph"/>
              <w:numPr>
                <w:ilvl w:val="1"/>
                <w:numId w:val="4"/>
              </w:numPr>
              <w:spacing w:after="0"/>
              <w:rPr>
                <w:rFonts w:cs="Times New Roman"/>
                <w:color w:val="333333"/>
                <w:shd w:val="clear" w:color="auto" w:fill="FFFFFF"/>
              </w:rPr>
            </w:pPr>
            <w:r w:rsidRPr="00C0672B">
              <w:rPr>
                <w:color w:val="333333"/>
              </w:rPr>
              <w:t xml:space="preserve">Si el </w:t>
            </w:r>
            <w:proofErr w:type="spellStart"/>
            <w:r w:rsidRPr="00C0672B">
              <w:rPr>
                <w:color w:val="333333"/>
              </w:rPr>
              <w:t>MoU</w:t>
            </w:r>
            <w:proofErr w:type="spellEnd"/>
            <w:r w:rsidRPr="00C0672B">
              <w:rPr>
                <w:color w:val="333333"/>
              </w:rPr>
              <w:t xml:space="preserve"> debe ser firmado por el Administrador o el Administrador Asociado; o</w:t>
            </w:r>
          </w:p>
          <w:p w14:paraId="292E0CE7" w14:textId="77777777" w:rsidR="00893403" w:rsidRPr="00C0672B" w:rsidRDefault="00893403" w:rsidP="00FC1E2E">
            <w:pPr>
              <w:pStyle w:val="ListParagraph"/>
              <w:numPr>
                <w:ilvl w:val="1"/>
                <w:numId w:val="4"/>
              </w:numPr>
              <w:spacing w:after="0"/>
              <w:rPr>
                <w:rFonts w:cs="Times New Roman"/>
                <w:color w:val="333333"/>
                <w:shd w:val="clear" w:color="auto" w:fill="FFFFFF"/>
              </w:rPr>
            </w:pPr>
            <w:r w:rsidRPr="00C0672B">
              <w:rPr>
                <w:color w:val="333333"/>
              </w:rPr>
              <w:t xml:space="preserve">el </w:t>
            </w:r>
            <w:proofErr w:type="spellStart"/>
            <w:r w:rsidRPr="00C0672B">
              <w:rPr>
                <w:color w:val="333333"/>
              </w:rPr>
              <w:t>MoU</w:t>
            </w:r>
            <w:proofErr w:type="spellEnd"/>
            <w:r w:rsidRPr="00C0672B">
              <w:rPr>
                <w:color w:val="333333"/>
              </w:rPr>
              <w:t xml:space="preserve"> tiene importancia corporativa y/o aplicación global (</w:t>
            </w:r>
            <w:proofErr w:type="gramStart"/>
            <w:r w:rsidRPr="00C0672B">
              <w:rPr>
                <w:color w:val="333333"/>
              </w:rPr>
              <w:t>y</w:t>
            </w:r>
            <w:proofErr w:type="gramEnd"/>
            <w:r w:rsidRPr="00C0672B">
              <w:rPr>
                <w:color w:val="333333"/>
              </w:rPr>
              <w:t xml:space="preserve"> por lo tanto, debe ser firmado en un nivel superior, generalmente el Subsecretario General [</w:t>
            </w:r>
            <w:proofErr w:type="spellStart"/>
            <w:r w:rsidRPr="00C0672B">
              <w:rPr>
                <w:color w:val="333333"/>
              </w:rPr>
              <w:t>SsG</w:t>
            </w:r>
            <w:proofErr w:type="spellEnd"/>
            <w:r w:rsidRPr="00C0672B">
              <w:rPr>
                <w:color w:val="333333"/>
              </w:rPr>
              <w:t>]).</w:t>
            </w:r>
          </w:p>
          <w:p w14:paraId="66B1D04F" w14:textId="518BF263" w:rsidR="00893403" w:rsidRPr="00C0672B" w:rsidRDefault="000C3544" w:rsidP="00A11C74">
            <w:pPr>
              <w:pStyle w:val="ListParagraph"/>
              <w:spacing w:line="240" w:lineRule="auto"/>
              <w:ind w:firstLine="0"/>
              <w:rPr>
                <w:rFonts w:cs="Times New Roman"/>
                <w:color w:val="333333"/>
                <w:shd w:val="clear" w:color="auto" w:fill="FFFFFF"/>
              </w:rPr>
            </w:pPr>
            <w:r w:rsidRPr="00C0672B">
              <w:rPr>
                <w:color w:val="333333"/>
              </w:rPr>
              <w:t xml:space="preserve">Para iniciar una evaluación corporativa, la dirección iniciadora debe presentar el </w:t>
            </w:r>
            <w:proofErr w:type="spellStart"/>
            <w:r w:rsidRPr="00C0672B">
              <w:rPr>
                <w:color w:val="333333"/>
              </w:rPr>
              <w:t>MoU</w:t>
            </w:r>
            <w:proofErr w:type="spellEnd"/>
            <w:r w:rsidRPr="00C0672B">
              <w:rPr>
                <w:color w:val="333333"/>
              </w:rPr>
              <w:t xml:space="preserve"> al </w:t>
            </w:r>
            <w:hyperlink r:id="rId23" w:history="1">
              <w:r w:rsidRPr="00564B0C">
                <w:rPr>
                  <w:rStyle w:val="Hyperlink"/>
                  <w:shd w:val="clear" w:color="auto" w:fill="FFFFFF"/>
                </w:rPr>
                <w:t>Grupo de Asociacione</w:t>
              </w:r>
              <w:r w:rsidR="002C01EF">
                <w:rPr>
                  <w:rStyle w:val="Hyperlink"/>
                  <w:shd w:val="clear" w:color="auto" w:fill="FFFFFF"/>
                </w:rPr>
                <w:t xml:space="preserve">s </w:t>
              </w:r>
              <w:r w:rsidR="002C01EF" w:rsidRPr="002C01EF">
                <w:rPr>
                  <w:rStyle w:val="Hyperlink"/>
                  <w:shd w:val="clear" w:color="auto" w:fill="FFFFFF"/>
                </w:rPr>
                <w:t>Públicas</w:t>
              </w:r>
              <w:r w:rsidRPr="000D5F32">
                <w:rPr>
                  <w:rStyle w:val="Hyperlink"/>
                  <w:u w:val="none"/>
                </w:rPr>
                <w:t> </w:t>
              </w:r>
            </w:hyperlink>
            <w:r w:rsidRPr="00C0672B">
              <w:rPr>
                <w:color w:val="333333"/>
              </w:rPr>
              <w:t>de la Dirección de Promoción y Relaciones Externas (BERA) para su revisión y aprobación.</w:t>
            </w:r>
          </w:p>
          <w:p w14:paraId="51495631" w14:textId="77777777" w:rsidR="009F076F" w:rsidRDefault="009F076F" w:rsidP="00A11C74">
            <w:pPr>
              <w:pStyle w:val="ListParagraph"/>
              <w:spacing w:after="0" w:line="240" w:lineRule="auto"/>
              <w:ind w:firstLine="0"/>
              <w:rPr>
                <w:rFonts w:cs="Times New Roman"/>
                <w:shd w:val="clear" w:color="auto" w:fill="FFFFFF"/>
              </w:rPr>
            </w:pPr>
          </w:p>
          <w:p w14:paraId="2F333999" w14:textId="77777777" w:rsidR="00883925" w:rsidRPr="00C0672B" w:rsidRDefault="00883925" w:rsidP="00B36788">
            <w:pPr>
              <w:spacing w:after="0" w:line="240" w:lineRule="auto"/>
              <w:jc w:val="both"/>
              <w:rPr>
                <w:rFonts w:eastAsia="Calibri" w:cs="Times New Roman"/>
                <w:b/>
                <w:color w:val="333333"/>
                <w:shd w:val="clear" w:color="auto" w:fill="FFFFFF"/>
              </w:rPr>
            </w:pPr>
            <w:r w:rsidRPr="00C0672B">
              <w:rPr>
                <w:b/>
                <w:color w:val="333333"/>
                <w:shd w:val="clear" w:color="auto" w:fill="FFFFFF"/>
              </w:rPr>
              <w:t>Desviaciones de plantillas estándar</w:t>
            </w:r>
          </w:p>
          <w:p w14:paraId="0D50BC1A" w14:textId="77777777" w:rsidR="00883925" w:rsidRPr="00C0672B" w:rsidRDefault="00883925" w:rsidP="00B36788">
            <w:pPr>
              <w:spacing w:after="0" w:line="240" w:lineRule="auto"/>
              <w:jc w:val="both"/>
              <w:rPr>
                <w:rFonts w:eastAsia="Calibri" w:cs="Times New Roman"/>
                <w:color w:val="333333"/>
                <w:shd w:val="clear" w:color="auto" w:fill="FFFFFF"/>
              </w:rPr>
            </w:pPr>
          </w:p>
          <w:p w14:paraId="0BB34819" w14:textId="4AB0CCFE" w:rsidR="00883925" w:rsidRPr="002C01EF" w:rsidRDefault="00883925" w:rsidP="0005080A">
            <w:pPr>
              <w:pStyle w:val="ListParagraph"/>
              <w:numPr>
                <w:ilvl w:val="0"/>
                <w:numId w:val="4"/>
              </w:numPr>
              <w:spacing w:after="0" w:line="240" w:lineRule="auto"/>
            </w:pPr>
            <w:r w:rsidRPr="00C0672B">
              <w:rPr>
                <w:color w:val="333333"/>
              </w:rPr>
              <w:t xml:space="preserve">Cualquier desviación propuesta de las plantillas estándar de </w:t>
            </w:r>
            <w:proofErr w:type="spellStart"/>
            <w:r w:rsidRPr="00C0672B">
              <w:rPr>
                <w:color w:val="333333"/>
              </w:rPr>
              <w:t>MoU</w:t>
            </w:r>
            <w:proofErr w:type="spellEnd"/>
            <w:r w:rsidRPr="00C0672B">
              <w:rPr>
                <w:color w:val="333333"/>
              </w:rPr>
              <w:t xml:space="preserve">, </w:t>
            </w:r>
            <w:proofErr w:type="gramStart"/>
            <w:r w:rsidRPr="00C0672B">
              <w:rPr>
                <w:i/>
                <w:color w:val="333333"/>
              </w:rPr>
              <w:t>pro bono</w:t>
            </w:r>
            <w:proofErr w:type="gramEnd"/>
            <w:r w:rsidRPr="00C0672B">
              <w:rPr>
                <w:color w:val="333333"/>
              </w:rPr>
              <w:t xml:space="preserve"> y </w:t>
            </w:r>
            <w:r w:rsidR="00564B0C" w:rsidRPr="00C0672B">
              <w:rPr>
                <w:color w:val="333333"/>
              </w:rPr>
              <w:t>acuerdo de financiamiento</w:t>
            </w:r>
            <w:r w:rsidRPr="00C0672B">
              <w:rPr>
                <w:color w:val="333333"/>
              </w:rPr>
              <w:t xml:space="preserve"> debe ser revisada antes de la firma por el </w:t>
            </w:r>
            <w:proofErr w:type="gramStart"/>
            <w:r w:rsidRPr="00C0672B">
              <w:rPr>
                <w:color w:val="333333"/>
              </w:rPr>
              <w:t>Director</w:t>
            </w:r>
            <w:proofErr w:type="gramEnd"/>
            <w:r w:rsidRPr="00C0672B">
              <w:rPr>
                <w:color w:val="333333"/>
              </w:rPr>
              <w:t xml:space="preserve"> de la Oficina de Apoyo Jurídico (LSO/Dirección de Servicios de Gestión [BMS]). Todos los </w:t>
            </w:r>
            <w:proofErr w:type="spellStart"/>
            <w:r w:rsidRPr="00C0672B">
              <w:rPr>
                <w:color w:val="333333"/>
              </w:rPr>
              <w:t>MoU</w:t>
            </w:r>
            <w:proofErr w:type="spellEnd"/>
            <w:r w:rsidRPr="00C0672B">
              <w:rPr>
                <w:color w:val="333333"/>
              </w:rPr>
              <w:t xml:space="preserve"> se deben cargar en la </w:t>
            </w:r>
            <w:hyperlink r:id="rId24" w:history="1">
              <w:r w:rsidRPr="007751D2">
                <w:rPr>
                  <w:rStyle w:val="Hyperlink"/>
                </w:rPr>
                <w:t>biblioteca de MOU</w:t>
              </w:r>
            </w:hyperlink>
            <w:r>
              <w:rPr>
                <w:color w:val="0563C1"/>
                <w:u w:val="single"/>
              </w:rPr>
              <w:t xml:space="preserve"> </w:t>
            </w:r>
            <w:r>
              <w:rPr>
                <w:color w:val="333333"/>
              </w:rPr>
              <w:t>de asociaciones.</w:t>
            </w:r>
          </w:p>
          <w:p w14:paraId="369F4C6B" w14:textId="00DE93D0" w:rsidR="00883925" w:rsidRPr="005A4B73" w:rsidRDefault="00883925" w:rsidP="00B36788">
            <w:pPr>
              <w:shd w:val="clear" w:color="auto" w:fill="FFFFFF"/>
              <w:spacing w:before="100" w:beforeAutospacing="1" w:after="100" w:afterAutospacing="1" w:line="270" w:lineRule="atLeast"/>
              <w:jc w:val="both"/>
              <w:rPr>
                <w:rFonts w:eastAsia="Times New Roman" w:cs="Arial"/>
                <w:b/>
                <w:bCs/>
                <w:color w:val="333333"/>
              </w:rPr>
            </w:pPr>
            <w:proofErr w:type="spellStart"/>
            <w:r>
              <w:rPr>
                <w:b/>
                <w:color w:val="333333"/>
              </w:rPr>
              <w:t>Codefinición</w:t>
            </w:r>
            <w:proofErr w:type="spellEnd"/>
            <w:r>
              <w:rPr>
                <w:b/>
                <w:color w:val="333333"/>
              </w:rPr>
              <w:t xml:space="preserve"> de un posible proyecto con socios comerciales.</w:t>
            </w:r>
          </w:p>
          <w:p w14:paraId="1466C663" w14:textId="462C0050" w:rsidR="00054593" w:rsidRDefault="00883925" w:rsidP="0005080A">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El/</w:t>
            </w:r>
            <w:r w:rsidR="002C01EF">
              <w:rPr>
                <w:color w:val="333333"/>
              </w:rPr>
              <w:t>los socios</w:t>
            </w:r>
            <w:r>
              <w:rPr>
                <w:color w:val="333333"/>
              </w:rPr>
              <w:t xml:space="preserve">(s) comercial(es) tendrá(n) mucho para ofrecer al optimizar el diseño del proyecto. Las empresas pueden contribuir a la </w:t>
            </w:r>
            <w:proofErr w:type="spellStart"/>
            <w:r>
              <w:rPr>
                <w:color w:val="333333"/>
              </w:rPr>
              <w:t>codefinición</w:t>
            </w:r>
            <w:proofErr w:type="spellEnd"/>
            <w:r>
              <w:rPr>
                <w:color w:val="333333"/>
              </w:rPr>
              <w:t xml:space="preserve"> de un proyecto mediante su experiencia, información, conocimientos técnicos, tecnología, acceso a redes, herramientas de planificación y uso de infraestructura y activos, gobernanza y participación en la junta del proyecto.</w:t>
            </w:r>
          </w:p>
          <w:p w14:paraId="6FF19728" w14:textId="77777777" w:rsidR="00054593" w:rsidRDefault="00054593" w:rsidP="00054593">
            <w:pPr>
              <w:pStyle w:val="ListParagraph"/>
              <w:shd w:val="clear" w:color="auto" w:fill="FFFFFF"/>
              <w:spacing w:before="100" w:beforeAutospacing="1" w:after="100" w:afterAutospacing="1" w:line="270" w:lineRule="atLeast"/>
              <w:ind w:firstLine="0"/>
              <w:rPr>
                <w:rFonts w:eastAsia="Times New Roman" w:cs="Arial"/>
                <w:color w:val="333333"/>
              </w:rPr>
            </w:pPr>
          </w:p>
          <w:p w14:paraId="662B8FFB" w14:textId="214EC659" w:rsidR="00256157" w:rsidRPr="00054593" w:rsidRDefault="00883925" w:rsidP="0005080A">
            <w:pPr>
              <w:pStyle w:val="ListParagraph"/>
              <w:numPr>
                <w:ilvl w:val="0"/>
                <w:numId w:val="4"/>
              </w:numPr>
              <w:shd w:val="clear" w:color="auto" w:fill="FFFFFF"/>
              <w:spacing w:before="100" w:beforeAutospacing="1" w:after="100" w:afterAutospacing="1" w:line="270" w:lineRule="atLeast"/>
              <w:rPr>
                <w:rFonts w:eastAsia="Times New Roman" w:cs="Arial"/>
                <w:color w:val="333333"/>
              </w:rPr>
            </w:pPr>
            <w:r>
              <w:rPr>
                <w:color w:val="333333"/>
              </w:rPr>
              <w:t xml:space="preserve">El objetivo es asegurar que el PNUD aproveche al máximo las competencias profesionales, los activos y los recursos del sector privado en la definición del proyecto. Una </w:t>
            </w:r>
            <w:proofErr w:type="spellStart"/>
            <w:r>
              <w:rPr>
                <w:color w:val="333333"/>
              </w:rPr>
              <w:t>codefinición</w:t>
            </w:r>
            <w:proofErr w:type="spellEnd"/>
            <w:r>
              <w:rPr>
                <w:color w:val="333333"/>
              </w:rPr>
              <w:t xml:space="preserve"> del proyecto alentará al sector privado a maximizar sus contribuciones de recursos en términos de </w:t>
            </w:r>
            <w:r w:rsidR="00CF254E">
              <w:rPr>
                <w:color w:val="333333"/>
              </w:rPr>
              <w:t>f</w:t>
            </w:r>
            <w:r w:rsidR="00CF254E" w:rsidRPr="00CF254E">
              <w:rPr>
                <w:color w:val="333333"/>
              </w:rPr>
              <w:t>inanciamiento</w:t>
            </w:r>
            <w:r>
              <w:rPr>
                <w:color w:val="333333"/>
              </w:rPr>
              <w:t xml:space="preserve">, </w:t>
            </w:r>
            <w:proofErr w:type="gramStart"/>
            <w:r>
              <w:rPr>
                <w:i/>
                <w:color w:val="333333"/>
              </w:rPr>
              <w:t>pro bono</w:t>
            </w:r>
            <w:proofErr w:type="gramEnd"/>
            <w:r>
              <w:rPr>
                <w:color w:val="333333"/>
              </w:rPr>
              <w:t xml:space="preserve">, contribuciones en especie y voluntariado de </w:t>
            </w:r>
            <w:r>
              <w:rPr>
                <w:color w:val="333333"/>
              </w:rPr>
              <w:lastRenderedPageBreak/>
              <w:t>empleados. Pueden existir situaciones en que el sector privado no esté involucrado en la «</w:t>
            </w:r>
            <w:proofErr w:type="spellStart"/>
            <w:r>
              <w:rPr>
                <w:color w:val="333333"/>
              </w:rPr>
              <w:t>codefinición</w:t>
            </w:r>
            <w:proofErr w:type="spellEnd"/>
            <w:r>
              <w:rPr>
                <w:color w:val="333333"/>
              </w:rPr>
              <w:t>» pero que solo contribuya recursos según el PNUD necesite/requiera.</w:t>
            </w:r>
          </w:p>
          <w:p w14:paraId="6D30AB1A" w14:textId="77777777" w:rsidR="00054593" w:rsidRDefault="00256157" w:rsidP="00054593">
            <w:pPr>
              <w:shd w:val="clear" w:color="auto" w:fill="FFFFFF"/>
              <w:spacing w:after="0" w:line="270" w:lineRule="atLeast"/>
              <w:ind w:right="55"/>
              <w:contextualSpacing/>
              <w:jc w:val="both"/>
              <w:rPr>
                <w:rFonts w:eastAsia="Times New Roman" w:cs="Arial"/>
                <w:b/>
                <w:bCs/>
                <w:color w:val="333333"/>
              </w:rPr>
            </w:pPr>
            <w:r>
              <w:rPr>
                <w:b/>
                <w:color w:val="333333"/>
              </w:rPr>
              <w:t>Información y herramientas adicionales</w:t>
            </w:r>
          </w:p>
          <w:p w14:paraId="30930860" w14:textId="77777777" w:rsidR="00054593" w:rsidRDefault="00054593" w:rsidP="00054593">
            <w:pPr>
              <w:shd w:val="clear" w:color="auto" w:fill="FFFFFF"/>
              <w:spacing w:after="0" w:line="270" w:lineRule="atLeast"/>
              <w:ind w:right="55"/>
              <w:contextualSpacing/>
              <w:jc w:val="both"/>
              <w:rPr>
                <w:rFonts w:eastAsia="Times New Roman" w:cs="Arial"/>
                <w:b/>
                <w:bCs/>
                <w:color w:val="333333"/>
              </w:rPr>
            </w:pPr>
          </w:p>
          <w:p w14:paraId="6DCAC90D" w14:textId="676B0278" w:rsidR="00883925" w:rsidRPr="00054593" w:rsidRDefault="00521538" w:rsidP="00FC1E2E">
            <w:pPr>
              <w:pStyle w:val="ListParagraph"/>
              <w:numPr>
                <w:ilvl w:val="0"/>
                <w:numId w:val="22"/>
              </w:numPr>
              <w:shd w:val="clear" w:color="auto" w:fill="FFFFFF"/>
              <w:spacing w:after="0" w:line="270" w:lineRule="atLeast"/>
              <w:rPr>
                <w:rFonts w:eastAsia="Times New Roman" w:cs="Arial"/>
                <w:b/>
                <w:bCs/>
                <w:color w:val="333333"/>
              </w:rPr>
            </w:pPr>
            <w:hyperlink r:id="rId25" w:history="1">
              <w:r w:rsidRPr="004E13BC">
                <w:rPr>
                  <w:rStyle w:val="Hyperlink"/>
                </w:rPr>
                <w:t xml:space="preserve">Acuerdos y Plantillas de </w:t>
              </w:r>
              <w:r w:rsidR="00AC2621">
                <w:rPr>
                  <w:rStyle w:val="Hyperlink"/>
                </w:rPr>
                <w:t>F</w:t>
              </w:r>
              <w:r w:rsidR="00AC2621" w:rsidRPr="007566CA">
                <w:rPr>
                  <w:rStyle w:val="Hyperlink"/>
                </w:rPr>
                <w:t>inanciamiento</w:t>
              </w:r>
              <w:r w:rsidR="00AC2621">
                <w:rPr>
                  <w:color w:val="3E89CC"/>
                </w:rPr>
                <w:t xml:space="preserve"> </w:t>
              </w:r>
            </w:hyperlink>
            <w:r w:rsidR="00B77F05">
              <w:t>(</w:t>
            </w:r>
            <w:r w:rsidR="00B77F05" w:rsidRPr="00B77F05">
              <w:t>en inglés</w:t>
            </w:r>
            <w:r w:rsidR="00B77F05">
              <w:t>)</w:t>
            </w:r>
          </w:p>
          <w:p w14:paraId="2E81DD3A" w14:textId="5B26D392" w:rsidR="00883925" w:rsidRPr="00054593" w:rsidRDefault="00521538" w:rsidP="00FC1E2E">
            <w:pPr>
              <w:pStyle w:val="ListParagraph"/>
              <w:numPr>
                <w:ilvl w:val="0"/>
                <w:numId w:val="22"/>
              </w:numPr>
              <w:shd w:val="clear" w:color="auto" w:fill="FFFFFF"/>
              <w:spacing w:after="0" w:line="270" w:lineRule="atLeast"/>
              <w:rPr>
                <w:rFonts w:eastAsia="Times New Roman" w:cs="Arial"/>
                <w:b/>
                <w:bCs/>
                <w:color w:val="333333"/>
              </w:rPr>
            </w:pPr>
            <w:hyperlink r:id="rId26" w:history="1">
              <w:r w:rsidRPr="006B4A62">
                <w:rPr>
                  <w:rStyle w:val="Hyperlink"/>
                </w:rPr>
                <w:t>Memorando de Entendimiento</w:t>
              </w:r>
            </w:hyperlink>
            <w:r w:rsidR="0084358E">
              <w:t xml:space="preserve"> </w:t>
            </w:r>
            <w:r w:rsidR="0084358E">
              <w:t>(</w:t>
            </w:r>
            <w:r w:rsidR="0084358E" w:rsidRPr="00B77F05">
              <w:t>en inglés</w:t>
            </w:r>
            <w:r w:rsidR="0084358E">
              <w:t>)</w:t>
            </w:r>
          </w:p>
          <w:p w14:paraId="685FC75A" w14:textId="48C72E19" w:rsidR="00D10841" w:rsidRPr="002C01EF" w:rsidRDefault="00883925" w:rsidP="0005080A">
            <w:pPr>
              <w:pStyle w:val="ListParagraph"/>
              <w:numPr>
                <w:ilvl w:val="0"/>
                <w:numId w:val="22"/>
              </w:numPr>
              <w:shd w:val="clear" w:color="auto" w:fill="FFFFFF"/>
              <w:spacing w:after="0" w:line="270" w:lineRule="atLeast"/>
              <w:rPr>
                <w:b/>
                <w:bCs/>
                <w:lang w:val="pt-PT"/>
              </w:rPr>
            </w:pPr>
            <w:hyperlink r:id="rId27" w:history="1">
              <w:r w:rsidRPr="002C01EF">
                <w:rPr>
                  <w:rStyle w:val="Hyperlink"/>
                  <w:lang w:val="pt-PT"/>
                </w:rPr>
                <w:t>Biblioteca de MoU de asociaciones</w:t>
              </w:r>
            </w:hyperlink>
            <w:r w:rsidR="0084358E">
              <w:t xml:space="preserve"> </w:t>
            </w:r>
            <w:r w:rsidR="0084358E">
              <w:t>(</w:t>
            </w:r>
            <w:r w:rsidR="0084358E" w:rsidRPr="00B77F05">
              <w:t>en inglés</w:t>
            </w:r>
            <w:r w:rsidR="0084358E">
              <w:t>)</w:t>
            </w:r>
          </w:p>
          <w:p w14:paraId="7F2238AC" w14:textId="68F592DB" w:rsidR="00FD2AC1" w:rsidRPr="008E4FC2" w:rsidRDefault="00FD2AC1" w:rsidP="00FD2AC1">
            <w:pPr>
              <w:pStyle w:val="ListParagraph"/>
              <w:numPr>
                <w:ilvl w:val="0"/>
                <w:numId w:val="22"/>
              </w:numPr>
              <w:rPr>
                <w:rStyle w:val="Hyperlink"/>
                <w:bCs/>
                <w:color w:val="000000"/>
                <w:u w:val="none"/>
              </w:rPr>
            </w:pPr>
            <w:hyperlink r:id="rId28" w:history="1">
              <w:r w:rsidRPr="0005080A">
                <w:rPr>
                  <w:rStyle w:val="Hyperlink"/>
                </w:rPr>
                <w:t>Asociaciones del Sector Privado</w:t>
              </w:r>
            </w:hyperlink>
            <w:r w:rsidR="0084358E">
              <w:t xml:space="preserve"> </w:t>
            </w:r>
            <w:r w:rsidR="0084358E">
              <w:t>(</w:t>
            </w:r>
            <w:r w:rsidR="0084358E" w:rsidRPr="00B77F05">
              <w:t>en inglés</w:t>
            </w:r>
            <w:r w:rsidR="0084358E">
              <w:t>)</w:t>
            </w:r>
          </w:p>
          <w:p w14:paraId="0C4D63D9" w14:textId="669A911F" w:rsidR="008E4FC2" w:rsidRPr="0005080A" w:rsidRDefault="008E4FC2" w:rsidP="00FD2AC1">
            <w:pPr>
              <w:pStyle w:val="ListParagraph"/>
              <w:numPr>
                <w:ilvl w:val="0"/>
                <w:numId w:val="22"/>
              </w:numPr>
              <w:rPr>
                <w:bCs/>
              </w:rPr>
            </w:pPr>
            <w:hyperlink r:id="rId29" w:history="1">
              <w:r w:rsidRPr="00506099">
                <w:rPr>
                  <w:rStyle w:val="Hyperlink"/>
                  <w:bCs/>
                </w:rPr>
                <w:t>Conjunto de herramientas para la movilización de recursos del sector privado</w:t>
              </w:r>
            </w:hyperlink>
            <w:r w:rsidR="0084358E">
              <w:t xml:space="preserve"> </w:t>
            </w:r>
            <w:r w:rsidR="0084358E">
              <w:t>(</w:t>
            </w:r>
            <w:r w:rsidR="0084358E" w:rsidRPr="00B77F05">
              <w:t>en inglés</w:t>
            </w:r>
            <w:r w:rsidR="0084358E">
              <w:t>)</w:t>
            </w:r>
          </w:p>
        </w:tc>
      </w:tr>
    </w:tbl>
    <w:p w14:paraId="77360DBC" w14:textId="2A5FFBD5" w:rsidR="00C04D69" w:rsidRPr="005A4B73" w:rsidRDefault="00C04D69" w:rsidP="00B36788">
      <w:pPr>
        <w:shd w:val="clear" w:color="auto" w:fill="FFFFFF"/>
        <w:spacing w:after="0" w:line="270" w:lineRule="atLeast"/>
        <w:jc w:val="both"/>
        <w:rPr>
          <w:rFonts w:eastAsia="Calibri" w:cs="Times New Roman"/>
          <w:b/>
          <w:bCs/>
          <w:color w:val="C00000"/>
        </w:rPr>
      </w:pPr>
    </w:p>
    <w:p w14:paraId="5F015527" w14:textId="77777777" w:rsidR="00C33D2A" w:rsidRDefault="00C33D2A" w:rsidP="00B36788">
      <w:pPr>
        <w:shd w:val="clear" w:color="auto" w:fill="FFFFFF"/>
        <w:spacing w:after="0" w:line="270" w:lineRule="atLeast"/>
        <w:jc w:val="both"/>
        <w:rPr>
          <w:rFonts w:eastAsia="Calibri" w:cs="Times New Roman"/>
          <w:b/>
          <w:bCs/>
          <w:color w:val="000000" w:themeColor="text1"/>
        </w:rPr>
      </w:pPr>
    </w:p>
    <w:p w14:paraId="49738ED5" w14:textId="39D09A34" w:rsidR="00883925" w:rsidRPr="00D136EE" w:rsidRDefault="00C33D2A" w:rsidP="00B36788">
      <w:pPr>
        <w:shd w:val="clear" w:color="auto" w:fill="FFFFFF"/>
        <w:spacing w:after="0" w:line="270" w:lineRule="atLeast"/>
        <w:jc w:val="both"/>
        <w:rPr>
          <w:rFonts w:eastAsia="Calibri" w:cs="Times New Roman"/>
          <w:b/>
          <w:bCs/>
          <w:color w:val="333333"/>
        </w:rPr>
      </w:pPr>
      <w:r w:rsidRPr="00D136EE">
        <w:rPr>
          <w:b/>
          <w:color w:val="333333"/>
        </w:rPr>
        <w:t>SUPERVISIÓN DE ASOCIACIONES CON EL SECTOR PRIVADO</w:t>
      </w:r>
    </w:p>
    <w:p w14:paraId="0AD158A4" w14:textId="77777777" w:rsidR="00D94566" w:rsidRPr="00D136EE" w:rsidRDefault="00D94566" w:rsidP="00B36788">
      <w:pPr>
        <w:shd w:val="clear" w:color="auto" w:fill="FFFFFF"/>
        <w:spacing w:after="0" w:line="270" w:lineRule="atLeast"/>
        <w:jc w:val="both"/>
        <w:rPr>
          <w:rFonts w:eastAsia="Calibri" w:cs="Times New Roman"/>
          <w:b/>
          <w:bCs/>
          <w:color w:val="333333"/>
        </w:rPr>
      </w:pPr>
    </w:p>
    <w:p w14:paraId="3823EEBF" w14:textId="77777777" w:rsidR="00883925" w:rsidRPr="00D136EE" w:rsidRDefault="00883925" w:rsidP="0005080A">
      <w:pPr>
        <w:pStyle w:val="ListParagraph"/>
        <w:numPr>
          <w:ilvl w:val="0"/>
          <w:numId w:val="4"/>
        </w:numPr>
        <w:shd w:val="clear" w:color="auto" w:fill="FFFFFF"/>
        <w:spacing w:after="0" w:line="270" w:lineRule="atLeast"/>
        <w:rPr>
          <w:rFonts w:cs="Times New Roman"/>
          <w:color w:val="333333"/>
        </w:rPr>
      </w:pPr>
      <w:r w:rsidRPr="00D136EE">
        <w:rPr>
          <w:color w:val="333333"/>
        </w:rPr>
        <w:t xml:space="preserve">La supervisión de programa es una función continua que provee a las partes interesadas más importantes indicaciones tempranas de la calidad, la cantidad y la puntualidad del progreso hacia la entrega de los resultados intencionados.  </w:t>
      </w:r>
    </w:p>
    <w:p w14:paraId="27EC97A9" w14:textId="77777777" w:rsidR="00C04D69" w:rsidRPr="005A4B73" w:rsidRDefault="00C04D69" w:rsidP="00B36788">
      <w:pPr>
        <w:shd w:val="clear" w:color="auto" w:fill="FFFFFF"/>
        <w:spacing w:after="0" w:line="270" w:lineRule="atLeast"/>
        <w:jc w:val="both"/>
        <w:rPr>
          <w:rFonts w:eastAsia="Calibri" w:cs="Times New Roman"/>
          <w:color w:val="333333"/>
        </w:rPr>
      </w:pPr>
    </w:p>
    <w:p w14:paraId="54DFFF44" w14:textId="01DEC26B" w:rsidR="00883925" w:rsidRPr="00076415" w:rsidRDefault="00883925" w:rsidP="0005080A">
      <w:pPr>
        <w:pStyle w:val="ListParagraph"/>
        <w:numPr>
          <w:ilvl w:val="0"/>
          <w:numId w:val="4"/>
        </w:numPr>
        <w:shd w:val="clear" w:color="auto" w:fill="FFFFFF"/>
        <w:spacing w:after="0" w:line="270" w:lineRule="atLeast"/>
      </w:pPr>
      <w:r>
        <w:rPr>
          <w:color w:val="333333"/>
        </w:rPr>
        <w:t xml:space="preserve">La supervisión del progreso de las asociaciones del sector privado debe guiarse por las herramientas y los mecanismos de políticas descritos en las secciones de las POPP de </w:t>
      </w:r>
      <w:hyperlink r:id="rId30" w:history="1">
        <w:r w:rsidRPr="00FD2AC1">
          <w:rPr>
            <w:rStyle w:val="Hyperlink"/>
          </w:rPr>
          <w:t>Gestión de Programa y Gestión de Proyectos</w:t>
        </w:r>
      </w:hyperlink>
      <w:r>
        <w:rPr>
          <w:color w:val="0000FF"/>
        </w:rPr>
        <w:t>.</w:t>
      </w:r>
    </w:p>
    <w:p w14:paraId="46CF7517" w14:textId="77777777" w:rsidR="00076415" w:rsidRPr="00076415" w:rsidRDefault="00076415" w:rsidP="00076415">
      <w:pPr>
        <w:pStyle w:val="ListParagraph"/>
        <w:shd w:val="clear" w:color="auto" w:fill="FFFFFF"/>
        <w:spacing w:after="0" w:line="270" w:lineRule="atLeast"/>
        <w:ind w:firstLine="0"/>
      </w:pPr>
    </w:p>
    <w:p w14:paraId="0C3DB985" w14:textId="77777777" w:rsidR="00076415" w:rsidRDefault="00076415" w:rsidP="00076415">
      <w:pPr>
        <w:shd w:val="clear" w:color="auto" w:fill="FFFFFF"/>
        <w:spacing w:after="0" w:line="270" w:lineRule="atLeast"/>
      </w:pPr>
    </w:p>
    <w:p w14:paraId="68208210" w14:textId="77777777" w:rsidR="00FD1245" w:rsidRPr="000852C2" w:rsidRDefault="00FD1245" w:rsidP="00076415">
      <w:pPr>
        <w:pStyle w:val="NormalWeb"/>
        <w:shd w:val="clear" w:color="auto" w:fill="FFFFFF"/>
        <w:spacing w:before="0" w:beforeAutospacing="0" w:after="0" w:afterAutospacing="0"/>
        <w:jc w:val="center"/>
        <w:rPr>
          <w:rFonts w:ascii="Calibri" w:hAnsi="Calibri"/>
          <w:b/>
          <w:bCs/>
          <w:i/>
          <w:iCs/>
          <w:color w:val="333333"/>
          <w:sz w:val="22"/>
          <w:szCs w:val="22"/>
          <w:lang w:val="es-ES"/>
        </w:rPr>
      </w:pPr>
    </w:p>
    <w:p w14:paraId="738C81B3" w14:textId="77777777" w:rsidR="00FD1245" w:rsidRPr="000852C2" w:rsidRDefault="00FD1245" w:rsidP="00076415">
      <w:pPr>
        <w:pStyle w:val="NormalWeb"/>
        <w:shd w:val="clear" w:color="auto" w:fill="FFFFFF"/>
        <w:spacing w:before="0" w:beforeAutospacing="0" w:after="0" w:afterAutospacing="0"/>
        <w:jc w:val="center"/>
        <w:rPr>
          <w:rFonts w:ascii="Calibri" w:hAnsi="Calibri"/>
          <w:b/>
          <w:bCs/>
          <w:i/>
          <w:iCs/>
          <w:color w:val="333333"/>
          <w:sz w:val="22"/>
          <w:szCs w:val="22"/>
          <w:lang w:val="es-ES"/>
        </w:rPr>
      </w:pPr>
    </w:p>
    <w:p w14:paraId="11854630" w14:textId="77777777" w:rsidR="00FD1245" w:rsidRPr="0084358E" w:rsidRDefault="00FD1245" w:rsidP="00076415">
      <w:pPr>
        <w:pStyle w:val="NormalWeb"/>
        <w:shd w:val="clear" w:color="auto" w:fill="FFFFFF"/>
        <w:spacing w:before="0" w:beforeAutospacing="0" w:after="0" w:afterAutospacing="0"/>
        <w:jc w:val="center"/>
        <w:rPr>
          <w:rFonts w:ascii="Calibri" w:hAnsi="Calibri"/>
          <w:b/>
          <w:bCs/>
          <w:i/>
          <w:iCs/>
          <w:sz w:val="22"/>
          <w:szCs w:val="22"/>
          <w:lang w:val="es-ES"/>
        </w:rPr>
      </w:pPr>
    </w:p>
    <w:p w14:paraId="1E812F18" w14:textId="40E26831" w:rsidR="00076415" w:rsidRPr="0084358E" w:rsidRDefault="00076415" w:rsidP="0084358E">
      <w:pPr>
        <w:pStyle w:val="NormalWeb"/>
        <w:shd w:val="clear" w:color="auto" w:fill="FFFFFF"/>
        <w:spacing w:before="0" w:beforeAutospacing="0" w:after="0" w:afterAutospacing="0"/>
        <w:rPr>
          <w:rFonts w:ascii="Calibri" w:hAnsi="Calibri"/>
          <w:sz w:val="22"/>
          <w:szCs w:val="22"/>
        </w:rPr>
      </w:pPr>
      <w:r w:rsidRPr="0084358E">
        <w:rPr>
          <w:rFonts w:ascii="Calibri" w:hAnsi="Calibri"/>
          <w:b/>
          <w:bCs/>
          <w:i/>
          <w:iCs/>
          <w:sz w:val="22"/>
          <w:szCs w:val="22"/>
        </w:rPr>
        <w:t>Disclaimer:</w:t>
      </w:r>
      <w:r w:rsidRPr="0084358E">
        <w:rPr>
          <w:rFonts w:ascii="Calibri" w:hAnsi="Calibri"/>
          <w:i/>
          <w:iCs/>
          <w:sz w:val="22"/>
          <w:szCs w:val="22"/>
        </w:rPr>
        <w:t xml:space="preserve"> This document was translated from English into Spanish. In the event of any discrepancy between this translation and the original English document, the original English document shall prevail.</w:t>
      </w:r>
    </w:p>
    <w:p w14:paraId="5CF86B8E" w14:textId="77777777" w:rsidR="00076415" w:rsidRPr="0084358E" w:rsidRDefault="00076415" w:rsidP="0084358E">
      <w:pPr>
        <w:pStyle w:val="NormalWeb"/>
        <w:shd w:val="clear" w:color="auto" w:fill="FFFFFF"/>
        <w:spacing w:before="0" w:beforeAutospacing="0" w:after="0" w:afterAutospacing="0"/>
        <w:rPr>
          <w:rFonts w:ascii="Calibri" w:hAnsi="Calibri"/>
          <w:sz w:val="22"/>
          <w:szCs w:val="22"/>
        </w:rPr>
      </w:pPr>
      <w:r w:rsidRPr="0084358E">
        <w:rPr>
          <w:rFonts w:ascii="Calibri" w:hAnsi="Calibri"/>
          <w:i/>
          <w:iCs/>
          <w:sz w:val="22"/>
          <w:szCs w:val="22"/>
        </w:rPr>
        <w:t> </w:t>
      </w:r>
    </w:p>
    <w:p w14:paraId="228B23DD" w14:textId="3F5A8844" w:rsidR="00076415" w:rsidRPr="0084358E" w:rsidRDefault="00076415" w:rsidP="0084358E">
      <w:pPr>
        <w:pStyle w:val="NormalWeb"/>
        <w:shd w:val="clear" w:color="auto" w:fill="FFFFFF"/>
        <w:spacing w:before="0" w:beforeAutospacing="0" w:after="0" w:afterAutospacing="0"/>
        <w:rPr>
          <w:rFonts w:ascii="Calibri" w:hAnsi="Calibri"/>
          <w:sz w:val="22"/>
          <w:szCs w:val="22"/>
          <w:lang w:val="es-ES_tradnl"/>
        </w:rPr>
      </w:pPr>
      <w:r w:rsidRPr="0084358E">
        <w:rPr>
          <w:rFonts w:ascii="Calibri" w:hAnsi="Calibri"/>
          <w:b/>
          <w:bCs/>
          <w:i/>
          <w:iCs/>
          <w:sz w:val="22"/>
          <w:szCs w:val="22"/>
          <w:shd w:val="clear" w:color="auto" w:fill="FFFFFF"/>
          <w:lang w:val="es-ES_tradnl"/>
        </w:rPr>
        <w:t>Descargo de responsabilidad:</w:t>
      </w:r>
      <w:r w:rsidRPr="0084358E">
        <w:rPr>
          <w:rFonts w:ascii="Calibri" w:hAnsi="Calibri"/>
          <w:i/>
          <w:iCs/>
          <w:sz w:val="22"/>
          <w:szCs w:val="22"/>
          <w:shd w:val="clear" w:color="auto" w:fill="FFFFFF"/>
          <w:lang w:val="es-ES_tradnl"/>
        </w:rPr>
        <w:t xml:space="preserve"> esta es una traducción de un documento original en </w:t>
      </w:r>
      <w:r w:rsidR="0069161E" w:rsidRPr="0084358E">
        <w:rPr>
          <w:rFonts w:ascii="Calibri" w:hAnsi="Calibri"/>
          <w:i/>
          <w:iCs/>
          <w:sz w:val="22"/>
          <w:szCs w:val="22"/>
          <w:shd w:val="clear" w:color="auto" w:fill="FFFFFF"/>
          <w:lang w:val="es-ES_tradnl"/>
        </w:rPr>
        <w:t>inglés</w:t>
      </w:r>
      <w:r w:rsidRPr="0084358E">
        <w:rPr>
          <w:rFonts w:ascii="Calibri" w:hAnsi="Calibri"/>
          <w:i/>
          <w:iCs/>
          <w:sz w:val="22"/>
          <w:szCs w:val="22"/>
          <w:shd w:val="clear" w:color="auto" w:fill="FFFFFF"/>
          <w:lang w:val="es-ES_tradnl"/>
        </w:rPr>
        <w:t>. </w:t>
      </w:r>
      <w:r w:rsidRPr="0084358E">
        <w:rPr>
          <w:rFonts w:ascii="Calibri" w:hAnsi="Calibri"/>
          <w:i/>
          <w:iCs/>
          <w:sz w:val="22"/>
          <w:szCs w:val="22"/>
          <w:shd w:val="clear" w:color="auto" w:fill="FFFFFF"/>
          <w:lang w:val="es-UY"/>
        </w:rPr>
        <w:t>En caso de discrepancias entre esta traducción y el documento original en inglés, prevalecerá el documento original en inglés.</w:t>
      </w:r>
    </w:p>
    <w:sectPr w:rsidR="00076415" w:rsidRPr="0084358E">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A705" w14:textId="77777777" w:rsidR="005930B5" w:rsidRDefault="005930B5" w:rsidP="00104339">
      <w:pPr>
        <w:spacing w:after="0" w:line="240" w:lineRule="auto"/>
      </w:pPr>
      <w:r>
        <w:separator/>
      </w:r>
    </w:p>
  </w:endnote>
  <w:endnote w:type="continuationSeparator" w:id="0">
    <w:p w14:paraId="675FD0C3" w14:textId="77777777" w:rsidR="005930B5" w:rsidRDefault="005930B5" w:rsidP="00104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F227" w14:textId="0F0B1ECF" w:rsidR="00B6712E" w:rsidRPr="0069010A" w:rsidRDefault="002C01EF">
    <w:pPr>
      <w:pStyle w:val="Footer"/>
    </w:pPr>
    <w:r w:rsidRPr="002C01EF">
      <w:t>Página</w:t>
    </w:r>
    <w:r w:rsidR="0069010A" w:rsidRPr="0069010A">
      <w:t xml:space="preserve"> </w:t>
    </w:r>
    <w:r w:rsidR="0069010A">
      <w:rPr>
        <w:b/>
        <w:bCs/>
      </w:rPr>
      <w:fldChar w:fldCharType="begin"/>
    </w:r>
    <w:r w:rsidR="0069010A" w:rsidRPr="0069010A">
      <w:rPr>
        <w:b/>
        <w:bCs/>
      </w:rPr>
      <w:instrText xml:space="preserve"> PAGE  \* Arabic  \* MERGEFORMAT </w:instrText>
    </w:r>
    <w:r w:rsidR="0069010A">
      <w:rPr>
        <w:b/>
        <w:bCs/>
      </w:rPr>
      <w:fldChar w:fldCharType="separate"/>
    </w:r>
    <w:r w:rsidR="0069010A" w:rsidRPr="0069010A">
      <w:rPr>
        <w:b/>
        <w:bCs/>
        <w:noProof/>
      </w:rPr>
      <w:t>1</w:t>
    </w:r>
    <w:r w:rsidR="0069010A">
      <w:rPr>
        <w:b/>
        <w:bCs/>
      </w:rPr>
      <w:fldChar w:fldCharType="end"/>
    </w:r>
    <w:r w:rsidR="0069010A" w:rsidRPr="0069010A">
      <w:t xml:space="preserve"> </w:t>
    </w:r>
    <w:r>
      <w:t>de</w:t>
    </w:r>
    <w:r w:rsidR="0069010A" w:rsidRPr="0069010A">
      <w:t xml:space="preserve"> </w:t>
    </w:r>
    <w:r w:rsidR="0069010A">
      <w:rPr>
        <w:b/>
        <w:bCs/>
      </w:rPr>
      <w:fldChar w:fldCharType="begin"/>
    </w:r>
    <w:r w:rsidR="0069010A" w:rsidRPr="0069010A">
      <w:rPr>
        <w:b/>
        <w:bCs/>
      </w:rPr>
      <w:instrText xml:space="preserve"> NUMPAGES  \* Arabic  \* MERGEFORMAT </w:instrText>
    </w:r>
    <w:r w:rsidR="0069010A">
      <w:rPr>
        <w:b/>
        <w:bCs/>
      </w:rPr>
      <w:fldChar w:fldCharType="separate"/>
    </w:r>
    <w:r w:rsidR="0069010A" w:rsidRPr="0069010A">
      <w:rPr>
        <w:b/>
        <w:bCs/>
        <w:noProof/>
      </w:rPr>
      <w:t>2</w:t>
    </w:r>
    <w:r w:rsidR="0069010A">
      <w:rPr>
        <w:b/>
        <w:bCs/>
      </w:rPr>
      <w:fldChar w:fldCharType="end"/>
    </w:r>
    <w:r w:rsidR="0069010A">
      <w:ptab w:relativeTo="margin" w:alignment="center" w:leader="none"/>
    </w:r>
    <w:r w:rsidR="0069010A" w:rsidRPr="0069010A">
      <w:t>Fecha de entrada e</w:t>
    </w:r>
    <w:r w:rsidR="0069010A">
      <w:t>n vigor</w:t>
    </w:r>
    <w:r w:rsidR="0069010A" w:rsidRPr="0069010A">
      <w:t>:</w:t>
    </w:r>
    <w:r>
      <w:t xml:space="preserve"> 31/12/2016</w:t>
    </w:r>
    <w:r w:rsidR="0069010A" w:rsidRPr="0069010A">
      <w:t xml:space="preserve"> </w:t>
    </w:r>
    <w:r w:rsidR="0069010A">
      <w:ptab w:relativeTo="margin" w:alignment="right" w:leader="none"/>
    </w:r>
    <w:r w:rsidR="0069010A">
      <w:t>Versión #</w:t>
    </w:r>
    <w:r w:rsidR="00BE0BEC">
      <w:t>:</w:t>
    </w:r>
    <w:r>
      <w:t xml:space="preserve"> </w:t>
    </w:r>
    <w:r w:rsidR="000852C2">
      <w:t>3</w:t>
    </w:r>
    <w:r w:rsidR="0069010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2569" w14:textId="77777777" w:rsidR="005930B5" w:rsidRDefault="005930B5" w:rsidP="00104339">
      <w:pPr>
        <w:spacing w:after="0" w:line="240" w:lineRule="auto"/>
      </w:pPr>
      <w:r>
        <w:separator/>
      </w:r>
    </w:p>
  </w:footnote>
  <w:footnote w:type="continuationSeparator" w:id="0">
    <w:p w14:paraId="094A6802" w14:textId="77777777" w:rsidR="005930B5" w:rsidRDefault="005930B5" w:rsidP="00104339">
      <w:pPr>
        <w:spacing w:after="0" w:line="240" w:lineRule="auto"/>
      </w:pPr>
      <w:r>
        <w:continuationSeparator/>
      </w:r>
    </w:p>
  </w:footnote>
  <w:footnote w:id="1">
    <w:p w14:paraId="713D771E" w14:textId="77777777" w:rsidR="00152893" w:rsidRDefault="00152893" w:rsidP="00152893">
      <w:pPr>
        <w:pStyle w:val="FootnoteText"/>
      </w:pPr>
      <w:r>
        <w:rPr>
          <w:rStyle w:val="FootnoteReference"/>
        </w:rPr>
        <w:t>[1]</w:t>
      </w:r>
      <w:r>
        <w:t xml:space="preserve"> </w:t>
      </w:r>
      <w:r>
        <w:rPr>
          <w:sz w:val="18"/>
        </w:rPr>
        <w:t>Base de la pirámide económica (o BOP) se usa para describir a hombres y mujeres que poseen bajos ingresos o que no cuentan con acceso a bienes y servicios básicos. Generalmente, se considera que el segmento de bajos ingresos incluye a personas que ganan hasta USD 8 por día en términos de paridad del poder adquisitivo (PPA). Establecer el máximo en términos de PPA ajusta el monto real para equiparar los poderes adquisitivos relativos entre países diferentes.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EBFC" w14:textId="1727707D" w:rsidR="0051102E" w:rsidRDefault="00B77F05" w:rsidP="0051102E">
    <w:pPr>
      <w:pStyle w:val="Header"/>
      <w:jc w:val="right"/>
    </w:pPr>
    <w:r>
      <w:rPr>
        <w:noProof/>
      </w:rPr>
      <w:drawing>
        <wp:inline distT="0" distB="0" distL="0" distR="0" wp14:anchorId="663A26DF" wp14:editId="227AB5C1">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E456B15" w14:textId="77777777" w:rsidR="0084358E" w:rsidRDefault="0084358E" w:rsidP="005110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4953"/>
    <w:multiLevelType w:val="hybridMultilevel"/>
    <w:tmpl w:val="7F009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E7991"/>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E0091"/>
    <w:multiLevelType w:val="hybridMultilevel"/>
    <w:tmpl w:val="E5580422"/>
    <w:lvl w:ilvl="0" w:tplc="F600F882">
      <w:start w:val="1"/>
      <w:numFmt w:val="bullet"/>
      <w:lvlText w:val=""/>
      <w:lvlJc w:val="left"/>
      <w:pPr>
        <w:ind w:left="720" w:hanging="360"/>
      </w:pPr>
      <w:rPr>
        <w:rFonts w:ascii="Symbol" w:hAnsi="Symbol"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22359"/>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23128"/>
    <w:multiLevelType w:val="hybridMultilevel"/>
    <w:tmpl w:val="23BC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3F85"/>
    <w:multiLevelType w:val="hybridMultilevel"/>
    <w:tmpl w:val="02F61726"/>
    <w:lvl w:ilvl="0" w:tplc="8FDA3C9E">
      <w:start w:val="1"/>
      <w:numFmt w:val="decimal"/>
      <w:lvlText w:val="%1."/>
      <w:lvlJc w:val="left"/>
      <w:pPr>
        <w:ind w:left="720" w:hanging="360"/>
      </w:pPr>
      <w:rPr>
        <w:b w:val="0"/>
        <w:color w:val="333333"/>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4DD5"/>
    <w:multiLevelType w:val="hybridMultilevel"/>
    <w:tmpl w:val="7756B04A"/>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8895D44"/>
    <w:multiLevelType w:val="multilevel"/>
    <w:tmpl w:val="9DAEB6A6"/>
    <w:lvl w:ilvl="0">
      <w:start w:val="1"/>
      <w:numFmt w:val="lowerLetter"/>
      <w:lvlText w:val="%1."/>
      <w:lvlJc w:val="left"/>
      <w:pPr>
        <w:tabs>
          <w:tab w:val="num" w:pos="720"/>
        </w:tabs>
        <w:ind w:left="720" w:hanging="360"/>
      </w:pPr>
      <w:rPr>
        <w:rFonts w:asciiTheme="minorHAnsi" w:eastAsia="Calibri" w:hAnsiTheme="minorHAnsi"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A7E25"/>
    <w:multiLevelType w:val="hybridMultilevel"/>
    <w:tmpl w:val="3E62B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42279F"/>
    <w:multiLevelType w:val="hybridMultilevel"/>
    <w:tmpl w:val="85BE6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017A8"/>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D4289"/>
    <w:multiLevelType w:val="hybridMultilevel"/>
    <w:tmpl w:val="862A5E2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543E70"/>
    <w:multiLevelType w:val="hybridMultilevel"/>
    <w:tmpl w:val="3BC8C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C727BD7"/>
    <w:multiLevelType w:val="hybridMultilevel"/>
    <w:tmpl w:val="847034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8B199C"/>
    <w:multiLevelType w:val="hybridMultilevel"/>
    <w:tmpl w:val="46F24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E5AEF"/>
    <w:multiLevelType w:val="hybridMultilevel"/>
    <w:tmpl w:val="7CB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75026"/>
    <w:multiLevelType w:val="multilevel"/>
    <w:tmpl w:val="1E9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E273A"/>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66A6B"/>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15A8D"/>
    <w:multiLevelType w:val="hybridMultilevel"/>
    <w:tmpl w:val="3BB04174"/>
    <w:lvl w:ilvl="0" w:tplc="04090001">
      <w:start w:val="1"/>
      <w:numFmt w:val="bullet"/>
      <w:lvlText w:val=""/>
      <w:lvlJc w:val="left"/>
      <w:pPr>
        <w:ind w:left="1080" w:hanging="360"/>
      </w:pPr>
      <w:rPr>
        <w:rFonts w:ascii="Symbol" w:hAnsi="Symbol" w:hint="default"/>
        <w:b w:val="0"/>
        <w:lang w:val="fi-F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D54E25"/>
    <w:multiLevelType w:val="hybridMultilevel"/>
    <w:tmpl w:val="635E9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361BCC"/>
    <w:multiLevelType w:val="hybridMultilevel"/>
    <w:tmpl w:val="8208E38A"/>
    <w:lvl w:ilvl="0" w:tplc="CC78BE68">
      <w:start w:val="1"/>
      <w:numFmt w:val="decimal"/>
      <w:lvlText w:val="%1."/>
      <w:lvlJc w:val="left"/>
      <w:pPr>
        <w:ind w:left="720" w:hanging="360"/>
      </w:pPr>
      <w:rPr>
        <w:b w:val="0"/>
        <w:lang w:val="fi-F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31D72"/>
    <w:multiLevelType w:val="hybridMultilevel"/>
    <w:tmpl w:val="8CCC10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B207F0"/>
    <w:multiLevelType w:val="hybridMultilevel"/>
    <w:tmpl w:val="5AEC85F4"/>
    <w:lvl w:ilvl="0" w:tplc="A34E670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7035713">
    <w:abstractNumId w:val="15"/>
  </w:num>
  <w:num w:numId="2" w16cid:durableId="1379280645">
    <w:abstractNumId w:val="14"/>
  </w:num>
  <w:num w:numId="3" w16cid:durableId="766584148">
    <w:abstractNumId w:val="7"/>
  </w:num>
  <w:num w:numId="4" w16cid:durableId="348988716">
    <w:abstractNumId w:val="5"/>
  </w:num>
  <w:num w:numId="5" w16cid:durableId="1919753471">
    <w:abstractNumId w:val="6"/>
  </w:num>
  <w:num w:numId="6" w16cid:durableId="897058965">
    <w:abstractNumId w:val="11"/>
  </w:num>
  <w:num w:numId="7" w16cid:durableId="255401570">
    <w:abstractNumId w:val="22"/>
  </w:num>
  <w:num w:numId="8" w16cid:durableId="597130749">
    <w:abstractNumId w:val="9"/>
  </w:num>
  <w:num w:numId="9" w16cid:durableId="978807706">
    <w:abstractNumId w:val="23"/>
  </w:num>
  <w:num w:numId="10" w16cid:durableId="285963054">
    <w:abstractNumId w:val="13"/>
  </w:num>
  <w:num w:numId="11" w16cid:durableId="1415858209">
    <w:abstractNumId w:val="2"/>
  </w:num>
  <w:num w:numId="12" w16cid:durableId="2083984054">
    <w:abstractNumId w:val="1"/>
  </w:num>
  <w:num w:numId="13" w16cid:durableId="1081371667">
    <w:abstractNumId w:val="4"/>
  </w:num>
  <w:num w:numId="14" w16cid:durableId="375810589">
    <w:abstractNumId w:val="20"/>
  </w:num>
  <w:num w:numId="15" w16cid:durableId="575016104">
    <w:abstractNumId w:val="16"/>
  </w:num>
  <w:num w:numId="16" w16cid:durableId="1505827764">
    <w:abstractNumId w:val="8"/>
  </w:num>
  <w:num w:numId="17" w16cid:durableId="130251851">
    <w:abstractNumId w:val="18"/>
  </w:num>
  <w:num w:numId="18" w16cid:durableId="996153814">
    <w:abstractNumId w:val="0"/>
  </w:num>
  <w:num w:numId="19" w16cid:durableId="495608093">
    <w:abstractNumId w:val="10"/>
  </w:num>
  <w:num w:numId="20" w16cid:durableId="1982222980">
    <w:abstractNumId w:val="21"/>
  </w:num>
  <w:num w:numId="21" w16cid:durableId="612829741">
    <w:abstractNumId w:val="3"/>
  </w:num>
  <w:num w:numId="22" w16cid:durableId="417674183">
    <w:abstractNumId w:val="19"/>
  </w:num>
  <w:num w:numId="23" w16cid:durableId="1710884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081644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D"/>
    <w:rsid w:val="00000B70"/>
    <w:rsid w:val="000031F9"/>
    <w:rsid w:val="0000693A"/>
    <w:rsid w:val="00022F66"/>
    <w:rsid w:val="00025289"/>
    <w:rsid w:val="0003379F"/>
    <w:rsid w:val="00040DDA"/>
    <w:rsid w:val="0004314A"/>
    <w:rsid w:val="000501D7"/>
    <w:rsid w:val="0005080A"/>
    <w:rsid w:val="00054593"/>
    <w:rsid w:val="000549C1"/>
    <w:rsid w:val="00055CEB"/>
    <w:rsid w:val="00056CDC"/>
    <w:rsid w:val="00060354"/>
    <w:rsid w:val="0007408C"/>
    <w:rsid w:val="00075E13"/>
    <w:rsid w:val="00076415"/>
    <w:rsid w:val="00083B7C"/>
    <w:rsid w:val="000852C2"/>
    <w:rsid w:val="00086684"/>
    <w:rsid w:val="00093337"/>
    <w:rsid w:val="00094B69"/>
    <w:rsid w:val="000A2B9C"/>
    <w:rsid w:val="000B1ECF"/>
    <w:rsid w:val="000B3ACF"/>
    <w:rsid w:val="000B41A6"/>
    <w:rsid w:val="000C00B6"/>
    <w:rsid w:val="000C3544"/>
    <w:rsid w:val="000C36BC"/>
    <w:rsid w:val="000D0C9D"/>
    <w:rsid w:val="000D5F32"/>
    <w:rsid w:val="000D690A"/>
    <w:rsid w:val="000D7F0D"/>
    <w:rsid w:val="000E3611"/>
    <w:rsid w:val="000E5ADF"/>
    <w:rsid w:val="000E71CE"/>
    <w:rsid w:val="000F12D8"/>
    <w:rsid w:val="0010157E"/>
    <w:rsid w:val="0010176A"/>
    <w:rsid w:val="00102847"/>
    <w:rsid w:val="00104339"/>
    <w:rsid w:val="00104D37"/>
    <w:rsid w:val="0010634A"/>
    <w:rsid w:val="001166D2"/>
    <w:rsid w:val="00117A4A"/>
    <w:rsid w:val="00135A5E"/>
    <w:rsid w:val="001364E9"/>
    <w:rsid w:val="00140162"/>
    <w:rsid w:val="00141AF4"/>
    <w:rsid w:val="00146727"/>
    <w:rsid w:val="0015142E"/>
    <w:rsid w:val="00152893"/>
    <w:rsid w:val="001546CA"/>
    <w:rsid w:val="001626DC"/>
    <w:rsid w:val="00165D2B"/>
    <w:rsid w:val="00173521"/>
    <w:rsid w:val="0017463C"/>
    <w:rsid w:val="00181884"/>
    <w:rsid w:val="00181F9B"/>
    <w:rsid w:val="00184F43"/>
    <w:rsid w:val="0018658C"/>
    <w:rsid w:val="00190E85"/>
    <w:rsid w:val="0019449F"/>
    <w:rsid w:val="001960F6"/>
    <w:rsid w:val="001A0927"/>
    <w:rsid w:val="001A73A6"/>
    <w:rsid w:val="001B7402"/>
    <w:rsid w:val="001C6C16"/>
    <w:rsid w:val="001D5CCF"/>
    <w:rsid w:val="001E1485"/>
    <w:rsid w:val="001F103D"/>
    <w:rsid w:val="001F66BB"/>
    <w:rsid w:val="00201F71"/>
    <w:rsid w:val="00203558"/>
    <w:rsid w:val="00210526"/>
    <w:rsid w:val="00217E84"/>
    <w:rsid w:val="0022392C"/>
    <w:rsid w:val="00223C70"/>
    <w:rsid w:val="00224185"/>
    <w:rsid w:val="00224BB9"/>
    <w:rsid w:val="00225726"/>
    <w:rsid w:val="00236CFF"/>
    <w:rsid w:val="0024301B"/>
    <w:rsid w:val="00243155"/>
    <w:rsid w:val="00251E8A"/>
    <w:rsid w:val="00255E5F"/>
    <w:rsid w:val="00256157"/>
    <w:rsid w:val="00262F7B"/>
    <w:rsid w:val="00270E7A"/>
    <w:rsid w:val="002734C0"/>
    <w:rsid w:val="00284206"/>
    <w:rsid w:val="0028645B"/>
    <w:rsid w:val="002940E7"/>
    <w:rsid w:val="002A071B"/>
    <w:rsid w:val="002A10A3"/>
    <w:rsid w:val="002A3DF5"/>
    <w:rsid w:val="002A6547"/>
    <w:rsid w:val="002B3F4F"/>
    <w:rsid w:val="002C01EF"/>
    <w:rsid w:val="002C7943"/>
    <w:rsid w:val="002D00FB"/>
    <w:rsid w:val="002D0154"/>
    <w:rsid w:val="002D0DC3"/>
    <w:rsid w:val="002D4C75"/>
    <w:rsid w:val="002D782B"/>
    <w:rsid w:val="002E011F"/>
    <w:rsid w:val="002E2C09"/>
    <w:rsid w:val="002E49F3"/>
    <w:rsid w:val="002F5E1D"/>
    <w:rsid w:val="003112D6"/>
    <w:rsid w:val="00312A49"/>
    <w:rsid w:val="00313C52"/>
    <w:rsid w:val="003265A4"/>
    <w:rsid w:val="00327E5C"/>
    <w:rsid w:val="00332AE0"/>
    <w:rsid w:val="00334E6C"/>
    <w:rsid w:val="003350D3"/>
    <w:rsid w:val="00335A95"/>
    <w:rsid w:val="00351DC8"/>
    <w:rsid w:val="00352165"/>
    <w:rsid w:val="00360E47"/>
    <w:rsid w:val="00363A8F"/>
    <w:rsid w:val="00366BC8"/>
    <w:rsid w:val="00372185"/>
    <w:rsid w:val="0037512C"/>
    <w:rsid w:val="003859C4"/>
    <w:rsid w:val="003A4AB2"/>
    <w:rsid w:val="003A6943"/>
    <w:rsid w:val="003A6F76"/>
    <w:rsid w:val="003B39B1"/>
    <w:rsid w:val="003B449E"/>
    <w:rsid w:val="003B4DD8"/>
    <w:rsid w:val="003C3E46"/>
    <w:rsid w:val="003C4DC1"/>
    <w:rsid w:val="003D32BF"/>
    <w:rsid w:val="003D776A"/>
    <w:rsid w:val="003E119D"/>
    <w:rsid w:val="003E198B"/>
    <w:rsid w:val="003F2A0C"/>
    <w:rsid w:val="00401678"/>
    <w:rsid w:val="00410F76"/>
    <w:rsid w:val="00414353"/>
    <w:rsid w:val="00415D68"/>
    <w:rsid w:val="0042448E"/>
    <w:rsid w:val="00431883"/>
    <w:rsid w:val="00433DFD"/>
    <w:rsid w:val="00440D07"/>
    <w:rsid w:val="0044139B"/>
    <w:rsid w:val="00442CBE"/>
    <w:rsid w:val="00443A9F"/>
    <w:rsid w:val="00444C00"/>
    <w:rsid w:val="0044774D"/>
    <w:rsid w:val="0046281F"/>
    <w:rsid w:val="00464897"/>
    <w:rsid w:val="0046528C"/>
    <w:rsid w:val="004709EE"/>
    <w:rsid w:val="0047402E"/>
    <w:rsid w:val="004749E5"/>
    <w:rsid w:val="00493107"/>
    <w:rsid w:val="004B09D3"/>
    <w:rsid w:val="004B309C"/>
    <w:rsid w:val="004B5AB8"/>
    <w:rsid w:val="004B5FF0"/>
    <w:rsid w:val="004C40E3"/>
    <w:rsid w:val="004D1D07"/>
    <w:rsid w:val="004E13BC"/>
    <w:rsid w:val="004E5EA2"/>
    <w:rsid w:val="004F4E07"/>
    <w:rsid w:val="004F5524"/>
    <w:rsid w:val="004F6607"/>
    <w:rsid w:val="004F7037"/>
    <w:rsid w:val="005011D0"/>
    <w:rsid w:val="00506099"/>
    <w:rsid w:val="0051102E"/>
    <w:rsid w:val="00512C30"/>
    <w:rsid w:val="00514D88"/>
    <w:rsid w:val="005155DA"/>
    <w:rsid w:val="00521538"/>
    <w:rsid w:val="00521DA0"/>
    <w:rsid w:val="0052321D"/>
    <w:rsid w:val="00534FF2"/>
    <w:rsid w:val="00543355"/>
    <w:rsid w:val="005436ED"/>
    <w:rsid w:val="0054451B"/>
    <w:rsid w:val="00551F87"/>
    <w:rsid w:val="00560963"/>
    <w:rsid w:val="005640F0"/>
    <w:rsid w:val="00564B0C"/>
    <w:rsid w:val="0056519E"/>
    <w:rsid w:val="00566635"/>
    <w:rsid w:val="00574681"/>
    <w:rsid w:val="00575A78"/>
    <w:rsid w:val="00582698"/>
    <w:rsid w:val="00585DB3"/>
    <w:rsid w:val="00587BB2"/>
    <w:rsid w:val="005913D7"/>
    <w:rsid w:val="005930B5"/>
    <w:rsid w:val="0059404C"/>
    <w:rsid w:val="005A4B73"/>
    <w:rsid w:val="005B402C"/>
    <w:rsid w:val="005B504C"/>
    <w:rsid w:val="005D4DAC"/>
    <w:rsid w:val="005E331D"/>
    <w:rsid w:val="005F0D69"/>
    <w:rsid w:val="005F0F3B"/>
    <w:rsid w:val="005F12B7"/>
    <w:rsid w:val="0060543B"/>
    <w:rsid w:val="006074D0"/>
    <w:rsid w:val="00614AA3"/>
    <w:rsid w:val="0062099F"/>
    <w:rsid w:val="006244E7"/>
    <w:rsid w:val="006354A6"/>
    <w:rsid w:val="00636253"/>
    <w:rsid w:val="0063659E"/>
    <w:rsid w:val="006371BC"/>
    <w:rsid w:val="00641EBE"/>
    <w:rsid w:val="006429D3"/>
    <w:rsid w:val="00652D4C"/>
    <w:rsid w:val="00653198"/>
    <w:rsid w:val="00655081"/>
    <w:rsid w:val="006568CE"/>
    <w:rsid w:val="00657D96"/>
    <w:rsid w:val="006678BD"/>
    <w:rsid w:val="00674CCC"/>
    <w:rsid w:val="006779F6"/>
    <w:rsid w:val="00680CA1"/>
    <w:rsid w:val="00685DAE"/>
    <w:rsid w:val="006864D8"/>
    <w:rsid w:val="0069010A"/>
    <w:rsid w:val="0069161E"/>
    <w:rsid w:val="006954E6"/>
    <w:rsid w:val="006A6AF2"/>
    <w:rsid w:val="006A77D8"/>
    <w:rsid w:val="006B02A1"/>
    <w:rsid w:val="006B28FF"/>
    <w:rsid w:val="006B4A62"/>
    <w:rsid w:val="006C75FA"/>
    <w:rsid w:val="006D04CF"/>
    <w:rsid w:val="006D6039"/>
    <w:rsid w:val="006D6EFF"/>
    <w:rsid w:val="006E684F"/>
    <w:rsid w:val="006E7E62"/>
    <w:rsid w:val="006F39A4"/>
    <w:rsid w:val="00703213"/>
    <w:rsid w:val="00704BD7"/>
    <w:rsid w:val="00706829"/>
    <w:rsid w:val="00710280"/>
    <w:rsid w:val="0071245D"/>
    <w:rsid w:val="00712AB6"/>
    <w:rsid w:val="0071646F"/>
    <w:rsid w:val="007205DA"/>
    <w:rsid w:val="00725F1F"/>
    <w:rsid w:val="00731B17"/>
    <w:rsid w:val="00732F17"/>
    <w:rsid w:val="00743937"/>
    <w:rsid w:val="0074528A"/>
    <w:rsid w:val="007468D9"/>
    <w:rsid w:val="007566CA"/>
    <w:rsid w:val="00757DF3"/>
    <w:rsid w:val="0076154C"/>
    <w:rsid w:val="007651DD"/>
    <w:rsid w:val="007678B9"/>
    <w:rsid w:val="007679D0"/>
    <w:rsid w:val="007750D3"/>
    <w:rsid w:val="007751D2"/>
    <w:rsid w:val="00777DE8"/>
    <w:rsid w:val="007821EC"/>
    <w:rsid w:val="00793FC4"/>
    <w:rsid w:val="007966E9"/>
    <w:rsid w:val="0079670C"/>
    <w:rsid w:val="007A13A4"/>
    <w:rsid w:val="007A1E41"/>
    <w:rsid w:val="007A23E4"/>
    <w:rsid w:val="007A2F1C"/>
    <w:rsid w:val="007A580F"/>
    <w:rsid w:val="007A6037"/>
    <w:rsid w:val="007A61A4"/>
    <w:rsid w:val="007B027E"/>
    <w:rsid w:val="007B0358"/>
    <w:rsid w:val="007B0769"/>
    <w:rsid w:val="007B60C9"/>
    <w:rsid w:val="007C0573"/>
    <w:rsid w:val="007C4C98"/>
    <w:rsid w:val="007D317C"/>
    <w:rsid w:val="007D6452"/>
    <w:rsid w:val="007D7BBC"/>
    <w:rsid w:val="007E0E17"/>
    <w:rsid w:val="007E5151"/>
    <w:rsid w:val="00800329"/>
    <w:rsid w:val="008005D8"/>
    <w:rsid w:val="00804FB8"/>
    <w:rsid w:val="0081001F"/>
    <w:rsid w:val="00813FC6"/>
    <w:rsid w:val="00817401"/>
    <w:rsid w:val="00824394"/>
    <w:rsid w:val="008244AF"/>
    <w:rsid w:val="008337E7"/>
    <w:rsid w:val="008410D5"/>
    <w:rsid w:val="00842CDB"/>
    <w:rsid w:val="00843550"/>
    <w:rsid w:val="0084358E"/>
    <w:rsid w:val="00851940"/>
    <w:rsid w:val="008521C6"/>
    <w:rsid w:val="00855B41"/>
    <w:rsid w:val="00863F0B"/>
    <w:rsid w:val="0086672E"/>
    <w:rsid w:val="0087010F"/>
    <w:rsid w:val="008736D8"/>
    <w:rsid w:val="008802BB"/>
    <w:rsid w:val="00883925"/>
    <w:rsid w:val="008856DB"/>
    <w:rsid w:val="00887B83"/>
    <w:rsid w:val="00893403"/>
    <w:rsid w:val="0089573F"/>
    <w:rsid w:val="008A6801"/>
    <w:rsid w:val="008B124D"/>
    <w:rsid w:val="008B1FEC"/>
    <w:rsid w:val="008B32CD"/>
    <w:rsid w:val="008B40D7"/>
    <w:rsid w:val="008B4C08"/>
    <w:rsid w:val="008C025E"/>
    <w:rsid w:val="008D1612"/>
    <w:rsid w:val="008D2734"/>
    <w:rsid w:val="008D313F"/>
    <w:rsid w:val="008D421A"/>
    <w:rsid w:val="008D43AE"/>
    <w:rsid w:val="008D43E5"/>
    <w:rsid w:val="008E0A8E"/>
    <w:rsid w:val="008E4FC2"/>
    <w:rsid w:val="008F1CF2"/>
    <w:rsid w:val="008F3FF5"/>
    <w:rsid w:val="008F77B3"/>
    <w:rsid w:val="00900F12"/>
    <w:rsid w:val="00901EB2"/>
    <w:rsid w:val="0090384B"/>
    <w:rsid w:val="00911D1A"/>
    <w:rsid w:val="009241AC"/>
    <w:rsid w:val="00924DB0"/>
    <w:rsid w:val="00925F2A"/>
    <w:rsid w:val="00940E97"/>
    <w:rsid w:val="0094408F"/>
    <w:rsid w:val="009466CC"/>
    <w:rsid w:val="009533A3"/>
    <w:rsid w:val="00955CA6"/>
    <w:rsid w:val="00962265"/>
    <w:rsid w:val="00963194"/>
    <w:rsid w:val="00963BD4"/>
    <w:rsid w:val="00965D8D"/>
    <w:rsid w:val="00965DA0"/>
    <w:rsid w:val="00970C8C"/>
    <w:rsid w:val="00983F87"/>
    <w:rsid w:val="0099120A"/>
    <w:rsid w:val="00992BF2"/>
    <w:rsid w:val="009A5145"/>
    <w:rsid w:val="009B3F77"/>
    <w:rsid w:val="009B48FC"/>
    <w:rsid w:val="009B6B8D"/>
    <w:rsid w:val="009B6BA0"/>
    <w:rsid w:val="009C1114"/>
    <w:rsid w:val="009D2936"/>
    <w:rsid w:val="009D35F8"/>
    <w:rsid w:val="009E561E"/>
    <w:rsid w:val="009E59B9"/>
    <w:rsid w:val="009E5FD4"/>
    <w:rsid w:val="009F076F"/>
    <w:rsid w:val="009F2A7E"/>
    <w:rsid w:val="009F4A76"/>
    <w:rsid w:val="00A013D8"/>
    <w:rsid w:val="00A0368C"/>
    <w:rsid w:val="00A03DE2"/>
    <w:rsid w:val="00A04D01"/>
    <w:rsid w:val="00A11C74"/>
    <w:rsid w:val="00A1785B"/>
    <w:rsid w:val="00A22E4F"/>
    <w:rsid w:val="00A242D4"/>
    <w:rsid w:val="00A24F29"/>
    <w:rsid w:val="00A26334"/>
    <w:rsid w:val="00A362B3"/>
    <w:rsid w:val="00A36937"/>
    <w:rsid w:val="00A371DE"/>
    <w:rsid w:val="00A37FD7"/>
    <w:rsid w:val="00A42B07"/>
    <w:rsid w:val="00A44814"/>
    <w:rsid w:val="00A52479"/>
    <w:rsid w:val="00A60128"/>
    <w:rsid w:val="00A638CF"/>
    <w:rsid w:val="00A63984"/>
    <w:rsid w:val="00A64729"/>
    <w:rsid w:val="00A6563D"/>
    <w:rsid w:val="00A65AE0"/>
    <w:rsid w:val="00A71B6B"/>
    <w:rsid w:val="00A730C6"/>
    <w:rsid w:val="00A779C0"/>
    <w:rsid w:val="00A77DCE"/>
    <w:rsid w:val="00A9147E"/>
    <w:rsid w:val="00A93816"/>
    <w:rsid w:val="00A94C1A"/>
    <w:rsid w:val="00A965A8"/>
    <w:rsid w:val="00AA57AC"/>
    <w:rsid w:val="00AA7F0A"/>
    <w:rsid w:val="00AB347F"/>
    <w:rsid w:val="00AB6F48"/>
    <w:rsid w:val="00AC254D"/>
    <w:rsid w:val="00AC2621"/>
    <w:rsid w:val="00AC53D5"/>
    <w:rsid w:val="00AE36F4"/>
    <w:rsid w:val="00B0195A"/>
    <w:rsid w:val="00B0554C"/>
    <w:rsid w:val="00B05E26"/>
    <w:rsid w:val="00B145EE"/>
    <w:rsid w:val="00B15331"/>
    <w:rsid w:val="00B247CA"/>
    <w:rsid w:val="00B30862"/>
    <w:rsid w:val="00B36788"/>
    <w:rsid w:val="00B44582"/>
    <w:rsid w:val="00B6712E"/>
    <w:rsid w:val="00B70C29"/>
    <w:rsid w:val="00B70DBC"/>
    <w:rsid w:val="00B7160A"/>
    <w:rsid w:val="00B73825"/>
    <w:rsid w:val="00B75673"/>
    <w:rsid w:val="00B77F05"/>
    <w:rsid w:val="00B82F6A"/>
    <w:rsid w:val="00B83C3D"/>
    <w:rsid w:val="00B8572C"/>
    <w:rsid w:val="00B9083D"/>
    <w:rsid w:val="00B95185"/>
    <w:rsid w:val="00B96298"/>
    <w:rsid w:val="00BA2754"/>
    <w:rsid w:val="00BA40B2"/>
    <w:rsid w:val="00BA52BE"/>
    <w:rsid w:val="00BA6C50"/>
    <w:rsid w:val="00BC11A2"/>
    <w:rsid w:val="00BD496B"/>
    <w:rsid w:val="00BD4B07"/>
    <w:rsid w:val="00BE0BEC"/>
    <w:rsid w:val="00BE4F31"/>
    <w:rsid w:val="00BE5A31"/>
    <w:rsid w:val="00BF6C91"/>
    <w:rsid w:val="00BF710E"/>
    <w:rsid w:val="00C03B39"/>
    <w:rsid w:val="00C03E99"/>
    <w:rsid w:val="00C04D69"/>
    <w:rsid w:val="00C0672B"/>
    <w:rsid w:val="00C11E1D"/>
    <w:rsid w:val="00C27DB8"/>
    <w:rsid w:val="00C30D5C"/>
    <w:rsid w:val="00C33D2A"/>
    <w:rsid w:val="00C3413C"/>
    <w:rsid w:val="00C44817"/>
    <w:rsid w:val="00C513C9"/>
    <w:rsid w:val="00C548FB"/>
    <w:rsid w:val="00C70F9B"/>
    <w:rsid w:val="00C76C93"/>
    <w:rsid w:val="00C805F1"/>
    <w:rsid w:val="00C85265"/>
    <w:rsid w:val="00C90B62"/>
    <w:rsid w:val="00CB1CAE"/>
    <w:rsid w:val="00CB2326"/>
    <w:rsid w:val="00CB2AD1"/>
    <w:rsid w:val="00CC3012"/>
    <w:rsid w:val="00CD504C"/>
    <w:rsid w:val="00CD7B6E"/>
    <w:rsid w:val="00CE24D8"/>
    <w:rsid w:val="00CE3F2C"/>
    <w:rsid w:val="00CE767F"/>
    <w:rsid w:val="00CF17F9"/>
    <w:rsid w:val="00CF254E"/>
    <w:rsid w:val="00CF5A1C"/>
    <w:rsid w:val="00D00A00"/>
    <w:rsid w:val="00D04E4C"/>
    <w:rsid w:val="00D10841"/>
    <w:rsid w:val="00D136EE"/>
    <w:rsid w:val="00D13947"/>
    <w:rsid w:val="00D20D24"/>
    <w:rsid w:val="00D256F1"/>
    <w:rsid w:val="00D27E36"/>
    <w:rsid w:val="00D30A1A"/>
    <w:rsid w:val="00D406C0"/>
    <w:rsid w:val="00D61DDB"/>
    <w:rsid w:val="00D62A32"/>
    <w:rsid w:val="00D824DF"/>
    <w:rsid w:val="00D94566"/>
    <w:rsid w:val="00D95476"/>
    <w:rsid w:val="00D97F17"/>
    <w:rsid w:val="00DA2AB2"/>
    <w:rsid w:val="00DA2E77"/>
    <w:rsid w:val="00DB3815"/>
    <w:rsid w:val="00DC1356"/>
    <w:rsid w:val="00DC1FF7"/>
    <w:rsid w:val="00DD25BD"/>
    <w:rsid w:val="00DE2CB5"/>
    <w:rsid w:val="00DE5443"/>
    <w:rsid w:val="00DF4ECD"/>
    <w:rsid w:val="00DF5198"/>
    <w:rsid w:val="00E06B55"/>
    <w:rsid w:val="00E145DB"/>
    <w:rsid w:val="00E21339"/>
    <w:rsid w:val="00E33F43"/>
    <w:rsid w:val="00E340AB"/>
    <w:rsid w:val="00E37A0F"/>
    <w:rsid w:val="00E37CE8"/>
    <w:rsid w:val="00E46ADF"/>
    <w:rsid w:val="00E536B6"/>
    <w:rsid w:val="00E70C8B"/>
    <w:rsid w:val="00E72ABE"/>
    <w:rsid w:val="00E854FD"/>
    <w:rsid w:val="00E865B1"/>
    <w:rsid w:val="00E867A1"/>
    <w:rsid w:val="00E93C75"/>
    <w:rsid w:val="00E946BB"/>
    <w:rsid w:val="00EB6959"/>
    <w:rsid w:val="00ED5E22"/>
    <w:rsid w:val="00EE1C3D"/>
    <w:rsid w:val="00EE1CF9"/>
    <w:rsid w:val="00EE7669"/>
    <w:rsid w:val="00EF0410"/>
    <w:rsid w:val="00EF0783"/>
    <w:rsid w:val="00F066A2"/>
    <w:rsid w:val="00F06A04"/>
    <w:rsid w:val="00F13C83"/>
    <w:rsid w:val="00F14135"/>
    <w:rsid w:val="00F16E7E"/>
    <w:rsid w:val="00F22512"/>
    <w:rsid w:val="00F31B43"/>
    <w:rsid w:val="00F3317F"/>
    <w:rsid w:val="00F366BB"/>
    <w:rsid w:val="00F40600"/>
    <w:rsid w:val="00F41262"/>
    <w:rsid w:val="00F55E2A"/>
    <w:rsid w:val="00F56A4B"/>
    <w:rsid w:val="00F72AD3"/>
    <w:rsid w:val="00F83F97"/>
    <w:rsid w:val="00F86330"/>
    <w:rsid w:val="00F86C9B"/>
    <w:rsid w:val="00F87423"/>
    <w:rsid w:val="00F9579D"/>
    <w:rsid w:val="00FA2C83"/>
    <w:rsid w:val="00FA3B9C"/>
    <w:rsid w:val="00FB2A77"/>
    <w:rsid w:val="00FB749B"/>
    <w:rsid w:val="00FC1E2E"/>
    <w:rsid w:val="00FC2DB4"/>
    <w:rsid w:val="00FD1245"/>
    <w:rsid w:val="00FD2AC1"/>
    <w:rsid w:val="00FD5480"/>
    <w:rsid w:val="00FD638E"/>
    <w:rsid w:val="00FD6A79"/>
    <w:rsid w:val="00FE587B"/>
    <w:rsid w:val="00FE5E12"/>
    <w:rsid w:val="13BFF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D6FF"/>
  <w15:chartTrackingRefBased/>
  <w15:docId w15:val="{07ADBFD8-EB75-4CE0-BC29-76BACE09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054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93"/>
  </w:style>
  <w:style w:type="paragraph" w:styleId="Footer">
    <w:name w:val="footer"/>
    <w:basedOn w:val="Normal"/>
    <w:link w:val="FooterChar"/>
    <w:uiPriority w:val="99"/>
    <w:unhideWhenUsed/>
    <w:rsid w:val="00054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93"/>
  </w:style>
  <w:style w:type="character" w:customStyle="1" w:styleId="apple-converted-space">
    <w:name w:val="apple-converted-space"/>
    <w:basedOn w:val="DefaultParagraphFont"/>
    <w:rsid w:val="00893403"/>
  </w:style>
  <w:style w:type="paragraph" w:customStyle="1" w:styleId="Default">
    <w:name w:val="Default"/>
    <w:rsid w:val="001865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rteforecolor-8">
    <w:name w:val="ms-rteforecolor-8"/>
    <w:basedOn w:val="DefaultParagraphFont"/>
    <w:rsid w:val="007566CA"/>
  </w:style>
  <w:style w:type="paragraph" w:styleId="NormalWeb">
    <w:name w:val="Normal (Web)"/>
    <w:basedOn w:val="Normal"/>
    <w:uiPriority w:val="99"/>
    <w:unhideWhenUsed/>
    <w:rsid w:val="00076415"/>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UnresolvedMention">
    <w:name w:val="Unresolved Mention"/>
    <w:basedOn w:val="DefaultParagraphFont"/>
    <w:uiPriority w:val="99"/>
    <w:semiHidden/>
    <w:unhideWhenUsed/>
    <w:rsid w:val="00992BF2"/>
    <w:rPr>
      <w:color w:val="605E5C"/>
      <w:shd w:val="clear" w:color="auto" w:fill="E1DFDD"/>
    </w:rPr>
  </w:style>
  <w:style w:type="character" w:styleId="PlaceholderText">
    <w:name w:val="Placeholder Text"/>
    <w:basedOn w:val="DefaultParagraphFont"/>
    <w:uiPriority w:val="99"/>
    <w:semiHidden/>
    <w:rsid w:val="006901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7895">
      <w:bodyDiv w:val="1"/>
      <w:marLeft w:val="0"/>
      <w:marRight w:val="0"/>
      <w:marTop w:val="0"/>
      <w:marBottom w:val="0"/>
      <w:divBdr>
        <w:top w:val="none" w:sz="0" w:space="0" w:color="auto"/>
        <w:left w:val="none" w:sz="0" w:space="0" w:color="auto"/>
        <w:bottom w:val="none" w:sz="0" w:space="0" w:color="auto"/>
        <w:right w:val="none" w:sz="0" w:space="0" w:color="auto"/>
      </w:divBdr>
      <w:divsChild>
        <w:div w:id="1435634218">
          <w:marLeft w:val="0"/>
          <w:marRight w:val="0"/>
          <w:marTop w:val="0"/>
          <w:marBottom w:val="0"/>
          <w:divBdr>
            <w:top w:val="none" w:sz="0" w:space="0" w:color="auto"/>
            <w:left w:val="none" w:sz="0" w:space="0" w:color="auto"/>
            <w:bottom w:val="none" w:sz="0" w:space="0" w:color="auto"/>
            <w:right w:val="none" w:sz="0" w:space="0" w:color="auto"/>
          </w:divBdr>
          <w:divsChild>
            <w:div w:id="604465692">
              <w:marLeft w:val="0"/>
              <w:marRight w:val="0"/>
              <w:marTop w:val="0"/>
              <w:marBottom w:val="0"/>
              <w:divBdr>
                <w:top w:val="none" w:sz="0" w:space="0" w:color="auto"/>
                <w:left w:val="none" w:sz="0" w:space="0" w:color="auto"/>
                <w:bottom w:val="none" w:sz="0" w:space="0" w:color="auto"/>
                <w:right w:val="none" w:sz="0" w:space="0" w:color="auto"/>
              </w:divBdr>
              <w:divsChild>
                <w:div w:id="1612590511">
                  <w:marLeft w:val="0"/>
                  <w:marRight w:val="0"/>
                  <w:marTop w:val="0"/>
                  <w:marBottom w:val="0"/>
                  <w:divBdr>
                    <w:top w:val="none" w:sz="0" w:space="0" w:color="auto"/>
                    <w:left w:val="none" w:sz="0" w:space="0" w:color="auto"/>
                    <w:bottom w:val="none" w:sz="0" w:space="0" w:color="auto"/>
                    <w:right w:val="none" w:sz="0" w:space="0" w:color="auto"/>
                  </w:divBdr>
                  <w:divsChild>
                    <w:div w:id="2079355798">
                      <w:marLeft w:val="0"/>
                      <w:marRight w:val="0"/>
                      <w:marTop w:val="0"/>
                      <w:marBottom w:val="0"/>
                      <w:divBdr>
                        <w:top w:val="none" w:sz="0" w:space="0" w:color="auto"/>
                        <w:left w:val="none" w:sz="0" w:space="0" w:color="auto"/>
                        <w:bottom w:val="none" w:sz="0" w:space="0" w:color="auto"/>
                        <w:right w:val="none" w:sz="0" w:space="0" w:color="auto"/>
                      </w:divBdr>
                      <w:divsChild>
                        <w:div w:id="190656892">
                          <w:marLeft w:val="0"/>
                          <w:marRight w:val="0"/>
                          <w:marTop w:val="0"/>
                          <w:marBottom w:val="0"/>
                          <w:divBdr>
                            <w:top w:val="none" w:sz="0" w:space="0" w:color="auto"/>
                            <w:left w:val="none" w:sz="0" w:space="0" w:color="auto"/>
                            <w:bottom w:val="none" w:sz="0" w:space="0" w:color="auto"/>
                            <w:right w:val="none" w:sz="0" w:space="0" w:color="auto"/>
                          </w:divBdr>
                          <w:divsChild>
                            <w:div w:id="1504663044">
                              <w:marLeft w:val="0"/>
                              <w:marRight w:val="300"/>
                              <w:marTop w:val="180"/>
                              <w:marBottom w:val="0"/>
                              <w:divBdr>
                                <w:top w:val="none" w:sz="0" w:space="0" w:color="auto"/>
                                <w:left w:val="none" w:sz="0" w:space="0" w:color="auto"/>
                                <w:bottom w:val="none" w:sz="0" w:space="0" w:color="auto"/>
                                <w:right w:val="none" w:sz="0" w:space="0" w:color="auto"/>
                              </w:divBdr>
                              <w:divsChild>
                                <w:div w:id="8456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668540">
          <w:marLeft w:val="0"/>
          <w:marRight w:val="0"/>
          <w:marTop w:val="0"/>
          <w:marBottom w:val="0"/>
          <w:divBdr>
            <w:top w:val="none" w:sz="0" w:space="0" w:color="auto"/>
            <w:left w:val="none" w:sz="0" w:space="0" w:color="auto"/>
            <w:bottom w:val="none" w:sz="0" w:space="0" w:color="auto"/>
            <w:right w:val="none" w:sz="0" w:space="0" w:color="auto"/>
          </w:divBdr>
          <w:divsChild>
            <w:div w:id="115105407">
              <w:marLeft w:val="0"/>
              <w:marRight w:val="0"/>
              <w:marTop w:val="0"/>
              <w:marBottom w:val="0"/>
              <w:divBdr>
                <w:top w:val="none" w:sz="0" w:space="0" w:color="auto"/>
                <w:left w:val="none" w:sz="0" w:space="0" w:color="auto"/>
                <w:bottom w:val="none" w:sz="0" w:space="0" w:color="auto"/>
                <w:right w:val="none" w:sz="0" w:space="0" w:color="auto"/>
              </w:divBdr>
              <w:divsChild>
                <w:div w:id="45834527">
                  <w:marLeft w:val="0"/>
                  <w:marRight w:val="0"/>
                  <w:marTop w:val="0"/>
                  <w:marBottom w:val="0"/>
                  <w:divBdr>
                    <w:top w:val="none" w:sz="0" w:space="0" w:color="auto"/>
                    <w:left w:val="none" w:sz="0" w:space="0" w:color="auto"/>
                    <w:bottom w:val="none" w:sz="0" w:space="0" w:color="auto"/>
                    <w:right w:val="none" w:sz="0" w:space="0" w:color="auto"/>
                  </w:divBdr>
                  <w:divsChild>
                    <w:div w:id="1841969760">
                      <w:marLeft w:val="0"/>
                      <w:marRight w:val="0"/>
                      <w:marTop w:val="0"/>
                      <w:marBottom w:val="0"/>
                      <w:divBdr>
                        <w:top w:val="none" w:sz="0" w:space="0" w:color="auto"/>
                        <w:left w:val="none" w:sz="0" w:space="0" w:color="auto"/>
                        <w:bottom w:val="none" w:sz="0" w:space="0" w:color="auto"/>
                        <w:right w:val="none" w:sz="0" w:space="0" w:color="auto"/>
                      </w:divBdr>
                      <w:divsChild>
                        <w:div w:id="19442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023747218">
      <w:bodyDiv w:val="1"/>
      <w:marLeft w:val="0"/>
      <w:marRight w:val="0"/>
      <w:marTop w:val="0"/>
      <w:marBottom w:val="0"/>
      <w:divBdr>
        <w:top w:val="none" w:sz="0" w:space="0" w:color="auto"/>
        <w:left w:val="none" w:sz="0" w:space="0" w:color="auto"/>
        <w:bottom w:val="none" w:sz="0" w:space="0" w:color="auto"/>
        <w:right w:val="none" w:sz="0" w:space="0" w:color="auto"/>
      </w:divBdr>
    </w:div>
    <w:div w:id="1076518347">
      <w:bodyDiv w:val="1"/>
      <w:marLeft w:val="0"/>
      <w:marRight w:val="0"/>
      <w:marTop w:val="0"/>
      <w:marBottom w:val="0"/>
      <w:divBdr>
        <w:top w:val="none" w:sz="0" w:space="0" w:color="auto"/>
        <w:left w:val="none" w:sz="0" w:space="0" w:color="auto"/>
        <w:bottom w:val="none" w:sz="0" w:space="0" w:color="auto"/>
        <w:right w:val="none" w:sz="0" w:space="0" w:color="auto"/>
      </w:divBdr>
      <w:divsChild>
        <w:div w:id="131337742">
          <w:marLeft w:val="0"/>
          <w:marRight w:val="0"/>
          <w:marTop w:val="0"/>
          <w:marBottom w:val="0"/>
          <w:divBdr>
            <w:top w:val="none" w:sz="0" w:space="0" w:color="auto"/>
            <w:left w:val="none" w:sz="0" w:space="0" w:color="auto"/>
            <w:bottom w:val="none" w:sz="0" w:space="0" w:color="auto"/>
            <w:right w:val="none" w:sz="0" w:space="0" w:color="auto"/>
          </w:divBdr>
        </w:div>
        <w:div w:id="322321925">
          <w:marLeft w:val="0"/>
          <w:marRight w:val="0"/>
          <w:marTop w:val="0"/>
          <w:marBottom w:val="0"/>
          <w:divBdr>
            <w:top w:val="none" w:sz="0" w:space="0" w:color="auto"/>
            <w:left w:val="none" w:sz="0" w:space="0" w:color="auto"/>
            <w:bottom w:val="none" w:sz="0" w:space="0" w:color="auto"/>
            <w:right w:val="none" w:sz="0" w:space="0" w:color="auto"/>
          </w:divBdr>
        </w:div>
        <w:div w:id="603927759">
          <w:marLeft w:val="0"/>
          <w:marRight w:val="0"/>
          <w:marTop w:val="0"/>
          <w:marBottom w:val="0"/>
          <w:divBdr>
            <w:top w:val="none" w:sz="0" w:space="0" w:color="auto"/>
            <w:left w:val="none" w:sz="0" w:space="0" w:color="auto"/>
            <w:bottom w:val="none" w:sz="0" w:space="0" w:color="auto"/>
            <w:right w:val="none" w:sz="0" w:space="0" w:color="auto"/>
          </w:divBdr>
        </w:div>
        <w:div w:id="1465469341">
          <w:marLeft w:val="0"/>
          <w:marRight w:val="0"/>
          <w:marTop w:val="0"/>
          <w:marBottom w:val="0"/>
          <w:divBdr>
            <w:top w:val="none" w:sz="0" w:space="0" w:color="auto"/>
            <w:left w:val="none" w:sz="0" w:space="0" w:color="auto"/>
            <w:bottom w:val="none" w:sz="0" w:space="0" w:color="auto"/>
            <w:right w:val="none" w:sz="0" w:space="0" w:color="auto"/>
          </w:divBdr>
        </w:div>
      </w:divsChild>
    </w:div>
    <w:div w:id="1327590520">
      <w:bodyDiv w:val="1"/>
      <w:marLeft w:val="0"/>
      <w:marRight w:val="0"/>
      <w:marTop w:val="0"/>
      <w:marBottom w:val="0"/>
      <w:divBdr>
        <w:top w:val="none" w:sz="0" w:space="0" w:color="auto"/>
        <w:left w:val="none" w:sz="0" w:space="0" w:color="auto"/>
        <w:bottom w:val="none" w:sz="0" w:space="0" w:color="auto"/>
        <w:right w:val="none" w:sz="0" w:space="0" w:color="auto"/>
      </w:divBdr>
    </w:div>
    <w:div w:id="1415971513">
      <w:bodyDiv w:val="1"/>
      <w:marLeft w:val="0"/>
      <w:marRight w:val="0"/>
      <w:marTop w:val="0"/>
      <w:marBottom w:val="0"/>
      <w:divBdr>
        <w:top w:val="none" w:sz="0" w:space="0" w:color="auto"/>
        <w:left w:val="none" w:sz="0" w:space="0" w:color="auto"/>
        <w:bottom w:val="none" w:sz="0" w:space="0" w:color="auto"/>
        <w:right w:val="none" w:sz="0" w:space="0" w:color="auto"/>
      </w:divBdr>
    </w:div>
    <w:div w:id="1588996944">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docs/issues_doc/un_business_partnerships/guidelines_principle_based_approach_between_un_business_sector.pdf" TargetMode="External"/><Relationship Id="rId18" Type="http://schemas.openxmlformats.org/officeDocument/2006/relationships/hyperlink" Target="https://popp.undp.org/es/taxonomy/term/36" TargetMode="External"/><Relationship Id="rId26" Type="http://schemas.openxmlformats.org/officeDocument/2006/relationships/hyperlink" Target="https://undp.sharepoint.com/teams/BERA-Portal/SitePages/PublicPartnerships/NonFinancialAgreements/MoUs-and-SoIs.aspx" TargetMode="External"/><Relationship Id="rId3" Type="http://schemas.openxmlformats.org/officeDocument/2006/relationships/customXml" Target="../customXml/item3.xml"/><Relationship Id="rId21" Type="http://schemas.openxmlformats.org/officeDocument/2006/relationships/hyperlink" Target="https://undp.sharepoint.com/teams/BERA-Portal/Financing%20Agreements%20and%20Templates/Forms/AllItems.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igitallibrary.un.org/record/209869/files/A_RES_92%28I%29-ES.pdf" TargetMode="External"/><Relationship Id="rId17" Type="http://schemas.openxmlformats.org/officeDocument/2006/relationships/hyperlink" Target="https://undg.org/document/2017-undaf-guidance/" TargetMode="External"/><Relationship Id="rId25" Type="http://schemas.openxmlformats.org/officeDocument/2006/relationships/hyperlink" Target="https://undp.sharepoint.com/teams/BERA-Portal/SitePages/PublicPartnerships/FinancingAgreementTemplates/General-Information.aspx?OR=Teams-HL&amp;CT=170984421998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documento/guia-de-la-herramienta-de-evaluacion-de-riesgos-del-sector-privado-fuera-de-linea" TargetMode="External"/><Relationship Id="rId20" Type="http://schemas.openxmlformats.org/officeDocument/2006/relationships/hyperlink" Target="https://undp.sharepoint.com/teams/BERA-Portal/SitePages/PublicPartnerships/FinancingAgreementTemplates/General-Information.aspx?OR=Teams-HL&amp;CT=1709844219980" TargetMode="External"/><Relationship Id="rId29" Type="http://schemas.openxmlformats.org/officeDocument/2006/relationships/hyperlink" Target="https://undp.sharepoint.com/teams/ps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taxonomy/term/186" TargetMode="External"/><Relationship Id="rId24" Type="http://schemas.openxmlformats.org/officeDocument/2006/relationships/hyperlink" Target="https://undp.lightning.force.com/lightning/o/Agreement__c/list?filterName=00B6N000000ZR8GUAW"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pp.undp.org/es/node/20646" TargetMode="External"/><Relationship Id="rId23" Type="http://schemas.openxmlformats.org/officeDocument/2006/relationships/hyperlink" Target="mailto:steve.utterwulghe@undp.org" TargetMode="External"/><Relationship Id="rId28" Type="http://schemas.openxmlformats.org/officeDocument/2006/relationships/hyperlink" Target="https://undp.sharepoint.com/teams/BERA-Portal/SitePages/PrivatePartnerships/Home.aspx" TargetMode="External"/><Relationship Id="rId10" Type="http://schemas.openxmlformats.org/officeDocument/2006/relationships/endnotes" Target="endnotes.xml"/><Relationship Id="rId19" Type="http://schemas.openxmlformats.org/officeDocument/2006/relationships/hyperlink" Target="https://undp.sharepoint.com/teams/BERA-Portal/MOUTemplatesLibrary/Forms/AllItems.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p.sharepoint.com/teams/OLS" TargetMode="External"/><Relationship Id="rId22" Type="http://schemas.openxmlformats.org/officeDocument/2006/relationships/hyperlink" Target="https://digitallibrary.un.org/record/572057" TargetMode="External"/><Relationship Id="rId27" Type="http://schemas.openxmlformats.org/officeDocument/2006/relationships/hyperlink" Target="https://undp.sharepoint.com/teams/BERA-Portal/MOUTemplatesLibrary/Forms/AllItems.aspx" TargetMode="External"/><Relationship Id="rId30" Type="http://schemas.openxmlformats.org/officeDocument/2006/relationships/hyperlink" Target="https://popp.undp.org/es/taxonomy/term/36"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228A7-F4C8-4414-A342-690869EA3979}">
  <ds:schemaRefs>
    <ds:schemaRef ds:uri="http://schemas.microsoft.com/sharepoint/v3/contenttype/forms"/>
  </ds:schemaRefs>
</ds:datastoreItem>
</file>

<file path=customXml/itemProps2.xml><?xml version="1.0" encoding="utf-8"?>
<ds:datastoreItem xmlns:ds="http://schemas.openxmlformats.org/officeDocument/2006/customXml" ds:itemID="{8C666113-9AC7-4A51-97C1-23E4D528D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C1EB0-EC4B-4164-AB49-9D1EEDD9A9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C197B-A91E-4B2C-96F0-7787A054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3181</Words>
  <Characters>18135</Characters>
  <Application>Microsoft Office Word</Application>
  <DocSecurity>0</DocSecurity>
  <Lines>151</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Arilda Dragjoshi</cp:lastModifiedBy>
  <cp:revision>5</cp:revision>
  <dcterms:created xsi:type="dcterms:W3CDTF">2023-11-09T22:56:00Z</dcterms:created>
  <dcterms:modified xsi:type="dcterms:W3CDTF">2026-04-27T17:29:00Z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61bcde93-296f-434a-9bd6-fe220db8d2c6</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1</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3072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