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8903" w14:textId="77777777" w:rsidR="005A4B73" w:rsidRPr="005A4B73" w:rsidRDefault="005A4B73" w:rsidP="00B36788">
      <w:pPr>
        <w:shd w:val="clear" w:color="auto" w:fill="FFFFFF"/>
        <w:spacing w:before="100" w:beforeAutospacing="1" w:after="100" w:afterAutospacing="1" w:line="270" w:lineRule="atLeast"/>
        <w:jc w:val="both"/>
        <w:rPr>
          <w:rFonts w:eastAsia="Times New Roman" w:cs="Arial"/>
          <w:b/>
          <w:bCs/>
          <w:color w:val="333333"/>
          <w:sz w:val="28"/>
          <w:szCs w:val="28"/>
          <w:lang w:eastAsia="fi-FI"/>
        </w:rPr>
      </w:pPr>
      <w:r w:rsidRPr="005A4B73">
        <w:rPr>
          <w:rFonts w:eastAsia="Times New Roman" w:cs="Arial"/>
          <w:b/>
          <w:bCs/>
          <w:color w:val="333333"/>
          <w:sz w:val="28"/>
          <w:szCs w:val="28"/>
          <w:lang w:eastAsia="fi-FI"/>
        </w:rPr>
        <w:t xml:space="preserve">Private Sector Partnerships </w:t>
      </w:r>
    </w:p>
    <w:p w14:paraId="3BDDEF24" w14:textId="77777777" w:rsidR="00335A95" w:rsidRPr="005A4B73" w:rsidRDefault="00335A95" w:rsidP="00B36788">
      <w:pPr>
        <w:shd w:val="clear" w:color="auto" w:fill="FFFFFF"/>
        <w:spacing w:before="100" w:beforeAutospacing="1" w:after="100" w:afterAutospacing="1" w:line="270" w:lineRule="atLeast"/>
        <w:jc w:val="both"/>
        <w:rPr>
          <w:rFonts w:eastAsia="Times New Roman" w:cs="Arial"/>
          <w:color w:val="333333"/>
          <w:lang w:eastAsia="fi-FI"/>
        </w:rPr>
      </w:pPr>
      <w:r w:rsidRPr="005A4B73">
        <w:rPr>
          <w:rFonts w:eastAsia="Times New Roman" w:cs="Arial"/>
          <w:b/>
          <w:bCs/>
          <w:color w:val="333333"/>
          <w:lang w:eastAsia="fi-FI"/>
        </w:rPr>
        <w:t>PURPOSE AND DEFINITIONS</w:t>
      </w:r>
    </w:p>
    <w:p w14:paraId="3C683439" w14:textId="1919AC0A" w:rsidR="007A580F" w:rsidRDefault="0035216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P</w:t>
      </w:r>
      <w:r w:rsidR="007A580F" w:rsidRPr="005E331D">
        <w:rPr>
          <w:rFonts w:eastAsia="Times New Roman" w:cs="Arial"/>
          <w:color w:val="333333"/>
          <w:lang w:eastAsia="fi-FI"/>
        </w:rPr>
        <w:t>rivate sector entities</w:t>
      </w:r>
      <w:r w:rsidRPr="005E331D">
        <w:rPr>
          <w:rFonts w:eastAsia="Times New Roman" w:cs="Arial"/>
          <w:color w:val="333333"/>
          <w:lang w:eastAsia="fi-FI"/>
        </w:rPr>
        <w:t xml:space="preserve"> refer to, among others,</w:t>
      </w:r>
      <w:r w:rsidR="007A580F" w:rsidRPr="005E331D">
        <w:rPr>
          <w:rFonts w:eastAsia="Times New Roman" w:cs="Arial"/>
          <w:color w:val="333333"/>
          <w:lang w:eastAsia="fi-FI"/>
        </w:rPr>
        <w:t xml:space="preserve"> for-profit enterprises of any size, corporate foundations, business associations, coalitions and alliances, </w:t>
      </w:r>
      <w:r w:rsidR="003A6F76" w:rsidRPr="005E331D">
        <w:rPr>
          <w:rFonts w:eastAsia="Times New Roman" w:cs="Arial"/>
          <w:color w:val="333333"/>
          <w:lang w:eastAsia="fi-FI"/>
        </w:rPr>
        <w:t xml:space="preserve">and </w:t>
      </w:r>
      <w:r w:rsidR="00150FE2" w:rsidRPr="005E331D">
        <w:rPr>
          <w:rFonts w:eastAsia="Times New Roman" w:cs="Arial"/>
          <w:color w:val="333333"/>
          <w:lang w:eastAsia="fi-FI"/>
        </w:rPr>
        <w:t>state-owned</w:t>
      </w:r>
      <w:r w:rsidR="007A580F" w:rsidRPr="005E331D">
        <w:rPr>
          <w:rFonts w:eastAsia="Times New Roman" w:cs="Arial"/>
          <w:color w:val="333333"/>
          <w:lang w:eastAsia="fi-FI"/>
        </w:rPr>
        <w:t xml:space="preserve"> enterprises. The term </w:t>
      </w:r>
      <w:r w:rsidR="003A6F76" w:rsidRPr="005E331D">
        <w:rPr>
          <w:rFonts w:eastAsia="Times New Roman" w:cs="Arial"/>
          <w:color w:val="333333"/>
          <w:lang w:eastAsia="fi-FI"/>
        </w:rPr>
        <w:t xml:space="preserve">‘private sector’ </w:t>
      </w:r>
      <w:r w:rsidR="007A580F" w:rsidRPr="005E331D">
        <w:rPr>
          <w:rFonts w:eastAsia="Times New Roman" w:cs="Arial"/>
          <w:color w:val="333333"/>
          <w:lang w:eastAsia="fi-FI"/>
        </w:rPr>
        <w:t>refer</w:t>
      </w:r>
      <w:r w:rsidR="003A6F76" w:rsidRPr="005E331D">
        <w:rPr>
          <w:rFonts w:eastAsia="Times New Roman" w:cs="Arial"/>
          <w:color w:val="333333"/>
          <w:lang w:eastAsia="fi-FI"/>
        </w:rPr>
        <w:t>s</w:t>
      </w:r>
      <w:r w:rsidR="007A580F" w:rsidRPr="005E331D">
        <w:rPr>
          <w:rFonts w:eastAsia="Times New Roman" w:cs="Arial"/>
          <w:color w:val="333333"/>
          <w:lang w:eastAsia="fi-FI"/>
        </w:rPr>
        <w:t xml:space="preserve"> to any such entity that could collaborate or collaborates with UNDP. UNDP can work with a private sector group or with an individual company.</w:t>
      </w:r>
    </w:p>
    <w:p w14:paraId="03626FEE" w14:textId="77777777" w:rsidR="005E331D" w:rsidRPr="005E331D" w:rsidRDefault="005E331D" w:rsidP="005E331D">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548471E3" w14:textId="77777777" w:rsid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A4B73">
        <w:rPr>
          <w:rFonts w:eastAsia="Times New Roman" w:cs="Arial"/>
          <w:color w:val="333333"/>
          <w:lang w:eastAsia="fi-FI"/>
        </w:rPr>
        <w:t>UNDP’s interactions with the private sector can be divided into three areas:</w:t>
      </w:r>
    </w:p>
    <w:p w14:paraId="30920BF9" w14:textId="77777777" w:rsidR="0071245D" w:rsidRPr="0071245D" w:rsidRDefault="0071245D" w:rsidP="0071245D">
      <w:pPr>
        <w:pStyle w:val="ListParagraph"/>
        <w:rPr>
          <w:rFonts w:eastAsia="Times New Roman" w:cs="Arial"/>
          <w:color w:val="333333"/>
          <w:lang w:eastAsia="fi-FI"/>
        </w:rPr>
      </w:pPr>
    </w:p>
    <w:p w14:paraId="4DFDA3BB" w14:textId="77777777" w:rsidR="0071245D" w:rsidRDefault="00335A95" w:rsidP="00887B83">
      <w:pPr>
        <w:pStyle w:val="ListParagraph"/>
        <w:numPr>
          <w:ilvl w:val="0"/>
          <w:numId w:val="5"/>
        </w:numPr>
        <w:shd w:val="clear" w:color="auto" w:fill="FFFFFF"/>
        <w:spacing w:after="0" w:line="270" w:lineRule="atLeast"/>
        <w:rPr>
          <w:rFonts w:eastAsia="Times New Roman" w:cs="Arial"/>
          <w:color w:val="333333"/>
          <w:lang w:eastAsia="fi-FI"/>
        </w:rPr>
      </w:pPr>
      <w:r w:rsidRPr="005E331D">
        <w:rPr>
          <w:rFonts w:eastAsia="Times New Roman" w:cs="Arial"/>
          <w:color w:val="333333"/>
          <w:lang w:eastAsia="fi-FI"/>
        </w:rPr>
        <w:t xml:space="preserve">Support to private sector development - </w:t>
      </w:r>
      <w:r w:rsidR="0000693A" w:rsidRPr="005E331D">
        <w:rPr>
          <w:rFonts w:eastAsia="Times New Roman" w:cs="Arial"/>
          <w:color w:val="333333"/>
          <w:lang w:eastAsia="fi-FI"/>
        </w:rPr>
        <w:t>where UNDP interventions aim to support development of the private sector through policy, capacity and institution building interventions with the private sector as beneficiary</w:t>
      </w:r>
      <w:r w:rsidR="0071245D">
        <w:rPr>
          <w:rFonts w:eastAsia="Times New Roman" w:cs="Arial"/>
          <w:color w:val="333333"/>
          <w:lang w:eastAsia="fi-FI"/>
        </w:rPr>
        <w:t>.</w:t>
      </w:r>
    </w:p>
    <w:p w14:paraId="77906A69" w14:textId="167F2CF4" w:rsidR="0071245D" w:rsidRDefault="0000693A" w:rsidP="0071245D">
      <w:pPr>
        <w:pStyle w:val="ListParagraph"/>
        <w:shd w:val="clear" w:color="auto" w:fill="FFFFFF"/>
        <w:spacing w:after="0" w:line="270" w:lineRule="atLeast"/>
        <w:ind w:left="1095" w:firstLine="0"/>
        <w:rPr>
          <w:rFonts w:eastAsia="Times New Roman" w:cs="Arial"/>
          <w:color w:val="333333"/>
          <w:lang w:eastAsia="fi-FI"/>
        </w:rPr>
      </w:pPr>
      <w:r w:rsidRPr="005E331D" w:rsidDel="0000693A">
        <w:rPr>
          <w:rFonts w:eastAsia="Times New Roman" w:cs="Arial"/>
          <w:color w:val="333333"/>
          <w:lang w:eastAsia="fi-FI"/>
        </w:rPr>
        <w:t xml:space="preserve"> </w:t>
      </w:r>
    </w:p>
    <w:p w14:paraId="1CF784A3" w14:textId="7A4F4456" w:rsidR="00335A95" w:rsidRDefault="00335A95" w:rsidP="00887B83">
      <w:pPr>
        <w:pStyle w:val="ListParagraph"/>
        <w:numPr>
          <w:ilvl w:val="0"/>
          <w:numId w:val="5"/>
        </w:numPr>
        <w:shd w:val="clear" w:color="auto" w:fill="FFFFFF"/>
        <w:spacing w:after="0" w:line="270" w:lineRule="atLeast"/>
        <w:rPr>
          <w:rFonts w:eastAsia="Times New Roman" w:cs="Arial"/>
          <w:color w:val="333333"/>
          <w:lang w:eastAsia="fi-FI"/>
        </w:rPr>
      </w:pPr>
      <w:r w:rsidRPr="005E331D">
        <w:rPr>
          <w:rFonts w:eastAsia="Times New Roman" w:cs="Arial"/>
          <w:color w:val="333333"/>
          <w:lang w:eastAsia="fi-FI"/>
        </w:rPr>
        <w:t xml:space="preserve">Private sector engagement - where the private sector </w:t>
      </w:r>
      <w:r w:rsidR="00C11E1D" w:rsidRPr="005E331D">
        <w:rPr>
          <w:rFonts w:eastAsia="Times New Roman" w:cs="Arial"/>
          <w:color w:val="333333"/>
          <w:lang w:eastAsia="fi-FI"/>
        </w:rPr>
        <w:t>collaborates with</w:t>
      </w:r>
      <w:r w:rsidRPr="005E331D">
        <w:rPr>
          <w:rFonts w:eastAsia="Times New Roman" w:cs="Arial"/>
          <w:color w:val="333333"/>
          <w:lang w:eastAsia="fi-FI"/>
        </w:rPr>
        <w:t xml:space="preserve"> UNDP </w:t>
      </w:r>
      <w:r w:rsidR="007468D9" w:rsidRPr="005E331D">
        <w:rPr>
          <w:rFonts w:eastAsia="Times New Roman" w:cs="Arial"/>
          <w:color w:val="333333"/>
          <w:lang w:eastAsia="fi-FI"/>
        </w:rPr>
        <w:t xml:space="preserve">in advancing the sustainable development agenda </w:t>
      </w:r>
      <w:r w:rsidR="006954E6" w:rsidRPr="005E331D">
        <w:rPr>
          <w:rFonts w:eastAsia="Times New Roman" w:cs="Arial"/>
          <w:color w:val="333333"/>
          <w:lang w:eastAsia="fi-FI"/>
        </w:rPr>
        <w:t xml:space="preserve">by supporting UNDP </w:t>
      </w:r>
      <w:r w:rsidR="001E1485" w:rsidRPr="005E331D">
        <w:rPr>
          <w:rFonts w:eastAsia="Times New Roman" w:cs="Arial"/>
          <w:color w:val="333333"/>
          <w:lang w:eastAsia="fi-FI"/>
        </w:rPr>
        <w:t>initiatives</w:t>
      </w:r>
      <w:r w:rsidR="006954E6" w:rsidRPr="005E331D">
        <w:rPr>
          <w:rFonts w:eastAsia="Times New Roman" w:cs="Arial"/>
          <w:color w:val="333333"/>
          <w:lang w:eastAsia="fi-FI"/>
        </w:rPr>
        <w:t>,</w:t>
      </w:r>
      <w:r w:rsidRPr="005E331D">
        <w:rPr>
          <w:rFonts w:eastAsia="Times New Roman" w:cs="Arial"/>
          <w:color w:val="333333"/>
          <w:lang w:eastAsia="fi-FI"/>
        </w:rPr>
        <w:t xml:space="preserve"> development programmes and projects.</w:t>
      </w:r>
    </w:p>
    <w:p w14:paraId="7B6394CC" w14:textId="77777777" w:rsidR="005E331D" w:rsidRDefault="005E331D" w:rsidP="005E331D">
      <w:pPr>
        <w:pStyle w:val="ListParagraph"/>
        <w:shd w:val="clear" w:color="auto" w:fill="FFFFFF"/>
        <w:spacing w:after="0" w:line="270" w:lineRule="atLeast"/>
        <w:ind w:left="1095" w:firstLine="0"/>
        <w:rPr>
          <w:rFonts w:eastAsia="Times New Roman" w:cs="Arial"/>
          <w:color w:val="333333"/>
          <w:lang w:eastAsia="fi-FI"/>
        </w:rPr>
      </w:pPr>
    </w:p>
    <w:p w14:paraId="197DD7DD" w14:textId="03FE2BC8" w:rsidR="00335A95" w:rsidRPr="005E331D" w:rsidRDefault="00335A95" w:rsidP="00887B83">
      <w:pPr>
        <w:pStyle w:val="ListParagraph"/>
        <w:numPr>
          <w:ilvl w:val="0"/>
          <w:numId w:val="5"/>
        </w:numPr>
        <w:shd w:val="clear" w:color="auto" w:fill="FFFFFF"/>
        <w:spacing w:after="0" w:line="270" w:lineRule="atLeast"/>
        <w:rPr>
          <w:rFonts w:eastAsia="Times New Roman" w:cs="Arial"/>
          <w:color w:val="333333"/>
          <w:lang w:eastAsia="fi-FI"/>
        </w:rPr>
      </w:pPr>
      <w:r w:rsidRPr="005E331D">
        <w:rPr>
          <w:rFonts w:eastAsia="Times New Roman" w:cs="Arial"/>
          <w:color w:val="333333"/>
          <w:lang w:eastAsia="fi-FI"/>
        </w:rPr>
        <w:t>Procurement - in which the private sector provides goods and services to UNDP within a commercial contract. The</w:t>
      </w:r>
      <w:r w:rsidR="00FC2DB4" w:rsidRPr="005E331D">
        <w:rPr>
          <w:rFonts w:eastAsia="Times New Roman" w:cs="Arial"/>
          <w:color w:val="333333"/>
          <w:lang w:eastAsia="fi-FI"/>
        </w:rPr>
        <w:t xml:space="preserve"> </w:t>
      </w:r>
      <w:r w:rsidRPr="005E331D">
        <w:rPr>
          <w:rFonts w:eastAsia="Times New Roman" w:cs="Arial"/>
          <w:color w:val="333333"/>
          <w:lang w:eastAsia="fi-FI"/>
        </w:rPr>
        <w:t xml:space="preserve">procedures in this section of POPP </w:t>
      </w:r>
      <w:r w:rsidR="00FC2DB4" w:rsidRPr="005E331D">
        <w:rPr>
          <w:rFonts w:eastAsia="Times New Roman" w:cs="Arial"/>
          <w:color w:val="333333"/>
          <w:lang w:eastAsia="fi-FI"/>
        </w:rPr>
        <w:t>do not</w:t>
      </w:r>
      <w:r w:rsidRPr="005E331D">
        <w:rPr>
          <w:rFonts w:eastAsia="Times New Roman" w:cs="Arial"/>
          <w:color w:val="333333"/>
          <w:lang w:eastAsia="fi-FI"/>
        </w:rPr>
        <w:t xml:space="preserve"> cover procurement from the private sector. For policies related to procurement of goods and ser</w:t>
      </w:r>
      <w:r w:rsidR="00FC2DB4" w:rsidRPr="005E331D">
        <w:rPr>
          <w:rFonts w:eastAsia="Times New Roman" w:cs="Arial"/>
          <w:color w:val="333333"/>
          <w:lang w:eastAsia="fi-FI"/>
        </w:rPr>
        <w:t xml:space="preserve">vices from the private sector, see </w:t>
      </w:r>
      <w:r w:rsidRPr="005E331D">
        <w:rPr>
          <w:rFonts w:eastAsia="Times New Roman" w:cs="Arial"/>
          <w:color w:val="333333"/>
          <w:lang w:eastAsia="fi-FI"/>
        </w:rPr>
        <w:t>UNDP</w:t>
      </w:r>
      <w:r w:rsidR="00FC2DB4" w:rsidRPr="005E331D">
        <w:rPr>
          <w:rFonts w:eastAsia="Times New Roman" w:cs="Arial"/>
          <w:color w:val="333333"/>
          <w:lang w:eastAsia="fi-FI"/>
        </w:rPr>
        <w:t>’s</w:t>
      </w:r>
      <w:r w:rsidRPr="005E331D">
        <w:rPr>
          <w:rFonts w:eastAsia="Times New Roman" w:cs="Arial"/>
          <w:color w:val="333333"/>
          <w:lang w:eastAsia="fi-FI"/>
        </w:rPr>
        <w:t> </w:t>
      </w:r>
      <w:hyperlink r:id="rId11" w:history="1">
        <w:r w:rsidRPr="003B681C">
          <w:rPr>
            <w:rStyle w:val="Hyperlink"/>
            <w:rFonts w:eastAsia="Times New Roman" w:cs="Arial"/>
            <w:lang w:eastAsia="fi-FI"/>
          </w:rPr>
          <w:t>Procurement Policies in POPP</w:t>
        </w:r>
      </w:hyperlink>
      <w:r w:rsidRPr="005E331D">
        <w:rPr>
          <w:rFonts w:eastAsia="Times New Roman" w:cs="Arial"/>
          <w:color w:val="333333"/>
          <w:lang w:eastAsia="fi-FI"/>
        </w:rPr>
        <w:t>.</w:t>
      </w:r>
    </w:p>
    <w:p w14:paraId="4527CD41" w14:textId="77777777" w:rsidR="00335A95" w:rsidRPr="005A4B73" w:rsidRDefault="00335A95" w:rsidP="00B36788">
      <w:pPr>
        <w:shd w:val="clear" w:color="auto" w:fill="FFFFFF"/>
        <w:spacing w:before="100" w:beforeAutospacing="1" w:after="100" w:afterAutospacing="1" w:line="270" w:lineRule="atLeast"/>
        <w:jc w:val="both"/>
        <w:rPr>
          <w:rFonts w:eastAsia="Times New Roman" w:cs="Arial"/>
          <w:color w:val="333333"/>
          <w:lang w:eastAsia="fi-FI"/>
        </w:rPr>
      </w:pPr>
      <w:r w:rsidRPr="005A4B73">
        <w:rPr>
          <w:rFonts w:eastAsia="Times New Roman" w:cs="Arial"/>
          <w:b/>
          <w:bCs/>
          <w:color w:val="333333"/>
          <w:lang w:eastAsia="fi-FI"/>
        </w:rPr>
        <w:t>Types of engagement</w:t>
      </w:r>
    </w:p>
    <w:p w14:paraId="25D9495F" w14:textId="77777777" w:rsidR="00335A95" w:rsidRP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 xml:space="preserve">There are three main types of </w:t>
      </w:r>
      <w:r w:rsidR="009533A3" w:rsidRPr="005E331D">
        <w:rPr>
          <w:rFonts w:eastAsia="Times New Roman" w:cs="Arial"/>
          <w:color w:val="333333"/>
          <w:lang w:eastAsia="fi-FI"/>
        </w:rPr>
        <w:t xml:space="preserve">UNDP </w:t>
      </w:r>
      <w:r w:rsidRPr="005E331D">
        <w:rPr>
          <w:rFonts w:eastAsia="Times New Roman" w:cs="Arial"/>
          <w:color w:val="333333"/>
          <w:lang w:eastAsia="fi-FI"/>
        </w:rPr>
        <w:t xml:space="preserve">engagement </w:t>
      </w:r>
      <w:r w:rsidR="009533A3" w:rsidRPr="005E331D">
        <w:rPr>
          <w:rFonts w:eastAsia="Times New Roman" w:cs="Arial"/>
          <w:color w:val="333333"/>
          <w:lang w:eastAsia="fi-FI"/>
        </w:rPr>
        <w:t xml:space="preserve">with </w:t>
      </w:r>
      <w:r w:rsidR="00DE2CB5" w:rsidRPr="005E331D">
        <w:rPr>
          <w:rFonts w:eastAsia="Times New Roman" w:cs="Arial"/>
          <w:color w:val="333333"/>
          <w:lang w:eastAsia="fi-FI"/>
        </w:rPr>
        <w:t>the private sector</w:t>
      </w:r>
      <w:r w:rsidR="009533A3" w:rsidRPr="005E331D">
        <w:rPr>
          <w:rFonts w:eastAsia="Times New Roman" w:cs="Arial"/>
          <w:color w:val="333333"/>
          <w:lang w:eastAsia="fi-FI"/>
        </w:rPr>
        <w:t>:</w:t>
      </w:r>
    </w:p>
    <w:p w14:paraId="1197D537" w14:textId="77777777" w:rsidR="005E331D" w:rsidRDefault="00335A95" w:rsidP="00887B83">
      <w:pPr>
        <w:pStyle w:val="ListParagraph"/>
        <w:numPr>
          <w:ilvl w:val="0"/>
          <w:numId w:val="6"/>
        </w:numPr>
        <w:shd w:val="clear" w:color="auto" w:fill="FFFFFF"/>
        <w:spacing w:after="0" w:line="270" w:lineRule="atLeast"/>
        <w:rPr>
          <w:rFonts w:eastAsia="Times New Roman" w:cs="Arial"/>
          <w:color w:val="333333"/>
          <w:lang w:val="fi-FI" w:eastAsia="fi-FI"/>
        </w:rPr>
      </w:pPr>
      <w:r w:rsidRPr="005E331D">
        <w:rPr>
          <w:rFonts w:eastAsia="Times New Roman" w:cs="Arial"/>
          <w:color w:val="333333"/>
          <w:lang w:val="fi-FI" w:eastAsia="fi-FI"/>
        </w:rPr>
        <w:t>Advocacy engagements</w:t>
      </w:r>
    </w:p>
    <w:p w14:paraId="4C07A796" w14:textId="77777777" w:rsidR="005E331D" w:rsidRDefault="005E331D" w:rsidP="005E331D">
      <w:pPr>
        <w:pStyle w:val="ListParagraph"/>
        <w:shd w:val="clear" w:color="auto" w:fill="FFFFFF"/>
        <w:spacing w:after="0" w:line="270" w:lineRule="atLeast"/>
        <w:ind w:left="1080" w:firstLine="0"/>
        <w:rPr>
          <w:rFonts w:eastAsia="Times New Roman" w:cs="Arial"/>
          <w:color w:val="333333"/>
          <w:lang w:val="fi-FI" w:eastAsia="fi-FI"/>
        </w:rPr>
      </w:pPr>
    </w:p>
    <w:p w14:paraId="70D54C12" w14:textId="77777777" w:rsidR="005E331D" w:rsidRPr="005E331D" w:rsidRDefault="00335A95" w:rsidP="00887B83">
      <w:pPr>
        <w:pStyle w:val="ListParagraph"/>
        <w:numPr>
          <w:ilvl w:val="0"/>
          <w:numId w:val="6"/>
        </w:numPr>
        <w:shd w:val="clear" w:color="auto" w:fill="FFFFFF"/>
        <w:spacing w:after="0" w:line="270" w:lineRule="atLeast"/>
        <w:rPr>
          <w:rFonts w:eastAsia="Times New Roman" w:cs="Arial"/>
          <w:color w:val="333333"/>
          <w:lang w:val="fi-FI" w:eastAsia="fi-FI"/>
        </w:rPr>
      </w:pPr>
      <w:r w:rsidRPr="005E331D">
        <w:rPr>
          <w:rFonts w:eastAsia="Times New Roman" w:cs="Arial"/>
          <w:color w:val="333333"/>
          <w:lang w:eastAsia="fi-FI"/>
        </w:rPr>
        <w:t>Core business operations and value chains</w:t>
      </w:r>
    </w:p>
    <w:p w14:paraId="46B756E5" w14:textId="77777777" w:rsidR="005E331D" w:rsidRPr="005E331D" w:rsidRDefault="005E331D" w:rsidP="005E331D">
      <w:pPr>
        <w:shd w:val="clear" w:color="auto" w:fill="FFFFFF"/>
        <w:spacing w:after="0" w:line="270" w:lineRule="atLeast"/>
        <w:rPr>
          <w:rFonts w:eastAsia="Times New Roman" w:cs="Arial"/>
          <w:color w:val="333333"/>
          <w:lang w:val="fi-FI" w:eastAsia="fi-FI"/>
        </w:rPr>
      </w:pPr>
    </w:p>
    <w:p w14:paraId="5BD90423" w14:textId="77777777" w:rsidR="005E331D" w:rsidRPr="00725F1F" w:rsidRDefault="00DA2AB2" w:rsidP="00887B83">
      <w:pPr>
        <w:pStyle w:val="ListParagraph"/>
        <w:numPr>
          <w:ilvl w:val="0"/>
          <w:numId w:val="6"/>
        </w:numPr>
        <w:shd w:val="clear" w:color="auto" w:fill="FFFFFF"/>
        <w:spacing w:after="0" w:line="270" w:lineRule="atLeast"/>
        <w:rPr>
          <w:rFonts w:eastAsia="Times New Roman" w:cs="Arial"/>
          <w:color w:val="333333"/>
          <w:lang w:val="fi-FI" w:eastAsia="fi-FI"/>
        </w:rPr>
      </w:pPr>
      <w:r w:rsidRPr="005E331D">
        <w:rPr>
          <w:rFonts w:eastAsia="Times New Roman" w:cs="Arial"/>
          <w:color w:val="333333"/>
          <w:lang w:eastAsia="fi-FI"/>
        </w:rPr>
        <w:t>Resource contribution to</w:t>
      </w:r>
      <w:r w:rsidR="00335A95" w:rsidRPr="005E331D">
        <w:rPr>
          <w:rFonts w:eastAsia="Times New Roman" w:cs="Arial"/>
          <w:color w:val="333333"/>
          <w:lang w:eastAsia="fi-FI"/>
        </w:rPr>
        <w:t xml:space="preserve"> UNDP </w:t>
      </w:r>
      <w:r w:rsidR="003B449E" w:rsidRPr="005E331D">
        <w:rPr>
          <w:rFonts w:eastAsia="Times New Roman" w:cs="Arial"/>
          <w:color w:val="333333"/>
          <w:lang w:eastAsia="fi-FI"/>
        </w:rPr>
        <w:t xml:space="preserve">programmes and </w:t>
      </w:r>
      <w:r w:rsidR="00335A95" w:rsidRPr="005E331D">
        <w:rPr>
          <w:rFonts w:eastAsia="Times New Roman" w:cs="Arial"/>
          <w:color w:val="333333"/>
          <w:lang w:eastAsia="fi-FI"/>
        </w:rPr>
        <w:t>projects.</w:t>
      </w:r>
    </w:p>
    <w:p w14:paraId="685785C6" w14:textId="77777777" w:rsidR="00725F1F" w:rsidRDefault="00725F1F" w:rsidP="00725F1F">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4E1F441A" w14:textId="77777777" w:rsidR="00335A95" w:rsidRPr="005E331D" w:rsidRDefault="00335A95" w:rsidP="00653198">
      <w:pPr>
        <w:pStyle w:val="ListParagraph"/>
        <w:shd w:val="clear" w:color="auto" w:fill="FFFFFF"/>
        <w:spacing w:before="100" w:beforeAutospacing="1" w:after="100" w:afterAutospacing="1" w:line="270" w:lineRule="atLeast"/>
        <w:ind w:firstLine="0"/>
        <w:rPr>
          <w:rFonts w:eastAsia="Times New Roman" w:cs="Arial"/>
          <w:color w:val="333333"/>
          <w:lang w:eastAsia="fi-FI"/>
        </w:rPr>
      </w:pPr>
      <w:r w:rsidRPr="005E331D">
        <w:rPr>
          <w:rFonts w:eastAsia="Times New Roman" w:cs="Arial"/>
          <w:color w:val="333333"/>
          <w:lang w:eastAsia="fi-FI"/>
        </w:rPr>
        <w:t xml:space="preserve">These </w:t>
      </w:r>
      <w:r w:rsidR="009533A3" w:rsidRPr="005E331D">
        <w:rPr>
          <w:rFonts w:eastAsia="Times New Roman" w:cs="Arial"/>
          <w:color w:val="333333"/>
          <w:lang w:eastAsia="fi-FI"/>
        </w:rPr>
        <w:t>engagements</w:t>
      </w:r>
      <w:r w:rsidRPr="005E331D">
        <w:rPr>
          <w:rFonts w:eastAsia="Times New Roman" w:cs="Arial"/>
          <w:color w:val="333333"/>
          <w:lang w:eastAsia="fi-FI"/>
        </w:rPr>
        <w:t xml:space="preserve"> all make use of one or more procedures </w:t>
      </w:r>
      <w:r w:rsidR="009533A3" w:rsidRPr="005E331D">
        <w:rPr>
          <w:rFonts w:eastAsia="Times New Roman" w:cs="Arial"/>
          <w:color w:val="333333"/>
          <w:lang w:eastAsia="fi-FI"/>
        </w:rPr>
        <w:t>to formalize</w:t>
      </w:r>
      <w:r w:rsidRPr="005E331D">
        <w:rPr>
          <w:rFonts w:eastAsia="Times New Roman" w:cs="Arial"/>
          <w:color w:val="333333"/>
          <w:lang w:eastAsia="fi-FI"/>
        </w:rPr>
        <w:t xml:space="preserve"> partnerships with the private sector.</w:t>
      </w:r>
    </w:p>
    <w:p w14:paraId="2CB4E270" w14:textId="35CCAE93" w:rsidR="00335A95" w:rsidRPr="000C36BC" w:rsidRDefault="00335A95" w:rsidP="000C36BC">
      <w:pPr>
        <w:shd w:val="clear" w:color="auto" w:fill="FFFFFF"/>
        <w:spacing w:beforeAutospacing="1" w:after="100" w:afterAutospacing="1" w:line="270" w:lineRule="atLeast"/>
        <w:rPr>
          <w:rFonts w:eastAsia="Times New Roman" w:cs="Arial"/>
          <w:color w:val="333333"/>
          <w:lang w:eastAsia="fi-FI"/>
        </w:rPr>
      </w:pPr>
      <w:r w:rsidRPr="000C36BC">
        <w:rPr>
          <w:rFonts w:eastAsia="Times New Roman" w:cs="Arial"/>
          <w:b/>
          <w:bCs/>
          <w:color w:val="333333"/>
          <w:lang w:eastAsia="fi-FI"/>
        </w:rPr>
        <w:t>Advocacy engagements</w:t>
      </w:r>
    </w:p>
    <w:p w14:paraId="2186EE0B" w14:textId="77777777" w:rsidR="00335A95" w:rsidRPr="005E331D"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In advocacy engagements</w:t>
      </w:r>
      <w:r w:rsidR="00712AB6" w:rsidRPr="005E331D">
        <w:rPr>
          <w:rFonts w:eastAsia="Times New Roman" w:cs="Arial"/>
          <w:color w:val="333333"/>
          <w:lang w:eastAsia="fi-FI"/>
        </w:rPr>
        <w:t>,</w:t>
      </w:r>
      <w:r w:rsidRPr="005E331D">
        <w:rPr>
          <w:rFonts w:eastAsia="Times New Roman" w:cs="Arial"/>
          <w:color w:val="333333"/>
          <w:lang w:eastAsia="fi-FI"/>
        </w:rPr>
        <w:t xml:space="preserve"> UNDP may work with a business or business network to co</w:t>
      </w:r>
      <w:r w:rsidR="00712AB6" w:rsidRPr="005E331D">
        <w:rPr>
          <w:rFonts w:eastAsia="Times New Roman" w:cs="Arial"/>
          <w:color w:val="333333"/>
          <w:lang w:eastAsia="fi-FI"/>
        </w:rPr>
        <w:t>nvene a private sector platform</w:t>
      </w:r>
      <w:r w:rsidRPr="005E331D">
        <w:rPr>
          <w:rFonts w:eastAsia="Times New Roman" w:cs="Arial"/>
          <w:color w:val="333333"/>
          <w:lang w:eastAsia="fi-FI"/>
        </w:rPr>
        <w:t xml:space="preserve"> to engage in joint advocacy </w:t>
      </w:r>
      <w:r w:rsidR="00FA3B9C" w:rsidRPr="005E331D">
        <w:rPr>
          <w:rFonts w:eastAsia="Times New Roman" w:cs="Arial"/>
          <w:color w:val="333333"/>
          <w:lang w:eastAsia="fi-FI"/>
        </w:rPr>
        <w:t xml:space="preserve">to bring </w:t>
      </w:r>
      <w:r w:rsidRPr="005E331D">
        <w:rPr>
          <w:rFonts w:eastAsia="Times New Roman" w:cs="Arial"/>
          <w:color w:val="333333"/>
          <w:lang w:eastAsia="fi-FI"/>
        </w:rPr>
        <w:t xml:space="preserve">about a change in the external environment </w:t>
      </w:r>
      <w:r w:rsidR="00712AB6" w:rsidRPr="005E331D">
        <w:rPr>
          <w:rFonts w:eastAsia="Times New Roman" w:cs="Arial"/>
          <w:color w:val="333333"/>
          <w:lang w:eastAsia="fi-FI"/>
        </w:rPr>
        <w:t>on issues of</w:t>
      </w:r>
      <w:r w:rsidRPr="005E331D">
        <w:rPr>
          <w:rFonts w:eastAsia="Times New Roman" w:cs="Arial"/>
          <w:color w:val="333333"/>
          <w:lang w:eastAsia="fi-FI"/>
        </w:rPr>
        <w:t xml:space="preserve"> mutual importance to both the bu</w:t>
      </w:r>
      <w:r w:rsidR="00712AB6" w:rsidRPr="005E331D">
        <w:rPr>
          <w:rFonts w:eastAsia="Times New Roman" w:cs="Arial"/>
          <w:color w:val="333333"/>
          <w:lang w:eastAsia="fi-FI"/>
        </w:rPr>
        <w:t xml:space="preserve">siness and </w:t>
      </w:r>
      <w:r w:rsidRPr="005E331D">
        <w:rPr>
          <w:rFonts w:eastAsia="Times New Roman" w:cs="Arial"/>
          <w:color w:val="333333"/>
          <w:lang w:eastAsia="fi-FI"/>
        </w:rPr>
        <w:t>UNDP. This may include engaging directly with</w:t>
      </w:r>
      <w:r w:rsidR="00D256F1" w:rsidRPr="005E331D">
        <w:rPr>
          <w:rFonts w:eastAsia="Times New Roman" w:cs="Arial"/>
          <w:color w:val="333333"/>
          <w:lang w:eastAsia="fi-FI"/>
        </w:rPr>
        <w:t xml:space="preserve"> and influencing</w:t>
      </w:r>
      <w:r w:rsidRPr="005E331D">
        <w:rPr>
          <w:rFonts w:eastAsia="Times New Roman" w:cs="Arial"/>
          <w:color w:val="333333"/>
          <w:lang w:eastAsia="fi-FI"/>
        </w:rPr>
        <w:t xml:space="preserve"> a business or group of businesses to adopt a new </w:t>
      </w:r>
      <w:r w:rsidR="00173521" w:rsidRPr="005E331D">
        <w:rPr>
          <w:rFonts w:eastAsia="Times New Roman" w:cs="Arial"/>
          <w:color w:val="333333"/>
          <w:lang w:eastAsia="fi-FI"/>
        </w:rPr>
        <w:t xml:space="preserve">sustainable and inclusive </w:t>
      </w:r>
      <w:r w:rsidRPr="005E331D">
        <w:rPr>
          <w:rFonts w:eastAsia="Times New Roman" w:cs="Arial"/>
          <w:color w:val="333333"/>
          <w:lang w:eastAsia="fi-FI"/>
        </w:rPr>
        <w:t>business model. UNDP can also convene multi-stakeholder fora.</w:t>
      </w:r>
    </w:p>
    <w:p w14:paraId="62C0EB0C" w14:textId="77777777" w:rsidR="0071245D" w:rsidRDefault="0071245D" w:rsidP="00B36788">
      <w:pPr>
        <w:shd w:val="clear" w:color="auto" w:fill="FFFFFF"/>
        <w:spacing w:beforeAutospacing="1" w:after="100" w:afterAutospacing="1" w:line="270" w:lineRule="atLeast"/>
        <w:jc w:val="both"/>
        <w:rPr>
          <w:rFonts w:eastAsia="Times New Roman" w:cs="Arial"/>
          <w:b/>
          <w:bCs/>
          <w:color w:val="333333"/>
          <w:lang w:eastAsia="fi-FI"/>
        </w:rPr>
      </w:pPr>
    </w:p>
    <w:p w14:paraId="1E061B3B" w14:textId="77777777" w:rsidR="0071245D" w:rsidRDefault="0071245D" w:rsidP="00B36788">
      <w:pPr>
        <w:shd w:val="clear" w:color="auto" w:fill="FFFFFF"/>
        <w:spacing w:beforeAutospacing="1" w:after="100" w:afterAutospacing="1" w:line="270" w:lineRule="atLeast"/>
        <w:jc w:val="both"/>
        <w:rPr>
          <w:rFonts w:eastAsia="Times New Roman" w:cs="Arial"/>
          <w:b/>
          <w:bCs/>
          <w:color w:val="333333"/>
          <w:lang w:eastAsia="fi-FI"/>
        </w:rPr>
      </w:pPr>
    </w:p>
    <w:p w14:paraId="60D2C77F" w14:textId="77777777" w:rsidR="00335A95" w:rsidRPr="005A4B73" w:rsidRDefault="00335A95" w:rsidP="00B36788">
      <w:pPr>
        <w:shd w:val="clear" w:color="auto" w:fill="FFFFFF"/>
        <w:spacing w:beforeAutospacing="1" w:after="100" w:afterAutospacing="1" w:line="270" w:lineRule="atLeast"/>
        <w:jc w:val="both"/>
        <w:rPr>
          <w:rFonts w:eastAsia="Times New Roman" w:cs="Arial"/>
          <w:color w:val="333333"/>
          <w:lang w:eastAsia="fi-FI"/>
        </w:rPr>
      </w:pPr>
      <w:r w:rsidRPr="005A4B73">
        <w:rPr>
          <w:rFonts w:eastAsia="Times New Roman" w:cs="Arial"/>
          <w:b/>
          <w:bCs/>
          <w:color w:val="333333"/>
          <w:lang w:eastAsia="fi-FI"/>
        </w:rPr>
        <w:t>Core business operations and value chain</w:t>
      </w:r>
    </w:p>
    <w:p w14:paraId="6B86944E" w14:textId="77777777" w:rsidR="00152893" w:rsidRDefault="00152893" w:rsidP="00152893">
      <w:pPr>
        <w:pStyle w:val="ListParagraph"/>
        <w:numPr>
          <w:ilvl w:val="0"/>
          <w:numId w:val="4"/>
        </w:numPr>
        <w:shd w:val="clear" w:color="auto" w:fill="FFFFFF"/>
        <w:spacing w:before="100" w:beforeAutospacing="1" w:after="100" w:afterAutospacing="1" w:line="270" w:lineRule="atLeast"/>
        <w:rPr>
          <w:color w:val="333333"/>
          <w:lang w:eastAsia="fi-FI"/>
        </w:rPr>
      </w:pPr>
      <w:r w:rsidRPr="00152893">
        <w:rPr>
          <w:color w:val="333333"/>
          <w:lang w:eastAsia="fi-FI"/>
        </w:rPr>
        <w:t xml:space="preserve">UNDP may advance development through core business by supporting governments to set up an enabling environment or directly working with the private sector. Core business operations and investments can contribute to development when they are conducted in a profitable, </w:t>
      </w:r>
      <w:proofErr w:type="gramStart"/>
      <w:r w:rsidRPr="00152893">
        <w:rPr>
          <w:color w:val="333333"/>
          <w:lang w:eastAsia="fi-FI"/>
        </w:rPr>
        <w:t>productive</w:t>
      </w:r>
      <w:proofErr w:type="gramEnd"/>
      <w:r w:rsidRPr="00152893">
        <w:rPr>
          <w:color w:val="333333"/>
          <w:lang w:eastAsia="fi-FI"/>
        </w:rPr>
        <w:t xml:space="preserve"> and responsible manner, aiming to minimize any negative aspects and increase and leverage positive </w:t>
      </w:r>
      <w:r w:rsidRPr="00695558">
        <w:rPr>
          <w:color w:val="333333"/>
          <w:lang w:eastAsia="fi-FI"/>
        </w:rPr>
        <w:t xml:space="preserve">impacts. </w:t>
      </w:r>
      <w:r w:rsidRPr="000C3B9E">
        <w:rPr>
          <w:color w:val="333333"/>
          <w:lang w:eastAsia="fi-FI"/>
        </w:rPr>
        <w:t>In addition to the core impact of the central business activities along their value chains and supply chains, C</w:t>
      </w:r>
      <w:r w:rsidRPr="00695558">
        <w:rPr>
          <w:color w:val="333333"/>
          <w:lang w:eastAsia="fi-FI"/>
        </w:rPr>
        <w:t xml:space="preserve">orporate </w:t>
      </w:r>
      <w:r w:rsidRPr="00152893">
        <w:rPr>
          <w:color w:val="333333"/>
          <w:lang w:eastAsia="fi-FI"/>
        </w:rPr>
        <w:t xml:space="preserve">Social Responsibility includes corporate philanthropy and community investment and companies’ interface with public policy dialogues and contribution to influencing public policy. </w:t>
      </w:r>
    </w:p>
    <w:p w14:paraId="4E6763A4" w14:textId="77777777" w:rsidR="00152893" w:rsidRDefault="00152893" w:rsidP="00152893">
      <w:pPr>
        <w:pStyle w:val="ListParagraph"/>
        <w:shd w:val="clear" w:color="auto" w:fill="FFFFFF"/>
        <w:spacing w:before="100" w:beforeAutospacing="1" w:after="100" w:afterAutospacing="1" w:line="270" w:lineRule="atLeast"/>
        <w:ind w:firstLine="0"/>
        <w:rPr>
          <w:color w:val="333333"/>
          <w:lang w:eastAsia="fi-FI"/>
        </w:rPr>
      </w:pPr>
    </w:p>
    <w:p w14:paraId="58DB544A" w14:textId="28A2E9F5" w:rsidR="00152893" w:rsidRPr="00152893" w:rsidRDefault="1AFB86AB" w:rsidP="00152893">
      <w:pPr>
        <w:pStyle w:val="ListParagraph"/>
        <w:numPr>
          <w:ilvl w:val="0"/>
          <w:numId w:val="4"/>
        </w:numPr>
        <w:shd w:val="clear" w:color="auto" w:fill="FFFFFF"/>
        <w:spacing w:before="100" w:beforeAutospacing="1" w:after="100" w:afterAutospacing="1" w:line="270" w:lineRule="atLeast"/>
        <w:rPr>
          <w:color w:val="333333"/>
          <w:lang w:eastAsia="fi-FI"/>
        </w:rPr>
      </w:pPr>
      <w:r>
        <w:rPr>
          <w:color w:val="333333"/>
          <w:lang w:eastAsia="fi-FI"/>
        </w:rPr>
        <w:t xml:space="preserve">A </w:t>
      </w:r>
      <w:r w:rsidR="084643AB">
        <w:rPr>
          <w:color w:val="333333"/>
          <w:lang w:eastAsia="fi-FI"/>
        </w:rPr>
        <w:t xml:space="preserve">key </w:t>
      </w:r>
      <w:r w:rsidR="084643AB" w:rsidRPr="00152893">
        <w:rPr>
          <w:color w:val="333333"/>
          <w:lang w:eastAsia="fi-FI"/>
        </w:rPr>
        <w:t>focus area of UNDP’s work</w:t>
      </w:r>
      <w:r w:rsidRPr="00152893">
        <w:rPr>
          <w:color w:val="333333"/>
          <w:lang w:eastAsia="fi-FI"/>
        </w:rPr>
        <w:t xml:space="preserve"> is inclusive business, which seeks to provide goods, services, and employment opportunities on a commercially viable basis, either at scale or scalable, to people living at the base of the economic pyramid</w:t>
      </w:r>
      <w:r w:rsidR="00152893" w:rsidRPr="00152893">
        <w:rPr>
          <w:rStyle w:val="FootnoteReference"/>
          <w:color w:val="333333"/>
          <w:lang w:eastAsia="fi-FI"/>
        </w:rPr>
        <w:footnoteReference w:customMarkFollows="1" w:id="2"/>
        <w:t>[1]</w:t>
      </w:r>
      <w:r w:rsidRPr="00152893">
        <w:rPr>
          <w:color w:val="333333"/>
          <w:lang w:eastAsia="fi-FI"/>
        </w:rPr>
        <w:t xml:space="preserve">. Inclusive business initiatives are deliberately designed to make underserved populations’ part of the value chain of the companies´ core business as suppliers, distributors, retailers, or customers.  As inclusive businesses deepen investments in low-income communities, they improve access to affordable quality products and services, enhance productivity, and generate new income and livelihoods opportunities across the base of the economic pyramid. In doing so, they enable inclusive growth and sustainable development. </w:t>
      </w:r>
    </w:p>
    <w:p w14:paraId="0F84F228" w14:textId="77777777" w:rsidR="00335A95" w:rsidRPr="005A4B73" w:rsidRDefault="00DA2AB2" w:rsidP="00B36788">
      <w:pPr>
        <w:shd w:val="clear" w:color="auto" w:fill="FFFFFF"/>
        <w:spacing w:beforeAutospacing="1" w:after="100" w:afterAutospacing="1" w:line="270" w:lineRule="atLeast"/>
        <w:jc w:val="both"/>
        <w:rPr>
          <w:rFonts w:eastAsia="Times New Roman" w:cs="Arial"/>
          <w:color w:val="333333"/>
          <w:lang w:eastAsia="fi-FI"/>
        </w:rPr>
      </w:pPr>
      <w:r w:rsidRPr="005A4B73">
        <w:rPr>
          <w:rFonts w:eastAsia="Times New Roman" w:cs="Arial"/>
          <w:b/>
          <w:bCs/>
          <w:color w:val="333333"/>
          <w:lang w:eastAsia="fi-FI"/>
        </w:rPr>
        <w:t>Resource contributions to</w:t>
      </w:r>
      <w:r w:rsidR="00335A95" w:rsidRPr="005A4B73">
        <w:rPr>
          <w:rFonts w:eastAsia="Times New Roman" w:cs="Arial"/>
          <w:b/>
          <w:bCs/>
          <w:color w:val="333333"/>
          <w:lang w:eastAsia="fi-FI"/>
        </w:rPr>
        <w:t xml:space="preserve"> UNDP </w:t>
      </w:r>
      <w:r w:rsidRPr="005A4B73">
        <w:rPr>
          <w:rFonts w:eastAsia="Times New Roman" w:cs="Arial"/>
          <w:b/>
          <w:bCs/>
          <w:color w:val="333333"/>
          <w:lang w:eastAsia="fi-FI"/>
        </w:rPr>
        <w:t xml:space="preserve">programmes and </w:t>
      </w:r>
      <w:r w:rsidR="00335A95" w:rsidRPr="005A4B73">
        <w:rPr>
          <w:rFonts w:eastAsia="Times New Roman" w:cs="Arial"/>
          <w:b/>
          <w:bCs/>
          <w:color w:val="333333"/>
          <w:lang w:eastAsia="fi-FI"/>
        </w:rPr>
        <w:t>projects</w:t>
      </w:r>
    </w:p>
    <w:p w14:paraId="78EFA7BC" w14:textId="1A209A09" w:rsidR="00335A95" w:rsidRPr="000C36BC" w:rsidRDefault="00410F76" w:rsidP="000C36BC">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 xml:space="preserve">A range of resources from one or several private sector entities may contribute to a UNDP programme or project. From the private sector perspective, contributions are social investments without a direct financial return from activities. </w:t>
      </w:r>
      <w:r w:rsidR="000C36BC">
        <w:rPr>
          <w:rFonts w:eastAsia="Times New Roman" w:cs="Arial"/>
          <w:color w:val="333333"/>
          <w:lang w:eastAsia="fi-FI"/>
        </w:rPr>
        <w:t xml:space="preserve"> </w:t>
      </w:r>
      <w:r w:rsidR="00335A95" w:rsidRPr="000C36BC">
        <w:rPr>
          <w:rFonts w:eastAsia="Times New Roman" w:cs="Arial"/>
          <w:color w:val="333333"/>
          <w:lang w:eastAsia="fi-FI"/>
        </w:rPr>
        <w:t xml:space="preserve">The main types of </w:t>
      </w:r>
      <w:r w:rsidR="004B5FF0" w:rsidRPr="000C36BC">
        <w:rPr>
          <w:rFonts w:eastAsia="Times New Roman" w:cs="Arial"/>
          <w:color w:val="333333"/>
          <w:lang w:eastAsia="fi-FI"/>
        </w:rPr>
        <w:t>resource contributions</w:t>
      </w:r>
      <w:r w:rsidR="00335A95" w:rsidRPr="000C36BC">
        <w:rPr>
          <w:rFonts w:eastAsia="Times New Roman" w:cs="Arial"/>
          <w:color w:val="333333"/>
          <w:lang w:eastAsia="fi-FI"/>
        </w:rPr>
        <w:t xml:space="preserve"> are:</w:t>
      </w:r>
    </w:p>
    <w:p w14:paraId="0A3599DE" w14:textId="77777777" w:rsidR="00725F1F" w:rsidRPr="00725F1F" w:rsidRDefault="00725F1F" w:rsidP="00725F1F">
      <w:pPr>
        <w:pStyle w:val="ListParagraph"/>
        <w:shd w:val="clear" w:color="auto" w:fill="FFFFFF"/>
        <w:spacing w:before="100" w:beforeAutospacing="1" w:after="100" w:afterAutospacing="1" w:line="270" w:lineRule="atLeast"/>
        <w:ind w:left="1080" w:firstLine="0"/>
        <w:rPr>
          <w:rFonts w:eastAsia="Times New Roman" w:cs="Arial"/>
          <w:color w:val="333333"/>
          <w:lang w:eastAsia="fi-FI"/>
        </w:rPr>
      </w:pPr>
    </w:p>
    <w:p w14:paraId="538EDEC8" w14:textId="78C727EC" w:rsidR="00351DC8" w:rsidRDefault="003A7E59" w:rsidP="00887B83">
      <w:pPr>
        <w:pStyle w:val="ListParagraph"/>
        <w:numPr>
          <w:ilvl w:val="0"/>
          <w:numId w:val="9"/>
        </w:numPr>
        <w:shd w:val="clear" w:color="auto" w:fill="FFFFFF"/>
        <w:spacing w:before="100" w:beforeAutospacing="1" w:after="100" w:afterAutospacing="1" w:line="270" w:lineRule="atLeast"/>
        <w:rPr>
          <w:rFonts w:eastAsia="Times New Roman" w:cs="Arial"/>
          <w:color w:val="333333"/>
          <w:lang w:eastAsia="fi-FI"/>
        </w:rPr>
      </w:pPr>
      <w:r>
        <w:rPr>
          <w:rFonts w:eastAsia="Times New Roman" w:cs="Arial"/>
          <w:b/>
          <w:bCs/>
          <w:color w:val="333333"/>
          <w:lang w:eastAsia="fi-FI"/>
        </w:rPr>
        <w:t>Financing</w:t>
      </w:r>
      <w:r w:rsidR="00351DC8" w:rsidRPr="005E331D">
        <w:rPr>
          <w:rFonts w:eastAsia="Times New Roman" w:cs="Arial"/>
          <w:color w:val="333333"/>
          <w:lang w:eastAsia="fi-FI"/>
        </w:rPr>
        <w:t xml:space="preserve"> - financial contribution by a private sector entity to a UNDP programme or project.</w:t>
      </w:r>
    </w:p>
    <w:p w14:paraId="0A34209D" w14:textId="77777777" w:rsidR="005E331D" w:rsidRPr="005E331D" w:rsidRDefault="005E331D" w:rsidP="005E331D">
      <w:pPr>
        <w:pStyle w:val="ListParagraph"/>
        <w:shd w:val="clear" w:color="auto" w:fill="FFFFFF"/>
        <w:spacing w:before="100" w:beforeAutospacing="1" w:after="100" w:afterAutospacing="1" w:line="270" w:lineRule="atLeast"/>
        <w:ind w:left="1080" w:firstLine="0"/>
        <w:rPr>
          <w:rFonts w:eastAsia="Times New Roman" w:cs="Arial"/>
          <w:color w:val="333333"/>
          <w:lang w:eastAsia="fi-FI"/>
        </w:rPr>
      </w:pPr>
    </w:p>
    <w:p w14:paraId="000A4CCC" w14:textId="77777777" w:rsidR="005E331D" w:rsidRPr="00725F1F" w:rsidRDefault="00351DC8" w:rsidP="00887B83">
      <w:pPr>
        <w:pStyle w:val="ListParagraph"/>
        <w:numPr>
          <w:ilvl w:val="0"/>
          <w:numId w:val="9"/>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b/>
          <w:bCs/>
          <w:color w:val="333333"/>
          <w:lang w:eastAsia="fi-FI"/>
        </w:rPr>
        <w:t>Pro bono goods and services</w:t>
      </w:r>
      <w:r w:rsidRPr="005E331D">
        <w:rPr>
          <w:rFonts w:eastAsia="Times New Roman" w:cs="Arial"/>
          <w:color w:val="333333"/>
          <w:lang w:eastAsia="fi-FI"/>
        </w:rPr>
        <w:t xml:space="preserve"> –contribution of goods or services by a private sector entity to UNDP at no cost.</w:t>
      </w:r>
    </w:p>
    <w:p w14:paraId="0BB82908" w14:textId="3F47CF74" w:rsidR="00335A95" w:rsidRDefault="00335A95" w:rsidP="00813FC6">
      <w:pPr>
        <w:shd w:val="clear" w:color="auto" w:fill="FFFFFF"/>
        <w:spacing w:before="100" w:beforeAutospacing="1" w:after="100" w:afterAutospacing="1" w:line="270" w:lineRule="atLeast"/>
        <w:rPr>
          <w:rFonts w:eastAsia="Times New Roman" w:cs="Arial"/>
          <w:b/>
          <w:bCs/>
          <w:color w:val="333333"/>
          <w:lang w:eastAsia="fi-FI"/>
        </w:rPr>
      </w:pPr>
      <w:r w:rsidRPr="00813FC6">
        <w:rPr>
          <w:rFonts w:eastAsia="Times New Roman" w:cs="Arial"/>
          <w:b/>
          <w:bCs/>
          <w:color w:val="333333"/>
          <w:lang w:eastAsia="fi-FI"/>
        </w:rPr>
        <w:t>Use of UNDP Emblem in connection with engagement with the Private Sector</w:t>
      </w:r>
    </w:p>
    <w:p w14:paraId="5C48F5EA" w14:textId="38258644" w:rsidR="004F4E07" w:rsidRPr="004F4E07"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4F4E07">
        <w:rPr>
          <w:rFonts w:eastAsia="Times New Roman" w:cs="Arial"/>
          <w:color w:val="333333"/>
          <w:lang w:eastAsia="fi-FI"/>
        </w:rPr>
        <w:t>Under </w:t>
      </w:r>
      <w:hyperlink r:id="rId12" w:history="1">
        <w:r w:rsidRPr="007F2B18">
          <w:rPr>
            <w:rFonts w:eastAsia="Times New Roman" w:cs="Arial"/>
            <w:color w:val="0000FF"/>
            <w:u w:val="single"/>
            <w:lang w:eastAsia="fi-FI"/>
          </w:rPr>
          <w:t>General Assembly resolution 92(I) of 7 December 1946</w:t>
        </w:r>
      </w:hyperlink>
      <w:r w:rsidRPr="004F4E07">
        <w:rPr>
          <w:rFonts w:eastAsia="Times New Roman" w:cs="Arial"/>
          <w:color w:val="333333"/>
          <w:lang w:eastAsia="fi-FI"/>
        </w:rPr>
        <w:t xml:space="preserve">, the use of the UN name and emblem is reserved for official purposes of the UN and their use by outside entities requires prior authorization of the Secretary General. The policy is based on the need to maintain the protection provided to the name and emblem of the United Nations (and its organizations) under international law provided they are not used for commercial purposes. </w:t>
      </w:r>
    </w:p>
    <w:p w14:paraId="760F0B17"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3A295F93"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 xml:space="preserve">This policy also protects the UN from financial risks that are associated with commercial use of the name and emblem and, more generally, the risks to the financial or other interests of the UN that may result from the use of the name and emblem in a manner or by individuals or entities that may not be consistent with aims, </w:t>
      </w:r>
      <w:proofErr w:type="gramStart"/>
      <w:r w:rsidRPr="005E331D">
        <w:rPr>
          <w:rFonts w:eastAsia="Times New Roman" w:cs="Arial"/>
          <w:color w:val="333333"/>
          <w:lang w:eastAsia="fi-FI"/>
        </w:rPr>
        <w:t>policies</w:t>
      </w:r>
      <w:proofErr w:type="gramEnd"/>
      <w:r w:rsidRPr="005E331D">
        <w:rPr>
          <w:rFonts w:eastAsia="Times New Roman" w:cs="Arial"/>
          <w:color w:val="333333"/>
          <w:lang w:eastAsia="fi-FI"/>
        </w:rPr>
        <w:t xml:space="preserve"> and activities of the UN.</w:t>
      </w:r>
    </w:p>
    <w:p w14:paraId="60446BBC" w14:textId="77777777" w:rsidR="004F4E07" w:rsidRPr="005E331D" w:rsidRDefault="004F4E07" w:rsidP="004F4E07">
      <w:pPr>
        <w:pStyle w:val="ListParagraph"/>
        <w:shd w:val="clear" w:color="auto" w:fill="FFFFFF"/>
        <w:spacing w:before="100" w:beforeAutospacing="1" w:after="100" w:afterAutospacing="1" w:line="240" w:lineRule="auto"/>
        <w:ind w:firstLine="0"/>
        <w:rPr>
          <w:rFonts w:eastAsia="Times New Roman" w:cs="Arial"/>
          <w:color w:val="333333"/>
          <w:lang w:eastAsia="fi-FI"/>
        </w:rPr>
      </w:pPr>
    </w:p>
    <w:p w14:paraId="3BE5E343" w14:textId="00635F28"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 xml:space="preserve">Recognizing the United Nations’ evolving relationship with the business sector, </w:t>
      </w:r>
      <w:hyperlink r:id="rId13" w:history="1">
        <w:r w:rsidRPr="00B57A0E">
          <w:rPr>
            <w:rStyle w:val="Hyperlink"/>
            <w:rFonts w:eastAsia="Times New Roman" w:cs="Arial"/>
            <w:lang w:eastAsia="fi-FI"/>
          </w:rPr>
          <w:t>the guidelines on a principle-based Approach to the cooperation between the United Nations and the business sector</w:t>
        </w:r>
      </w:hyperlink>
      <w:r w:rsidRPr="005E331D">
        <w:rPr>
          <w:rFonts w:eastAsia="Times New Roman" w:cs="Arial"/>
          <w:color w:val="333333"/>
          <w:lang w:eastAsia="fi-FI"/>
        </w:rPr>
        <w:t xml:space="preserve"> further clarifies the general principles for the use of the United Nations Name and Emblem, by the business sector in the context of a partnership.</w:t>
      </w:r>
    </w:p>
    <w:p w14:paraId="7D4C649E"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76BCF516"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By extension, this policy applies equally to the use of the name and emblem of UNDP. Based on that policy, the UN and UNDP have prohibited individuals or entities doing business with UNDP from generally publicizing contracts with the UNDP to promote business.</w:t>
      </w:r>
    </w:p>
    <w:p w14:paraId="4A133837"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5E606D1F" w14:textId="77777777"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UNDP however recognizes its appreciation for private sector partner’s contributions to UNDP’s work in an appropriate manner which addresses the concerns identified above.</w:t>
      </w:r>
      <w:r w:rsidRPr="005A4B73">
        <w:t xml:space="preserve"> </w:t>
      </w:r>
      <w:r w:rsidRPr="005E331D">
        <w:rPr>
          <w:rFonts w:eastAsia="Times New Roman" w:cs="Arial"/>
          <w:color w:val="333333"/>
          <w:lang w:eastAsia="fi-FI"/>
        </w:rPr>
        <w:t xml:space="preserve">Where engagement with business results in a UNDP project, UNDP should consider that the business has </w:t>
      </w:r>
      <w:proofErr w:type="gramStart"/>
      <w:r w:rsidRPr="005E331D">
        <w:rPr>
          <w:rFonts w:eastAsia="Times New Roman" w:cs="Arial"/>
          <w:color w:val="333333"/>
          <w:lang w:eastAsia="fi-FI"/>
        </w:rPr>
        <w:t>made a contribution</w:t>
      </w:r>
      <w:proofErr w:type="gramEnd"/>
      <w:r w:rsidRPr="005E331D">
        <w:rPr>
          <w:rFonts w:eastAsia="Times New Roman" w:cs="Arial"/>
          <w:color w:val="333333"/>
          <w:lang w:eastAsia="fi-FI"/>
        </w:rPr>
        <w:t xml:space="preserve"> to UNDP’s work and therefore it is possible for UNDP to authorize the use of the name and emblem of UNDP in relation to this contribution.</w:t>
      </w:r>
    </w:p>
    <w:p w14:paraId="3447219E"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27E17EB2" w14:textId="4AE15C4E"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asciiTheme="minorHAnsi" w:eastAsia="Times New Roman" w:hAnsiTheme="minorHAnsi" w:cs="Arial"/>
          <w:color w:val="333333"/>
          <w:lang w:eastAsia="fi-FI"/>
        </w:rPr>
      </w:pPr>
      <w:r w:rsidRPr="005E331D">
        <w:rPr>
          <w:rFonts w:eastAsia="Times New Roman" w:cs="Arial"/>
          <w:color w:val="333333"/>
          <w:lang w:eastAsia="fi-FI"/>
        </w:rPr>
        <w:t>If there are circumstances where there is no UNDP project but where a CO would still like to show appreciation of a</w:t>
      </w:r>
      <w:r w:rsidRPr="005A4B73">
        <w:rPr>
          <w:rFonts w:asciiTheme="minorHAnsi" w:eastAsia="Times New Roman" w:hAnsiTheme="minorHAnsi" w:cs="Arial"/>
          <w:color w:val="333333"/>
          <w:lang w:eastAsia="fi-FI"/>
        </w:rPr>
        <w:t xml:space="preserve"> private sector engagement th</w:t>
      </w:r>
      <w:r>
        <w:rPr>
          <w:rFonts w:asciiTheme="minorHAnsi" w:eastAsia="Times New Roman" w:hAnsiTheme="minorHAnsi" w:cs="Arial"/>
          <w:color w:val="333333"/>
          <w:lang w:eastAsia="fi-FI"/>
        </w:rPr>
        <w:t>r</w:t>
      </w:r>
      <w:r w:rsidRPr="005A4B73">
        <w:rPr>
          <w:rFonts w:asciiTheme="minorHAnsi" w:eastAsia="Times New Roman" w:hAnsiTheme="minorHAnsi" w:cs="Arial"/>
          <w:color w:val="333333"/>
          <w:lang w:eastAsia="fi-FI"/>
        </w:rPr>
        <w:t>ough use of the UNDP name and emblem, these cases should be referred to</w:t>
      </w:r>
      <w:r w:rsidR="005C4CE2">
        <w:rPr>
          <w:rFonts w:asciiTheme="minorHAnsi" w:eastAsia="Times New Roman" w:hAnsiTheme="minorHAnsi" w:cs="Arial"/>
          <w:color w:val="333333"/>
          <w:lang w:eastAsia="fi-FI"/>
        </w:rPr>
        <w:t xml:space="preserve"> the </w:t>
      </w:r>
      <w:hyperlink r:id="rId14" w:history="1">
        <w:r w:rsidR="005C4CE2">
          <w:rPr>
            <w:color w:val="0563C1"/>
            <w:kern w:val="2"/>
            <w:u w:val="single"/>
            <w:lang w:eastAsia="en-US"/>
            <w14:ligatures w14:val="standardContextual"/>
          </w:rPr>
          <w:t>Bureau for Management Services, Office of Legal Services</w:t>
        </w:r>
      </w:hyperlink>
      <w:r w:rsidR="005C4CE2" w:rsidRPr="005C4CE2">
        <w:rPr>
          <w:kern w:val="2"/>
          <w:lang w:eastAsia="en-US"/>
          <w14:ligatures w14:val="standardContextual"/>
        </w:rPr>
        <w:t xml:space="preserve"> </w:t>
      </w:r>
      <w:r w:rsidRPr="005A4B73">
        <w:rPr>
          <w:rFonts w:asciiTheme="minorHAnsi" w:eastAsia="Times New Roman" w:hAnsiTheme="minorHAnsi" w:cs="Arial"/>
          <w:color w:val="333333"/>
          <w:lang w:eastAsia="fi-FI"/>
        </w:rPr>
        <w:t>for advice.</w:t>
      </w:r>
    </w:p>
    <w:p w14:paraId="10C63368" w14:textId="77777777" w:rsidR="004F4E07" w:rsidRPr="005A4B73" w:rsidRDefault="004F4E07" w:rsidP="004F4E07">
      <w:pPr>
        <w:pStyle w:val="ListParagraph"/>
        <w:shd w:val="clear" w:color="auto" w:fill="FFFFFF"/>
        <w:spacing w:before="100" w:beforeAutospacing="1" w:after="100" w:afterAutospacing="1" w:line="270" w:lineRule="atLeast"/>
        <w:ind w:firstLine="0"/>
        <w:rPr>
          <w:rFonts w:asciiTheme="minorHAnsi" w:eastAsia="Times New Roman" w:hAnsiTheme="minorHAnsi" w:cs="Arial"/>
          <w:color w:val="333333"/>
          <w:lang w:eastAsia="fi-FI"/>
        </w:rPr>
      </w:pPr>
    </w:p>
    <w:p w14:paraId="1EAECDDD" w14:textId="0330973D" w:rsidR="004F4E07" w:rsidRPr="005E331D"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5E331D">
        <w:rPr>
          <w:rFonts w:eastAsia="Times New Roman" w:cs="Arial"/>
          <w:color w:val="333333"/>
          <w:lang w:eastAsia="fi-FI"/>
        </w:rPr>
        <w:t xml:space="preserve">Businesses can mention their contributions to UNDP’s work in press releases to the public in which it is stated for example that a given corporation has contributed funds to UNDP in support of certain activities. The language in the press </w:t>
      </w:r>
      <w:r w:rsidR="005C4CE2" w:rsidRPr="005E331D">
        <w:rPr>
          <w:rFonts w:eastAsia="Times New Roman" w:cs="Arial"/>
          <w:color w:val="333333"/>
          <w:lang w:eastAsia="fi-FI"/>
        </w:rPr>
        <w:t>release,</w:t>
      </w:r>
      <w:r w:rsidRPr="005E331D">
        <w:rPr>
          <w:rFonts w:eastAsia="Times New Roman" w:cs="Arial"/>
          <w:color w:val="333333"/>
          <w:lang w:eastAsia="fi-FI"/>
        </w:rPr>
        <w:t xml:space="preserve"> however, cannot imply that UNDP, by accepting the contribution, directly or indirectly endorses the business.</w:t>
      </w:r>
    </w:p>
    <w:p w14:paraId="331C49CA" w14:textId="77777777" w:rsidR="004F4E07" w:rsidRPr="005E331D"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5F478E31" w14:textId="77777777" w:rsidR="004F4E07" w:rsidRPr="0007702B"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For this reason, UNDP must approve in </w:t>
      </w:r>
      <w:proofErr w:type="gramStart"/>
      <w:r w:rsidRPr="0007702B">
        <w:rPr>
          <w:rFonts w:eastAsia="Times New Roman" w:cs="Arial"/>
          <w:color w:val="333333"/>
          <w:lang w:eastAsia="fi-FI"/>
        </w:rPr>
        <w:t>writing beforehand</w:t>
      </w:r>
      <w:proofErr w:type="gramEnd"/>
      <w:r w:rsidRPr="0007702B">
        <w:rPr>
          <w:rFonts w:eastAsia="Times New Roman" w:cs="Arial"/>
          <w:color w:val="333333"/>
          <w:lang w:eastAsia="fi-FI"/>
        </w:rPr>
        <w:t xml:space="preserve"> any materials intended for publication (whether in print, electronically or otherwise) that mention UNDP, the </w:t>
      </w:r>
      <w:proofErr w:type="gramStart"/>
      <w:r w:rsidRPr="0007702B">
        <w:rPr>
          <w:rFonts w:eastAsia="Times New Roman" w:cs="Arial"/>
          <w:color w:val="333333"/>
          <w:lang w:eastAsia="fi-FI"/>
        </w:rPr>
        <w:t>contribution</w:t>
      </w:r>
      <w:proofErr w:type="gramEnd"/>
      <w:r w:rsidRPr="0007702B">
        <w:rPr>
          <w:rFonts w:eastAsia="Times New Roman" w:cs="Arial"/>
          <w:color w:val="333333"/>
          <w:lang w:eastAsia="fi-FI"/>
        </w:rPr>
        <w:t xml:space="preserve"> or the activity in support of which it is provided. Only in the case of factual representations to shareholders or internal budget officials about the amount and purpose of the contribution would such authorization not be required.</w:t>
      </w:r>
    </w:p>
    <w:p w14:paraId="5726D666" w14:textId="77777777" w:rsidR="004F4E07" w:rsidRPr="0007702B" w:rsidRDefault="004F4E07" w:rsidP="004F4E07">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07FBF6C7" w14:textId="77777777" w:rsidR="004F4E07" w:rsidRPr="0007702B"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Additionally, should the private sector partner wish to put a link to UNDP’s website on its website, UNDP must approve the </w:t>
      </w:r>
      <w:proofErr w:type="gramStart"/>
      <w:r w:rsidRPr="0007702B">
        <w:rPr>
          <w:rFonts w:eastAsia="Times New Roman" w:cs="Arial"/>
          <w:color w:val="333333"/>
          <w:lang w:eastAsia="fi-FI"/>
        </w:rPr>
        <w:t>manner in which</w:t>
      </w:r>
      <w:proofErr w:type="gramEnd"/>
      <w:r w:rsidRPr="0007702B">
        <w:rPr>
          <w:rFonts w:eastAsia="Times New Roman" w:cs="Arial"/>
          <w:color w:val="333333"/>
          <w:lang w:eastAsia="fi-FI"/>
        </w:rPr>
        <w:t xml:space="preserve"> the link is depicted and the page on which it is shown. It is preferable to use the UNDP name without the emblem. The private sector entity must also include a disclaimer in the link which states “The link to the UNDP website should not be construed as an endorsement by UNDP of the company or the content of its website."</w:t>
      </w:r>
      <w:bookmarkStart w:id="0" w:name="RelevantPolicies"/>
      <w:bookmarkEnd w:id="0"/>
    </w:p>
    <w:p w14:paraId="4252011C" w14:textId="77777777" w:rsidR="00C33D2A" w:rsidRPr="0007702B" w:rsidRDefault="00C33D2A" w:rsidP="005E331D">
      <w:pPr>
        <w:jc w:val="both"/>
        <w:rPr>
          <w:rFonts w:eastAsia="Times New Roman" w:cs="Arial"/>
          <w:b/>
          <w:bCs/>
          <w:color w:val="000000" w:themeColor="text1"/>
          <w:lang w:eastAsia="fi-FI"/>
        </w:rPr>
      </w:pPr>
    </w:p>
    <w:p w14:paraId="78CA1CA0" w14:textId="77777777" w:rsidR="00F23089" w:rsidRPr="0007702B" w:rsidRDefault="00F23089" w:rsidP="005E331D">
      <w:pPr>
        <w:jc w:val="both"/>
        <w:rPr>
          <w:rFonts w:eastAsia="Times New Roman" w:cs="Arial"/>
          <w:b/>
          <w:bCs/>
          <w:color w:val="000000" w:themeColor="text1"/>
          <w:lang w:eastAsia="fi-FI"/>
        </w:rPr>
      </w:pPr>
    </w:p>
    <w:p w14:paraId="3F529A2B" w14:textId="2093A422" w:rsidR="005E331D" w:rsidRPr="0007702B" w:rsidRDefault="00D13947" w:rsidP="005E331D">
      <w:pPr>
        <w:jc w:val="both"/>
        <w:rPr>
          <w:rFonts w:eastAsia="Times New Roman" w:cs="Arial"/>
          <w:b/>
          <w:bCs/>
          <w:color w:val="000000" w:themeColor="text1"/>
          <w:lang w:eastAsia="fi-FI"/>
        </w:rPr>
      </w:pPr>
      <w:r w:rsidRPr="0007702B">
        <w:rPr>
          <w:rFonts w:eastAsia="Times New Roman" w:cs="Arial"/>
          <w:b/>
          <w:bCs/>
          <w:color w:val="000000" w:themeColor="text1"/>
          <w:lang w:eastAsia="fi-FI"/>
        </w:rPr>
        <w:lastRenderedPageBreak/>
        <w:t>ASSESSING PARTNERSHIPS WITH PRIVATE SECTOR</w:t>
      </w:r>
    </w:p>
    <w:p w14:paraId="16BB8DE4" w14:textId="05AE017C" w:rsidR="0079670C" w:rsidRPr="0007702B" w:rsidRDefault="0079670C" w:rsidP="0079670C">
      <w:pPr>
        <w:pStyle w:val="ListParagraph"/>
        <w:numPr>
          <w:ilvl w:val="0"/>
          <w:numId w:val="4"/>
        </w:numPr>
        <w:shd w:val="clear" w:color="auto" w:fill="FFFFFF"/>
        <w:spacing w:line="270" w:lineRule="atLeast"/>
        <w:textAlignment w:val="top"/>
        <w:rPr>
          <w:rFonts w:eastAsia="Times New Roman" w:cs="Arial"/>
          <w:b/>
          <w:bCs/>
          <w:color w:val="333333"/>
          <w:lang w:val="fi-FI" w:eastAsia="fi-FI"/>
        </w:rPr>
      </w:pPr>
      <w:bookmarkStart w:id="1" w:name="TemplatesForms"/>
      <w:bookmarkEnd w:id="1"/>
      <w:r w:rsidRPr="0007702B">
        <w:rPr>
          <w:rFonts w:eastAsia="Times New Roman" w:cs="Arial"/>
          <w:bCs/>
          <w:color w:val="333333"/>
          <w:lang w:val="fi-FI" w:eastAsia="fi-FI"/>
        </w:rPr>
        <w:t xml:space="preserve">UNDP will seek to partner with private sector entities that are committed to core UN values and UN causes and that are not involved in commercial or other activities incompatible with UNDP’s values, mission and brand.  </w:t>
      </w:r>
      <w:r w:rsidRPr="0007702B">
        <w:rPr>
          <w:rFonts w:eastAsia="Times New Roman" w:cs="Arial"/>
          <w:color w:val="333333"/>
          <w:lang w:eastAsia="fi-FI"/>
        </w:rPr>
        <w:t xml:space="preserve">The benefits and risks associated with a proposed partnership must be assessed prior to engagement with a private sector entity. </w:t>
      </w:r>
      <w:bookmarkStart w:id="2" w:name="FlowChart"/>
      <w:bookmarkStart w:id="3" w:name="Procedures"/>
      <w:bookmarkEnd w:id="2"/>
      <w:bookmarkEnd w:id="3"/>
    </w:p>
    <w:p w14:paraId="19732169" w14:textId="77777777" w:rsidR="0079670C" w:rsidRPr="0007702B" w:rsidRDefault="0079670C" w:rsidP="0079670C">
      <w:pPr>
        <w:pStyle w:val="ListParagraph"/>
        <w:shd w:val="clear" w:color="auto" w:fill="FFFFFF"/>
        <w:spacing w:line="270" w:lineRule="atLeast"/>
        <w:ind w:firstLine="0"/>
        <w:textAlignment w:val="top"/>
        <w:rPr>
          <w:rFonts w:eastAsia="Times New Roman" w:cs="Arial"/>
          <w:b/>
          <w:bCs/>
          <w:color w:val="333333"/>
          <w:lang w:val="fi-FI" w:eastAsia="fi-FI"/>
        </w:rPr>
      </w:pPr>
    </w:p>
    <w:p w14:paraId="343F1F8C" w14:textId="591AA0EB" w:rsidR="0079670C" w:rsidRPr="0007702B" w:rsidRDefault="0079670C" w:rsidP="0079670C">
      <w:pPr>
        <w:pStyle w:val="ListParagraph"/>
        <w:numPr>
          <w:ilvl w:val="0"/>
          <w:numId w:val="4"/>
        </w:numPr>
        <w:shd w:val="clear" w:color="auto" w:fill="FFFFFF"/>
        <w:spacing w:line="270" w:lineRule="atLeast"/>
        <w:textAlignment w:val="top"/>
        <w:rPr>
          <w:rFonts w:eastAsia="Times New Roman" w:cs="Arial"/>
          <w:b/>
          <w:bCs/>
          <w:color w:val="333333"/>
          <w:lang w:val="fi-FI" w:eastAsia="fi-FI"/>
        </w:rPr>
      </w:pPr>
      <w:r w:rsidRPr="0007702B">
        <w:rPr>
          <w:rFonts w:eastAsia="Times New Roman" w:cs="Arial"/>
          <w:bCs/>
          <w:color w:val="333333"/>
          <w:lang w:val="fi-FI" w:eastAsia="fi-FI"/>
        </w:rPr>
        <w:t>UNDP</w:t>
      </w:r>
      <w:r w:rsidR="006E50AF" w:rsidRPr="0007702B">
        <w:rPr>
          <w:rFonts w:eastAsia="Times New Roman" w:cs="Arial"/>
          <w:bCs/>
          <w:color w:val="333333"/>
          <w:lang w:val="fi-FI" w:eastAsia="fi-FI"/>
        </w:rPr>
        <w:t>’s</w:t>
      </w:r>
      <w:r w:rsidRPr="0007702B">
        <w:rPr>
          <w:rFonts w:eastAsia="Times New Roman" w:cs="Arial"/>
          <w:bCs/>
          <w:color w:val="333333"/>
          <w:lang w:val="fi-FI" w:eastAsia="fi-FI"/>
        </w:rPr>
        <w:t xml:space="preserve"> </w:t>
      </w:r>
      <w:hyperlink r:id="rId15" w:history="1">
        <w:r w:rsidR="00060C3E" w:rsidRPr="0007702B">
          <w:rPr>
            <w:rStyle w:val="Hyperlink"/>
            <w:rFonts w:eastAsia="Times New Roman" w:cs="Arial"/>
            <w:bCs/>
            <w:lang w:val="fi-FI" w:eastAsia="fi-FI"/>
          </w:rPr>
          <w:t>Policy on Due Diligence and Partnerships with the Private Sector</w:t>
        </w:r>
      </w:hyperlink>
      <w:r w:rsidRPr="0007702B">
        <w:rPr>
          <w:rFonts w:eastAsia="Times New Roman" w:cs="Arial"/>
          <w:bCs/>
          <w:color w:val="333333"/>
          <w:lang w:val="fi-FI" w:eastAsia="fi-FI"/>
        </w:rPr>
        <w:t xml:space="preserve"> complemented by the </w:t>
      </w:r>
      <w:r w:rsidR="00C45132" w:rsidRPr="0007702B">
        <w:rPr>
          <w:rFonts w:eastAsia="Times New Roman" w:cs="Arial"/>
          <w:bCs/>
          <w:color w:val="333333"/>
          <w:lang w:val="fi-FI" w:eastAsia="fi-FI"/>
        </w:rPr>
        <w:t xml:space="preserve"> </w:t>
      </w:r>
      <w:hyperlink r:id="rId16" w:history="1">
        <w:r w:rsidR="00CB6140" w:rsidRPr="0007702B">
          <w:rPr>
            <w:rStyle w:val="Hyperlink"/>
            <w:rFonts w:eastAsia="Times New Roman" w:cs="Arial"/>
            <w:bCs/>
            <w:lang w:val="fi-FI" w:eastAsia="fi-FI"/>
          </w:rPr>
          <w:t>Private Sector Risk Assessment Tool</w:t>
        </w:r>
      </w:hyperlink>
      <w:r w:rsidR="00C45132" w:rsidRPr="0007702B">
        <w:rPr>
          <w:rFonts w:eastAsia="Times New Roman" w:cs="Arial"/>
          <w:bCs/>
          <w:color w:val="333333"/>
          <w:lang w:val="fi-FI" w:eastAsia="fi-FI"/>
        </w:rPr>
        <w:t xml:space="preserve"> </w:t>
      </w:r>
      <w:r w:rsidRPr="0007702B">
        <w:rPr>
          <w:rFonts w:eastAsia="Times New Roman" w:cs="Arial"/>
          <w:bCs/>
          <w:color w:val="333333"/>
          <w:lang w:val="fi-FI" w:eastAsia="fi-FI"/>
        </w:rPr>
        <w:t>and the Risk Assessment Tool Guidelines, aims to guide staff through the process of assessing the risks.</w:t>
      </w:r>
    </w:p>
    <w:p w14:paraId="74AA0EC7" w14:textId="77777777" w:rsidR="0079670C" w:rsidRPr="0007702B" w:rsidRDefault="0079670C" w:rsidP="0079670C">
      <w:pPr>
        <w:pStyle w:val="ListParagraph"/>
        <w:shd w:val="clear" w:color="auto" w:fill="FFFFFF"/>
        <w:spacing w:line="270" w:lineRule="atLeast"/>
        <w:ind w:firstLine="0"/>
        <w:textAlignment w:val="top"/>
        <w:rPr>
          <w:rFonts w:eastAsia="Times New Roman" w:cs="Arial"/>
          <w:b/>
          <w:bCs/>
          <w:color w:val="333333"/>
          <w:lang w:val="fi-FI" w:eastAsia="fi-FI"/>
        </w:rPr>
      </w:pPr>
    </w:p>
    <w:p w14:paraId="6DB21680" w14:textId="68B114E6" w:rsidR="0079670C" w:rsidRPr="00C964AB" w:rsidRDefault="0079670C" w:rsidP="009514A4">
      <w:pPr>
        <w:pStyle w:val="ListParagraph"/>
        <w:numPr>
          <w:ilvl w:val="0"/>
          <w:numId w:val="4"/>
        </w:numPr>
        <w:shd w:val="clear" w:color="auto" w:fill="FFFFFF"/>
        <w:spacing w:line="270" w:lineRule="atLeast"/>
        <w:textAlignment w:val="top"/>
        <w:rPr>
          <w:rFonts w:eastAsia="Times New Roman" w:cs="Arial"/>
          <w:b/>
          <w:bCs/>
          <w:color w:val="333333"/>
          <w:lang w:val="fi-FI" w:eastAsia="fi-FI"/>
        </w:rPr>
      </w:pPr>
      <w:r w:rsidRPr="00C964AB">
        <w:rPr>
          <w:rFonts w:eastAsia="Times New Roman" w:cs="Arial"/>
          <w:bCs/>
          <w:color w:val="333333"/>
          <w:lang w:val="fi-FI" w:eastAsia="fi-FI"/>
        </w:rPr>
        <w:t xml:space="preserve">To inform the decision of whether or not to engage in a partnership with a private sector entity, the initiating business unit must undertake, as early as possible, the due diligence of the potential partner, which requires the completion of the Private Sector Risk Assessment Tool. </w:t>
      </w:r>
      <w:bookmarkStart w:id="4" w:name="Inputs"/>
      <w:bookmarkStart w:id="5" w:name="Deliverables"/>
      <w:bookmarkStart w:id="6" w:name="RolesResponsibilities"/>
      <w:bookmarkEnd w:id="4"/>
      <w:bookmarkEnd w:id="5"/>
      <w:bookmarkEnd w:id="6"/>
    </w:p>
    <w:p w14:paraId="16F5EBCC" w14:textId="60B31000" w:rsidR="00054593" w:rsidRPr="0007702B" w:rsidRDefault="00054593" w:rsidP="0079670C">
      <w:pPr>
        <w:pStyle w:val="ListParagraph"/>
        <w:shd w:val="clear" w:color="auto" w:fill="FFFFFF"/>
        <w:spacing w:after="0" w:line="270" w:lineRule="atLeast"/>
        <w:ind w:firstLine="0"/>
        <w:textAlignment w:val="top"/>
        <w:rPr>
          <w:rFonts w:eastAsia="Times New Roman" w:cs="Arial"/>
          <w:color w:val="333333"/>
          <w:lang w:eastAsia="fi-FI"/>
        </w:rPr>
      </w:pPr>
    </w:p>
    <w:tbl>
      <w:tblPr>
        <w:tblW w:w="4874" w:type="pct"/>
        <w:tblCellMar>
          <w:top w:w="12" w:type="dxa"/>
          <w:left w:w="12" w:type="dxa"/>
          <w:bottom w:w="12" w:type="dxa"/>
          <w:right w:w="12" w:type="dxa"/>
        </w:tblCellMar>
        <w:tblLook w:val="04A0" w:firstRow="1" w:lastRow="0" w:firstColumn="1" w:lastColumn="0" w:noHBand="0" w:noVBand="1"/>
        <w:tblDescription w:val="Financing Agreements and Templates "/>
      </w:tblPr>
      <w:tblGrid>
        <w:gridCol w:w="9124"/>
      </w:tblGrid>
      <w:tr w:rsidR="00883925" w:rsidRPr="005A4B73" w14:paraId="5EF70F60" w14:textId="77777777" w:rsidTr="13BFFD09">
        <w:tc>
          <w:tcPr>
            <w:tcW w:w="0" w:type="auto"/>
            <w:tcMar>
              <w:top w:w="60" w:type="dxa"/>
              <w:left w:w="60" w:type="dxa"/>
              <w:bottom w:w="60" w:type="dxa"/>
              <w:right w:w="120" w:type="dxa"/>
            </w:tcMar>
            <w:hideMark/>
          </w:tcPr>
          <w:p w14:paraId="126F3EFB" w14:textId="77777777" w:rsidR="0007702B" w:rsidRPr="0007702B" w:rsidRDefault="0007702B" w:rsidP="00C964AB">
            <w:pPr>
              <w:shd w:val="clear" w:color="auto" w:fill="FFFFFF"/>
              <w:spacing w:after="0" w:line="270" w:lineRule="atLeast"/>
              <w:jc w:val="both"/>
              <w:textAlignment w:val="top"/>
              <w:rPr>
                <w:rFonts w:eastAsia="Times New Roman" w:cs="Arial"/>
                <w:b/>
                <w:bCs/>
                <w:color w:val="000000" w:themeColor="text1"/>
                <w:lang w:eastAsia="fi-FI"/>
              </w:rPr>
            </w:pPr>
          </w:p>
          <w:p w14:paraId="1B483357" w14:textId="06071110" w:rsidR="00883925" w:rsidRPr="0007702B" w:rsidRDefault="005155DA" w:rsidP="00054593">
            <w:pPr>
              <w:shd w:val="clear" w:color="auto" w:fill="FFFFFF"/>
              <w:spacing w:after="0" w:line="270" w:lineRule="atLeast"/>
              <w:jc w:val="both"/>
              <w:rPr>
                <w:rFonts w:eastAsia="Times New Roman" w:cs="Arial"/>
                <w:b/>
                <w:bCs/>
                <w:color w:val="000000" w:themeColor="text1"/>
                <w:lang w:eastAsia="fi-FI"/>
              </w:rPr>
            </w:pPr>
            <w:r w:rsidRPr="0007702B">
              <w:rPr>
                <w:rFonts w:eastAsia="Times New Roman" w:cs="Arial"/>
                <w:b/>
                <w:bCs/>
                <w:color w:val="000000" w:themeColor="text1"/>
                <w:lang w:eastAsia="fi-FI"/>
              </w:rPr>
              <w:t>FORMALIZING PARTNERSHIPS WITH THE PRIVATE SECTOR</w:t>
            </w:r>
          </w:p>
          <w:p w14:paraId="0285BDB3" w14:textId="6A84BD48" w:rsidR="00883925" w:rsidRPr="0007702B" w:rsidRDefault="00334E6C"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This </w:t>
            </w:r>
            <w:r w:rsidR="00054593" w:rsidRPr="0007702B">
              <w:rPr>
                <w:rFonts w:eastAsia="Times New Roman" w:cs="Arial"/>
                <w:color w:val="333333"/>
                <w:lang w:eastAsia="fi-FI"/>
              </w:rPr>
              <w:t>policy</w:t>
            </w:r>
            <w:r w:rsidR="00883925" w:rsidRPr="0007702B">
              <w:rPr>
                <w:rFonts w:eastAsia="Times New Roman" w:cs="Arial"/>
                <w:color w:val="333333"/>
                <w:lang w:eastAsia="fi-FI"/>
              </w:rPr>
              <w:t xml:space="preserve"> guides staff on how different types of engagements can be </w:t>
            </w:r>
            <w:r w:rsidR="007A6037" w:rsidRPr="0007702B">
              <w:rPr>
                <w:rFonts w:eastAsia="Times New Roman" w:cs="Arial"/>
                <w:color w:val="333333"/>
                <w:lang w:eastAsia="fi-FI"/>
              </w:rPr>
              <w:t xml:space="preserve">formalized </w:t>
            </w:r>
            <w:r w:rsidR="00883925" w:rsidRPr="0007702B">
              <w:rPr>
                <w:rFonts w:eastAsia="Times New Roman" w:cs="Arial"/>
                <w:color w:val="333333"/>
                <w:lang w:eastAsia="fi-FI"/>
              </w:rPr>
              <w:t>using UNDP management processes and partnership agreements.</w:t>
            </w:r>
          </w:p>
          <w:p w14:paraId="77321306" w14:textId="77777777" w:rsidR="00054593" w:rsidRPr="0007702B"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2A68EA1B" w14:textId="5BF6D03E" w:rsidR="00883925"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b/>
                <w:bCs/>
                <w:color w:val="333333"/>
                <w:lang w:eastAsia="fi-FI"/>
              </w:rPr>
            </w:pPr>
            <w:r w:rsidRPr="0007702B">
              <w:rPr>
                <w:rFonts w:eastAsia="Times New Roman" w:cs="Arial"/>
                <w:color w:val="333333"/>
                <w:lang w:eastAsia="fi-FI"/>
              </w:rPr>
              <w:t xml:space="preserve">UNDP </w:t>
            </w:r>
            <w:r w:rsidR="000031F9" w:rsidRPr="0007702B">
              <w:rPr>
                <w:rFonts w:eastAsia="Times New Roman" w:cs="Arial"/>
                <w:color w:val="333333"/>
                <w:lang w:eastAsia="fi-FI"/>
              </w:rPr>
              <w:t>partners with businesses</w:t>
            </w:r>
            <w:r w:rsidRPr="0007702B">
              <w:rPr>
                <w:rFonts w:eastAsia="Times New Roman" w:cs="Arial"/>
                <w:color w:val="333333"/>
                <w:lang w:eastAsia="fi-FI"/>
              </w:rPr>
              <w:t xml:space="preserve"> to meet a particular development need identified through planning documents such as, the corporate Annual Business Plan, and the </w:t>
            </w:r>
            <w:hyperlink r:id="rId17" w:history="1">
              <w:r w:rsidRPr="0007702B">
                <w:rPr>
                  <w:rFonts w:eastAsia="Times New Roman" w:cs="Arial"/>
                  <w:color w:val="0000FF"/>
                  <w:lang w:eastAsia="fi-FI"/>
                </w:rPr>
                <w:t>UNDAF</w:t>
              </w:r>
            </w:hyperlink>
            <w:r w:rsidR="008521C6" w:rsidRPr="0007702B">
              <w:rPr>
                <w:rFonts w:eastAsia="Times New Roman" w:cs="Arial"/>
                <w:color w:val="333333"/>
                <w:lang w:eastAsia="fi-FI"/>
              </w:rPr>
              <w:t xml:space="preserve"> and</w:t>
            </w:r>
            <w:r w:rsidRPr="0007702B">
              <w:rPr>
                <w:rFonts w:eastAsia="Times New Roman" w:cs="Arial"/>
                <w:color w:val="333333"/>
                <w:lang w:eastAsia="fi-FI"/>
              </w:rPr>
              <w:t> CPD at country level.</w:t>
            </w:r>
          </w:p>
          <w:p w14:paraId="0CC37137" w14:textId="77777777" w:rsidR="00883925" w:rsidRPr="0007702B" w:rsidRDefault="00883925" w:rsidP="00D13947">
            <w:pPr>
              <w:shd w:val="clear" w:color="auto" w:fill="FFFFFF"/>
              <w:spacing w:before="100" w:beforeAutospacing="1" w:after="100" w:afterAutospacing="1" w:line="270" w:lineRule="atLeast"/>
              <w:ind w:left="360"/>
              <w:jc w:val="both"/>
              <w:rPr>
                <w:rFonts w:eastAsia="Times New Roman" w:cs="Arial"/>
                <w:color w:val="333333"/>
                <w:lang w:eastAsia="fi-FI"/>
              </w:rPr>
            </w:pPr>
            <w:r w:rsidRPr="0007702B">
              <w:rPr>
                <w:rFonts w:eastAsia="Times New Roman" w:cs="Arial"/>
                <w:b/>
                <w:bCs/>
                <w:color w:val="333333"/>
                <w:lang w:eastAsia="fi-FI"/>
              </w:rPr>
              <w:t>Informal engagements</w:t>
            </w:r>
          </w:p>
          <w:p w14:paraId="5434956A" w14:textId="054BCD73" w:rsidR="00883925"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Partnerships should have mutually agreed goals and objectives and with clearly defined roles and responsibilities. If there are no programmatic, operational/service or financial deliverables, it is possible to have an engagement between UNDP and the private sector that does not require formalization through a partnering agreement.</w:t>
            </w:r>
          </w:p>
          <w:p w14:paraId="6017BECF" w14:textId="77777777" w:rsidR="00054593" w:rsidRPr="0007702B"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20A7EDE2" w14:textId="1F3D6AFD" w:rsidR="00883925"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Informal and occasional engagement is </w:t>
            </w:r>
            <w:r w:rsidR="00844AA2" w:rsidRPr="0007702B">
              <w:rPr>
                <w:rFonts w:eastAsia="Times New Roman" w:cs="Arial"/>
                <w:color w:val="333333"/>
                <w:lang w:eastAsia="fi-FI"/>
              </w:rPr>
              <w:t>possible</w:t>
            </w:r>
            <w:r w:rsidRPr="0007702B">
              <w:rPr>
                <w:rFonts w:eastAsia="Times New Roman" w:cs="Arial"/>
                <w:color w:val="333333"/>
                <w:lang w:eastAsia="fi-FI"/>
              </w:rPr>
              <w:t xml:space="preserve"> however, a </w:t>
            </w:r>
            <w:r w:rsidR="00054593" w:rsidRPr="0007702B">
              <w:rPr>
                <w:rFonts w:eastAsia="Times New Roman" w:cs="Arial"/>
                <w:color w:val="333333"/>
                <w:lang w:eastAsia="fi-FI"/>
              </w:rPr>
              <w:t>business unit</w:t>
            </w:r>
            <w:r w:rsidRPr="0007702B">
              <w:rPr>
                <w:rFonts w:eastAsia="Times New Roman" w:cs="Arial"/>
                <w:color w:val="333333"/>
                <w:lang w:eastAsia="fi-FI"/>
              </w:rPr>
              <w:t xml:space="preserve"> should be aware that </w:t>
            </w:r>
            <w:r w:rsidR="00A965A8" w:rsidRPr="0007702B">
              <w:rPr>
                <w:rFonts w:eastAsia="Times New Roman" w:cs="Arial"/>
                <w:color w:val="333333"/>
                <w:lang w:eastAsia="fi-FI"/>
              </w:rPr>
              <w:t xml:space="preserve">if </w:t>
            </w:r>
            <w:r w:rsidRPr="0007702B">
              <w:rPr>
                <w:rFonts w:eastAsia="Times New Roman" w:cs="Arial"/>
                <w:color w:val="333333"/>
                <w:lang w:eastAsia="fi-FI"/>
              </w:rPr>
              <w:t xml:space="preserve">such engagements become more regular, with the prospect of substantive deliverables, </w:t>
            </w:r>
            <w:r w:rsidR="00A965A8" w:rsidRPr="0007702B">
              <w:rPr>
                <w:rFonts w:eastAsia="Times New Roman" w:cs="Arial"/>
                <w:color w:val="333333"/>
                <w:lang w:eastAsia="fi-FI"/>
              </w:rPr>
              <w:t xml:space="preserve">they </w:t>
            </w:r>
            <w:r w:rsidRPr="0007702B">
              <w:rPr>
                <w:rFonts w:eastAsia="Times New Roman" w:cs="Arial"/>
                <w:color w:val="333333"/>
                <w:lang w:eastAsia="fi-FI"/>
              </w:rPr>
              <w:t>present opportunities and risks for UNDP. I</w:t>
            </w:r>
            <w:r w:rsidR="000E71CE" w:rsidRPr="0007702B">
              <w:rPr>
                <w:rFonts w:eastAsia="Times New Roman" w:cs="Arial"/>
                <w:color w:val="333333"/>
                <w:lang w:eastAsia="fi-FI"/>
              </w:rPr>
              <w:t>n such cases, business units should</w:t>
            </w:r>
            <w:r w:rsidRPr="0007702B">
              <w:rPr>
                <w:rFonts w:eastAsia="Times New Roman" w:cs="Arial"/>
                <w:color w:val="333333"/>
                <w:lang w:eastAsia="fi-FI"/>
              </w:rPr>
              <w:t xml:space="preserve"> consider formalization through either a</w:t>
            </w:r>
            <w:r w:rsidR="000E71CE" w:rsidRPr="0007702B">
              <w:rPr>
                <w:rFonts w:eastAsia="Times New Roman" w:cs="Arial"/>
                <w:color w:val="333333"/>
                <w:lang w:eastAsia="fi-FI"/>
              </w:rPr>
              <w:t>n</w:t>
            </w:r>
            <w:r w:rsidRPr="0007702B">
              <w:rPr>
                <w:rFonts w:eastAsia="Times New Roman" w:cs="Arial"/>
                <w:color w:val="333333"/>
                <w:lang w:eastAsia="fi-FI"/>
              </w:rPr>
              <w:t xml:space="preserve"> MoU or other appropriate partnership agreement.</w:t>
            </w:r>
          </w:p>
          <w:p w14:paraId="12124267" w14:textId="77777777" w:rsidR="00883925" w:rsidRPr="0007702B" w:rsidRDefault="00883925" w:rsidP="00D13947">
            <w:pPr>
              <w:ind w:left="360"/>
              <w:jc w:val="both"/>
              <w:rPr>
                <w:rFonts w:eastAsia="Times New Roman" w:cs="Arial"/>
                <w:b/>
                <w:color w:val="333333"/>
                <w:lang w:eastAsia="fi-FI"/>
              </w:rPr>
            </w:pPr>
            <w:r w:rsidRPr="0007702B">
              <w:rPr>
                <w:rFonts w:eastAsia="Times New Roman" w:cs="Arial"/>
                <w:b/>
                <w:color w:val="333333"/>
                <w:lang w:eastAsia="fi-FI"/>
              </w:rPr>
              <w:t>Formal engagements</w:t>
            </w:r>
          </w:p>
          <w:p w14:paraId="55A829E1" w14:textId="1A55AC2A" w:rsidR="005B402C" w:rsidRPr="0007702B" w:rsidRDefault="0094408F"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bCs/>
                <w:color w:val="333333"/>
                <w:lang w:eastAsia="fi-FI"/>
              </w:rPr>
              <w:t>Formal</w:t>
            </w:r>
            <w:r w:rsidR="00963194" w:rsidRPr="0007702B">
              <w:rPr>
                <w:rFonts w:eastAsia="Times New Roman" w:cs="Arial"/>
                <w:bCs/>
                <w:color w:val="333333"/>
                <w:lang w:eastAsia="fi-FI"/>
              </w:rPr>
              <w:t xml:space="preserve"> </w:t>
            </w:r>
            <w:r w:rsidR="00444C00" w:rsidRPr="0007702B">
              <w:rPr>
                <w:rFonts w:eastAsia="Times New Roman" w:cs="Arial"/>
                <w:bCs/>
                <w:color w:val="333333"/>
                <w:lang w:eastAsia="fi-FI"/>
              </w:rPr>
              <w:t xml:space="preserve">private sector </w:t>
            </w:r>
            <w:r w:rsidR="00963194" w:rsidRPr="0007702B">
              <w:rPr>
                <w:rFonts w:eastAsia="Times New Roman" w:cs="Arial"/>
                <w:bCs/>
                <w:color w:val="333333"/>
                <w:lang w:eastAsia="fi-FI"/>
              </w:rPr>
              <w:t xml:space="preserve">partnerships </w:t>
            </w:r>
            <w:r w:rsidR="00901EB2" w:rsidRPr="0007702B">
              <w:rPr>
                <w:rFonts w:eastAsia="Times New Roman" w:cs="Arial"/>
                <w:bCs/>
                <w:color w:val="333333"/>
                <w:lang w:eastAsia="fi-FI"/>
              </w:rPr>
              <w:t xml:space="preserve">are engagements </w:t>
            </w:r>
            <w:r w:rsidR="00963194" w:rsidRPr="0007702B">
              <w:rPr>
                <w:rFonts w:eastAsia="Times New Roman" w:cs="Arial"/>
                <w:bCs/>
                <w:color w:val="333333"/>
                <w:lang w:eastAsia="fi-FI"/>
              </w:rPr>
              <w:t xml:space="preserve">that have </w:t>
            </w:r>
            <w:r w:rsidR="00D04E4C" w:rsidRPr="0007702B">
              <w:rPr>
                <w:rFonts w:eastAsia="Times New Roman" w:cs="Arial"/>
                <w:bCs/>
                <w:color w:val="333333"/>
                <w:lang w:eastAsia="fi-FI"/>
              </w:rPr>
              <w:t xml:space="preserve">tangible </w:t>
            </w:r>
            <w:r w:rsidR="00824394" w:rsidRPr="0007702B">
              <w:rPr>
                <w:rFonts w:eastAsia="Times New Roman" w:cs="Arial"/>
                <w:bCs/>
                <w:color w:val="333333"/>
                <w:lang w:eastAsia="fi-FI"/>
              </w:rPr>
              <w:t>programmatic, operational/</w:t>
            </w:r>
            <w:proofErr w:type="gramStart"/>
            <w:r w:rsidR="00824394" w:rsidRPr="0007702B">
              <w:rPr>
                <w:rFonts w:eastAsia="Times New Roman" w:cs="Arial"/>
                <w:bCs/>
                <w:color w:val="333333"/>
                <w:lang w:eastAsia="fi-FI"/>
              </w:rPr>
              <w:t>service</w:t>
            </w:r>
            <w:proofErr w:type="gramEnd"/>
            <w:r w:rsidR="00824394" w:rsidRPr="0007702B">
              <w:rPr>
                <w:rFonts w:eastAsia="Times New Roman" w:cs="Arial"/>
                <w:bCs/>
                <w:color w:val="333333"/>
                <w:lang w:eastAsia="fi-FI"/>
              </w:rPr>
              <w:t xml:space="preserve"> or financial deliverables</w:t>
            </w:r>
            <w:r w:rsidRPr="0007702B">
              <w:rPr>
                <w:rFonts w:eastAsia="Times New Roman" w:cs="Arial"/>
                <w:bCs/>
                <w:color w:val="333333"/>
                <w:lang w:eastAsia="fi-FI"/>
              </w:rPr>
              <w:t xml:space="preserve">. </w:t>
            </w:r>
            <w:r w:rsidR="004E5EA2" w:rsidRPr="0007702B">
              <w:rPr>
                <w:rFonts w:eastAsia="Times New Roman" w:cs="Arial"/>
                <w:bCs/>
                <w:color w:val="333333"/>
                <w:lang w:eastAsia="fi-FI"/>
              </w:rPr>
              <w:t>The f</w:t>
            </w:r>
            <w:r w:rsidR="00444C00" w:rsidRPr="0007702B">
              <w:rPr>
                <w:rFonts w:eastAsia="Times New Roman" w:cs="Arial"/>
                <w:bCs/>
                <w:color w:val="333333"/>
                <w:lang w:eastAsia="fi-FI"/>
              </w:rPr>
              <w:t>ormal p</w:t>
            </w:r>
            <w:r w:rsidR="003A4AB2" w:rsidRPr="0007702B">
              <w:rPr>
                <w:rFonts w:eastAsia="Times New Roman" w:cs="Arial"/>
                <w:bCs/>
                <w:color w:val="333333"/>
                <w:lang w:eastAsia="fi-FI"/>
              </w:rPr>
              <w:t xml:space="preserve">rivate sector </w:t>
            </w:r>
            <w:r w:rsidR="004E5EA2" w:rsidRPr="0007702B">
              <w:rPr>
                <w:rFonts w:eastAsia="Times New Roman" w:cs="Arial"/>
                <w:bCs/>
                <w:color w:val="333333"/>
                <w:lang w:eastAsia="fi-FI"/>
              </w:rPr>
              <w:t>partnerships should follow</w:t>
            </w:r>
            <w:r w:rsidR="00901EB2" w:rsidRPr="0007702B">
              <w:rPr>
                <w:rFonts w:eastAsia="Times New Roman" w:cs="Arial"/>
                <w:bCs/>
                <w:color w:val="333333"/>
                <w:lang w:eastAsia="fi-FI"/>
              </w:rPr>
              <w:t xml:space="preserve"> </w:t>
            </w:r>
            <w:r w:rsidR="003A4AB2" w:rsidRPr="0007702B">
              <w:rPr>
                <w:rFonts w:eastAsia="Times New Roman" w:cs="Arial"/>
                <w:bCs/>
                <w:color w:val="333333"/>
                <w:lang w:eastAsia="fi-FI"/>
              </w:rPr>
              <w:t>procedures</w:t>
            </w:r>
            <w:r w:rsidR="004E5EA2" w:rsidRPr="0007702B">
              <w:rPr>
                <w:rFonts w:eastAsia="Times New Roman" w:cs="Arial"/>
                <w:bCs/>
                <w:color w:val="333333"/>
                <w:lang w:eastAsia="fi-FI"/>
              </w:rPr>
              <w:t xml:space="preserve"> that are </w:t>
            </w:r>
            <w:r w:rsidR="003A4AB2" w:rsidRPr="0007702B">
              <w:rPr>
                <w:rFonts w:eastAsia="Times New Roman" w:cs="Arial"/>
                <w:bCs/>
                <w:color w:val="333333"/>
                <w:lang w:eastAsia="fi-FI"/>
              </w:rPr>
              <w:t xml:space="preserve">outlined in </w:t>
            </w:r>
            <w:r w:rsidR="00D04E4C" w:rsidRPr="0007702B">
              <w:rPr>
                <w:rFonts w:eastAsia="Times New Roman" w:cs="Arial"/>
                <w:bCs/>
                <w:color w:val="333333"/>
                <w:lang w:eastAsia="fi-FI"/>
              </w:rPr>
              <w:t>UNDP p</w:t>
            </w:r>
            <w:r w:rsidR="007B0769" w:rsidRPr="0007702B">
              <w:rPr>
                <w:rFonts w:eastAsia="Times New Roman" w:cs="Arial"/>
                <w:bCs/>
                <w:color w:val="333333"/>
                <w:lang w:eastAsia="fi-FI"/>
              </w:rPr>
              <w:t>rogramme</w:t>
            </w:r>
            <w:r w:rsidR="00521DA0" w:rsidRPr="0007702B">
              <w:rPr>
                <w:rFonts w:eastAsia="Times New Roman" w:cs="Arial"/>
                <w:bCs/>
                <w:color w:val="333333"/>
                <w:lang w:eastAsia="fi-FI"/>
              </w:rPr>
              <w:t xml:space="preserve"> </w:t>
            </w:r>
            <w:r w:rsidR="00901EB2" w:rsidRPr="0007702B">
              <w:rPr>
                <w:rFonts w:eastAsia="Times New Roman" w:cs="Arial"/>
                <w:bCs/>
                <w:color w:val="333333"/>
                <w:lang w:eastAsia="fi-FI"/>
              </w:rPr>
              <w:t xml:space="preserve">and project </w:t>
            </w:r>
            <w:r w:rsidR="007B0769" w:rsidRPr="0007702B">
              <w:rPr>
                <w:rFonts w:eastAsia="Times New Roman" w:cs="Arial"/>
                <w:bCs/>
                <w:color w:val="333333"/>
                <w:lang w:eastAsia="fi-FI"/>
              </w:rPr>
              <w:t xml:space="preserve">cycle. </w:t>
            </w:r>
            <w:r w:rsidR="005B402C" w:rsidRPr="0007702B">
              <w:rPr>
                <w:rFonts w:eastAsia="Times New Roman" w:cs="Arial"/>
                <w:color w:val="333333"/>
                <w:lang w:eastAsia="fi-FI"/>
              </w:rPr>
              <w:t xml:space="preserve">Once it has been decided that the benefits of engaging with the private sector are sufficient to justify risks that UNDP may face, the Project Document can be completed and approved in the same </w:t>
            </w:r>
            <w:r w:rsidR="005B402C" w:rsidRPr="0007702B">
              <w:rPr>
                <w:rFonts w:eastAsia="Times New Roman" w:cs="Arial"/>
                <w:color w:val="333333"/>
                <w:lang w:eastAsia="fi-FI"/>
              </w:rPr>
              <w:lastRenderedPageBreak/>
              <w:t xml:space="preserve">way as other UNDP projects.  Any engagement between UNDP and a business that involves a transfer of resources between UNDP and the business should follow the procedures detailed in the </w:t>
            </w:r>
            <w:hyperlink r:id="rId18" w:history="1">
              <w:r w:rsidR="005B402C" w:rsidRPr="0007702B">
                <w:rPr>
                  <w:rStyle w:val="Hyperlink"/>
                </w:rPr>
                <w:t>Programme and Project Managemen</w:t>
              </w:r>
              <w:r w:rsidR="003B29D0" w:rsidRPr="0007702B">
                <w:rPr>
                  <w:rStyle w:val="Hyperlink"/>
                </w:rPr>
                <w:t>t</w:t>
              </w:r>
            </w:hyperlink>
            <w:r w:rsidR="005B402C" w:rsidRPr="0007702B">
              <w:rPr>
                <w:rFonts w:eastAsia="Times New Roman" w:cs="Arial"/>
                <w:color w:val="333333"/>
                <w:lang w:eastAsia="fi-FI"/>
              </w:rPr>
              <w:t xml:space="preserve"> </w:t>
            </w:r>
            <w:r w:rsidR="003B29D0" w:rsidRPr="0007702B">
              <w:rPr>
                <w:rFonts w:eastAsia="Times New Roman" w:cs="Arial"/>
                <w:color w:val="333333"/>
                <w:lang w:eastAsia="fi-FI"/>
              </w:rPr>
              <w:t>policy area of the POPP</w:t>
            </w:r>
            <w:r w:rsidR="005B402C" w:rsidRPr="0007702B">
              <w:rPr>
                <w:rFonts w:eastAsia="Times New Roman" w:cs="Arial"/>
                <w:color w:val="333333"/>
                <w:lang w:eastAsia="fi-FI"/>
              </w:rPr>
              <w:t xml:space="preserve">.  </w:t>
            </w:r>
          </w:p>
          <w:p w14:paraId="5BADE2B9" w14:textId="77777777" w:rsidR="009F4A76" w:rsidRPr="0007702B" w:rsidRDefault="009F4A76" w:rsidP="009F4A76">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7674AE22" w14:textId="77777777" w:rsidR="00883925"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All </w:t>
            </w:r>
            <w:r w:rsidRPr="0007702B">
              <w:rPr>
                <w:rFonts w:eastAsia="Times New Roman" w:cs="Arial"/>
                <w:b/>
                <w:color w:val="333333"/>
                <w:lang w:eastAsia="fi-FI"/>
              </w:rPr>
              <w:t>formal engagements</w:t>
            </w:r>
            <w:r w:rsidRPr="0007702B">
              <w:rPr>
                <w:rFonts w:eastAsia="Times New Roman" w:cs="Arial"/>
                <w:color w:val="333333"/>
                <w:lang w:eastAsia="fi-FI"/>
              </w:rPr>
              <w:t xml:space="preserve"> should be made official through either of the following </w:t>
            </w:r>
            <w:r w:rsidR="00444C00" w:rsidRPr="0007702B">
              <w:rPr>
                <w:rFonts w:eastAsia="Times New Roman" w:cs="Arial"/>
                <w:color w:val="333333"/>
                <w:lang w:eastAsia="fi-FI"/>
              </w:rPr>
              <w:t>instruments</w:t>
            </w:r>
            <w:r w:rsidRPr="0007702B">
              <w:rPr>
                <w:rFonts w:eastAsia="Times New Roman" w:cs="Arial"/>
                <w:color w:val="333333"/>
                <w:lang w:eastAsia="fi-FI"/>
              </w:rPr>
              <w:t>:</w:t>
            </w:r>
            <w:r w:rsidRPr="0007702B">
              <w:rPr>
                <w:rFonts w:eastAsia="Times New Roman" w:cs="Arial"/>
                <w:color w:val="333333"/>
                <w:lang w:eastAsia="fi-FI"/>
              </w:rPr>
              <w:br/>
            </w:r>
          </w:p>
          <w:tbl>
            <w:tblPr>
              <w:tblW w:w="0" w:type="auto"/>
              <w:tblCellMar>
                <w:left w:w="0" w:type="dxa"/>
                <w:right w:w="0" w:type="dxa"/>
              </w:tblCellMar>
              <w:tblLook w:val="04A0" w:firstRow="1" w:lastRow="0" w:firstColumn="1" w:lastColumn="0" w:noHBand="0" w:noVBand="1"/>
            </w:tblPr>
            <w:tblGrid>
              <w:gridCol w:w="2603"/>
              <w:gridCol w:w="6321"/>
            </w:tblGrid>
            <w:tr w:rsidR="00883925" w:rsidRPr="0007702B" w14:paraId="4E2C489B" w14:textId="77777777" w:rsidTr="00883925">
              <w:tc>
                <w:tcPr>
                  <w:tcW w:w="2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BD08A" w14:textId="77777777" w:rsidR="00883925" w:rsidRPr="0007702B" w:rsidRDefault="00883925" w:rsidP="000031F9">
                  <w:pPr>
                    <w:spacing w:line="276" w:lineRule="auto"/>
                    <w:rPr>
                      <w:rFonts w:eastAsia="Calibri" w:cstheme="minorHAnsi"/>
                      <w:b/>
                      <w:bCs/>
                      <w:color w:val="4C4C4C"/>
                      <w:shd w:val="clear" w:color="auto" w:fill="FFFFFF"/>
                    </w:rPr>
                  </w:pPr>
                  <w:r w:rsidRPr="0007702B">
                    <w:rPr>
                      <w:rFonts w:eastAsia="Calibri" w:cstheme="minorHAnsi"/>
                      <w:b/>
                      <w:bCs/>
                      <w:color w:val="4C4C4C"/>
                      <w:shd w:val="clear" w:color="auto" w:fill="FFFFFF"/>
                    </w:rPr>
                    <w:t xml:space="preserve">Types of Partnerships agreements and templates </w:t>
                  </w:r>
                </w:p>
              </w:tc>
              <w:tc>
                <w:tcPr>
                  <w:tcW w:w="6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F3194" w14:textId="77777777" w:rsidR="00883925" w:rsidRPr="0007702B" w:rsidRDefault="00883925" w:rsidP="000031F9">
                  <w:pPr>
                    <w:spacing w:line="276" w:lineRule="auto"/>
                    <w:rPr>
                      <w:rFonts w:eastAsia="Calibri" w:cstheme="minorHAnsi"/>
                      <w:b/>
                      <w:bCs/>
                      <w:color w:val="4C4C4C"/>
                      <w:shd w:val="clear" w:color="auto" w:fill="FFFFFF"/>
                    </w:rPr>
                  </w:pPr>
                  <w:r w:rsidRPr="0007702B">
                    <w:rPr>
                      <w:rFonts w:eastAsia="Calibri" w:cstheme="minorHAnsi"/>
                      <w:b/>
                      <w:bCs/>
                      <w:color w:val="4C4C4C"/>
                      <w:shd w:val="clear" w:color="auto" w:fill="FFFFFF"/>
                    </w:rPr>
                    <w:t>Description</w:t>
                  </w:r>
                </w:p>
              </w:tc>
            </w:tr>
            <w:tr w:rsidR="00883925" w:rsidRPr="0007702B" w14:paraId="749168C0" w14:textId="77777777" w:rsidTr="00883925">
              <w:tc>
                <w:tcPr>
                  <w:tcW w:w="26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AA5F6" w14:textId="77777777" w:rsidR="00883925" w:rsidRPr="0007702B" w:rsidRDefault="00883925" w:rsidP="000031F9">
                  <w:pPr>
                    <w:spacing w:line="276" w:lineRule="auto"/>
                    <w:rPr>
                      <w:rFonts w:eastAsia="Calibri" w:cstheme="minorHAnsi"/>
                      <w:color w:val="4C4C4C"/>
                      <w:shd w:val="clear" w:color="auto" w:fill="FFFFFF"/>
                    </w:rPr>
                  </w:pPr>
                  <w:r w:rsidRPr="0007702B">
                    <w:rPr>
                      <w:rFonts w:eastAsia="Calibri" w:cstheme="minorHAnsi"/>
                      <w:b/>
                      <w:bCs/>
                      <w:color w:val="4C4C4C"/>
                      <w:shd w:val="clear" w:color="auto" w:fill="FFFFFF"/>
                    </w:rPr>
                    <w:t>Memorandum of Understanding</w:t>
                  </w:r>
                  <w:r w:rsidRPr="0007702B">
                    <w:rPr>
                      <w:rFonts w:eastAsia="Calibri" w:cstheme="minorHAnsi"/>
                      <w:color w:val="4C4C4C"/>
                      <w:shd w:val="clear" w:color="auto" w:fill="FFFFFF"/>
                    </w:rPr>
                    <w:t xml:space="preserve"> </w:t>
                  </w:r>
                </w:p>
                <w:p w14:paraId="5BB95FB1" w14:textId="68AF0CBE" w:rsidR="00883925" w:rsidRPr="0007702B" w:rsidRDefault="00EC1293" w:rsidP="000031F9">
                  <w:pPr>
                    <w:spacing w:line="276" w:lineRule="auto"/>
                    <w:rPr>
                      <w:rFonts w:eastAsia="Calibri" w:cstheme="minorHAnsi"/>
                      <w:color w:val="4C4C4C"/>
                      <w:shd w:val="clear" w:color="auto" w:fill="FFFFFF"/>
                    </w:rPr>
                  </w:pPr>
                  <w:hyperlink r:id="rId19" w:history="1">
                    <w:r w:rsidR="00883925" w:rsidRPr="0007702B">
                      <w:rPr>
                        <w:rStyle w:val="Hyperlink"/>
                        <w:rFonts w:eastAsia="Calibri" w:cstheme="minorHAnsi"/>
                      </w:rPr>
                      <w:t>MoU templat</w:t>
                    </w:r>
                    <w:r w:rsidR="008657C3" w:rsidRPr="0007702B">
                      <w:rPr>
                        <w:rStyle w:val="Hyperlink"/>
                        <w:rFonts w:eastAsia="Calibri" w:cstheme="minorHAnsi"/>
                      </w:rPr>
                      <w:t>es</w:t>
                    </w:r>
                  </w:hyperlink>
                  <w:r w:rsidR="00883925" w:rsidRPr="0007702B">
                    <w:rPr>
                      <w:rFonts w:eastAsia="Calibri" w:cstheme="minorHAnsi"/>
                      <w:color w:val="1F497D"/>
                    </w:rPr>
                    <w:t xml:space="preserve"> </w:t>
                  </w:r>
                </w:p>
              </w:tc>
              <w:tc>
                <w:tcPr>
                  <w:tcW w:w="6732" w:type="dxa"/>
                  <w:tcBorders>
                    <w:top w:val="nil"/>
                    <w:left w:val="nil"/>
                    <w:bottom w:val="single" w:sz="8" w:space="0" w:color="auto"/>
                    <w:right w:val="single" w:sz="8" w:space="0" w:color="auto"/>
                  </w:tcBorders>
                  <w:tcMar>
                    <w:top w:w="0" w:type="dxa"/>
                    <w:left w:w="108" w:type="dxa"/>
                    <w:bottom w:w="0" w:type="dxa"/>
                    <w:right w:w="108" w:type="dxa"/>
                  </w:tcMar>
                </w:tcPr>
                <w:p w14:paraId="0ECDD3E5" w14:textId="77777777" w:rsidR="00883925" w:rsidRPr="0007702B" w:rsidRDefault="00883925" w:rsidP="000031F9">
                  <w:pPr>
                    <w:spacing w:line="276" w:lineRule="auto"/>
                    <w:rPr>
                      <w:rFonts w:eastAsia="Calibri" w:cstheme="minorHAnsi"/>
                      <w:color w:val="333333"/>
                      <w:shd w:val="clear" w:color="auto" w:fill="FFFFFF"/>
                    </w:rPr>
                  </w:pPr>
                  <w:r w:rsidRPr="0007702B">
                    <w:rPr>
                      <w:rFonts w:eastAsia="Calibri" w:cstheme="minorHAnsi"/>
                      <w:color w:val="333333"/>
                      <w:shd w:val="clear" w:color="auto" w:fill="FFFFFF"/>
                    </w:rPr>
                    <w:t>A MoU can be useful where UNDP and a partner wish to express interest in exploring and determining</w:t>
                  </w:r>
                  <w:r w:rsidRPr="0007702B">
                    <w:rPr>
                      <w:rFonts w:eastAsia="Calibri" w:cstheme="minorHAnsi"/>
                      <w:b/>
                      <w:bCs/>
                      <w:color w:val="333333"/>
                      <w:shd w:val="clear" w:color="auto" w:fill="FFFFFF"/>
                    </w:rPr>
                    <w:t xml:space="preserve"> collaboration when commitments do not extend to the transfer of resources between partners</w:t>
                  </w:r>
                  <w:r w:rsidRPr="0007702B">
                    <w:rPr>
                      <w:rFonts w:eastAsia="Calibri" w:cstheme="minorHAnsi"/>
                      <w:color w:val="333333"/>
                      <w:shd w:val="clear" w:color="auto" w:fill="FFFFFF"/>
                    </w:rPr>
                    <w:t xml:space="preserve"> or make financial demands of UNDP.  </w:t>
                  </w:r>
                </w:p>
              </w:tc>
            </w:tr>
            <w:tr w:rsidR="00883925" w:rsidRPr="0007702B" w14:paraId="4AC68E07" w14:textId="77777777" w:rsidTr="00742DA8">
              <w:tc>
                <w:tcPr>
                  <w:tcW w:w="266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3AAFFD" w14:textId="123E2828" w:rsidR="00883925" w:rsidRPr="0007702B" w:rsidRDefault="0080447B" w:rsidP="000031F9">
                  <w:pPr>
                    <w:spacing w:line="276" w:lineRule="auto"/>
                    <w:rPr>
                      <w:rFonts w:eastAsia="Calibri" w:cstheme="minorHAnsi"/>
                      <w:b/>
                      <w:bCs/>
                      <w:color w:val="4C4C4C"/>
                      <w:shd w:val="clear" w:color="auto" w:fill="FFFFFF"/>
                    </w:rPr>
                  </w:pPr>
                  <w:r w:rsidRPr="0007702B">
                    <w:rPr>
                      <w:rFonts w:eastAsia="Calibri" w:cstheme="minorHAnsi"/>
                      <w:b/>
                      <w:bCs/>
                      <w:color w:val="4C4C4C"/>
                      <w:shd w:val="clear" w:color="auto" w:fill="FFFFFF"/>
                    </w:rPr>
                    <w:t>Financing Agreement:</w:t>
                  </w:r>
                  <w:r w:rsidR="00883925" w:rsidRPr="0007702B">
                    <w:rPr>
                      <w:rFonts w:eastAsia="Calibri" w:cstheme="minorHAnsi"/>
                      <w:b/>
                      <w:bCs/>
                      <w:color w:val="4C4C4C"/>
                      <w:shd w:val="clear" w:color="auto" w:fill="FFFFFF"/>
                    </w:rPr>
                    <w:t xml:space="preserve"> Standard agreement for financial contributions to UNDP</w:t>
                  </w:r>
                </w:p>
                <w:p w14:paraId="51ACD66D" w14:textId="77777777" w:rsidR="00883925" w:rsidRPr="0007702B" w:rsidRDefault="00883925" w:rsidP="000031F9">
                  <w:pPr>
                    <w:spacing w:line="276" w:lineRule="auto"/>
                    <w:rPr>
                      <w:rFonts w:eastAsia="Calibri" w:cstheme="minorHAnsi"/>
                      <w:b/>
                      <w:bCs/>
                      <w:color w:val="4C4C4C"/>
                      <w:shd w:val="clear" w:color="auto" w:fill="FFFFFF"/>
                    </w:rPr>
                  </w:pPr>
                  <w:r w:rsidRPr="0007702B">
                    <w:rPr>
                      <w:rFonts w:eastAsia="Calibri" w:cstheme="minorHAnsi"/>
                      <w:b/>
                      <w:bCs/>
                      <w:color w:val="4C4C4C"/>
                      <w:shd w:val="clear" w:color="auto" w:fill="FFFFFF"/>
                    </w:rPr>
                    <w:t xml:space="preserve">Templates </w:t>
                  </w:r>
                </w:p>
                <w:p w14:paraId="7A6EAD2E" w14:textId="561FE12A" w:rsidR="00883925" w:rsidRPr="0007702B" w:rsidRDefault="0080447B" w:rsidP="000031F9">
                  <w:pPr>
                    <w:spacing w:line="276" w:lineRule="auto"/>
                    <w:rPr>
                      <w:rFonts w:eastAsia="Calibri" w:cstheme="minorHAnsi"/>
                      <w:color w:val="4C4C4C"/>
                      <w:shd w:val="clear" w:color="auto" w:fill="FFFFFF"/>
                    </w:rPr>
                  </w:pPr>
                  <w:r w:rsidRPr="0007702B">
                    <w:rPr>
                      <w:rFonts w:ascii="Calibri" w:hAnsi="Calibri"/>
                      <w:color w:val="444444"/>
                      <w:sz w:val="20"/>
                      <w:szCs w:val="20"/>
                      <w:shd w:val="clear" w:color="auto" w:fill="FFFFFF"/>
                    </w:rPr>
                    <w:t>Please see </w:t>
                  </w:r>
                  <w:hyperlink r:id="rId20" w:tgtFrame="_blank" w:history="1">
                    <w:r w:rsidRPr="0007702B">
                      <w:rPr>
                        <w:rStyle w:val="ms-rteforecolor-8"/>
                        <w:rFonts w:ascii="Calibri" w:hAnsi="Calibri"/>
                        <w:color w:val="0000FF"/>
                        <w:sz w:val="19"/>
                        <w:szCs w:val="19"/>
                        <w:shd w:val="clear" w:color="auto" w:fill="FFFFFF"/>
                      </w:rPr>
                      <w:t>Financing Agreements and Templates</w:t>
                    </w:r>
                  </w:hyperlink>
                  <w:r w:rsidRPr="0007702B">
                    <w:rPr>
                      <w:rFonts w:ascii="Calibri" w:hAnsi="Calibri"/>
                      <w:color w:val="444444"/>
                      <w:sz w:val="20"/>
                      <w:szCs w:val="20"/>
                      <w:shd w:val="clear" w:color="auto" w:fill="FFFFFF"/>
                    </w:rPr>
                    <w:t> and </w:t>
                  </w:r>
                  <w:r w:rsidRPr="0007702B">
                    <w:rPr>
                      <w:rStyle w:val="ms-rteforecolor-8"/>
                      <w:rFonts w:ascii="Calibri" w:hAnsi="Calibri"/>
                      <w:sz w:val="19"/>
                      <w:szCs w:val="19"/>
                      <w:shd w:val="clear" w:color="auto" w:fill="FFFFFF"/>
                    </w:rPr>
                    <w:t>Standard Provisions of a Financing Agreement </w:t>
                  </w:r>
                  <w:r w:rsidRPr="0007702B">
                    <w:rPr>
                      <w:rFonts w:ascii="Calibri" w:hAnsi="Calibri"/>
                      <w:color w:val="444444"/>
                      <w:sz w:val="20"/>
                      <w:szCs w:val="20"/>
                      <w:shd w:val="clear" w:color="auto" w:fill="FFFFFF"/>
                    </w:rPr>
                    <w:t>with legal guidance on frequently asked questions</w:t>
                  </w:r>
                </w:p>
              </w:tc>
              <w:tc>
                <w:tcPr>
                  <w:tcW w:w="6732" w:type="dxa"/>
                  <w:tcBorders>
                    <w:top w:val="nil"/>
                    <w:left w:val="nil"/>
                    <w:bottom w:val="single" w:sz="4" w:space="0" w:color="auto"/>
                    <w:right w:val="single" w:sz="8" w:space="0" w:color="auto"/>
                  </w:tcBorders>
                  <w:tcMar>
                    <w:top w:w="0" w:type="dxa"/>
                    <w:left w:w="108" w:type="dxa"/>
                    <w:bottom w:w="0" w:type="dxa"/>
                    <w:right w:w="108" w:type="dxa"/>
                  </w:tcMar>
                </w:tcPr>
                <w:p w14:paraId="25015BD1" w14:textId="5A050481" w:rsidR="00883925" w:rsidRPr="0007702B" w:rsidRDefault="00883925" w:rsidP="000031F9">
                  <w:pPr>
                    <w:spacing w:line="276" w:lineRule="auto"/>
                    <w:rPr>
                      <w:rFonts w:eastAsia="Calibri" w:cstheme="minorHAnsi"/>
                      <w:color w:val="333333"/>
                      <w:shd w:val="clear" w:color="auto" w:fill="FFFFFF"/>
                    </w:rPr>
                  </w:pPr>
                  <w:r w:rsidRPr="0007702B">
                    <w:rPr>
                      <w:rFonts w:eastAsia="Calibri" w:cstheme="minorHAnsi"/>
                      <w:color w:val="333333"/>
                      <w:shd w:val="clear" w:color="auto" w:fill="FFFFFF"/>
                    </w:rPr>
                    <w:t xml:space="preserve">When a business wishes to make a financial contribution to </w:t>
                  </w:r>
                  <w:r w:rsidRPr="0007702B">
                    <w:rPr>
                      <w:rFonts w:eastAsia="Calibri" w:cstheme="minorHAnsi"/>
                      <w:bCs/>
                      <w:color w:val="333333"/>
                      <w:shd w:val="clear" w:color="auto" w:fill="FFFFFF"/>
                    </w:rPr>
                    <w:t>UNDP projects and programmes</w:t>
                  </w:r>
                  <w:r w:rsidRPr="0007702B">
                    <w:rPr>
                      <w:rFonts w:eastAsia="Calibri" w:cstheme="minorHAnsi"/>
                      <w:color w:val="333333"/>
                      <w:shd w:val="clear" w:color="auto" w:fill="FFFFFF"/>
                    </w:rPr>
                    <w:t xml:space="preserve">, one of the following </w:t>
                  </w:r>
                  <w:r w:rsidR="00C80720" w:rsidRPr="0007702B">
                    <w:rPr>
                      <w:rFonts w:eastAsia="Calibri" w:cstheme="minorHAnsi"/>
                      <w:color w:val="333333"/>
                      <w:shd w:val="clear" w:color="auto" w:fill="FFFFFF"/>
                    </w:rPr>
                    <w:t>Financing agreements</w:t>
                  </w:r>
                  <w:r w:rsidRPr="0007702B">
                    <w:rPr>
                      <w:rFonts w:eastAsia="Calibri" w:cstheme="minorHAnsi"/>
                      <w:color w:val="333333"/>
                      <w:shd w:val="clear" w:color="auto" w:fill="FFFFFF"/>
                    </w:rPr>
                    <w:t xml:space="preserve"> should be used:</w:t>
                  </w:r>
                </w:p>
                <w:p w14:paraId="52C702B5" w14:textId="77777777" w:rsidR="00883925" w:rsidRPr="0007702B" w:rsidRDefault="00883925" w:rsidP="000031F9">
                  <w:pPr>
                    <w:numPr>
                      <w:ilvl w:val="0"/>
                      <w:numId w:val="1"/>
                    </w:numPr>
                    <w:shd w:val="clear" w:color="auto" w:fill="FFFFFF"/>
                    <w:spacing w:after="0" w:line="276" w:lineRule="auto"/>
                    <w:ind w:right="55"/>
                    <w:rPr>
                      <w:rFonts w:eastAsia="Calibri" w:cstheme="minorHAnsi"/>
                      <w:color w:val="333333"/>
                      <w:shd w:val="clear" w:color="auto" w:fill="FFFFFF"/>
                    </w:rPr>
                  </w:pPr>
                  <w:r w:rsidRPr="0007702B">
                    <w:rPr>
                      <w:rFonts w:eastAsia="Calibri" w:cstheme="minorHAnsi"/>
                      <w:color w:val="333333"/>
                      <w:shd w:val="clear" w:color="auto" w:fill="FFFFFF"/>
                    </w:rPr>
                    <w:t>Standard agreement for financial contributions from the Private Sector, CSOs and Foundations (exceeding US$ 100,000)</w:t>
                  </w:r>
                </w:p>
                <w:p w14:paraId="14F4A5C9" w14:textId="77777777" w:rsidR="00883925" w:rsidRPr="0007702B" w:rsidRDefault="00883925" w:rsidP="000031F9">
                  <w:pPr>
                    <w:numPr>
                      <w:ilvl w:val="0"/>
                      <w:numId w:val="1"/>
                    </w:numPr>
                    <w:shd w:val="clear" w:color="auto" w:fill="FFFFFF"/>
                    <w:spacing w:after="0" w:line="276" w:lineRule="auto"/>
                    <w:ind w:right="55"/>
                    <w:rPr>
                      <w:rFonts w:eastAsia="Calibri" w:cstheme="minorHAnsi"/>
                      <w:color w:val="333333"/>
                    </w:rPr>
                  </w:pPr>
                  <w:r w:rsidRPr="0007702B">
                    <w:rPr>
                      <w:rFonts w:eastAsia="Calibri" w:cstheme="minorHAnsi"/>
                      <w:color w:val="333333"/>
                      <w:shd w:val="clear" w:color="auto" w:fill="FFFFFF"/>
                    </w:rPr>
                    <w:t>Standard agreement for small financial contributions from the private sector and CSOs</w:t>
                  </w:r>
                  <w:r w:rsidRPr="0007702B">
                    <w:rPr>
                      <w:rFonts w:eastAsia="Calibri" w:cstheme="minorHAnsi"/>
                      <w:color w:val="333333"/>
                    </w:rPr>
                    <w:t xml:space="preserve"> (not exceeding US$ 100,000)</w:t>
                  </w:r>
                </w:p>
                <w:p w14:paraId="5B72F5FB" w14:textId="77777777" w:rsidR="00883925" w:rsidRPr="0007702B" w:rsidRDefault="00883925" w:rsidP="000031F9">
                  <w:pPr>
                    <w:numPr>
                      <w:ilvl w:val="0"/>
                      <w:numId w:val="1"/>
                    </w:numPr>
                    <w:shd w:val="clear" w:color="auto" w:fill="FFFFFF"/>
                    <w:spacing w:after="0" w:line="276" w:lineRule="auto"/>
                    <w:ind w:right="55"/>
                    <w:rPr>
                      <w:rFonts w:eastAsia="Calibri" w:cstheme="minorHAnsi"/>
                      <w:color w:val="333333"/>
                    </w:rPr>
                  </w:pPr>
                  <w:r w:rsidRPr="0007702B">
                    <w:rPr>
                      <w:rFonts w:eastAsia="Calibri" w:cstheme="minorHAnsi"/>
                      <w:color w:val="333333"/>
                      <w:shd w:val="clear" w:color="auto" w:fill="FFFFFF"/>
                    </w:rPr>
                    <w:t>Exchange of letters for small contributions</w:t>
                  </w:r>
                  <w:r w:rsidR="0059404C" w:rsidRPr="0007702B">
                    <w:rPr>
                      <w:color w:val="333333"/>
                    </w:rPr>
                    <w:t xml:space="preserve"> </w:t>
                  </w:r>
                  <w:r w:rsidR="0059404C" w:rsidRPr="0007702B">
                    <w:rPr>
                      <w:rFonts w:eastAsia="Calibri" w:cstheme="minorHAnsi"/>
                      <w:color w:val="333333"/>
                      <w:shd w:val="clear" w:color="auto" w:fill="FFFFFF"/>
                    </w:rPr>
                    <w:t>(not exceeding US$ 100,000)</w:t>
                  </w:r>
                  <w:r w:rsidRPr="0007702B">
                    <w:rPr>
                      <w:rFonts w:eastAsia="Calibri" w:cstheme="minorHAnsi"/>
                      <w:color w:val="333333"/>
                      <w:shd w:val="clear" w:color="auto" w:fill="FFFFFF"/>
                    </w:rPr>
                    <w:t xml:space="preserve">, where no reporting is required. </w:t>
                  </w:r>
                </w:p>
                <w:p w14:paraId="4141637E" w14:textId="77777777" w:rsidR="00883925" w:rsidRPr="0007702B" w:rsidRDefault="00883925" w:rsidP="000031F9">
                  <w:pPr>
                    <w:shd w:val="clear" w:color="auto" w:fill="FFFFFF"/>
                    <w:spacing w:after="0" w:line="276" w:lineRule="auto"/>
                    <w:ind w:left="720"/>
                    <w:rPr>
                      <w:rFonts w:eastAsia="Calibri" w:cstheme="minorHAnsi"/>
                      <w:color w:val="333333"/>
                    </w:rPr>
                  </w:pPr>
                </w:p>
                <w:p w14:paraId="144F1B32" w14:textId="7A53682B" w:rsidR="00962265" w:rsidRPr="0007702B" w:rsidRDefault="00883925" w:rsidP="000031F9">
                  <w:pPr>
                    <w:shd w:val="clear" w:color="auto" w:fill="FFFFFF"/>
                    <w:spacing w:line="276" w:lineRule="auto"/>
                    <w:rPr>
                      <w:rFonts w:eastAsia="Calibri" w:cstheme="minorHAnsi"/>
                      <w:color w:val="333333"/>
                      <w:shd w:val="clear" w:color="auto" w:fill="FFFFFF"/>
                    </w:rPr>
                  </w:pPr>
                  <w:r w:rsidRPr="0007702B">
                    <w:rPr>
                      <w:rFonts w:eastAsia="Calibri" w:cstheme="minorHAnsi"/>
                      <w:color w:val="333333"/>
                      <w:shd w:val="clear" w:color="auto" w:fill="FFFFFF"/>
                    </w:rPr>
                    <w:t>The</w:t>
                  </w:r>
                  <w:r w:rsidR="002256FA" w:rsidRPr="0007702B">
                    <w:rPr>
                      <w:rFonts w:eastAsia="Calibri" w:cstheme="minorHAnsi"/>
                      <w:color w:val="333333"/>
                      <w:shd w:val="clear" w:color="auto" w:fill="FFFFFF"/>
                    </w:rPr>
                    <w:t xml:space="preserve"> </w:t>
                  </w:r>
                  <w:r w:rsidRPr="0007702B">
                    <w:rPr>
                      <w:rFonts w:eastAsia="Calibri" w:cstheme="minorHAnsi"/>
                      <w:color w:val="333333"/>
                      <w:shd w:val="clear" w:color="auto" w:fill="FFFFFF"/>
                    </w:rPr>
                    <w:t>financing agreement with a partner stipulat</w:t>
                  </w:r>
                  <w:r w:rsidR="00814220" w:rsidRPr="0007702B">
                    <w:rPr>
                      <w:rFonts w:eastAsia="Calibri" w:cstheme="minorHAnsi"/>
                      <w:color w:val="333333"/>
                      <w:shd w:val="clear" w:color="auto" w:fill="FFFFFF"/>
                    </w:rPr>
                    <w:t>es</w:t>
                  </w:r>
                  <w:r w:rsidRPr="0007702B">
                    <w:rPr>
                      <w:rFonts w:eastAsia="Calibri" w:cstheme="minorHAnsi"/>
                      <w:color w:val="333333"/>
                      <w:shd w:val="clear" w:color="auto" w:fill="FFFFFF"/>
                    </w:rPr>
                    <w:t xml:space="preserve"> the conditions for receipt, administration, </w:t>
                  </w:r>
                  <w:proofErr w:type="gramStart"/>
                  <w:r w:rsidRPr="0007702B">
                    <w:rPr>
                      <w:rFonts w:eastAsia="Calibri" w:cstheme="minorHAnsi"/>
                      <w:color w:val="333333"/>
                      <w:shd w:val="clear" w:color="auto" w:fill="FFFFFF"/>
                    </w:rPr>
                    <w:t>utilization</w:t>
                  </w:r>
                  <w:proofErr w:type="gramEnd"/>
                  <w:r w:rsidRPr="0007702B">
                    <w:rPr>
                      <w:rFonts w:eastAsia="Calibri" w:cstheme="minorHAnsi"/>
                      <w:color w:val="333333"/>
                      <w:shd w:val="clear" w:color="auto" w:fill="FFFFFF"/>
                    </w:rPr>
                    <w:t xml:space="preserve"> and reporting of resources for specific UNDP programme activities. </w:t>
                  </w:r>
                </w:p>
                <w:p w14:paraId="10491E27" w14:textId="0C18FBE3" w:rsidR="00883925" w:rsidRPr="0007702B" w:rsidRDefault="00883925" w:rsidP="000031F9">
                  <w:pPr>
                    <w:shd w:val="clear" w:color="auto" w:fill="FFFFFF"/>
                    <w:spacing w:line="276" w:lineRule="auto"/>
                    <w:rPr>
                      <w:rFonts w:eastAsia="Calibri" w:cstheme="minorHAnsi"/>
                      <w:shd w:val="clear" w:color="auto" w:fill="FFFFFF"/>
                    </w:rPr>
                  </w:pPr>
                  <w:r w:rsidRPr="0007702B">
                    <w:rPr>
                      <w:rFonts w:eastAsia="Calibri" w:cstheme="minorHAnsi"/>
                      <w:color w:val="333333"/>
                      <w:shd w:val="clear" w:color="auto" w:fill="FFFFFF"/>
                    </w:rPr>
                    <w:t xml:space="preserve">The Project Document will be attached to the </w:t>
                  </w:r>
                  <w:r w:rsidR="00814220" w:rsidRPr="0007702B">
                    <w:rPr>
                      <w:rFonts w:eastAsia="Calibri" w:cstheme="minorHAnsi"/>
                      <w:color w:val="333333"/>
                      <w:shd w:val="clear" w:color="auto" w:fill="FFFFFF"/>
                    </w:rPr>
                    <w:t xml:space="preserve">financing agreement </w:t>
                  </w:r>
                  <w:r w:rsidRPr="0007702B">
                    <w:rPr>
                      <w:rFonts w:eastAsia="Calibri" w:cstheme="minorHAnsi"/>
                      <w:color w:val="333333"/>
                      <w:shd w:val="clear" w:color="auto" w:fill="FFFFFF"/>
                    </w:rPr>
                    <w:t xml:space="preserve">and will form part of the </w:t>
                  </w:r>
                  <w:r w:rsidR="00D91738" w:rsidRPr="0007702B">
                    <w:rPr>
                      <w:rFonts w:eastAsia="Calibri" w:cstheme="minorHAnsi"/>
                      <w:color w:val="333333"/>
                      <w:shd w:val="clear" w:color="auto" w:fill="FFFFFF"/>
                    </w:rPr>
                    <w:t>contract</w:t>
                  </w:r>
                  <w:r w:rsidRPr="0007702B">
                    <w:rPr>
                      <w:rFonts w:eastAsia="Calibri" w:cstheme="minorHAnsi"/>
                      <w:color w:val="333333"/>
                      <w:shd w:val="clear" w:color="auto" w:fill="FFFFFF"/>
                    </w:rPr>
                    <w:t>. Businesses may not sign Project Documents, however the private sector can assume a function of supplier in the project board.</w:t>
                  </w:r>
                </w:p>
              </w:tc>
            </w:tr>
            <w:tr w:rsidR="00883925" w:rsidRPr="0007702B" w14:paraId="60FB9D80" w14:textId="77777777" w:rsidTr="00742DA8">
              <w:tc>
                <w:tcPr>
                  <w:tcW w:w="26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F8C82A" w14:textId="242ADFDE" w:rsidR="00883925" w:rsidRPr="0007702B" w:rsidRDefault="00EC1293" w:rsidP="000031F9">
                  <w:pPr>
                    <w:spacing w:line="276" w:lineRule="auto"/>
                    <w:rPr>
                      <w:rFonts w:eastAsia="Calibri" w:cstheme="minorHAnsi"/>
                      <w:b/>
                      <w:bCs/>
                      <w:color w:val="4C4C4C"/>
                      <w:shd w:val="clear" w:color="auto" w:fill="FFFFFF"/>
                    </w:rPr>
                  </w:pPr>
                  <w:hyperlink r:id="rId21" w:history="1">
                    <w:r w:rsidR="00883925" w:rsidRPr="0007702B">
                      <w:rPr>
                        <w:rStyle w:val="Hyperlink"/>
                        <w:rFonts w:eastAsia="Calibri" w:cstheme="minorHAnsi"/>
                        <w:b/>
                        <w:bCs/>
                        <w:shd w:val="clear" w:color="auto" w:fill="FFFFFF"/>
                      </w:rPr>
                      <w:t>Pro-bono agreement</w:t>
                    </w:r>
                  </w:hyperlink>
                </w:p>
                <w:p w14:paraId="61F46886" w14:textId="68307DAA" w:rsidR="00883925" w:rsidRPr="0007702B" w:rsidRDefault="00883925" w:rsidP="000031F9">
                  <w:pPr>
                    <w:spacing w:line="276" w:lineRule="auto"/>
                    <w:rPr>
                      <w:rFonts w:eastAsia="Calibri" w:cstheme="minorHAnsi"/>
                    </w:rPr>
                  </w:pPr>
                  <w:r w:rsidRPr="0007702B">
                    <w:rPr>
                      <w:rFonts w:eastAsia="Calibri" w:cstheme="minorHAnsi"/>
                    </w:rPr>
                    <w:t>Template: Pro-bono agreement</w:t>
                  </w:r>
                </w:p>
                <w:p w14:paraId="64D5B8EA" w14:textId="15D6B027" w:rsidR="000D7F0D" w:rsidRPr="0007702B" w:rsidRDefault="00883925" w:rsidP="000031F9">
                  <w:pPr>
                    <w:spacing w:line="276" w:lineRule="auto"/>
                    <w:rPr>
                      <w:rFonts w:eastAsia="Calibri" w:cstheme="minorHAnsi"/>
                      <w:bCs/>
                      <w:color w:val="333333"/>
                    </w:rPr>
                  </w:pPr>
                  <w:r w:rsidRPr="0007702B">
                    <w:rPr>
                      <w:rFonts w:eastAsia="Calibri" w:cstheme="minorHAnsi"/>
                      <w:color w:val="333333"/>
                    </w:rPr>
                    <w:lastRenderedPageBreak/>
                    <w:t xml:space="preserve">Comprehensive </w:t>
                  </w:r>
                  <w:r w:rsidR="00871469" w:rsidRPr="0007702B">
                    <w:rPr>
                      <w:rFonts w:eastAsia="Calibri" w:cstheme="minorHAnsi"/>
                      <w:color w:val="333333"/>
                    </w:rPr>
                    <w:t>template f</w:t>
                  </w:r>
                  <w:r w:rsidRPr="0007702B">
                    <w:rPr>
                      <w:rFonts w:eastAsia="Calibri" w:cstheme="minorHAnsi"/>
                      <w:color w:val="333333"/>
                    </w:rPr>
                    <w:t xml:space="preserve">or </w:t>
                  </w:r>
                  <w:r w:rsidRPr="0007702B">
                    <w:rPr>
                      <w:rFonts w:eastAsia="Calibri" w:cstheme="minorHAnsi"/>
                      <w:bCs/>
                      <w:color w:val="333333"/>
                    </w:rPr>
                    <w:t>Goods and/or services and incidental expenses, an</w:t>
                  </w:r>
                  <w:r w:rsidR="00C44817" w:rsidRPr="0007702B">
                    <w:rPr>
                      <w:rFonts w:eastAsia="Calibri" w:cstheme="minorHAnsi"/>
                      <w:bCs/>
                      <w:color w:val="333333"/>
                    </w:rPr>
                    <w:t xml:space="preserve">d other financial contributions </w:t>
                  </w:r>
                </w:p>
                <w:p w14:paraId="460F8B86" w14:textId="098DB9F0" w:rsidR="00883925" w:rsidRPr="0007702B" w:rsidRDefault="00A52479" w:rsidP="000031F9">
                  <w:pPr>
                    <w:spacing w:line="276" w:lineRule="auto"/>
                    <w:rPr>
                      <w:rFonts w:eastAsia="Calibri" w:cstheme="minorHAnsi"/>
                      <w:color w:val="333333"/>
                    </w:rPr>
                  </w:pPr>
                  <w:r w:rsidRPr="0007702B">
                    <w:rPr>
                      <w:rFonts w:eastAsia="Calibri" w:cstheme="minorHAnsi"/>
                      <w:bCs/>
                      <w:color w:val="333333"/>
                    </w:rPr>
                    <w:t xml:space="preserve">The </w:t>
                  </w:r>
                  <w:r w:rsidRPr="0007702B">
                    <w:rPr>
                      <w:rFonts w:eastAsia="Calibri" w:cstheme="minorHAnsi"/>
                      <w:bCs/>
                    </w:rPr>
                    <w:t>comprehensive template</w:t>
                  </w:r>
                  <w:r w:rsidRPr="0007702B">
                    <w:rPr>
                      <w:rFonts w:eastAsia="Calibri" w:cstheme="minorHAnsi"/>
                      <w:bCs/>
                      <w:color w:val="333333"/>
                    </w:rPr>
                    <w:t xml:space="preserve"> has </w:t>
                  </w:r>
                  <w:r w:rsidR="005F0D69" w:rsidRPr="0007702B">
                    <w:rPr>
                      <w:rFonts w:eastAsia="Calibri" w:cstheme="minorHAnsi"/>
                      <w:bCs/>
                      <w:color w:val="333333"/>
                    </w:rPr>
                    <w:t xml:space="preserve">the </w:t>
                  </w:r>
                  <w:r w:rsidRPr="0007702B">
                    <w:rPr>
                      <w:rFonts w:eastAsia="Calibri" w:cstheme="minorHAnsi"/>
                      <w:bCs/>
                      <w:color w:val="333333"/>
                    </w:rPr>
                    <w:t xml:space="preserve">option to </w:t>
                  </w:r>
                  <w:r w:rsidR="005F0D69" w:rsidRPr="0007702B">
                    <w:rPr>
                      <w:rFonts w:eastAsia="Calibri" w:cstheme="minorHAnsi"/>
                      <w:bCs/>
                      <w:color w:val="333333"/>
                    </w:rPr>
                    <w:t xml:space="preserve">formalize </w:t>
                  </w:r>
                  <w:r w:rsidRPr="0007702B">
                    <w:rPr>
                      <w:rFonts w:eastAsia="Calibri" w:cstheme="minorHAnsi"/>
                      <w:bCs/>
                      <w:color w:val="333333"/>
                      <w:u w:val="single"/>
                    </w:rPr>
                    <w:t>both</w:t>
                  </w:r>
                  <w:r w:rsidRPr="0007702B">
                    <w:rPr>
                      <w:rFonts w:eastAsia="Calibri" w:cstheme="minorHAnsi"/>
                      <w:bCs/>
                      <w:color w:val="333333"/>
                    </w:rPr>
                    <w:t xml:space="preserve"> </w:t>
                  </w:r>
                  <w:r w:rsidR="000D7F0D" w:rsidRPr="0007702B">
                    <w:rPr>
                      <w:rFonts w:eastAsia="Calibri" w:cstheme="minorHAnsi"/>
                      <w:bCs/>
                      <w:color w:val="333333"/>
                    </w:rPr>
                    <w:t>P</w:t>
                  </w:r>
                  <w:r w:rsidRPr="0007702B">
                    <w:rPr>
                      <w:rFonts w:eastAsia="Calibri" w:cstheme="minorHAnsi"/>
                      <w:bCs/>
                      <w:color w:val="333333"/>
                    </w:rPr>
                    <w:t xml:space="preserve">ro-bono and </w:t>
                  </w:r>
                  <w:r w:rsidR="00512C30" w:rsidRPr="0007702B">
                    <w:rPr>
                      <w:rFonts w:eastAsia="Calibri" w:cstheme="minorHAnsi"/>
                      <w:bCs/>
                      <w:color w:val="333333"/>
                    </w:rPr>
                    <w:t>financial contributions</w:t>
                  </w:r>
                </w:p>
                <w:p w14:paraId="03AD421D" w14:textId="77777777" w:rsidR="00883925" w:rsidRPr="0007702B" w:rsidRDefault="00883925" w:rsidP="000031F9">
                  <w:pPr>
                    <w:spacing w:line="276" w:lineRule="auto"/>
                    <w:rPr>
                      <w:rFonts w:eastAsia="Calibri" w:cstheme="minorHAnsi"/>
                      <w:color w:val="4C4C4C"/>
                      <w:shd w:val="clear" w:color="auto" w:fill="FFFFFF"/>
                    </w:rPr>
                  </w:pPr>
                </w:p>
              </w:tc>
              <w:tc>
                <w:tcPr>
                  <w:tcW w:w="673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8351F4" w14:textId="4C2DD468" w:rsidR="00883925" w:rsidRPr="0007702B" w:rsidRDefault="00883925" w:rsidP="000031F9">
                  <w:pPr>
                    <w:spacing w:line="276" w:lineRule="auto"/>
                    <w:rPr>
                      <w:rFonts w:eastAsia="Calibri" w:cstheme="minorHAnsi"/>
                      <w:color w:val="4C4C4C"/>
                      <w:shd w:val="clear" w:color="auto" w:fill="FFFFFF"/>
                    </w:rPr>
                  </w:pPr>
                  <w:r w:rsidRPr="0007702B">
                    <w:rPr>
                      <w:rFonts w:eastAsia="Calibri" w:cstheme="minorHAnsi"/>
                      <w:color w:val="4C4C4C"/>
                      <w:shd w:val="clear" w:color="auto" w:fill="FFFFFF"/>
                    </w:rPr>
                    <w:lastRenderedPageBreak/>
                    <w:t xml:space="preserve">Pro-bono agreements can be used when </w:t>
                  </w:r>
                  <w:r w:rsidRPr="0007702B">
                    <w:rPr>
                      <w:rFonts w:eastAsia="Calibri" w:cstheme="minorHAnsi"/>
                      <w:b/>
                      <w:bCs/>
                      <w:color w:val="4C4C4C"/>
                      <w:shd w:val="clear" w:color="auto" w:fill="FFFFFF"/>
                    </w:rPr>
                    <w:t>UNDP receives goods and/or services</w:t>
                  </w:r>
                  <w:r w:rsidRPr="0007702B">
                    <w:rPr>
                      <w:rFonts w:eastAsia="Calibri" w:cstheme="minorHAnsi"/>
                      <w:color w:val="4C4C4C"/>
                      <w:shd w:val="clear" w:color="auto" w:fill="FFFFFF"/>
                    </w:rPr>
                    <w:t xml:space="preserve"> from the private sector in accordance with the </w:t>
                  </w:r>
                  <w:hyperlink r:id="rId22" w:history="1">
                    <w:r w:rsidR="007D4168" w:rsidRPr="0007702B">
                      <w:rPr>
                        <w:rStyle w:val="Hyperlink"/>
                      </w:rPr>
                      <w:t>UN SG Bulletin on Acceptance of pro-bono goods and services (2006)</w:t>
                    </w:r>
                  </w:hyperlink>
                  <w:r w:rsidR="00641A71" w:rsidRPr="0007702B">
                    <w:rPr>
                      <w:rFonts w:eastAsia="Calibri" w:cstheme="minorHAnsi"/>
                      <w:color w:val="4C4C4C"/>
                      <w:shd w:val="clear" w:color="auto" w:fill="FFFFFF"/>
                    </w:rPr>
                    <w:t>,</w:t>
                  </w:r>
                  <w:r w:rsidRPr="0007702B">
                    <w:rPr>
                      <w:rFonts w:eastAsia="Calibri" w:cstheme="minorHAnsi"/>
                      <w:color w:val="4C4C4C"/>
                      <w:shd w:val="clear" w:color="auto" w:fill="FFFFFF"/>
                    </w:rPr>
                    <w:t xml:space="preserve"> complemented by UNDP policies.</w:t>
                  </w:r>
                </w:p>
                <w:p w14:paraId="455A450F" w14:textId="77777777" w:rsidR="00883925" w:rsidRPr="0007702B" w:rsidRDefault="00883925" w:rsidP="000031F9">
                  <w:pPr>
                    <w:spacing w:line="276" w:lineRule="auto"/>
                    <w:rPr>
                      <w:rFonts w:eastAsia="Calibri" w:cstheme="minorHAnsi"/>
                      <w:color w:val="4C4C4C"/>
                      <w:shd w:val="clear" w:color="auto" w:fill="FFFFFF"/>
                    </w:rPr>
                  </w:pPr>
                  <w:r w:rsidRPr="0007702B">
                    <w:rPr>
                      <w:rFonts w:eastAsia="Calibri" w:cstheme="minorHAnsi"/>
                      <w:color w:val="4C4C4C"/>
                      <w:shd w:val="clear" w:color="auto" w:fill="FFFFFF"/>
                    </w:rPr>
                    <w:lastRenderedPageBreak/>
                    <w:t>The following will define a private sector engagement activity and not a procurement:</w:t>
                  </w:r>
                </w:p>
                <w:p w14:paraId="12A29F48" w14:textId="77777777" w:rsidR="00883925" w:rsidRPr="0007702B" w:rsidRDefault="00883925" w:rsidP="000031F9">
                  <w:pPr>
                    <w:numPr>
                      <w:ilvl w:val="0"/>
                      <w:numId w:val="2"/>
                    </w:numPr>
                    <w:shd w:val="clear" w:color="auto" w:fill="FFFFFF"/>
                    <w:spacing w:after="0" w:line="276" w:lineRule="auto"/>
                    <w:ind w:right="55"/>
                    <w:contextualSpacing/>
                    <w:rPr>
                      <w:rFonts w:eastAsia="Times New Roman" w:cstheme="minorHAnsi"/>
                      <w:color w:val="4C4C4C"/>
                      <w:shd w:val="clear" w:color="auto" w:fill="FFFFFF"/>
                    </w:rPr>
                  </w:pPr>
                  <w:r w:rsidRPr="0007702B">
                    <w:rPr>
                      <w:rFonts w:eastAsia="Times New Roman" w:cstheme="minorHAnsi"/>
                      <w:color w:val="4C4C4C"/>
                      <w:shd w:val="clear" w:color="auto" w:fill="FFFFFF"/>
                    </w:rPr>
                    <w:t xml:space="preserve">Donated for free and at no costs for UNDP, including shipping, </w:t>
                  </w:r>
                  <w:proofErr w:type="gramStart"/>
                  <w:r w:rsidRPr="0007702B">
                    <w:rPr>
                      <w:rFonts w:eastAsia="Times New Roman" w:cstheme="minorHAnsi"/>
                      <w:color w:val="4C4C4C"/>
                      <w:shd w:val="clear" w:color="auto" w:fill="FFFFFF"/>
                    </w:rPr>
                    <w:t>travel</w:t>
                  </w:r>
                  <w:proofErr w:type="gramEnd"/>
                  <w:r w:rsidRPr="0007702B">
                    <w:rPr>
                      <w:rFonts w:eastAsia="Times New Roman" w:cstheme="minorHAnsi"/>
                      <w:color w:val="4C4C4C"/>
                      <w:shd w:val="clear" w:color="auto" w:fill="FFFFFF"/>
                    </w:rPr>
                    <w:t xml:space="preserve"> and subsistence costs;</w:t>
                  </w:r>
                </w:p>
                <w:p w14:paraId="284E1854" w14:textId="77777777" w:rsidR="00883925" w:rsidRPr="0007702B" w:rsidRDefault="00883925" w:rsidP="000031F9">
                  <w:pPr>
                    <w:numPr>
                      <w:ilvl w:val="0"/>
                      <w:numId w:val="2"/>
                    </w:numPr>
                    <w:shd w:val="clear" w:color="auto" w:fill="FFFFFF"/>
                    <w:spacing w:after="0" w:line="276" w:lineRule="auto"/>
                    <w:ind w:right="55"/>
                    <w:contextualSpacing/>
                    <w:rPr>
                      <w:rFonts w:eastAsia="Times New Roman" w:cstheme="minorHAnsi"/>
                      <w:color w:val="4C4C4C"/>
                      <w:shd w:val="clear" w:color="auto" w:fill="FFFFFF"/>
                    </w:rPr>
                  </w:pPr>
                  <w:r w:rsidRPr="0007702B">
                    <w:rPr>
                      <w:rFonts w:eastAsia="Times New Roman" w:cstheme="minorHAnsi"/>
                      <w:color w:val="4C4C4C"/>
                      <w:shd w:val="clear" w:color="auto" w:fill="FFFFFF"/>
                    </w:rPr>
                    <w:t>Dependency is not created through proprietary methods or technologies that incur future costs and dependency on the business’ products or services.</w:t>
                  </w:r>
                </w:p>
                <w:p w14:paraId="7CCCD728" w14:textId="77777777" w:rsidR="00883925" w:rsidRPr="0007702B" w:rsidRDefault="00FE587B" w:rsidP="000031F9">
                  <w:pPr>
                    <w:shd w:val="clear" w:color="auto" w:fill="FFFFFF"/>
                    <w:tabs>
                      <w:tab w:val="left" w:pos="1805"/>
                    </w:tabs>
                    <w:spacing w:after="0" w:line="276" w:lineRule="auto"/>
                    <w:ind w:left="10" w:hanging="10"/>
                    <w:contextualSpacing/>
                    <w:rPr>
                      <w:rFonts w:eastAsia="Times New Roman" w:cstheme="minorHAnsi"/>
                      <w:color w:val="4C4C4C"/>
                      <w:shd w:val="clear" w:color="auto" w:fill="FFFFFF"/>
                    </w:rPr>
                  </w:pPr>
                  <w:r w:rsidRPr="0007702B">
                    <w:rPr>
                      <w:rFonts w:eastAsia="Times New Roman" w:cstheme="minorHAnsi"/>
                      <w:color w:val="4C4C4C"/>
                      <w:shd w:val="clear" w:color="auto" w:fill="FFFFFF"/>
                    </w:rPr>
                    <w:tab/>
                  </w:r>
                  <w:r w:rsidRPr="0007702B">
                    <w:rPr>
                      <w:rFonts w:eastAsia="Times New Roman" w:cstheme="minorHAnsi"/>
                      <w:color w:val="4C4C4C"/>
                      <w:shd w:val="clear" w:color="auto" w:fill="FFFFFF"/>
                    </w:rPr>
                    <w:tab/>
                  </w:r>
                </w:p>
                <w:p w14:paraId="2559ADC2" w14:textId="7E474E5F" w:rsidR="00883925" w:rsidRPr="0007702B" w:rsidRDefault="00883925" w:rsidP="000031F9">
                  <w:pPr>
                    <w:shd w:val="clear" w:color="auto" w:fill="FFFFFF"/>
                    <w:spacing w:after="0" w:line="276" w:lineRule="auto"/>
                    <w:ind w:left="10" w:hanging="10"/>
                    <w:contextualSpacing/>
                    <w:rPr>
                      <w:rFonts w:eastAsia="Times New Roman" w:cstheme="minorHAnsi"/>
                      <w:color w:val="4C4C4C"/>
                      <w:shd w:val="clear" w:color="auto" w:fill="FFFFFF"/>
                    </w:rPr>
                  </w:pPr>
                  <w:r w:rsidRPr="0007702B">
                    <w:rPr>
                      <w:rFonts w:eastAsia="Times New Roman" w:cstheme="minorHAnsi"/>
                      <w:color w:val="4C4C4C"/>
                      <w:shd w:val="clear" w:color="auto" w:fill="FFFFFF"/>
                    </w:rPr>
                    <w:t xml:space="preserve">Valuation and reporting of pro bono contributions must be done in accordance with the United Nations System Accounting Standards. </w:t>
                  </w:r>
                  <w:r w:rsidR="00073187" w:rsidRPr="0007702B">
                    <w:rPr>
                      <w:rFonts w:eastAsia="Times New Roman" w:cstheme="minorHAnsi"/>
                      <w:color w:val="4C4C4C"/>
                      <w:shd w:val="clear" w:color="auto" w:fill="FFFFFF"/>
                    </w:rPr>
                    <w:t>Valuation</w:t>
                  </w:r>
                  <w:r w:rsidRPr="0007702B">
                    <w:rPr>
                      <w:rFonts w:eastAsia="Times New Roman" w:cstheme="minorHAnsi"/>
                      <w:color w:val="4C4C4C"/>
                      <w:shd w:val="clear" w:color="auto" w:fill="FFFFFF"/>
                    </w:rPr>
                    <w:t xml:space="preserve"> of the contribution must be calculated at fair value, including donor’s valuation if appropriate, as determined by the UNDP unit concerned. Queries relating to either the reporting or valuation of such contributions can be directed to the Office of the Comptroller.</w:t>
                  </w:r>
                </w:p>
              </w:tc>
            </w:tr>
          </w:tbl>
          <w:p w14:paraId="556FC2CB" w14:textId="77777777" w:rsidR="00883925" w:rsidRPr="0007702B" w:rsidRDefault="00883925" w:rsidP="00B36788">
            <w:pPr>
              <w:spacing w:after="0" w:line="240" w:lineRule="auto"/>
              <w:jc w:val="both"/>
              <w:rPr>
                <w:rFonts w:eastAsia="Calibri" w:cs="Times New Roman"/>
                <w:shd w:val="clear" w:color="auto" w:fill="FFFFFF"/>
              </w:rPr>
            </w:pPr>
          </w:p>
          <w:p w14:paraId="6E4760A3" w14:textId="77777777" w:rsidR="00883925" w:rsidRPr="0007702B" w:rsidRDefault="00883925" w:rsidP="00B36788">
            <w:pPr>
              <w:spacing w:after="0" w:line="240" w:lineRule="auto"/>
              <w:jc w:val="both"/>
              <w:rPr>
                <w:rFonts w:eastAsia="Calibri" w:cs="Times New Roman"/>
                <w:shd w:val="clear" w:color="auto" w:fill="FFFFFF"/>
              </w:rPr>
            </w:pPr>
          </w:p>
          <w:p w14:paraId="1A097708" w14:textId="77777777" w:rsidR="00883925" w:rsidRPr="0007702B" w:rsidRDefault="00883925" w:rsidP="00B36788">
            <w:pPr>
              <w:spacing w:after="0" w:line="240" w:lineRule="auto"/>
              <w:jc w:val="both"/>
              <w:rPr>
                <w:rFonts w:eastAsia="Calibri" w:cs="Times New Roman"/>
                <w:b/>
                <w:color w:val="333333"/>
                <w:lang w:eastAsia="fi-FI"/>
              </w:rPr>
            </w:pPr>
            <w:r w:rsidRPr="0007702B">
              <w:rPr>
                <w:rFonts w:eastAsia="Calibri" w:cs="Times New Roman"/>
                <w:b/>
                <w:color w:val="333333"/>
                <w:lang w:eastAsia="fi-FI"/>
              </w:rPr>
              <w:t>Designation of Authority</w:t>
            </w:r>
          </w:p>
          <w:p w14:paraId="1827E876" w14:textId="77777777" w:rsidR="00883925" w:rsidRPr="0007702B" w:rsidRDefault="00883925" w:rsidP="00B36788">
            <w:pPr>
              <w:spacing w:after="0" w:line="240" w:lineRule="auto"/>
              <w:jc w:val="both"/>
              <w:rPr>
                <w:rFonts w:eastAsia="Calibri" w:cs="Times New Roman"/>
                <w:color w:val="333333"/>
                <w:lang w:eastAsia="fi-FI"/>
              </w:rPr>
            </w:pPr>
          </w:p>
          <w:p w14:paraId="5688108D" w14:textId="1096835B" w:rsidR="00883925" w:rsidRPr="0007702B" w:rsidRDefault="00883925" w:rsidP="00A44814">
            <w:pPr>
              <w:pStyle w:val="ListParagraph"/>
              <w:numPr>
                <w:ilvl w:val="0"/>
                <w:numId w:val="4"/>
              </w:numPr>
              <w:spacing w:after="0" w:line="240" w:lineRule="auto"/>
              <w:rPr>
                <w:rFonts w:cs="Times New Roman"/>
                <w:color w:val="333333"/>
                <w:lang w:eastAsia="fi-FI"/>
              </w:rPr>
            </w:pPr>
            <w:r w:rsidRPr="0007702B">
              <w:rPr>
                <w:rFonts w:cs="Times New Roman"/>
                <w:color w:val="333333"/>
                <w:lang w:eastAsia="fi-FI"/>
              </w:rPr>
              <w:t>The authority to sign a</w:t>
            </w:r>
            <w:r w:rsidR="000E5ADF" w:rsidRPr="0007702B">
              <w:rPr>
                <w:rFonts w:cs="Times New Roman"/>
                <w:color w:val="333333"/>
                <w:lang w:eastAsia="fi-FI"/>
              </w:rPr>
              <w:t>n</w:t>
            </w:r>
            <w:r w:rsidRPr="0007702B">
              <w:rPr>
                <w:rFonts w:cs="Times New Roman"/>
                <w:color w:val="333333"/>
                <w:lang w:eastAsia="fi-FI"/>
              </w:rPr>
              <w:t xml:space="preserve"> MoU, </w:t>
            </w:r>
            <w:r w:rsidRPr="0007702B">
              <w:rPr>
                <w:rFonts w:cs="Times New Roman"/>
                <w:color w:val="333333"/>
                <w:shd w:val="clear" w:color="auto" w:fill="FFFFFF"/>
              </w:rPr>
              <w:t>partnership agreements for</w:t>
            </w:r>
            <w:r w:rsidR="00D91738" w:rsidRPr="0007702B">
              <w:rPr>
                <w:rFonts w:cs="Times New Roman"/>
                <w:color w:val="333333"/>
                <w:shd w:val="clear" w:color="auto" w:fill="FFFFFF"/>
              </w:rPr>
              <w:t xml:space="preserve"> financing agreements</w:t>
            </w:r>
            <w:r w:rsidR="0010157E" w:rsidRPr="0007702B">
              <w:rPr>
                <w:rFonts w:cs="Times New Roman"/>
                <w:color w:val="333333"/>
                <w:shd w:val="clear" w:color="auto" w:fill="FFFFFF"/>
              </w:rPr>
              <w:t>, and</w:t>
            </w:r>
            <w:r w:rsidRPr="0007702B">
              <w:rPr>
                <w:rFonts w:cs="Times New Roman"/>
                <w:color w:val="333333"/>
                <w:shd w:val="clear" w:color="auto" w:fill="FFFFFF"/>
              </w:rPr>
              <w:t xml:space="preserve"> pro bono contributions is delegated to the RC/RR or a designated person in a Country Office, provided that the following conditions are met:</w:t>
            </w:r>
          </w:p>
          <w:p w14:paraId="6D24D101" w14:textId="77777777" w:rsidR="00054593" w:rsidRPr="0007702B" w:rsidRDefault="00054593" w:rsidP="00054593">
            <w:pPr>
              <w:pStyle w:val="ListParagraph"/>
              <w:spacing w:after="0" w:line="240" w:lineRule="auto"/>
              <w:ind w:firstLine="0"/>
              <w:rPr>
                <w:rFonts w:cs="Times New Roman"/>
                <w:color w:val="333333"/>
                <w:lang w:eastAsia="fi-FI"/>
              </w:rPr>
            </w:pPr>
          </w:p>
          <w:p w14:paraId="63489C5A" w14:textId="77777777" w:rsidR="00883925" w:rsidRPr="0007702B" w:rsidRDefault="00883925" w:rsidP="007C0573">
            <w:pPr>
              <w:pStyle w:val="ListParagraph"/>
              <w:numPr>
                <w:ilvl w:val="1"/>
                <w:numId w:val="4"/>
              </w:numPr>
              <w:shd w:val="clear" w:color="auto" w:fill="FFFFFF"/>
              <w:spacing w:after="0" w:line="276" w:lineRule="auto"/>
              <w:rPr>
                <w:rFonts w:cs="Times New Roman"/>
                <w:color w:val="333333"/>
                <w:shd w:val="clear" w:color="auto" w:fill="FFFFFF"/>
              </w:rPr>
            </w:pPr>
            <w:r w:rsidRPr="0007702B">
              <w:rPr>
                <w:rFonts w:cs="Times New Roman"/>
                <w:color w:val="333333"/>
                <w:shd w:val="clear" w:color="auto" w:fill="FFFFFF"/>
              </w:rPr>
              <w:t>The agreement has implications for only one country (</w:t>
            </w:r>
            <w:proofErr w:type="gramStart"/>
            <w:r w:rsidRPr="0007702B">
              <w:rPr>
                <w:rFonts w:cs="Times New Roman"/>
                <w:color w:val="333333"/>
                <w:shd w:val="clear" w:color="auto" w:fill="FFFFFF"/>
              </w:rPr>
              <w:t>i.e.</w:t>
            </w:r>
            <w:proofErr w:type="gramEnd"/>
            <w:r w:rsidRPr="0007702B">
              <w:rPr>
                <w:rFonts w:cs="Times New Roman"/>
                <w:color w:val="333333"/>
                <w:shd w:val="clear" w:color="auto" w:fill="FFFFFF"/>
              </w:rPr>
              <w:t xml:space="preserve"> the country for which the senior manager has responsibility);</w:t>
            </w:r>
          </w:p>
          <w:p w14:paraId="4315913A" w14:textId="793A02D0" w:rsidR="00883925" w:rsidRPr="0007702B" w:rsidRDefault="00883925"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07702B">
              <w:rPr>
                <w:rFonts w:eastAsia="Calibri" w:cs="Times New Roman"/>
                <w:color w:val="333333"/>
                <w:shd w:val="clear" w:color="auto" w:fill="FFFFFF"/>
              </w:rPr>
              <w:t xml:space="preserve">The relationship </w:t>
            </w:r>
            <w:r w:rsidR="00073187" w:rsidRPr="0007702B">
              <w:rPr>
                <w:rFonts w:eastAsia="Calibri" w:cs="Times New Roman"/>
                <w:color w:val="333333"/>
                <w:shd w:val="clear" w:color="auto" w:fill="FFFFFF"/>
              </w:rPr>
              <w:t>entered</w:t>
            </w:r>
            <w:r w:rsidRPr="0007702B">
              <w:rPr>
                <w:rFonts w:eastAsia="Calibri" w:cs="Times New Roman"/>
                <w:color w:val="333333"/>
                <w:shd w:val="clear" w:color="auto" w:fill="FFFFFF"/>
              </w:rPr>
              <w:t xml:space="preserve"> is with a nationally based entity or with a national branch of a multinational entity.</w:t>
            </w:r>
          </w:p>
          <w:p w14:paraId="082817E7" w14:textId="77777777" w:rsidR="00883925" w:rsidRPr="0007702B" w:rsidRDefault="007821EC"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07702B">
              <w:rPr>
                <w:rFonts w:eastAsia="Calibri" w:cs="Times New Roman"/>
                <w:color w:val="333333"/>
                <w:shd w:val="clear" w:color="auto" w:fill="FFFFFF"/>
              </w:rPr>
              <w:t>T</w:t>
            </w:r>
            <w:r w:rsidR="00883925" w:rsidRPr="0007702B">
              <w:rPr>
                <w:rFonts w:eastAsia="Calibri" w:cs="Times New Roman"/>
                <w:color w:val="333333"/>
                <w:shd w:val="clear" w:color="auto" w:fill="FFFFFF"/>
              </w:rPr>
              <w:t xml:space="preserve">he agreement conforms to the </w:t>
            </w:r>
            <w:r w:rsidRPr="0007702B">
              <w:rPr>
                <w:rFonts w:eastAsia="Calibri" w:cs="Times New Roman"/>
                <w:color w:val="333333"/>
                <w:shd w:val="clear" w:color="auto" w:fill="FFFFFF"/>
              </w:rPr>
              <w:t>respective standard templates.</w:t>
            </w:r>
          </w:p>
          <w:p w14:paraId="14308159" w14:textId="77777777" w:rsidR="00054593" w:rsidRPr="0007702B" w:rsidRDefault="00054593" w:rsidP="00B36788">
            <w:pPr>
              <w:spacing w:after="0" w:line="240" w:lineRule="auto"/>
              <w:jc w:val="both"/>
              <w:rPr>
                <w:rFonts w:eastAsia="Calibri" w:cs="Times New Roman"/>
                <w:color w:val="333333"/>
                <w:lang w:eastAsia="fi-FI"/>
              </w:rPr>
            </w:pPr>
          </w:p>
          <w:p w14:paraId="2EB2E52C" w14:textId="0502AB8B" w:rsidR="00883925" w:rsidRPr="0007702B" w:rsidRDefault="00883925" w:rsidP="00A44814">
            <w:pPr>
              <w:pStyle w:val="ListParagraph"/>
              <w:numPr>
                <w:ilvl w:val="0"/>
                <w:numId w:val="4"/>
              </w:numPr>
              <w:spacing w:after="0" w:line="240" w:lineRule="auto"/>
              <w:rPr>
                <w:rFonts w:cs="Times New Roman"/>
                <w:color w:val="333333"/>
                <w:shd w:val="clear" w:color="auto" w:fill="FFFFFF"/>
              </w:rPr>
            </w:pPr>
            <w:r w:rsidRPr="0007702B">
              <w:rPr>
                <w:rFonts w:cs="Times New Roman"/>
                <w:color w:val="333333"/>
                <w:lang w:eastAsia="fi-FI"/>
              </w:rPr>
              <w:t>The authority to sign a</w:t>
            </w:r>
            <w:r w:rsidR="006864D8" w:rsidRPr="0007702B">
              <w:rPr>
                <w:rFonts w:cs="Times New Roman"/>
                <w:color w:val="333333"/>
                <w:lang w:eastAsia="fi-FI"/>
              </w:rPr>
              <w:t>n</w:t>
            </w:r>
            <w:r w:rsidRPr="0007702B">
              <w:rPr>
                <w:rFonts w:cs="Times New Roman"/>
                <w:color w:val="333333"/>
                <w:lang w:eastAsia="fi-FI"/>
              </w:rPr>
              <w:t xml:space="preserve"> MoU, </w:t>
            </w:r>
            <w:r w:rsidRPr="0007702B">
              <w:rPr>
                <w:rFonts w:cs="Times New Roman"/>
                <w:color w:val="333333"/>
                <w:shd w:val="clear" w:color="auto" w:fill="FFFFFF"/>
              </w:rPr>
              <w:t>partnership agreement for pro bono contributions, and</w:t>
            </w:r>
            <w:r w:rsidR="00F53E27" w:rsidRPr="0007702B">
              <w:rPr>
                <w:rFonts w:cs="Times New Roman"/>
                <w:color w:val="333333"/>
                <w:shd w:val="clear" w:color="auto" w:fill="FFFFFF"/>
              </w:rPr>
              <w:t xml:space="preserve"> financing agreements </w:t>
            </w:r>
            <w:r w:rsidRPr="0007702B">
              <w:rPr>
                <w:rFonts w:cs="Times New Roman"/>
                <w:color w:val="333333"/>
                <w:lang w:eastAsia="fi-FI"/>
              </w:rPr>
              <w:t>is delegated to the Regional Bureau Director or a designated person in a Regional Bureau</w:t>
            </w:r>
            <w:r w:rsidRPr="0007702B">
              <w:rPr>
                <w:rFonts w:cs="Times New Roman"/>
                <w:color w:val="333333"/>
                <w:shd w:val="clear" w:color="auto" w:fill="FFFFFF"/>
              </w:rPr>
              <w:t>, provided that the following conditions are met:</w:t>
            </w:r>
          </w:p>
          <w:p w14:paraId="3F8021BD" w14:textId="44EAD7F6" w:rsidR="008736D8" w:rsidRPr="0007702B" w:rsidRDefault="008736D8"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07702B">
              <w:rPr>
                <w:rFonts w:eastAsia="Calibri" w:cs="Times New Roman"/>
                <w:color w:val="333333"/>
                <w:shd w:val="clear" w:color="auto" w:fill="FFFFFF"/>
              </w:rPr>
              <w:t>The agreement has implications for only one region (</w:t>
            </w:r>
            <w:r w:rsidR="00EC1293" w:rsidRPr="0007702B">
              <w:rPr>
                <w:rFonts w:eastAsia="Calibri" w:cs="Times New Roman"/>
                <w:color w:val="333333"/>
                <w:shd w:val="clear" w:color="auto" w:fill="FFFFFF"/>
              </w:rPr>
              <w:t>i.e.,</w:t>
            </w:r>
            <w:r w:rsidRPr="0007702B">
              <w:rPr>
                <w:rFonts w:eastAsia="Calibri" w:cs="Times New Roman"/>
                <w:color w:val="333333"/>
                <w:shd w:val="clear" w:color="auto" w:fill="FFFFFF"/>
              </w:rPr>
              <w:t xml:space="preserve"> the region for which the Bureau Director has responsibility);</w:t>
            </w:r>
          </w:p>
          <w:p w14:paraId="319B28D3" w14:textId="6BCD1B1F" w:rsidR="008736D8" w:rsidRPr="0007702B" w:rsidRDefault="008736D8" w:rsidP="007C0573">
            <w:pPr>
              <w:numPr>
                <w:ilvl w:val="1"/>
                <w:numId w:val="4"/>
              </w:numPr>
              <w:shd w:val="clear" w:color="auto" w:fill="FFFFFF"/>
              <w:spacing w:after="0" w:line="276" w:lineRule="auto"/>
              <w:ind w:right="55"/>
              <w:contextualSpacing/>
              <w:jc w:val="both"/>
              <w:rPr>
                <w:rFonts w:eastAsia="Calibri" w:cs="Times New Roman"/>
                <w:color w:val="333333"/>
                <w:shd w:val="clear" w:color="auto" w:fill="FFFFFF"/>
              </w:rPr>
            </w:pPr>
            <w:r w:rsidRPr="0007702B">
              <w:rPr>
                <w:rFonts w:eastAsia="Calibri" w:cs="Times New Roman"/>
                <w:color w:val="333333"/>
                <w:shd w:val="clear" w:color="auto" w:fill="FFFFFF"/>
              </w:rPr>
              <w:t xml:space="preserve">The relationship </w:t>
            </w:r>
            <w:r w:rsidR="00073187" w:rsidRPr="0007702B">
              <w:rPr>
                <w:rFonts w:eastAsia="Calibri" w:cs="Times New Roman"/>
                <w:color w:val="333333"/>
                <w:shd w:val="clear" w:color="auto" w:fill="FFFFFF"/>
              </w:rPr>
              <w:t>entered</w:t>
            </w:r>
            <w:r w:rsidRPr="0007702B">
              <w:rPr>
                <w:rFonts w:eastAsia="Calibri" w:cs="Times New Roman"/>
                <w:color w:val="333333"/>
                <w:shd w:val="clear" w:color="auto" w:fill="FFFFFF"/>
              </w:rPr>
              <w:t xml:space="preserve"> is with a </w:t>
            </w:r>
            <w:r w:rsidR="00F53E27" w:rsidRPr="0007702B">
              <w:rPr>
                <w:rFonts w:eastAsia="Calibri" w:cs="Times New Roman"/>
                <w:color w:val="333333"/>
                <w:shd w:val="clear" w:color="auto" w:fill="FFFFFF"/>
              </w:rPr>
              <w:t>region-based</w:t>
            </w:r>
            <w:r w:rsidRPr="0007702B">
              <w:rPr>
                <w:rFonts w:eastAsia="Calibri" w:cs="Times New Roman"/>
                <w:color w:val="333333"/>
                <w:shd w:val="clear" w:color="auto" w:fill="FFFFFF"/>
              </w:rPr>
              <w:t xml:space="preserve"> entity or with a regional branch of a multinational entity;</w:t>
            </w:r>
          </w:p>
          <w:p w14:paraId="3AF84F82" w14:textId="77777777" w:rsidR="0097137E" w:rsidRPr="0007702B" w:rsidRDefault="0097137E" w:rsidP="0097137E">
            <w:pPr>
              <w:pStyle w:val="ListParagraph"/>
              <w:numPr>
                <w:ilvl w:val="1"/>
                <w:numId w:val="4"/>
              </w:numPr>
              <w:rPr>
                <w:rFonts w:asciiTheme="minorHAnsi" w:hAnsiTheme="minorHAnsi" w:cs="Times New Roman"/>
                <w:color w:val="333333"/>
                <w:shd w:val="clear" w:color="auto" w:fill="FFFFFF"/>
                <w:lang w:eastAsia="en-US"/>
              </w:rPr>
            </w:pPr>
            <w:r w:rsidRPr="0007702B">
              <w:rPr>
                <w:rFonts w:asciiTheme="minorHAnsi" w:hAnsiTheme="minorHAnsi" w:cs="Times New Roman"/>
                <w:color w:val="333333"/>
                <w:shd w:val="clear" w:color="auto" w:fill="FFFFFF"/>
                <w:lang w:eastAsia="en-US"/>
              </w:rPr>
              <w:t>The agreement conforms to the respective standard templates.</w:t>
            </w:r>
          </w:p>
          <w:p w14:paraId="258FC498" w14:textId="77777777" w:rsidR="009F076F" w:rsidRPr="0007702B" w:rsidRDefault="009F076F" w:rsidP="008736D8">
            <w:pPr>
              <w:spacing w:after="0" w:line="240" w:lineRule="auto"/>
              <w:rPr>
                <w:rFonts w:cs="Times New Roman"/>
                <w:shd w:val="clear" w:color="auto" w:fill="FFFFFF"/>
              </w:rPr>
            </w:pPr>
          </w:p>
          <w:p w14:paraId="10214411" w14:textId="534228F9" w:rsidR="00893403" w:rsidRPr="0007702B" w:rsidRDefault="00893403" w:rsidP="00A44814">
            <w:pPr>
              <w:pStyle w:val="ListParagraph"/>
              <w:numPr>
                <w:ilvl w:val="0"/>
                <w:numId w:val="4"/>
              </w:numPr>
              <w:spacing w:after="0" w:line="240" w:lineRule="auto"/>
              <w:rPr>
                <w:rFonts w:cs="Times New Roman"/>
                <w:color w:val="333333"/>
                <w:shd w:val="clear" w:color="auto" w:fill="FFFFFF"/>
              </w:rPr>
            </w:pPr>
            <w:r w:rsidRPr="0007702B">
              <w:rPr>
                <w:rFonts w:cs="Times New Roman"/>
                <w:b/>
                <w:bCs/>
                <w:color w:val="333333"/>
                <w:shd w:val="clear" w:color="auto" w:fill="FFFFFF"/>
              </w:rPr>
              <w:t xml:space="preserve">Corporate and Global </w:t>
            </w:r>
            <w:proofErr w:type="spellStart"/>
            <w:r w:rsidRPr="0007702B">
              <w:rPr>
                <w:rFonts w:cs="Times New Roman"/>
                <w:b/>
                <w:bCs/>
                <w:color w:val="333333"/>
                <w:shd w:val="clear" w:color="auto" w:fill="FFFFFF"/>
              </w:rPr>
              <w:t>MoUs</w:t>
            </w:r>
            <w:proofErr w:type="spellEnd"/>
            <w:r w:rsidR="00A11C74" w:rsidRPr="0007702B">
              <w:rPr>
                <w:rFonts w:cs="Times New Roman"/>
                <w:b/>
                <w:bCs/>
                <w:color w:val="333333"/>
                <w:shd w:val="clear" w:color="auto" w:fill="FFFFFF"/>
              </w:rPr>
              <w:t>:</w:t>
            </w:r>
            <w:r w:rsidR="00A11C74" w:rsidRPr="0007702B">
              <w:rPr>
                <w:rFonts w:cs="Times New Roman"/>
                <w:bCs/>
                <w:color w:val="333333"/>
                <w:shd w:val="clear" w:color="auto" w:fill="FFFFFF"/>
              </w:rPr>
              <w:t xml:space="preserve"> a </w:t>
            </w:r>
            <w:r w:rsidRPr="0007702B">
              <w:rPr>
                <w:rFonts w:cs="Times New Roman"/>
                <w:color w:val="333333"/>
                <w:shd w:val="clear" w:color="auto" w:fill="FFFFFF"/>
              </w:rPr>
              <w:t>corporate review process is mandatory in the two cases below:</w:t>
            </w:r>
          </w:p>
          <w:p w14:paraId="673CF91F" w14:textId="77777777" w:rsidR="00893403" w:rsidRPr="0007702B" w:rsidRDefault="00893403" w:rsidP="00FC1E2E">
            <w:pPr>
              <w:pStyle w:val="ListParagraph"/>
              <w:numPr>
                <w:ilvl w:val="1"/>
                <w:numId w:val="4"/>
              </w:numPr>
              <w:spacing w:after="0"/>
              <w:rPr>
                <w:rFonts w:cs="Times New Roman"/>
                <w:color w:val="333333"/>
                <w:shd w:val="clear" w:color="auto" w:fill="FFFFFF"/>
              </w:rPr>
            </w:pPr>
            <w:r w:rsidRPr="0007702B">
              <w:rPr>
                <w:rFonts w:cs="Times New Roman"/>
                <w:color w:val="333333"/>
                <w:shd w:val="clear" w:color="auto" w:fill="FFFFFF"/>
              </w:rPr>
              <w:t>If the MoU is for signature by the Administrator or the Associate Administrator; or</w:t>
            </w:r>
          </w:p>
          <w:p w14:paraId="292E0CE7" w14:textId="77777777" w:rsidR="00893403" w:rsidRPr="0007702B" w:rsidRDefault="00893403" w:rsidP="00FC1E2E">
            <w:pPr>
              <w:pStyle w:val="ListParagraph"/>
              <w:numPr>
                <w:ilvl w:val="1"/>
                <w:numId w:val="4"/>
              </w:numPr>
              <w:spacing w:after="0"/>
              <w:rPr>
                <w:rFonts w:cs="Times New Roman"/>
                <w:color w:val="333333"/>
                <w:shd w:val="clear" w:color="auto" w:fill="FFFFFF"/>
              </w:rPr>
            </w:pPr>
            <w:r w:rsidRPr="0007702B">
              <w:rPr>
                <w:rFonts w:cs="Times New Roman"/>
                <w:color w:val="333333"/>
                <w:shd w:val="clear" w:color="auto" w:fill="FFFFFF"/>
              </w:rPr>
              <w:lastRenderedPageBreak/>
              <w:t>The MoU is of corporate importance and/or global applicability (and is thus to be signed at a Senior level, often ASG)</w:t>
            </w:r>
          </w:p>
          <w:p w14:paraId="66B1D04F" w14:textId="5ED161B4" w:rsidR="00893403" w:rsidRPr="0007702B" w:rsidRDefault="000C3544" w:rsidP="00A11C74">
            <w:pPr>
              <w:pStyle w:val="ListParagraph"/>
              <w:spacing w:line="240" w:lineRule="auto"/>
              <w:ind w:firstLine="0"/>
              <w:rPr>
                <w:rFonts w:cs="Times New Roman"/>
                <w:shd w:val="clear" w:color="auto" w:fill="FFFFFF"/>
              </w:rPr>
            </w:pPr>
            <w:r w:rsidRPr="0007702B">
              <w:rPr>
                <w:rFonts w:cs="Times New Roman"/>
                <w:color w:val="333333"/>
                <w:shd w:val="clear" w:color="auto" w:fill="FFFFFF"/>
              </w:rPr>
              <w:t xml:space="preserve">To </w:t>
            </w:r>
            <w:r w:rsidR="00983F87" w:rsidRPr="0007702B">
              <w:rPr>
                <w:rFonts w:cs="Times New Roman"/>
                <w:color w:val="333333"/>
                <w:shd w:val="clear" w:color="auto" w:fill="FFFFFF"/>
              </w:rPr>
              <w:t>initiate corporate assessment</w:t>
            </w:r>
            <w:r w:rsidRPr="0007702B">
              <w:rPr>
                <w:rFonts w:cs="Times New Roman"/>
                <w:color w:val="333333"/>
                <w:shd w:val="clear" w:color="auto" w:fill="FFFFFF"/>
              </w:rPr>
              <w:t>, the MoU must</w:t>
            </w:r>
            <w:r w:rsidR="00893403" w:rsidRPr="0007702B">
              <w:rPr>
                <w:rFonts w:cs="Times New Roman"/>
                <w:color w:val="333333"/>
                <w:shd w:val="clear" w:color="auto" w:fill="FFFFFF"/>
              </w:rPr>
              <w:t xml:space="preserve"> be submitted by the initiating bureau to the </w:t>
            </w:r>
            <w:hyperlink r:id="rId23" w:history="1">
              <w:r w:rsidR="00893403" w:rsidRPr="0007702B">
                <w:rPr>
                  <w:rStyle w:val="Hyperlink"/>
                  <w:rFonts w:cs="Times New Roman"/>
                  <w:shd w:val="clear" w:color="auto" w:fill="FFFFFF"/>
                </w:rPr>
                <w:t>P</w:t>
              </w:r>
              <w:r w:rsidR="00857C16" w:rsidRPr="0007702B">
                <w:rPr>
                  <w:rStyle w:val="Hyperlink"/>
                  <w:rFonts w:cs="Times New Roman"/>
                  <w:shd w:val="clear" w:color="auto" w:fill="FFFFFF"/>
                </w:rPr>
                <w:t>ublic P</w:t>
              </w:r>
              <w:r w:rsidR="00893403" w:rsidRPr="0007702B">
                <w:rPr>
                  <w:rStyle w:val="Hyperlink"/>
                  <w:rFonts w:cs="Times New Roman"/>
                  <w:shd w:val="clear" w:color="auto" w:fill="FFFFFF"/>
                </w:rPr>
                <w:t>artnerships Group</w:t>
              </w:r>
            </w:hyperlink>
            <w:r w:rsidR="00893403" w:rsidRPr="0007702B">
              <w:rPr>
                <w:rFonts w:cs="Times New Roman"/>
                <w:shd w:val="clear" w:color="auto" w:fill="FFFFFF"/>
              </w:rPr>
              <w:t> </w:t>
            </w:r>
            <w:r w:rsidR="00893403" w:rsidRPr="0007702B">
              <w:rPr>
                <w:rFonts w:cs="Times New Roman"/>
                <w:color w:val="333333"/>
                <w:shd w:val="clear" w:color="auto" w:fill="FFFFFF"/>
              </w:rPr>
              <w:t>of BERA for review and clearance</w:t>
            </w:r>
            <w:r w:rsidR="00FC1E2E" w:rsidRPr="0007702B">
              <w:rPr>
                <w:rFonts w:cs="Times New Roman"/>
                <w:color w:val="333333"/>
                <w:shd w:val="clear" w:color="auto" w:fill="FFFFFF"/>
              </w:rPr>
              <w:t>.</w:t>
            </w:r>
          </w:p>
          <w:p w14:paraId="51495631" w14:textId="77777777" w:rsidR="009F076F" w:rsidRPr="0007702B" w:rsidRDefault="009F076F" w:rsidP="00A11C74">
            <w:pPr>
              <w:pStyle w:val="ListParagraph"/>
              <w:spacing w:after="0" w:line="240" w:lineRule="auto"/>
              <w:ind w:firstLine="0"/>
              <w:rPr>
                <w:rFonts w:cs="Times New Roman"/>
                <w:shd w:val="clear" w:color="auto" w:fill="FFFFFF"/>
              </w:rPr>
            </w:pPr>
          </w:p>
          <w:p w14:paraId="61CA555D" w14:textId="77777777" w:rsidR="00D94566" w:rsidRPr="0007702B" w:rsidRDefault="00D94566" w:rsidP="00B36788">
            <w:pPr>
              <w:spacing w:after="0" w:line="240" w:lineRule="auto"/>
              <w:jc w:val="both"/>
              <w:rPr>
                <w:rFonts w:eastAsia="Calibri" w:cs="Times New Roman"/>
                <w:b/>
                <w:color w:val="333333"/>
                <w:shd w:val="clear" w:color="auto" w:fill="FFFFFF"/>
              </w:rPr>
            </w:pPr>
          </w:p>
          <w:p w14:paraId="2F333999" w14:textId="77777777" w:rsidR="00883925" w:rsidRPr="0007702B" w:rsidRDefault="00883925" w:rsidP="00B36788">
            <w:pPr>
              <w:spacing w:after="0" w:line="240" w:lineRule="auto"/>
              <w:jc w:val="both"/>
              <w:rPr>
                <w:rFonts w:eastAsia="Calibri" w:cs="Times New Roman"/>
                <w:b/>
                <w:color w:val="333333"/>
                <w:shd w:val="clear" w:color="auto" w:fill="FFFFFF"/>
              </w:rPr>
            </w:pPr>
            <w:r w:rsidRPr="0007702B">
              <w:rPr>
                <w:rFonts w:eastAsia="Calibri" w:cs="Times New Roman"/>
                <w:b/>
                <w:color w:val="333333"/>
                <w:shd w:val="clear" w:color="auto" w:fill="FFFFFF"/>
              </w:rPr>
              <w:t>Deviations from standard templates</w:t>
            </w:r>
          </w:p>
          <w:p w14:paraId="0D50BC1A" w14:textId="77777777" w:rsidR="00883925" w:rsidRPr="0007702B" w:rsidRDefault="00883925" w:rsidP="00B36788">
            <w:pPr>
              <w:spacing w:after="0" w:line="240" w:lineRule="auto"/>
              <w:jc w:val="both"/>
              <w:rPr>
                <w:rFonts w:eastAsia="Calibri" w:cs="Times New Roman"/>
                <w:color w:val="333333"/>
                <w:shd w:val="clear" w:color="auto" w:fill="FFFFFF"/>
              </w:rPr>
            </w:pPr>
          </w:p>
          <w:p w14:paraId="0BB34819" w14:textId="39FD7995" w:rsidR="00883925" w:rsidRPr="0007702B" w:rsidRDefault="00883925" w:rsidP="00A44814">
            <w:pPr>
              <w:pStyle w:val="ListParagraph"/>
              <w:numPr>
                <w:ilvl w:val="0"/>
                <w:numId w:val="4"/>
              </w:numPr>
              <w:spacing w:after="0" w:line="240" w:lineRule="auto"/>
              <w:rPr>
                <w:rFonts w:cs="Times New Roman"/>
                <w:color w:val="333333"/>
                <w:lang w:eastAsia="fi-FI"/>
              </w:rPr>
            </w:pPr>
            <w:r w:rsidRPr="0007702B">
              <w:rPr>
                <w:rFonts w:cs="Times New Roman"/>
                <w:color w:val="333333"/>
                <w:shd w:val="clear" w:color="auto" w:fill="FFFFFF"/>
              </w:rPr>
              <w:t>Any proposed deviation to the standard MoU, pro-bono, an</w:t>
            </w:r>
            <w:r w:rsidR="005640F0" w:rsidRPr="0007702B">
              <w:rPr>
                <w:rFonts w:cs="Times New Roman"/>
                <w:color w:val="333333"/>
                <w:shd w:val="clear" w:color="auto" w:fill="FFFFFF"/>
              </w:rPr>
              <w:t xml:space="preserve">d </w:t>
            </w:r>
            <w:r w:rsidR="003F3D03" w:rsidRPr="0007702B">
              <w:rPr>
                <w:rFonts w:cs="Times New Roman"/>
                <w:color w:val="333333"/>
                <w:shd w:val="clear" w:color="auto" w:fill="FFFFFF"/>
              </w:rPr>
              <w:t xml:space="preserve">financing </w:t>
            </w:r>
            <w:r w:rsidR="009B43A2" w:rsidRPr="0007702B">
              <w:rPr>
                <w:rFonts w:cs="Times New Roman"/>
                <w:color w:val="333333"/>
                <w:shd w:val="clear" w:color="auto" w:fill="FFFFFF"/>
              </w:rPr>
              <w:t>agreement templates</w:t>
            </w:r>
            <w:r w:rsidR="005640F0" w:rsidRPr="0007702B">
              <w:rPr>
                <w:rFonts w:cs="Times New Roman"/>
                <w:color w:val="333333"/>
                <w:shd w:val="clear" w:color="auto" w:fill="FFFFFF"/>
              </w:rPr>
              <w:t xml:space="preserve"> must be reviewed </w:t>
            </w:r>
            <w:r w:rsidRPr="0007702B">
              <w:rPr>
                <w:rFonts w:cs="Times New Roman"/>
                <w:color w:val="333333"/>
                <w:shd w:val="clear" w:color="auto" w:fill="FFFFFF"/>
              </w:rPr>
              <w:t xml:space="preserve">before signature by the Director of </w:t>
            </w:r>
            <w:r w:rsidR="007821EC" w:rsidRPr="0007702B">
              <w:rPr>
                <w:rFonts w:cs="Times New Roman"/>
                <w:color w:val="333333"/>
                <w:shd w:val="clear" w:color="auto" w:fill="FFFFFF"/>
              </w:rPr>
              <w:t xml:space="preserve">the </w:t>
            </w:r>
            <w:r w:rsidR="008657C3" w:rsidRPr="0007702B">
              <w:rPr>
                <w:rFonts w:cs="Times New Roman"/>
                <w:color w:val="333333"/>
                <w:shd w:val="clear" w:color="auto" w:fill="FFFFFF"/>
              </w:rPr>
              <w:t xml:space="preserve">Office of </w:t>
            </w:r>
            <w:r w:rsidR="007821EC" w:rsidRPr="0007702B">
              <w:rPr>
                <w:rFonts w:cs="Times New Roman"/>
                <w:color w:val="333333"/>
                <w:shd w:val="clear" w:color="auto" w:fill="FFFFFF"/>
              </w:rPr>
              <w:t xml:space="preserve">Legal </w:t>
            </w:r>
            <w:r w:rsidR="008657C3" w:rsidRPr="0007702B">
              <w:rPr>
                <w:rFonts w:cs="Times New Roman"/>
                <w:color w:val="333333"/>
                <w:shd w:val="clear" w:color="auto" w:fill="FFFFFF"/>
              </w:rPr>
              <w:t xml:space="preserve">Services </w:t>
            </w:r>
            <w:r w:rsidR="007821EC" w:rsidRPr="0007702B">
              <w:rPr>
                <w:rFonts w:cs="Times New Roman"/>
                <w:color w:val="333333"/>
                <w:shd w:val="clear" w:color="auto" w:fill="FFFFFF"/>
              </w:rPr>
              <w:t>(O</w:t>
            </w:r>
            <w:r w:rsidR="008657C3" w:rsidRPr="0007702B">
              <w:rPr>
                <w:rFonts w:cs="Times New Roman"/>
                <w:color w:val="333333"/>
                <w:shd w:val="clear" w:color="auto" w:fill="FFFFFF"/>
              </w:rPr>
              <w:t>LS</w:t>
            </w:r>
            <w:r w:rsidR="007821EC" w:rsidRPr="0007702B">
              <w:rPr>
                <w:rFonts w:cs="Times New Roman"/>
                <w:color w:val="333333"/>
                <w:shd w:val="clear" w:color="auto" w:fill="FFFFFF"/>
              </w:rPr>
              <w:t>/BMS</w:t>
            </w:r>
            <w:r w:rsidR="00D20D24" w:rsidRPr="0007702B">
              <w:rPr>
                <w:rFonts w:cs="Times New Roman"/>
                <w:color w:val="333333"/>
                <w:shd w:val="clear" w:color="auto" w:fill="FFFFFF"/>
              </w:rPr>
              <w:t>)</w:t>
            </w:r>
            <w:r w:rsidRPr="0007702B">
              <w:rPr>
                <w:rFonts w:cs="Times New Roman"/>
                <w:color w:val="333333"/>
                <w:shd w:val="clear" w:color="auto" w:fill="FFFFFF"/>
              </w:rPr>
              <w:t xml:space="preserve">. </w:t>
            </w:r>
            <w:r w:rsidRPr="0007702B">
              <w:rPr>
                <w:rFonts w:cs="Times New Roman"/>
                <w:color w:val="333333"/>
                <w:lang w:eastAsia="fi-FI"/>
              </w:rPr>
              <w:t xml:space="preserve">All </w:t>
            </w:r>
            <w:proofErr w:type="spellStart"/>
            <w:r w:rsidRPr="0007702B">
              <w:rPr>
                <w:rFonts w:cs="Times New Roman"/>
                <w:color w:val="333333"/>
                <w:lang w:eastAsia="fi-FI"/>
              </w:rPr>
              <w:t>MoUs</w:t>
            </w:r>
            <w:proofErr w:type="spellEnd"/>
            <w:r w:rsidRPr="0007702B">
              <w:rPr>
                <w:rFonts w:cs="Times New Roman"/>
                <w:color w:val="333333"/>
                <w:lang w:eastAsia="fi-FI"/>
              </w:rPr>
              <w:t xml:space="preserve"> should be uploaded in the partnerships </w:t>
            </w:r>
            <w:hyperlink r:id="rId24" w:history="1">
              <w:r w:rsidRPr="0007702B">
                <w:rPr>
                  <w:rFonts w:cs="Times New Roman"/>
                  <w:color w:val="0563C1"/>
                  <w:u w:val="single"/>
                  <w:lang w:eastAsia="fi-FI"/>
                </w:rPr>
                <w:t>MOU library</w:t>
              </w:r>
            </w:hyperlink>
            <w:r w:rsidRPr="0007702B">
              <w:rPr>
                <w:rFonts w:cs="Times New Roman"/>
                <w:color w:val="333333"/>
                <w:lang w:eastAsia="fi-FI"/>
              </w:rPr>
              <w:t>.</w:t>
            </w:r>
          </w:p>
          <w:p w14:paraId="369F4C6B" w14:textId="01F2488A" w:rsidR="00883925" w:rsidRPr="0007702B" w:rsidRDefault="00883925" w:rsidP="00B36788">
            <w:pPr>
              <w:shd w:val="clear" w:color="auto" w:fill="FFFFFF"/>
              <w:spacing w:before="100" w:beforeAutospacing="1" w:after="100" w:afterAutospacing="1" w:line="270" w:lineRule="atLeast"/>
              <w:jc w:val="both"/>
              <w:rPr>
                <w:rFonts w:eastAsia="Times New Roman" w:cs="Arial"/>
                <w:b/>
                <w:bCs/>
                <w:color w:val="333333"/>
                <w:lang w:eastAsia="fi-FI"/>
              </w:rPr>
            </w:pPr>
            <w:r w:rsidRPr="0007702B">
              <w:rPr>
                <w:rFonts w:eastAsia="Times New Roman" w:cs="Arial"/>
                <w:b/>
                <w:bCs/>
                <w:color w:val="333333"/>
                <w:lang w:eastAsia="fi-FI"/>
              </w:rPr>
              <w:t>Co-defini</w:t>
            </w:r>
            <w:r w:rsidR="00C44817" w:rsidRPr="0007702B">
              <w:rPr>
                <w:rFonts w:eastAsia="Times New Roman" w:cs="Arial"/>
                <w:b/>
                <w:bCs/>
                <w:color w:val="333333"/>
                <w:lang w:eastAsia="fi-FI"/>
              </w:rPr>
              <w:t xml:space="preserve">ng a potential project with </w:t>
            </w:r>
            <w:r w:rsidRPr="0007702B">
              <w:rPr>
                <w:rFonts w:eastAsia="Times New Roman" w:cs="Arial"/>
                <w:b/>
                <w:bCs/>
                <w:color w:val="333333"/>
                <w:lang w:eastAsia="fi-FI"/>
              </w:rPr>
              <w:t>business</w:t>
            </w:r>
            <w:r w:rsidR="00C44817" w:rsidRPr="0007702B">
              <w:rPr>
                <w:rFonts w:eastAsia="Times New Roman" w:cs="Arial"/>
                <w:b/>
                <w:bCs/>
                <w:color w:val="333333"/>
                <w:lang w:eastAsia="fi-FI"/>
              </w:rPr>
              <w:t xml:space="preserve"> partners</w:t>
            </w:r>
            <w:r w:rsidRPr="0007702B">
              <w:rPr>
                <w:rFonts w:eastAsia="Times New Roman" w:cs="Arial"/>
                <w:b/>
                <w:bCs/>
                <w:color w:val="333333"/>
                <w:lang w:eastAsia="fi-FI"/>
              </w:rPr>
              <w:t>.</w:t>
            </w:r>
          </w:p>
          <w:p w14:paraId="1466C663" w14:textId="77777777" w:rsidR="00054593"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The business partner(s) will have much to offer when optimizing project design. Businesses can contribute to co-define a project through their expertise, information, know-how, technology, access to networks, planning tools and use of infrastructure and assets, </w:t>
            </w:r>
            <w:proofErr w:type="gramStart"/>
            <w:r w:rsidRPr="0007702B">
              <w:rPr>
                <w:rFonts w:eastAsia="Times New Roman" w:cs="Arial"/>
                <w:color w:val="333333"/>
                <w:lang w:eastAsia="fi-FI"/>
              </w:rPr>
              <w:t>governance</w:t>
            </w:r>
            <w:proofErr w:type="gramEnd"/>
            <w:r w:rsidRPr="0007702B">
              <w:rPr>
                <w:rFonts w:eastAsia="Times New Roman" w:cs="Arial"/>
                <w:color w:val="333333"/>
                <w:lang w:eastAsia="fi-FI"/>
              </w:rPr>
              <w:t xml:space="preserve"> and participation</w:t>
            </w:r>
            <w:r w:rsidR="00054593" w:rsidRPr="0007702B">
              <w:rPr>
                <w:rFonts w:eastAsia="Times New Roman" w:cs="Arial"/>
                <w:color w:val="333333"/>
                <w:lang w:eastAsia="fi-FI"/>
              </w:rPr>
              <w:t xml:space="preserve"> on the project board.</w:t>
            </w:r>
          </w:p>
          <w:p w14:paraId="6FF19728" w14:textId="77777777" w:rsidR="00054593" w:rsidRPr="0007702B" w:rsidRDefault="00054593" w:rsidP="00054593">
            <w:pPr>
              <w:pStyle w:val="ListParagraph"/>
              <w:shd w:val="clear" w:color="auto" w:fill="FFFFFF"/>
              <w:spacing w:before="100" w:beforeAutospacing="1" w:after="100" w:afterAutospacing="1" w:line="270" w:lineRule="atLeast"/>
              <w:ind w:firstLine="0"/>
              <w:rPr>
                <w:rFonts w:eastAsia="Times New Roman" w:cs="Arial"/>
                <w:color w:val="333333"/>
                <w:lang w:eastAsia="fi-FI"/>
              </w:rPr>
            </w:pPr>
          </w:p>
          <w:p w14:paraId="662B8FFB" w14:textId="77777777" w:rsidR="00256157" w:rsidRPr="0007702B"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333333"/>
                <w:lang w:eastAsia="fi-FI"/>
              </w:rPr>
            </w:pPr>
            <w:r w:rsidRPr="0007702B">
              <w:rPr>
                <w:rFonts w:eastAsia="Times New Roman" w:cs="Arial"/>
                <w:color w:val="333333"/>
                <w:lang w:eastAsia="fi-FI"/>
              </w:rPr>
              <w:t xml:space="preserve">The aim is to ensure that UNDP takes full advantage of private sector competencies, </w:t>
            </w:r>
            <w:proofErr w:type="gramStart"/>
            <w:r w:rsidRPr="0007702B">
              <w:rPr>
                <w:rFonts w:eastAsia="Times New Roman" w:cs="Arial"/>
                <w:color w:val="333333"/>
                <w:lang w:eastAsia="fi-FI"/>
              </w:rPr>
              <w:t>assets</w:t>
            </w:r>
            <w:proofErr w:type="gramEnd"/>
            <w:r w:rsidRPr="0007702B">
              <w:rPr>
                <w:rFonts w:eastAsia="Times New Roman" w:cs="Arial"/>
                <w:color w:val="333333"/>
                <w:lang w:eastAsia="fi-FI"/>
              </w:rPr>
              <w:t xml:space="preserve"> and resources in project definition. A project co-definition will encourage the private sector to maximize their resource contributions to the project in terms of funding, pro bono, in-kind </w:t>
            </w:r>
            <w:proofErr w:type="gramStart"/>
            <w:r w:rsidRPr="0007702B">
              <w:rPr>
                <w:rFonts w:eastAsia="Times New Roman" w:cs="Arial"/>
                <w:color w:val="333333"/>
                <w:lang w:eastAsia="fi-FI"/>
              </w:rPr>
              <w:t>contributions</w:t>
            </w:r>
            <w:proofErr w:type="gramEnd"/>
            <w:r w:rsidRPr="0007702B">
              <w:rPr>
                <w:rFonts w:eastAsia="Times New Roman" w:cs="Arial"/>
                <w:color w:val="333333"/>
                <w:lang w:eastAsia="fi-FI"/>
              </w:rPr>
              <w:t xml:space="preserve"> and employee volunteering. There may be situations where the private sector is not involved in the ‘co-definition’ but only contributes resources as nee</w:t>
            </w:r>
            <w:r w:rsidR="00104D37" w:rsidRPr="0007702B">
              <w:rPr>
                <w:rFonts w:eastAsia="Times New Roman" w:cs="Arial"/>
                <w:color w:val="333333"/>
                <w:lang w:eastAsia="fi-FI"/>
              </w:rPr>
              <w:t>ded/requested by UNDP.</w:t>
            </w:r>
          </w:p>
          <w:p w14:paraId="6D30AB1A" w14:textId="77777777" w:rsidR="00054593" w:rsidRPr="0007702B" w:rsidRDefault="00256157" w:rsidP="00054593">
            <w:pPr>
              <w:shd w:val="clear" w:color="auto" w:fill="FFFFFF"/>
              <w:spacing w:after="0" w:line="270" w:lineRule="atLeast"/>
              <w:ind w:right="55"/>
              <w:contextualSpacing/>
              <w:jc w:val="both"/>
              <w:rPr>
                <w:rFonts w:eastAsia="Times New Roman" w:cs="Arial"/>
                <w:b/>
                <w:bCs/>
                <w:color w:val="333333"/>
                <w:lang w:eastAsia="fi-FI"/>
              </w:rPr>
            </w:pPr>
            <w:r w:rsidRPr="0007702B">
              <w:rPr>
                <w:rFonts w:eastAsia="Times New Roman" w:cs="Arial"/>
                <w:b/>
                <w:bCs/>
                <w:color w:val="333333"/>
                <w:lang w:eastAsia="fi-FI"/>
              </w:rPr>
              <w:t>Additional information and tools</w:t>
            </w:r>
          </w:p>
          <w:p w14:paraId="30930860" w14:textId="77777777" w:rsidR="00054593" w:rsidRPr="0007702B" w:rsidRDefault="00054593" w:rsidP="00054593">
            <w:pPr>
              <w:shd w:val="clear" w:color="auto" w:fill="FFFFFF"/>
              <w:spacing w:after="0" w:line="270" w:lineRule="atLeast"/>
              <w:ind w:right="55"/>
              <w:contextualSpacing/>
              <w:jc w:val="both"/>
              <w:rPr>
                <w:rFonts w:eastAsia="Times New Roman" w:cs="Arial"/>
                <w:b/>
                <w:bCs/>
                <w:color w:val="333333"/>
                <w:u w:val="single"/>
                <w:lang w:eastAsia="fi-FI"/>
              </w:rPr>
            </w:pPr>
          </w:p>
          <w:p w14:paraId="6DCAC90D" w14:textId="42F051F2" w:rsidR="00883925" w:rsidRPr="0007702B" w:rsidRDefault="00857C16" w:rsidP="00FC1E2E">
            <w:pPr>
              <w:pStyle w:val="ListParagraph"/>
              <w:numPr>
                <w:ilvl w:val="0"/>
                <w:numId w:val="22"/>
              </w:numPr>
              <w:shd w:val="clear" w:color="auto" w:fill="FFFFFF"/>
              <w:spacing w:after="0" w:line="270" w:lineRule="atLeast"/>
              <w:rPr>
                <w:rStyle w:val="Hyperlink"/>
                <w:rFonts w:eastAsia="Times New Roman" w:cs="Arial"/>
                <w:b/>
                <w:bCs/>
                <w:lang w:eastAsia="fi-FI"/>
              </w:rPr>
            </w:pPr>
            <w:r w:rsidRPr="0007702B">
              <w:rPr>
                <w:rFonts w:eastAsia="Times New Roman" w:cs="Segoe UI"/>
                <w:bCs/>
                <w:color w:val="0070C0"/>
                <w:u w:val="single"/>
              </w:rPr>
              <w:fldChar w:fldCharType="begin"/>
            </w:r>
            <w:r w:rsidRPr="0007702B">
              <w:rPr>
                <w:rFonts w:eastAsia="Times New Roman" w:cs="Segoe UI"/>
                <w:bCs/>
                <w:color w:val="0070C0"/>
                <w:u w:val="single"/>
              </w:rPr>
              <w:instrText>HYPERLINK "https://undp.sharepoint.com/teams/BERA-Portal/Financing%20Agreements%20and%20Templates/Forms/AllItems.aspx"</w:instrText>
            </w:r>
            <w:r w:rsidRPr="0007702B">
              <w:rPr>
                <w:rFonts w:eastAsia="Times New Roman" w:cs="Segoe UI"/>
                <w:bCs/>
                <w:color w:val="0070C0"/>
                <w:u w:val="single"/>
              </w:rPr>
            </w:r>
            <w:r w:rsidRPr="0007702B">
              <w:rPr>
                <w:rFonts w:eastAsia="Times New Roman" w:cs="Segoe UI"/>
                <w:bCs/>
                <w:color w:val="0070C0"/>
                <w:u w:val="single"/>
              </w:rPr>
              <w:fldChar w:fldCharType="separate"/>
            </w:r>
            <w:r w:rsidR="00883925" w:rsidRPr="0007702B">
              <w:rPr>
                <w:rStyle w:val="Hyperlink"/>
                <w:rFonts w:eastAsia="Times New Roman" w:cs="Segoe UI"/>
                <w:bCs/>
              </w:rPr>
              <w:t>Financing Agreements and Templates</w:t>
            </w:r>
          </w:p>
          <w:p w14:paraId="2E81DD3A" w14:textId="5B4B263D" w:rsidR="00883925" w:rsidRPr="0007702B" w:rsidRDefault="00857C16" w:rsidP="00FC1E2E">
            <w:pPr>
              <w:pStyle w:val="ListParagraph"/>
              <w:numPr>
                <w:ilvl w:val="0"/>
                <w:numId w:val="22"/>
              </w:numPr>
              <w:shd w:val="clear" w:color="auto" w:fill="FFFFFF"/>
              <w:spacing w:after="0" w:line="270" w:lineRule="atLeast"/>
              <w:rPr>
                <w:rFonts w:eastAsia="Times New Roman" w:cs="Arial"/>
                <w:b/>
                <w:bCs/>
                <w:color w:val="0070C0"/>
                <w:u w:val="single"/>
                <w:lang w:eastAsia="fi-FI"/>
              </w:rPr>
            </w:pPr>
            <w:r w:rsidRPr="0007702B">
              <w:rPr>
                <w:rFonts w:eastAsia="Times New Roman" w:cs="Segoe UI"/>
                <w:bCs/>
                <w:color w:val="0070C0"/>
                <w:u w:val="single"/>
              </w:rPr>
              <w:fldChar w:fldCharType="end"/>
            </w:r>
            <w:hyperlink r:id="rId25" w:history="1">
              <w:r w:rsidR="00883925" w:rsidRPr="0007702B">
                <w:rPr>
                  <w:rFonts w:eastAsia="Times New Roman" w:cs="Segoe UI"/>
                  <w:bCs/>
                  <w:color w:val="0070C0"/>
                  <w:u w:val="single"/>
                </w:rPr>
                <w:t>Memorandum of Understanding</w:t>
              </w:r>
            </w:hyperlink>
          </w:p>
          <w:p w14:paraId="0938F648" w14:textId="466CFEF9" w:rsidR="00883925" w:rsidRPr="0007702B" w:rsidRDefault="009270F4" w:rsidP="00FC1E2E">
            <w:pPr>
              <w:pStyle w:val="ListParagraph"/>
              <w:numPr>
                <w:ilvl w:val="0"/>
                <w:numId w:val="22"/>
              </w:numPr>
              <w:shd w:val="clear" w:color="auto" w:fill="FFFFFF"/>
              <w:spacing w:after="0" w:line="270" w:lineRule="atLeast"/>
              <w:rPr>
                <w:rStyle w:val="Hyperlink"/>
                <w:rFonts w:eastAsia="Times New Roman" w:cs="Arial"/>
                <w:b/>
                <w:bCs/>
                <w:lang w:eastAsia="fi-FI"/>
              </w:rPr>
            </w:pPr>
            <w:r w:rsidRPr="0007702B">
              <w:fldChar w:fldCharType="begin"/>
            </w:r>
            <w:r w:rsidR="00950360" w:rsidRPr="0007702B">
              <w:instrText>HYPERLINK "https://undp.sharepoint.com/teams/BERA-Portal/MOUTemplatesLibrary/Forms/AllItems.aspx"</w:instrText>
            </w:r>
            <w:r w:rsidRPr="0007702B">
              <w:fldChar w:fldCharType="separate"/>
            </w:r>
            <w:r w:rsidR="00883925" w:rsidRPr="0007702B">
              <w:rPr>
                <w:rStyle w:val="Hyperlink"/>
              </w:rPr>
              <w:t xml:space="preserve">MoU </w:t>
            </w:r>
            <w:r w:rsidR="007765BD" w:rsidRPr="0007702B">
              <w:rPr>
                <w:rStyle w:val="Hyperlink"/>
              </w:rPr>
              <w:t>Templates</w:t>
            </w:r>
            <w:r w:rsidR="00883925" w:rsidRPr="0007702B">
              <w:rPr>
                <w:rStyle w:val="Hyperlink"/>
              </w:rPr>
              <w:t xml:space="preserve"> Library</w:t>
            </w:r>
          </w:p>
          <w:p w14:paraId="51D1C5FC" w14:textId="6290DB80" w:rsidR="00F44E73" w:rsidRPr="0007702B" w:rsidRDefault="009270F4" w:rsidP="00FC1E2E">
            <w:pPr>
              <w:pStyle w:val="ListParagraph"/>
              <w:numPr>
                <w:ilvl w:val="0"/>
                <w:numId w:val="22"/>
              </w:numPr>
              <w:shd w:val="clear" w:color="auto" w:fill="FFFFFF"/>
              <w:spacing w:after="0" w:line="270" w:lineRule="atLeast"/>
              <w:rPr>
                <w:rFonts w:eastAsia="Times New Roman" w:cs="Arial"/>
                <w:bCs/>
                <w:color w:val="0070C0"/>
                <w:lang w:eastAsia="fi-FI"/>
              </w:rPr>
            </w:pPr>
            <w:r w:rsidRPr="0007702B">
              <w:fldChar w:fldCharType="end"/>
            </w:r>
            <w:hyperlink r:id="rId26" w:history="1">
              <w:r w:rsidR="00F44E73" w:rsidRPr="0007702B">
                <w:rPr>
                  <w:rStyle w:val="Hyperlink"/>
                </w:rPr>
                <w:t xml:space="preserve">Private </w:t>
              </w:r>
              <w:r w:rsidR="00044F6D" w:rsidRPr="0007702B">
                <w:rPr>
                  <w:rStyle w:val="Hyperlink"/>
                  <w:rFonts w:eastAsia="Times New Roman" w:cs="Arial"/>
                  <w:bCs/>
                  <w:lang w:eastAsia="fi-FI"/>
                </w:rPr>
                <w:t>S</w:t>
              </w:r>
              <w:r w:rsidR="00F44E73" w:rsidRPr="0007702B">
                <w:rPr>
                  <w:rStyle w:val="Hyperlink"/>
                </w:rPr>
                <w:t>ecto</w:t>
              </w:r>
              <w:r w:rsidR="00235FF5" w:rsidRPr="0007702B">
                <w:rPr>
                  <w:rStyle w:val="Hyperlink"/>
                  <w:rFonts w:eastAsia="Times New Roman" w:cs="Arial"/>
                  <w:bCs/>
                  <w:lang w:eastAsia="fi-FI"/>
                </w:rPr>
                <w:t>r Partnerships</w:t>
              </w:r>
            </w:hyperlink>
            <w:r w:rsidR="00235FF5" w:rsidRPr="0007702B">
              <w:rPr>
                <w:rFonts w:eastAsia="Times New Roman" w:cs="Arial"/>
                <w:bCs/>
                <w:color w:val="0070C0"/>
                <w:lang w:eastAsia="fi-FI"/>
              </w:rPr>
              <w:t xml:space="preserve"> </w:t>
            </w:r>
          </w:p>
          <w:p w14:paraId="316F37B5" w14:textId="0B9676A0" w:rsidR="006F6BB3" w:rsidRPr="0007702B" w:rsidRDefault="00EC1293" w:rsidP="00FC1E2E">
            <w:pPr>
              <w:pStyle w:val="ListParagraph"/>
              <w:numPr>
                <w:ilvl w:val="0"/>
                <w:numId w:val="22"/>
              </w:numPr>
              <w:shd w:val="clear" w:color="auto" w:fill="FFFFFF"/>
              <w:spacing w:after="0" w:line="270" w:lineRule="atLeast"/>
              <w:rPr>
                <w:rFonts w:eastAsia="Times New Roman" w:cs="Arial"/>
                <w:bCs/>
                <w:color w:val="0070C0"/>
                <w:lang w:eastAsia="fi-FI"/>
              </w:rPr>
            </w:pPr>
            <w:hyperlink r:id="rId27" w:tgtFrame="_blank" w:tooltip="https://undp.sharepoint.com/teams/psrm" w:history="1">
              <w:r w:rsidR="00015350" w:rsidRPr="0007702B">
                <w:rPr>
                  <w:rStyle w:val="Hyperlink"/>
                  <w:rFonts w:eastAsia="Times New Roman" w:cs="Arial"/>
                  <w:bCs/>
                  <w:lang w:eastAsia="fi-FI"/>
                </w:rPr>
                <w:t>Private Sector Resource Mobilization Toolkit</w:t>
              </w:r>
            </w:hyperlink>
          </w:p>
          <w:p w14:paraId="0C4D63D9" w14:textId="501DAFB8" w:rsidR="00D10841" w:rsidRPr="00D10841" w:rsidRDefault="00D10841" w:rsidP="00C80720">
            <w:pPr>
              <w:pStyle w:val="ListParagraph"/>
              <w:ind w:left="1080" w:firstLine="0"/>
              <w:rPr>
                <w:b/>
                <w:bCs/>
              </w:rPr>
            </w:pPr>
          </w:p>
        </w:tc>
      </w:tr>
    </w:tbl>
    <w:p w14:paraId="77360DBC" w14:textId="2A5FFBD5" w:rsidR="00C04D69" w:rsidRPr="000C3B9E" w:rsidRDefault="00C04D69" w:rsidP="00B36788">
      <w:pPr>
        <w:shd w:val="clear" w:color="auto" w:fill="FFFFFF"/>
        <w:spacing w:after="0" w:line="270" w:lineRule="atLeast"/>
        <w:jc w:val="both"/>
        <w:rPr>
          <w:rFonts w:eastAsia="Calibri" w:cs="Times New Roman"/>
          <w:b/>
          <w:bCs/>
          <w:color w:val="333333"/>
          <w:lang w:eastAsia="fi-FI"/>
        </w:rPr>
      </w:pPr>
    </w:p>
    <w:p w14:paraId="5F015527" w14:textId="77777777" w:rsidR="00C33D2A" w:rsidRPr="000C3B9E" w:rsidRDefault="00C33D2A" w:rsidP="00B36788">
      <w:pPr>
        <w:shd w:val="clear" w:color="auto" w:fill="FFFFFF"/>
        <w:spacing w:after="0" w:line="270" w:lineRule="atLeast"/>
        <w:jc w:val="both"/>
        <w:rPr>
          <w:rFonts w:eastAsia="Calibri" w:cs="Times New Roman"/>
          <w:b/>
          <w:bCs/>
          <w:color w:val="333333"/>
          <w:lang w:eastAsia="fi-FI"/>
        </w:rPr>
      </w:pPr>
    </w:p>
    <w:p w14:paraId="49738ED5" w14:textId="39D09A34" w:rsidR="00883925" w:rsidRPr="000C3B9E" w:rsidRDefault="00C33D2A" w:rsidP="00B36788">
      <w:pPr>
        <w:shd w:val="clear" w:color="auto" w:fill="FFFFFF"/>
        <w:spacing w:after="0" w:line="270" w:lineRule="atLeast"/>
        <w:jc w:val="both"/>
        <w:rPr>
          <w:rFonts w:eastAsia="Calibri" w:cs="Times New Roman"/>
          <w:b/>
          <w:bCs/>
          <w:color w:val="333333"/>
          <w:lang w:eastAsia="fi-FI"/>
        </w:rPr>
      </w:pPr>
      <w:r w:rsidRPr="000C3B9E">
        <w:rPr>
          <w:rFonts w:eastAsia="Calibri" w:cs="Times New Roman"/>
          <w:b/>
          <w:bCs/>
          <w:color w:val="333333"/>
          <w:lang w:eastAsia="fi-FI"/>
        </w:rPr>
        <w:t>MONITORING PARTNERSHIPS WITH THE PRIVATE SECTOR</w:t>
      </w:r>
    </w:p>
    <w:p w14:paraId="0AD158A4" w14:textId="77777777" w:rsidR="00D94566" w:rsidRPr="000C3B9E" w:rsidRDefault="00D94566" w:rsidP="00B36788">
      <w:pPr>
        <w:shd w:val="clear" w:color="auto" w:fill="FFFFFF"/>
        <w:spacing w:after="0" w:line="270" w:lineRule="atLeast"/>
        <w:jc w:val="both"/>
        <w:rPr>
          <w:rFonts w:eastAsia="Calibri" w:cs="Times New Roman"/>
          <w:b/>
          <w:bCs/>
          <w:color w:val="333333"/>
          <w:lang w:eastAsia="fi-FI"/>
        </w:rPr>
      </w:pPr>
    </w:p>
    <w:p w14:paraId="3823EEBF" w14:textId="77777777" w:rsidR="00883925" w:rsidRPr="0028430D" w:rsidRDefault="00883925" w:rsidP="004F4E07">
      <w:pPr>
        <w:pStyle w:val="ListParagraph"/>
        <w:numPr>
          <w:ilvl w:val="0"/>
          <w:numId w:val="4"/>
        </w:numPr>
        <w:shd w:val="clear" w:color="auto" w:fill="FFFFFF"/>
        <w:spacing w:after="0" w:line="270" w:lineRule="atLeast"/>
        <w:rPr>
          <w:rFonts w:cs="Times New Roman"/>
          <w:color w:val="333333"/>
          <w:lang w:eastAsia="fi-FI"/>
        </w:rPr>
      </w:pPr>
      <w:r w:rsidRPr="000C3B9E">
        <w:rPr>
          <w:rFonts w:cs="Times New Roman"/>
          <w:color w:val="333333"/>
          <w:lang w:eastAsia="fi-FI"/>
        </w:rPr>
        <w:t xml:space="preserve">Programme monitoring is a continuous function to provide the </w:t>
      </w:r>
      <w:proofErr w:type="spellStart"/>
      <w:r w:rsidRPr="000C3B9E">
        <w:rPr>
          <w:rFonts w:cs="Times New Roman"/>
          <w:color w:val="333333"/>
          <w:lang w:eastAsia="fi-FI"/>
        </w:rPr>
        <w:t>programme’s</w:t>
      </w:r>
      <w:proofErr w:type="spellEnd"/>
      <w:r w:rsidRPr="000C3B9E">
        <w:rPr>
          <w:rFonts w:cs="Times New Roman"/>
          <w:color w:val="333333"/>
          <w:lang w:eastAsia="fi-FI"/>
        </w:rPr>
        <w:t xml:space="preserve"> main stakeholders with </w:t>
      </w:r>
      <w:r w:rsidRPr="0028430D">
        <w:rPr>
          <w:rFonts w:cs="Times New Roman"/>
          <w:color w:val="333333"/>
          <w:lang w:eastAsia="fi-FI"/>
        </w:rPr>
        <w:t xml:space="preserve">early indications of the quality, </w:t>
      </w:r>
      <w:proofErr w:type="gramStart"/>
      <w:r w:rsidRPr="0028430D">
        <w:rPr>
          <w:rFonts w:cs="Times New Roman"/>
          <w:color w:val="333333"/>
          <w:lang w:eastAsia="fi-FI"/>
        </w:rPr>
        <w:t>quantity</w:t>
      </w:r>
      <w:proofErr w:type="gramEnd"/>
      <w:r w:rsidRPr="0028430D">
        <w:rPr>
          <w:rFonts w:cs="Times New Roman"/>
          <w:color w:val="333333"/>
          <w:lang w:eastAsia="fi-FI"/>
        </w:rPr>
        <w:t xml:space="preserve"> and timeliness of progress towards delivering intended results.  </w:t>
      </w:r>
    </w:p>
    <w:p w14:paraId="27EC97A9" w14:textId="77777777" w:rsidR="00C04D69" w:rsidRPr="005A4B73" w:rsidRDefault="00C04D69" w:rsidP="00B36788">
      <w:pPr>
        <w:shd w:val="clear" w:color="auto" w:fill="FFFFFF"/>
        <w:spacing w:after="0" w:line="270" w:lineRule="atLeast"/>
        <w:jc w:val="both"/>
        <w:rPr>
          <w:rFonts w:eastAsia="Calibri" w:cs="Times New Roman"/>
          <w:color w:val="333333"/>
          <w:lang w:eastAsia="fi-FI"/>
        </w:rPr>
      </w:pPr>
    </w:p>
    <w:p w14:paraId="54DFFF44" w14:textId="75154116" w:rsidR="00883925" w:rsidRPr="005A4B73" w:rsidRDefault="00883925" w:rsidP="004F4E07">
      <w:pPr>
        <w:pStyle w:val="ListParagraph"/>
        <w:numPr>
          <w:ilvl w:val="0"/>
          <w:numId w:val="4"/>
        </w:numPr>
        <w:shd w:val="clear" w:color="auto" w:fill="FFFFFF"/>
        <w:spacing w:after="0" w:line="270" w:lineRule="atLeast"/>
      </w:pPr>
      <w:r w:rsidRPr="00054593">
        <w:rPr>
          <w:rFonts w:cs="Times New Roman"/>
          <w:color w:val="333333"/>
          <w:lang w:eastAsia="fi-FI"/>
        </w:rPr>
        <w:t xml:space="preserve">Progress monitoring of private sector partnerships should be guided by policy tools and mechanisms outlined in the </w:t>
      </w:r>
      <w:hyperlink r:id="rId28" w:history="1">
        <w:r w:rsidR="0038495F" w:rsidRPr="0038495F">
          <w:rPr>
            <w:rStyle w:val="Hyperlink"/>
            <w:rFonts w:cs="Times New Roman"/>
            <w:lang w:eastAsia="fi-FI"/>
          </w:rPr>
          <w:t xml:space="preserve">Programme and Project Management </w:t>
        </w:r>
        <w:r w:rsidR="006466DA">
          <w:rPr>
            <w:rStyle w:val="Hyperlink"/>
            <w:rFonts w:cs="Times New Roman"/>
            <w:lang w:eastAsia="fi-FI"/>
          </w:rPr>
          <w:t>policy area</w:t>
        </w:r>
        <w:r w:rsidR="0038495F" w:rsidRPr="0038495F">
          <w:rPr>
            <w:rStyle w:val="Hyperlink"/>
            <w:rFonts w:cs="Times New Roman"/>
            <w:lang w:eastAsia="fi-FI"/>
          </w:rPr>
          <w:t xml:space="preserve"> of the POPP</w:t>
        </w:r>
        <w:r w:rsidRPr="0038495F">
          <w:rPr>
            <w:rStyle w:val="Hyperlink"/>
            <w:rFonts w:cs="Times New Roman"/>
          </w:rPr>
          <w:t>.</w:t>
        </w:r>
      </w:hyperlink>
    </w:p>
    <w:sectPr w:rsidR="00883925" w:rsidRPr="005A4B73">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8B7A" w14:textId="77777777" w:rsidR="000C357F" w:rsidRDefault="000C357F" w:rsidP="00104339">
      <w:pPr>
        <w:spacing w:after="0" w:line="240" w:lineRule="auto"/>
      </w:pPr>
      <w:r>
        <w:separator/>
      </w:r>
    </w:p>
  </w:endnote>
  <w:endnote w:type="continuationSeparator" w:id="0">
    <w:p w14:paraId="46A6749A" w14:textId="77777777" w:rsidR="000C357F" w:rsidRDefault="000C357F" w:rsidP="00104339">
      <w:pPr>
        <w:spacing w:after="0" w:line="240" w:lineRule="auto"/>
      </w:pPr>
      <w:r>
        <w:continuationSeparator/>
      </w:r>
    </w:p>
  </w:endnote>
  <w:endnote w:type="continuationNotice" w:id="1">
    <w:p w14:paraId="33DAE7C8" w14:textId="77777777" w:rsidR="000C357F" w:rsidRDefault="000C3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F227" w14:textId="27A93E8E" w:rsidR="00B6712E" w:rsidRDefault="00242C8D" w:rsidP="00D6041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D60415">
      <w:t xml:space="preserve">                                               </w:t>
    </w:r>
    <w:r>
      <w:t>Effective Date:</w:t>
    </w:r>
    <w:r w:rsidR="00D60415">
      <w:t xml:space="preserve"> 31/12/2016</w:t>
    </w:r>
    <w:r>
      <w:t xml:space="preserve"> </w:t>
    </w:r>
    <w:r w:rsidR="00D60415">
      <w:t xml:space="preserve">                                              Version </w:t>
    </w:r>
    <w:r w:rsidR="005C4CE2">
      <w:t>#</w:t>
    </w:r>
    <w:r w:rsidR="009D5BCB">
      <w:t>:</w:t>
    </w:r>
    <w:r w:rsidR="00D60415">
      <w:t xml:space="preserve"> </w:t>
    </w:r>
    <w:r w:rsidR="00C964AB">
      <w:t>3</w:t>
    </w:r>
    <w:r w:rsidR="00D60415">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82E8" w14:textId="77777777" w:rsidR="000C357F" w:rsidRDefault="000C357F" w:rsidP="00104339">
      <w:pPr>
        <w:spacing w:after="0" w:line="240" w:lineRule="auto"/>
      </w:pPr>
      <w:r>
        <w:separator/>
      </w:r>
    </w:p>
  </w:footnote>
  <w:footnote w:type="continuationSeparator" w:id="0">
    <w:p w14:paraId="061C3EA9" w14:textId="77777777" w:rsidR="000C357F" w:rsidRDefault="000C357F" w:rsidP="00104339">
      <w:pPr>
        <w:spacing w:after="0" w:line="240" w:lineRule="auto"/>
      </w:pPr>
      <w:r>
        <w:continuationSeparator/>
      </w:r>
    </w:p>
  </w:footnote>
  <w:footnote w:type="continuationNotice" w:id="1">
    <w:p w14:paraId="062289B0" w14:textId="77777777" w:rsidR="000C357F" w:rsidRDefault="000C357F">
      <w:pPr>
        <w:spacing w:after="0" w:line="240" w:lineRule="auto"/>
      </w:pPr>
    </w:p>
  </w:footnote>
  <w:footnote w:id="2">
    <w:p w14:paraId="713D771E" w14:textId="77777777" w:rsidR="00152893" w:rsidRDefault="00152893" w:rsidP="00C964AB">
      <w:pPr>
        <w:pStyle w:val="FootnoteText"/>
        <w:jc w:val="both"/>
      </w:pPr>
      <w:r>
        <w:rPr>
          <w:rStyle w:val="FootnoteReference"/>
        </w:rPr>
        <w:t>[1]</w:t>
      </w:r>
      <w:r>
        <w:t xml:space="preserve"> </w:t>
      </w:r>
      <w:r>
        <w:rPr>
          <w:sz w:val="18"/>
          <w:szCs w:val="18"/>
        </w:rPr>
        <w:t>Base of the Economic Pyramid (or BOP) is used to describe men and women who are low-income or who lack access to basic goods and services. The low-income segment is commonly considered to include people earning up to $8/day in purchasing power parity terms (PPP). Setting the maximum in PPP terms adjusts the real figure to equate the relative purchasing powers amongst different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DB0F" w14:textId="41EC0C6B" w:rsidR="00F627EF" w:rsidRDefault="00F627EF" w:rsidP="00F627EF">
    <w:pPr>
      <w:pStyle w:val="Header"/>
      <w:ind w:left="8640"/>
    </w:pPr>
    <w:r>
      <w:rPr>
        <w:noProof/>
      </w:rPr>
      <w:drawing>
        <wp:inline distT="0" distB="0" distL="0" distR="0" wp14:anchorId="17A53858" wp14:editId="5E93D961">
          <wp:extent cx="498403" cy="759156"/>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8446" cy="804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53"/>
    <w:multiLevelType w:val="hybridMultilevel"/>
    <w:tmpl w:val="7F009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E7991"/>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0091"/>
    <w:multiLevelType w:val="hybridMultilevel"/>
    <w:tmpl w:val="DF26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2359"/>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23128"/>
    <w:multiLevelType w:val="hybridMultilevel"/>
    <w:tmpl w:val="23BC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3F85"/>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4DD5"/>
    <w:multiLevelType w:val="hybridMultilevel"/>
    <w:tmpl w:val="7756B04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8895D44"/>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A7E25"/>
    <w:multiLevelType w:val="hybridMultilevel"/>
    <w:tmpl w:val="3E62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42279F"/>
    <w:multiLevelType w:val="hybridMultilevel"/>
    <w:tmpl w:val="85BE6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017A8"/>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D4289"/>
    <w:multiLevelType w:val="hybridMultilevel"/>
    <w:tmpl w:val="862A5E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543E70"/>
    <w:multiLevelType w:val="hybridMultilevel"/>
    <w:tmpl w:val="3BC8C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727BD7"/>
    <w:multiLevelType w:val="hybridMultilevel"/>
    <w:tmpl w:val="84703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8B199C"/>
    <w:multiLevelType w:val="hybridMultilevel"/>
    <w:tmpl w:val="46F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E5AEF"/>
    <w:multiLevelType w:val="hybridMultilevel"/>
    <w:tmpl w:val="7CB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75026"/>
    <w:multiLevelType w:val="multilevel"/>
    <w:tmpl w:val="1E9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66A6B"/>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15A8D"/>
    <w:multiLevelType w:val="hybridMultilevel"/>
    <w:tmpl w:val="900E12FC"/>
    <w:lvl w:ilvl="0" w:tplc="8D321908">
      <w:start w:val="1"/>
      <w:numFmt w:val="bullet"/>
      <w:lvlText w:val=""/>
      <w:lvlJc w:val="left"/>
      <w:pPr>
        <w:ind w:left="1080" w:hanging="360"/>
      </w:pPr>
      <w:rPr>
        <w:rFonts w:ascii="Symbol" w:hAnsi="Symbol" w:hint="default"/>
        <w:b w:val="0"/>
        <w:color w:val="404040" w:themeColor="text1" w:themeTint="BF"/>
        <w:lang w:val="fi-F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D54E25"/>
    <w:multiLevelType w:val="hybridMultilevel"/>
    <w:tmpl w:val="635E9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361BCC"/>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31D72"/>
    <w:multiLevelType w:val="hybridMultilevel"/>
    <w:tmpl w:val="8CCC10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B207F0"/>
    <w:multiLevelType w:val="hybridMultilevel"/>
    <w:tmpl w:val="5AEC85F4"/>
    <w:lvl w:ilvl="0" w:tplc="A34E67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8753337">
    <w:abstractNumId w:val="15"/>
  </w:num>
  <w:num w:numId="2" w16cid:durableId="1457526426">
    <w:abstractNumId w:val="14"/>
  </w:num>
  <w:num w:numId="3" w16cid:durableId="2084637400">
    <w:abstractNumId w:val="7"/>
  </w:num>
  <w:num w:numId="4" w16cid:durableId="425922142">
    <w:abstractNumId w:val="5"/>
  </w:num>
  <w:num w:numId="5" w16cid:durableId="185483974">
    <w:abstractNumId w:val="6"/>
  </w:num>
  <w:num w:numId="6" w16cid:durableId="1015300726">
    <w:abstractNumId w:val="11"/>
  </w:num>
  <w:num w:numId="7" w16cid:durableId="1461218098">
    <w:abstractNumId w:val="21"/>
  </w:num>
  <w:num w:numId="8" w16cid:durableId="1364818573">
    <w:abstractNumId w:val="9"/>
  </w:num>
  <w:num w:numId="9" w16cid:durableId="722290863">
    <w:abstractNumId w:val="22"/>
  </w:num>
  <w:num w:numId="10" w16cid:durableId="1132669361">
    <w:abstractNumId w:val="13"/>
  </w:num>
  <w:num w:numId="11" w16cid:durableId="188225448">
    <w:abstractNumId w:val="2"/>
  </w:num>
  <w:num w:numId="12" w16cid:durableId="1842163671">
    <w:abstractNumId w:val="1"/>
  </w:num>
  <w:num w:numId="13" w16cid:durableId="617221193">
    <w:abstractNumId w:val="4"/>
  </w:num>
  <w:num w:numId="14" w16cid:durableId="1080173872">
    <w:abstractNumId w:val="19"/>
  </w:num>
  <w:num w:numId="15" w16cid:durableId="583613741">
    <w:abstractNumId w:val="16"/>
  </w:num>
  <w:num w:numId="16" w16cid:durableId="847446166">
    <w:abstractNumId w:val="8"/>
  </w:num>
  <w:num w:numId="17" w16cid:durableId="1523590825">
    <w:abstractNumId w:val="17"/>
  </w:num>
  <w:num w:numId="18" w16cid:durableId="176891682">
    <w:abstractNumId w:val="0"/>
  </w:num>
  <w:num w:numId="19" w16cid:durableId="33241021">
    <w:abstractNumId w:val="10"/>
  </w:num>
  <w:num w:numId="20" w16cid:durableId="1325359323">
    <w:abstractNumId w:val="20"/>
  </w:num>
  <w:num w:numId="21" w16cid:durableId="1863351844">
    <w:abstractNumId w:val="3"/>
  </w:num>
  <w:num w:numId="22" w16cid:durableId="1136608019">
    <w:abstractNumId w:val="18"/>
  </w:num>
  <w:num w:numId="23" w16cid:durableId="1835291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D"/>
    <w:rsid w:val="00000B70"/>
    <w:rsid w:val="000031F9"/>
    <w:rsid w:val="0000693A"/>
    <w:rsid w:val="00015350"/>
    <w:rsid w:val="00022F66"/>
    <w:rsid w:val="00025289"/>
    <w:rsid w:val="0003379F"/>
    <w:rsid w:val="00040DDA"/>
    <w:rsid w:val="00044474"/>
    <w:rsid w:val="00044F6D"/>
    <w:rsid w:val="00054593"/>
    <w:rsid w:val="00055CEB"/>
    <w:rsid w:val="00055FDB"/>
    <w:rsid w:val="00056407"/>
    <w:rsid w:val="00056CDC"/>
    <w:rsid w:val="00060354"/>
    <w:rsid w:val="00060C3E"/>
    <w:rsid w:val="00073187"/>
    <w:rsid w:val="0007408C"/>
    <w:rsid w:val="00075E13"/>
    <w:rsid w:val="0007702B"/>
    <w:rsid w:val="00083B7C"/>
    <w:rsid w:val="00085B7A"/>
    <w:rsid w:val="00086684"/>
    <w:rsid w:val="00093337"/>
    <w:rsid w:val="000934E8"/>
    <w:rsid w:val="00094B69"/>
    <w:rsid w:val="00095F6E"/>
    <w:rsid w:val="000A2B9C"/>
    <w:rsid w:val="000B1ECF"/>
    <w:rsid w:val="000B3ACF"/>
    <w:rsid w:val="000C11DC"/>
    <w:rsid w:val="000C3544"/>
    <w:rsid w:val="000C357F"/>
    <w:rsid w:val="000C36BC"/>
    <w:rsid w:val="000C3B9E"/>
    <w:rsid w:val="000D0C9D"/>
    <w:rsid w:val="000D690A"/>
    <w:rsid w:val="000D7F0D"/>
    <w:rsid w:val="000E3611"/>
    <w:rsid w:val="000E375A"/>
    <w:rsid w:val="000E501E"/>
    <w:rsid w:val="000E5ADF"/>
    <w:rsid w:val="000E5F28"/>
    <w:rsid w:val="000E71CE"/>
    <w:rsid w:val="000F12D8"/>
    <w:rsid w:val="0010157E"/>
    <w:rsid w:val="00102847"/>
    <w:rsid w:val="00104339"/>
    <w:rsid w:val="00104D37"/>
    <w:rsid w:val="001125E8"/>
    <w:rsid w:val="001166D2"/>
    <w:rsid w:val="00117A4A"/>
    <w:rsid w:val="00133D17"/>
    <w:rsid w:val="00135A5E"/>
    <w:rsid w:val="001364E9"/>
    <w:rsid w:val="00140162"/>
    <w:rsid w:val="00141AF4"/>
    <w:rsid w:val="00146727"/>
    <w:rsid w:val="00150FE2"/>
    <w:rsid w:val="0015142E"/>
    <w:rsid w:val="00152893"/>
    <w:rsid w:val="001546CA"/>
    <w:rsid w:val="00160C91"/>
    <w:rsid w:val="00173521"/>
    <w:rsid w:val="0017450C"/>
    <w:rsid w:val="00181884"/>
    <w:rsid w:val="00181F9B"/>
    <w:rsid w:val="0018658C"/>
    <w:rsid w:val="00190E85"/>
    <w:rsid w:val="001960F6"/>
    <w:rsid w:val="001A0927"/>
    <w:rsid w:val="001A73A6"/>
    <w:rsid w:val="001B0EDF"/>
    <w:rsid w:val="001B2E55"/>
    <w:rsid w:val="001B7402"/>
    <w:rsid w:val="001D5CCF"/>
    <w:rsid w:val="001E1485"/>
    <w:rsid w:val="001F103D"/>
    <w:rsid w:val="001F66BB"/>
    <w:rsid w:val="001F75CB"/>
    <w:rsid w:val="00203558"/>
    <w:rsid w:val="00206B96"/>
    <w:rsid w:val="00210526"/>
    <w:rsid w:val="00217E84"/>
    <w:rsid w:val="0022392C"/>
    <w:rsid w:val="00223C70"/>
    <w:rsid w:val="00224185"/>
    <w:rsid w:val="002246A5"/>
    <w:rsid w:val="002249CF"/>
    <w:rsid w:val="00224BB9"/>
    <w:rsid w:val="002256FA"/>
    <w:rsid w:val="00225726"/>
    <w:rsid w:val="00225E01"/>
    <w:rsid w:val="00235FF5"/>
    <w:rsid w:val="00236029"/>
    <w:rsid w:val="00242C8D"/>
    <w:rsid w:val="0024301B"/>
    <w:rsid w:val="00243155"/>
    <w:rsid w:val="00251E8A"/>
    <w:rsid w:val="00256157"/>
    <w:rsid w:val="00260B25"/>
    <w:rsid w:val="00262A99"/>
    <w:rsid w:val="00262F7B"/>
    <w:rsid w:val="002734C0"/>
    <w:rsid w:val="0027732C"/>
    <w:rsid w:val="00284206"/>
    <w:rsid w:val="0028430D"/>
    <w:rsid w:val="0028645B"/>
    <w:rsid w:val="00291B88"/>
    <w:rsid w:val="002940E7"/>
    <w:rsid w:val="002A10A3"/>
    <w:rsid w:val="002A3DF5"/>
    <w:rsid w:val="002A6547"/>
    <w:rsid w:val="002B3F4F"/>
    <w:rsid w:val="002C7943"/>
    <w:rsid w:val="002D00FB"/>
    <w:rsid w:val="002D0154"/>
    <w:rsid w:val="002D0DC3"/>
    <w:rsid w:val="002D1276"/>
    <w:rsid w:val="002D1BA5"/>
    <w:rsid w:val="002D782B"/>
    <w:rsid w:val="002E011F"/>
    <w:rsid w:val="002E2C09"/>
    <w:rsid w:val="002E3B11"/>
    <w:rsid w:val="002E49F3"/>
    <w:rsid w:val="002E6B0C"/>
    <w:rsid w:val="002F5E1D"/>
    <w:rsid w:val="0030191A"/>
    <w:rsid w:val="003112D6"/>
    <w:rsid w:val="00312A49"/>
    <w:rsid w:val="00313C52"/>
    <w:rsid w:val="0031734D"/>
    <w:rsid w:val="003265A4"/>
    <w:rsid w:val="00327E5C"/>
    <w:rsid w:val="00332AE0"/>
    <w:rsid w:val="00334E6C"/>
    <w:rsid w:val="003350D3"/>
    <w:rsid w:val="00335A95"/>
    <w:rsid w:val="00351DC8"/>
    <w:rsid w:val="00352165"/>
    <w:rsid w:val="00360E47"/>
    <w:rsid w:val="00363A8F"/>
    <w:rsid w:val="00366BC8"/>
    <w:rsid w:val="00372185"/>
    <w:rsid w:val="0037512C"/>
    <w:rsid w:val="0038495F"/>
    <w:rsid w:val="003859C4"/>
    <w:rsid w:val="003A4AB2"/>
    <w:rsid w:val="003A6943"/>
    <w:rsid w:val="003A6F76"/>
    <w:rsid w:val="003A7E59"/>
    <w:rsid w:val="003B29D0"/>
    <w:rsid w:val="003B449E"/>
    <w:rsid w:val="003B4DD8"/>
    <w:rsid w:val="003B681C"/>
    <w:rsid w:val="003C3E46"/>
    <w:rsid w:val="003C4DC1"/>
    <w:rsid w:val="003D776A"/>
    <w:rsid w:val="003E198B"/>
    <w:rsid w:val="003F2A0C"/>
    <w:rsid w:val="003F3D03"/>
    <w:rsid w:val="00401678"/>
    <w:rsid w:val="00410F76"/>
    <w:rsid w:val="00414353"/>
    <w:rsid w:val="00415D68"/>
    <w:rsid w:val="00434A2A"/>
    <w:rsid w:val="00440770"/>
    <w:rsid w:val="00440D07"/>
    <w:rsid w:val="0044139B"/>
    <w:rsid w:val="00442CBE"/>
    <w:rsid w:val="00443A9F"/>
    <w:rsid w:val="00444C00"/>
    <w:rsid w:val="0044774D"/>
    <w:rsid w:val="0046281F"/>
    <w:rsid w:val="00464897"/>
    <w:rsid w:val="0046528C"/>
    <w:rsid w:val="004709EE"/>
    <w:rsid w:val="0047402E"/>
    <w:rsid w:val="004749E5"/>
    <w:rsid w:val="00485C49"/>
    <w:rsid w:val="00493107"/>
    <w:rsid w:val="004A3645"/>
    <w:rsid w:val="004B09D3"/>
    <w:rsid w:val="004B309C"/>
    <w:rsid w:val="004B5AB8"/>
    <w:rsid w:val="004B5FF0"/>
    <w:rsid w:val="004C40E3"/>
    <w:rsid w:val="004E5EA2"/>
    <w:rsid w:val="004F4E07"/>
    <w:rsid w:val="005011D0"/>
    <w:rsid w:val="00512C30"/>
    <w:rsid w:val="00514D88"/>
    <w:rsid w:val="005155DA"/>
    <w:rsid w:val="00521DA0"/>
    <w:rsid w:val="0052321D"/>
    <w:rsid w:val="005436ED"/>
    <w:rsid w:val="0054451B"/>
    <w:rsid w:val="00551F87"/>
    <w:rsid w:val="00560963"/>
    <w:rsid w:val="005640F0"/>
    <w:rsid w:val="0056519E"/>
    <w:rsid w:val="00574681"/>
    <w:rsid w:val="00575A78"/>
    <w:rsid w:val="00582698"/>
    <w:rsid w:val="00585DB3"/>
    <w:rsid w:val="00587BB2"/>
    <w:rsid w:val="005913D7"/>
    <w:rsid w:val="0059404C"/>
    <w:rsid w:val="005A4B73"/>
    <w:rsid w:val="005A7E1E"/>
    <w:rsid w:val="005B402C"/>
    <w:rsid w:val="005B504C"/>
    <w:rsid w:val="005C4CE2"/>
    <w:rsid w:val="005D684C"/>
    <w:rsid w:val="005E331D"/>
    <w:rsid w:val="005E36D6"/>
    <w:rsid w:val="005F0D69"/>
    <w:rsid w:val="005F12B7"/>
    <w:rsid w:val="0060543B"/>
    <w:rsid w:val="006074D0"/>
    <w:rsid w:val="00614AA3"/>
    <w:rsid w:val="0062099F"/>
    <w:rsid w:val="006244E7"/>
    <w:rsid w:val="00636253"/>
    <w:rsid w:val="0063659E"/>
    <w:rsid w:val="006371BC"/>
    <w:rsid w:val="0064013E"/>
    <w:rsid w:val="00641A71"/>
    <w:rsid w:val="006429D3"/>
    <w:rsid w:val="006466DA"/>
    <w:rsid w:val="00646E0C"/>
    <w:rsid w:val="006477DB"/>
    <w:rsid w:val="00653198"/>
    <w:rsid w:val="006568CE"/>
    <w:rsid w:val="00657D96"/>
    <w:rsid w:val="006678BD"/>
    <w:rsid w:val="00674CCC"/>
    <w:rsid w:val="006779F6"/>
    <w:rsid w:val="00680CA1"/>
    <w:rsid w:val="00685DAE"/>
    <w:rsid w:val="006864D8"/>
    <w:rsid w:val="0068723D"/>
    <w:rsid w:val="006954E6"/>
    <w:rsid w:val="00695558"/>
    <w:rsid w:val="006A6AF2"/>
    <w:rsid w:val="006A7559"/>
    <w:rsid w:val="006A77D8"/>
    <w:rsid w:val="006B28FF"/>
    <w:rsid w:val="006C75FA"/>
    <w:rsid w:val="006D04CF"/>
    <w:rsid w:val="006D6039"/>
    <w:rsid w:val="006D6EFF"/>
    <w:rsid w:val="006E37E2"/>
    <w:rsid w:val="006E50AF"/>
    <w:rsid w:val="006E7E62"/>
    <w:rsid w:val="006F39A4"/>
    <w:rsid w:val="006F6BB3"/>
    <w:rsid w:val="00703213"/>
    <w:rsid w:val="00704BD7"/>
    <w:rsid w:val="00710280"/>
    <w:rsid w:val="0071245D"/>
    <w:rsid w:val="00712AB6"/>
    <w:rsid w:val="00713643"/>
    <w:rsid w:val="0071646F"/>
    <w:rsid w:val="00725F1F"/>
    <w:rsid w:val="00732F17"/>
    <w:rsid w:val="00741863"/>
    <w:rsid w:val="00742DA8"/>
    <w:rsid w:val="00743937"/>
    <w:rsid w:val="0074528A"/>
    <w:rsid w:val="007468D9"/>
    <w:rsid w:val="00757DF3"/>
    <w:rsid w:val="0076154C"/>
    <w:rsid w:val="007651DD"/>
    <w:rsid w:val="007678B9"/>
    <w:rsid w:val="007765BD"/>
    <w:rsid w:val="00777DE8"/>
    <w:rsid w:val="007821EC"/>
    <w:rsid w:val="00785C07"/>
    <w:rsid w:val="00791E06"/>
    <w:rsid w:val="00793CC7"/>
    <w:rsid w:val="00793FC4"/>
    <w:rsid w:val="007966E9"/>
    <w:rsid w:val="0079670C"/>
    <w:rsid w:val="007A0DD0"/>
    <w:rsid w:val="007A13A4"/>
    <w:rsid w:val="007A1E41"/>
    <w:rsid w:val="007A580F"/>
    <w:rsid w:val="007A6037"/>
    <w:rsid w:val="007A6121"/>
    <w:rsid w:val="007B027E"/>
    <w:rsid w:val="007B0358"/>
    <w:rsid w:val="007B0769"/>
    <w:rsid w:val="007B60C9"/>
    <w:rsid w:val="007C0573"/>
    <w:rsid w:val="007D317C"/>
    <w:rsid w:val="007D4168"/>
    <w:rsid w:val="007D6452"/>
    <w:rsid w:val="007D7BBC"/>
    <w:rsid w:val="007E0E17"/>
    <w:rsid w:val="007E5151"/>
    <w:rsid w:val="007E6944"/>
    <w:rsid w:val="007F2B18"/>
    <w:rsid w:val="008005D8"/>
    <w:rsid w:val="0080447B"/>
    <w:rsid w:val="00804FB8"/>
    <w:rsid w:val="0081001F"/>
    <w:rsid w:val="00813174"/>
    <w:rsid w:val="00813FC6"/>
    <w:rsid w:val="00814220"/>
    <w:rsid w:val="00817401"/>
    <w:rsid w:val="00824394"/>
    <w:rsid w:val="008244AF"/>
    <w:rsid w:val="008337E7"/>
    <w:rsid w:val="008410D5"/>
    <w:rsid w:val="00842CDB"/>
    <w:rsid w:val="00843550"/>
    <w:rsid w:val="00844AA2"/>
    <w:rsid w:val="00851940"/>
    <w:rsid w:val="008521C6"/>
    <w:rsid w:val="00855B41"/>
    <w:rsid w:val="00857C16"/>
    <w:rsid w:val="00863F0B"/>
    <w:rsid w:val="008657C3"/>
    <w:rsid w:val="0086672E"/>
    <w:rsid w:val="00871469"/>
    <w:rsid w:val="008736D8"/>
    <w:rsid w:val="00883402"/>
    <w:rsid w:val="00883925"/>
    <w:rsid w:val="008856DB"/>
    <w:rsid w:val="00887B83"/>
    <w:rsid w:val="00893403"/>
    <w:rsid w:val="0089573F"/>
    <w:rsid w:val="00895CDB"/>
    <w:rsid w:val="008A5F92"/>
    <w:rsid w:val="008A6801"/>
    <w:rsid w:val="008B124D"/>
    <w:rsid w:val="008B1FEC"/>
    <w:rsid w:val="008B40D7"/>
    <w:rsid w:val="008B4C08"/>
    <w:rsid w:val="008B6998"/>
    <w:rsid w:val="008D1612"/>
    <w:rsid w:val="008D2734"/>
    <w:rsid w:val="008D313F"/>
    <w:rsid w:val="008D421A"/>
    <w:rsid w:val="008D43AE"/>
    <w:rsid w:val="008E0A8E"/>
    <w:rsid w:val="008F1CF2"/>
    <w:rsid w:val="008F3FF5"/>
    <w:rsid w:val="008F77B3"/>
    <w:rsid w:val="00901EB2"/>
    <w:rsid w:val="0090384B"/>
    <w:rsid w:val="00911D1A"/>
    <w:rsid w:val="009175DB"/>
    <w:rsid w:val="009241AC"/>
    <w:rsid w:val="00924DB0"/>
    <w:rsid w:val="009270F4"/>
    <w:rsid w:val="00936FAE"/>
    <w:rsid w:val="00937C8C"/>
    <w:rsid w:val="00943C7E"/>
    <w:rsid w:val="0094408F"/>
    <w:rsid w:val="009466CC"/>
    <w:rsid w:val="00950360"/>
    <w:rsid w:val="009533A3"/>
    <w:rsid w:val="00955CA6"/>
    <w:rsid w:val="00962265"/>
    <w:rsid w:val="00963194"/>
    <w:rsid w:val="00965DA0"/>
    <w:rsid w:val="00970C58"/>
    <w:rsid w:val="00970C8C"/>
    <w:rsid w:val="0097137E"/>
    <w:rsid w:val="00983F87"/>
    <w:rsid w:val="0099120A"/>
    <w:rsid w:val="009A5145"/>
    <w:rsid w:val="009B3F77"/>
    <w:rsid w:val="009B43A2"/>
    <w:rsid w:val="009B48FC"/>
    <w:rsid w:val="009B6B8D"/>
    <w:rsid w:val="009B6BA0"/>
    <w:rsid w:val="009C1114"/>
    <w:rsid w:val="009C153B"/>
    <w:rsid w:val="009D2936"/>
    <w:rsid w:val="009D35F8"/>
    <w:rsid w:val="009D5BCB"/>
    <w:rsid w:val="009E561E"/>
    <w:rsid w:val="009E59B9"/>
    <w:rsid w:val="009E5FD4"/>
    <w:rsid w:val="009E7910"/>
    <w:rsid w:val="009F076F"/>
    <w:rsid w:val="009F2A7E"/>
    <w:rsid w:val="009F4A76"/>
    <w:rsid w:val="00A013D8"/>
    <w:rsid w:val="00A0368C"/>
    <w:rsid w:val="00A03DE2"/>
    <w:rsid w:val="00A04D01"/>
    <w:rsid w:val="00A11C74"/>
    <w:rsid w:val="00A1785B"/>
    <w:rsid w:val="00A22E4F"/>
    <w:rsid w:val="00A24119"/>
    <w:rsid w:val="00A242D4"/>
    <w:rsid w:val="00A24F29"/>
    <w:rsid w:val="00A362B3"/>
    <w:rsid w:val="00A371DE"/>
    <w:rsid w:val="00A37FD7"/>
    <w:rsid w:val="00A42B07"/>
    <w:rsid w:val="00A44814"/>
    <w:rsid w:val="00A52479"/>
    <w:rsid w:val="00A60128"/>
    <w:rsid w:val="00A638CF"/>
    <w:rsid w:val="00A63984"/>
    <w:rsid w:val="00A64729"/>
    <w:rsid w:val="00A6563D"/>
    <w:rsid w:val="00A65AE0"/>
    <w:rsid w:val="00A71B6B"/>
    <w:rsid w:val="00A730C6"/>
    <w:rsid w:val="00A779C0"/>
    <w:rsid w:val="00A77DCE"/>
    <w:rsid w:val="00A9147E"/>
    <w:rsid w:val="00A93816"/>
    <w:rsid w:val="00A94C1A"/>
    <w:rsid w:val="00A965A8"/>
    <w:rsid w:val="00AA7F0A"/>
    <w:rsid w:val="00AB347F"/>
    <w:rsid w:val="00AC254D"/>
    <w:rsid w:val="00AC378D"/>
    <w:rsid w:val="00AC53D5"/>
    <w:rsid w:val="00AE36F4"/>
    <w:rsid w:val="00B0195A"/>
    <w:rsid w:val="00B0554C"/>
    <w:rsid w:val="00B05E26"/>
    <w:rsid w:val="00B15331"/>
    <w:rsid w:val="00B247CA"/>
    <w:rsid w:val="00B30862"/>
    <w:rsid w:val="00B36788"/>
    <w:rsid w:val="00B44582"/>
    <w:rsid w:val="00B44B79"/>
    <w:rsid w:val="00B508D6"/>
    <w:rsid w:val="00B57A0E"/>
    <w:rsid w:val="00B6621C"/>
    <w:rsid w:val="00B6712E"/>
    <w:rsid w:val="00B70DBC"/>
    <w:rsid w:val="00B7160A"/>
    <w:rsid w:val="00B721F6"/>
    <w:rsid w:val="00B73825"/>
    <w:rsid w:val="00B75673"/>
    <w:rsid w:val="00B82F6A"/>
    <w:rsid w:val="00B83229"/>
    <w:rsid w:val="00B83C3D"/>
    <w:rsid w:val="00B8572C"/>
    <w:rsid w:val="00B9083D"/>
    <w:rsid w:val="00B95185"/>
    <w:rsid w:val="00B96298"/>
    <w:rsid w:val="00BA2754"/>
    <w:rsid w:val="00BA40B2"/>
    <w:rsid w:val="00BA52BE"/>
    <w:rsid w:val="00BB00E9"/>
    <w:rsid w:val="00BC11A2"/>
    <w:rsid w:val="00BD3FC1"/>
    <w:rsid w:val="00BD496B"/>
    <w:rsid w:val="00BD4B07"/>
    <w:rsid w:val="00BE11A8"/>
    <w:rsid w:val="00BE13AB"/>
    <w:rsid w:val="00BE5A31"/>
    <w:rsid w:val="00BF177B"/>
    <w:rsid w:val="00BF6C91"/>
    <w:rsid w:val="00C03B39"/>
    <w:rsid w:val="00C03E99"/>
    <w:rsid w:val="00C04D69"/>
    <w:rsid w:val="00C11E1D"/>
    <w:rsid w:val="00C1666B"/>
    <w:rsid w:val="00C27DB8"/>
    <w:rsid w:val="00C30D5C"/>
    <w:rsid w:val="00C33D2A"/>
    <w:rsid w:val="00C3413C"/>
    <w:rsid w:val="00C44817"/>
    <w:rsid w:val="00C45132"/>
    <w:rsid w:val="00C513C9"/>
    <w:rsid w:val="00C548FB"/>
    <w:rsid w:val="00C55300"/>
    <w:rsid w:val="00C62ED6"/>
    <w:rsid w:val="00C70F9B"/>
    <w:rsid w:val="00C805A6"/>
    <w:rsid w:val="00C805F1"/>
    <w:rsid w:val="00C80720"/>
    <w:rsid w:val="00C90B62"/>
    <w:rsid w:val="00C90EEE"/>
    <w:rsid w:val="00C964AB"/>
    <w:rsid w:val="00CA1610"/>
    <w:rsid w:val="00CB1CAE"/>
    <w:rsid w:val="00CB2326"/>
    <w:rsid w:val="00CB2AD1"/>
    <w:rsid w:val="00CB6140"/>
    <w:rsid w:val="00CC3012"/>
    <w:rsid w:val="00CD504C"/>
    <w:rsid w:val="00CE24D8"/>
    <w:rsid w:val="00CE3F2C"/>
    <w:rsid w:val="00CF5A1C"/>
    <w:rsid w:val="00D00A00"/>
    <w:rsid w:val="00D04E4C"/>
    <w:rsid w:val="00D10841"/>
    <w:rsid w:val="00D13947"/>
    <w:rsid w:val="00D20D24"/>
    <w:rsid w:val="00D256F1"/>
    <w:rsid w:val="00D27E36"/>
    <w:rsid w:val="00D30A1A"/>
    <w:rsid w:val="00D55A00"/>
    <w:rsid w:val="00D60415"/>
    <w:rsid w:val="00D62A32"/>
    <w:rsid w:val="00D824DF"/>
    <w:rsid w:val="00D91738"/>
    <w:rsid w:val="00D94566"/>
    <w:rsid w:val="00D95476"/>
    <w:rsid w:val="00D97F17"/>
    <w:rsid w:val="00DA2AB2"/>
    <w:rsid w:val="00DA2E77"/>
    <w:rsid w:val="00DB3815"/>
    <w:rsid w:val="00DC1356"/>
    <w:rsid w:val="00DC1FF7"/>
    <w:rsid w:val="00DD25BD"/>
    <w:rsid w:val="00DE2CB5"/>
    <w:rsid w:val="00DE5443"/>
    <w:rsid w:val="00DF4ECD"/>
    <w:rsid w:val="00DF5198"/>
    <w:rsid w:val="00DF5872"/>
    <w:rsid w:val="00E145DB"/>
    <w:rsid w:val="00E218E3"/>
    <w:rsid w:val="00E33F43"/>
    <w:rsid w:val="00E37CE8"/>
    <w:rsid w:val="00E46ADF"/>
    <w:rsid w:val="00E471A0"/>
    <w:rsid w:val="00E536B6"/>
    <w:rsid w:val="00E70C8B"/>
    <w:rsid w:val="00E72ABE"/>
    <w:rsid w:val="00E7338F"/>
    <w:rsid w:val="00E81726"/>
    <w:rsid w:val="00E854FD"/>
    <w:rsid w:val="00E865B1"/>
    <w:rsid w:val="00E867A1"/>
    <w:rsid w:val="00E93C75"/>
    <w:rsid w:val="00E946BB"/>
    <w:rsid w:val="00EB7638"/>
    <w:rsid w:val="00EC1293"/>
    <w:rsid w:val="00ED5E22"/>
    <w:rsid w:val="00EE1C3D"/>
    <w:rsid w:val="00EE1CF9"/>
    <w:rsid w:val="00EE4025"/>
    <w:rsid w:val="00EE7669"/>
    <w:rsid w:val="00EF0783"/>
    <w:rsid w:val="00F066A2"/>
    <w:rsid w:val="00F06A04"/>
    <w:rsid w:val="00F13C83"/>
    <w:rsid w:val="00F14135"/>
    <w:rsid w:val="00F14716"/>
    <w:rsid w:val="00F22512"/>
    <w:rsid w:val="00F23089"/>
    <w:rsid w:val="00F31B43"/>
    <w:rsid w:val="00F3317F"/>
    <w:rsid w:val="00F366BB"/>
    <w:rsid w:val="00F40600"/>
    <w:rsid w:val="00F41262"/>
    <w:rsid w:val="00F44E73"/>
    <w:rsid w:val="00F53E27"/>
    <w:rsid w:val="00F55E2A"/>
    <w:rsid w:val="00F56A4B"/>
    <w:rsid w:val="00F60079"/>
    <w:rsid w:val="00F627EF"/>
    <w:rsid w:val="00F70514"/>
    <w:rsid w:val="00F80E7E"/>
    <w:rsid w:val="00F83F97"/>
    <w:rsid w:val="00F86330"/>
    <w:rsid w:val="00F86C9B"/>
    <w:rsid w:val="00F9579D"/>
    <w:rsid w:val="00FA3B9C"/>
    <w:rsid w:val="00FA3D64"/>
    <w:rsid w:val="00FB749B"/>
    <w:rsid w:val="00FC1E2E"/>
    <w:rsid w:val="00FC2DB4"/>
    <w:rsid w:val="00FD5480"/>
    <w:rsid w:val="00FD638E"/>
    <w:rsid w:val="00FD6A79"/>
    <w:rsid w:val="00FE587B"/>
    <w:rsid w:val="00FE5E12"/>
    <w:rsid w:val="00FF7A01"/>
    <w:rsid w:val="084643AB"/>
    <w:rsid w:val="13BFFD09"/>
    <w:rsid w:val="1AFB86AB"/>
    <w:rsid w:val="2107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7D6FF"/>
  <w15:chartTrackingRefBased/>
  <w15:docId w15:val="{4726078F-0061-4ABC-B4EC-C8388391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lang w:eastAsia="ja-JP"/>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05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93"/>
  </w:style>
  <w:style w:type="paragraph" w:styleId="Footer">
    <w:name w:val="footer"/>
    <w:basedOn w:val="Normal"/>
    <w:link w:val="FooterChar"/>
    <w:uiPriority w:val="99"/>
    <w:unhideWhenUsed/>
    <w:rsid w:val="0005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93"/>
  </w:style>
  <w:style w:type="character" w:customStyle="1" w:styleId="apple-converted-space">
    <w:name w:val="apple-converted-space"/>
    <w:basedOn w:val="DefaultParagraphFont"/>
    <w:rsid w:val="00893403"/>
  </w:style>
  <w:style w:type="paragraph" w:customStyle="1" w:styleId="Default">
    <w:name w:val="Default"/>
    <w:rsid w:val="0018658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36FAE"/>
    <w:rPr>
      <w:color w:val="808080"/>
    </w:rPr>
  </w:style>
  <w:style w:type="character" w:customStyle="1" w:styleId="ms-rteforecolor-8">
    <w:name w:val="ms-rteforecolor-8"/>
    <w:basedOn w:val="DefaultParagraphFont"/>
    <w:rsid w:val="0080447B"/>
  </w:style>
  <w:style w:type="character" w:customStyle="1" w:styleId="UnresolvedMention1">
    <w:name w:val="Unresolved Mention1"/>
    <w:basedOn w:val="DefaultParagraphFont"/>
    <w:uiPriority w:val="99"/>
    <w:semiHidden/>
    <w:unhideWhenUsed/>
    <w:rsid w:val="00641A71"/>
    <w:rPr>
      <w:color w:val="605E5C"/>
      <w:shd w:val="clear" w:color="auto" w:fill="E1DFDD"/>
    </w:rPr>
  </w:style>
  <w:style w:type="character" w:styleId="UnresolvedMention">
    <w:name w:val="Unresolved Mention"/>
    <w:basedOn w:val="DefaultParagraphFont"/>
    <w:uiPriority w:val="99"/>
    <w:semiHidden/>
    <w:unhideWhenUsed/>
    <w:rsid w:val="00B57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076518347">
      <w:bodyDiv w:val="1"/>
      <w:marLeft w:val="0"/>
      <w:marRight w:val="0"/>
      <w:marTop w:val="0"/>
      <w:marBottom w:val="0"/>
      <w:divBdr>
        <w:top w:val="none" w:sz="0" w:space="0" w:color="auto"/>
        <w:left w:val="none" w:sz="0" w:space="0" w:color="auto"/>
        <w:bottom w:val="none" w:sz="0" w:space="0" w:color="auto"/>
        <w:right w:val="none" w:sz="0" w:space="0" w:color="auto"/>
      </w:divBdr>
      <w:divsChild>
        <w:div w:id="131337742">
          <w:marLeft w:val="0"/>
          <w:marRight w:val="0"/>
          <w:marTop w:val="0"/>
          <w:marBottom w:val="0"/>
          <w:divBdr>
            <w:top w:val="none" w:sz="0" w:space="0" w:color="auto"/>
            <w:left w:val="none" w:sz="0" w:space="0" w:color="auto"/>
            <w:bottom w:val="none" w:sz="0" w:space="0" w:color="auto"/>
            <w:right w:val="none" w:sz="0" w:space="0" w:color="auto"/>
          </w:divBdr>
        </w:div>
        <w:div w:id="322321925">
          <w:marLeft w:val="0"/>
          <w:marRight w:val="0"/>
          <w:marTop w:val="0"/>
          <w:marBottom w:val="0"/>
          <w:divBdr>
            <w:top w:val="none" w:sz="0" w:space="0" w:color="auto"/>
            <w:left w:val="none" w:sz="0" w:space="0" w:color="auto"/>
            <w:bottom w:val="none" w:sz="0" w:space="0" w:color="auto"/>
            <w:right w:val="none" w:sz="0" w:space="0" w:color="auto"/>
          </w:divBdr>
        </w:div>
        <w:div w:id="603927759">
          <w:marLeft w:val="0"/>
          <w:marRight w:val="0"/>
          <w:marTop w:val="0"/>
          <w:marBottom w:val="0"/>
          <w:divBdr>
            <w:top w:val="none" w:sz="0" w:space="0" w:color="auto"/>
            <w:left w:val="none" w:sz="0" w:space="0" w:color="auto"/>
            <w:bottom w:val="none" w:sz="0" w:space="0" w:color="auto"/>
            <w:right w:val="none" w:sz="0" w:space="0" w:color="auto"/>
          </w:divBdr>
        </w:div>
        <w:div w:id="1465469341">
          <w:marLeft w:val="0"/>
          <w:marRight w:val="0"/>
          <w:marTop w:val="0"/>
          <w:marBottom w:val="0"/>
          <w:divBdr>
            <w:top w:val="none" w:sz="0" w:space="0" w:color="auto"/>
            <w:left w:val="none" w:sz="0" w:space="0" w:color="auto"/>
            <w:bottom w:val="none" w:sz="0" w:space="0" w:color="auto"/>
            <w:right w:val="none" w:sz="0" w:space="0" w:color="auto"/>
          </w:divBdr>
        </w:div>
      </w:divsChild>
    </w:div>
    <w:div w:id="1588996944">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lobalcompact.org/docs/issues_doc/un_business_partnerships/guidelines_principle_based_approach_between_un_business_sector.pdf" TargetMode="External"/><Relationship Id="rId18" Type="http://schemas.openxmlformats.org/officeDocument/2006/relationships/hyperlink" Target="https://popp.undp.org/taxonomy/term/36" TargetMode="External"/><Relationship Id="rId26" Type="http://schemas.openxmlformats.org/officeDocument/2006/relationships/hyperlink" Target="https://undp.sharepoint.com/teams/BERA-Portal/SitePages/PrivatePartnerships/Home.aspx" TargetMode="External"/><Relationship Id="rId3" Type="http://schemas.openxmlformats.org/officeDocument/2006/relationships/customXml" Target="../customXml/item3.xml"/><Relationship Id="rId21" Type="http://schemas.openxmlformats.org/officeDocument/2006/relationships/hyperlink" Target="https://undp.sharepoint.com/teams/BERA-Portal/Financing%20Agreements%20and%20Templates/Forms/AllItems.aspx" TargetMode="External"/><Relationship Id="rId7" Type="http://schemas.openxmlformats.org/officeDocument/2006/relationships/settings" Target="settings.xml"/><Relationship Id="rId12" Type="http://schemas.openxmlformats.org/officeDocument/2006/relationships/hyperlink" Target="https://digitallibrary.un.org/record/209869/files/A_RES_92%28I%29-EN.pdf" TargetMode="External"/><Relationship Id="rId17" Type="http://schemas.openxmlformats.org/officeDocument/2006/relationships/hyperlink" Target="https://undg.org/document/2017-undaf-guidance/" TargetMode="External"/><Relationship Id="rId25" Type="http://schemas.openxmlformats.org/officeDocument/2006/relationships/hyperlink" Target="https://undp.sharepoint.com/teams/BERA-Portal/SitePages/PublicPartnerships/NonFinancialAgreements/MoUs-and-SoIs.aspx" TargetMode="External"/><Relationship Id="rId2" Type="http://schemas.openxmlformats.org/officeDocument/2006/relationships/customXml" Target="../customXml/item2.xml"/><Relationship Id="rId16" Type="http://schemas.openxmlformats.org/officeDocument/2006/relationships/hyperlink" Target="https://popp.undp.org/node/2166" TargetMode="External"/><Relationship Id="rId20" Type="http://schemas.openxmlformats.org/officeDocument/2006/relationships/hyperlink" Target="https://undp.sharepoint.com/teams/BERA-Portal/Financing%20Agreements%20and%20Templates/Forms/AllItem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taxonomy/term/186" TargetMode="External"/><Relationship Id="rId24" Type="http://schemas.openxmlformats.org/officeDocument/2006/relationships/hyperlink" Target="https://undp.lightning.force.com/lightning/o/Agreement__c/list?filterName=00B6N000000ZR8GUAW"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pp.undp.org/node/20646" TargetMode="External"/><Relationship Id="rId23" Type="http://schemas.openxmlformats.org/officeDocument/2006/relationships/hyperlink" Target="mailto:steve.utterwulghe@undp.org" TargetMode="External"/><Relationship Id="rId28" Type="http://schemas.openxmlformats.org/officeDocument/2006/relationships/hyperlink" Target="https://popp.undp.org/taxonomy/term/36" TargetMode="External"/><Relationship Id="rId10" Type="http://schemas.openxmlformats.org/officeDocument/2006/relationships/endnotes" Target="endnotes.xml"/><Relationship Id="rId19" Type="http://schemas.openxmlformats.org/officeDocument/2006/relationships/hyperlink" Target="https://undp.sharepoint.com/teams/BERA-Portal/MOUTemplatesLibrary/Forms/AllItems.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teams/OLS" TargetMode="External"/><Relationship Id="rId22" Type="http://schemas.openxmlformats.org/officeDocument/2006/relationships/hyperlink" Target="https://digitallibrary.un.org/record/572057" TargetMode="External"/><Relationship Id="rId27" Type="http://schemas.openxmlformats.org/officeDocument/2006/relationships/hyperlink" Target="https://undp.sharepoint.com/teams/psr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228A7-F4C8-4414-A342-690869EA3979}">
  <ds:schemaRefs>
    <ds:schemaRef ds:uri="http://schemas.microsoft.com/sharepoint/v3/contenttype/forms"/>
  </ds:schemaRefs>
</ds:datastoreItem>
</file>

<file path=customXml/itemProps2.xml><?xml version="1.0" encoding="utf-8"?>
<ds:datastoreItem xmlns:ds="http://schemas.openxmlformats.org/officeDocument/2006/customXml" ds:itemID="{370C1EB0-EC4B-4164-AB49-9D1EEDD9A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0A3D1-28B0-4DA7-8F27-5069B9536E97}">
  <ds:schemaRefs>
    <ds:schemaRef ds:uri="http://schemas.openxmlformats.org/officeDocument/2006/bibliography"/>
  </ds:schemaRefs>
</ds:datastoreItem>
</file>

<file path=customXml/itemProps4.xml><?xml version="1.0" encoding="utf-8"?>
<ds:datastoreItem xmlns:ds="http://schemas.openxmlformats.org/officeDocument/2006/customXml" ds:itemID="{96B268E0-66F1-4B5B-85A5-1B95AFDE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2685</Words>
  <Characters>15310</Characters>
  <Application>Microsoft Office Word</Application>
  <DocSecurity>0</DocSecurity>
  <Lines>127</Lines>
  <Paragraphs>35</Paragraphs>
  <ScaleCrop>false</ScaleCrop>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Emiliana Zhivkova</cp:lastModifiedBy>
  <cp:revision>3</cp:revision>
  <dcterms:created xsi:type="dcterms:W3CDTF">2023-11-09T22:49:00Z</dcterms:created>
  <dcterms:modified xsi:type="dcterms:W3CDTF">2023-11-09T23:07:00Z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87e1740a-f341-4369-afa3-bbeb6d399dfc</vt:lpwstr>
  </property>
  <property fmtid="{D5CDD505-2E9C-101B-9397-08002B2CF9AE}" pid="4" name="UNDP_POPP_BUSINESSUNIT">
    <vt:lpwstr>352;#Partnerships|a843cfef-088c-4a81-b797-ea33f77a089e</vt:lpwstr>
  </property>
  <property fmtid="{D5CDD505-2E9C-101B-9397-08002B2CF9AE}" pid="5" name="POPPBusinessProcess">
    <vt:lpwstr/>
  </property>
</Properties>
</file>