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E11C" w14:textId="77777777" w:rsidR="00A05F90" w:rsidRPr="00A05F90" w:rsidRDefault="00A05F90" w:rsidP="00A05F90">
      <w:pPr>
        <w:spacing w:after="234"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b/>
          <w:color w:val="000000"/>
          <w:kern w:val="0"/>
          <w:sz w:val="28"/>
          <w:szCs w:val="22"/>
          <w:lang w:val="es-ES" w:eastAsia="es-ES" w:bidi="es-ES"/>
          <w14:ligatures w14:val="none"/>
        </w:rPr>
        <w:t xml:space="preserve">Finanzas para la Ejecución por parte de Agencias  </w:t>
      </w:r>
    </w:p>
    <w:p w14:paraId="4B37C052" w14:textId="77777777" w:rsidR="00A05F90" w:rsidRPr="00A05F90" w:rsidRDefault="00A05F90" w:rsidP="00A05F90">
      <w:pPr>
        <w:numPr>
          <w:ilvl w:val="0"/>
          <w:numId w:val="1"/>
        </w:numPr>
        <w:spacing w:after="39" w:line="242" w:lineRule="auto"/>
        <w:ind w:right="-10" w:hanging="360"/>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 xml:space="preserve">El PNUD ejecuta proyectos en los países en que se ejecutan programas a través de su red de agencias, principalmente a través de los asociados en la ejecución y las modalidades de implementación directa.  </w:t>
      </w:r>
    </w:p>
    <w:p w14:paraId="34D9D8C4" w14:textId="77777777" w:rsidR="00A05F90" w:rsidRPr="00A05F90" w:rsidRDefault="00A05F90" w:rsidP="00A05F90">
      <w:pPr>
        <w:spacing w:after="39" w:line="242" w:lineRule="auto"/>
        <w:ind w:left="705" w:right="-10"/>
        <w:jc w:val="both"/>
        <w:rPr>
          <w:rFonts w:ascii="Calibri" w:eastAsia="Calibri" w:hAnsi="Calibri" w:cs="Calibri"/>
          <w:kern w:val="0"/>
          <w:sz w:val="22"/>
          <w:szCs w:val="22"/>
          <w:lang w:val="es-ES" w:eastAsia="es-ES" w:bidi="es-ES"/>
          <w14:ligatures w14:val="none"/>
        </w:rPr>
      </w:pPr>
    </w:p>
    <w:p w14:paraId="245D9BEA" w14:textId="77777777" w:rsidR="00A05F90" w:rsidRPr="00A05F90" w:rsidRDefault="00A05F90" w:rsidP="00A05F90">
      <w:pPr>
        <w:numPr>
          <w:ilvl w:val="0"/>
          <w:numId w:val="1"/>
        </w:numPr>
        <w:spacing w:after="39" w:line="242" w:lineRule="auto"/>
        <w:ind w:right="-10" w:hanging="360"/>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Mediante consultas y acuerdos con el Gobierno del país en que se ejecuta el programa, el Administrador del PNUD seleccionará una única entidad de ejecución o, en modalidades operacionales armonizadas, un asociado en la ejecución, entre las entidades designadas para cada actividad específica del programa del PNUD. Con el acuerdo del Gobierno del país en que se ejecuta el programa y el PNUD, la entidad de ejecución o el asociado en la ejecución seleccionados pueden asociarse con una o más entidades para llevar a cabo las actividades del programa del PNUD.</w:t>
      </w:r>
    </w:p>
    <w:p w14:paraId="36332924" w14:textId="77777777" w:rsidR="00A05F90" w:rsidRPr="00A05F90" w:rsidRDefault="00A05F90" w:rsidP="00A05F90">
      <w:pPr>
        <w:spacing w:after="39" w:line="242" w:lineRule="auto"/>
        <w:ind w:left="705" w:right="-10"/>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 xml:space="preserve"> </w:t>
      </w:r>
    </w:p>
    <w:p w14:paraId="63BE0857" w14:textId="77777777" w:rsidR="00A05F90" w:rsidRPr="00A05F90" w:rsidRDefault="00A05F90" w:rsidP="00A05F90">
      <w:pPr>
        <w:numPr>
          <w:ilvl w:val="0"/>
          <w:numId w:val="1"/>
        </w:numPr>
        <w:spacing w:after="278" w:line="242" w:lineRule="auto"/>
        <w:ind w:right="-10" w:hanging="360"/>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La ejecución por parte de agencias ilustra los aspectos financieros de la implementación de estos proyectos, particularmente cuál es la mejor manera de que la oficina en el país registre y procese los gastos/el dinero en efectivo informados/proporcionados por las agencias.</w:t>
      </w:r>
    </w:p>
    <w:p w14:paraId="0C52EFA3" w14:textId="77777777" w:rsidR="00A05F90" w:rsidRPr="00A05F90" w:rsidRDefault="00A05F90" w:rsidP="00A05F90">
      <w:pPr>
        <w:keepNext/>
        <w:keepLines/>
        <w:spacing w:after="30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5F90">
        <w:rPr>
          <w:rFonts w:ascii="Calibri" w:eastAsia="Calibri" w:hAnsi="Calibri" w:cs="Calibri"/>
          <w:b/>
          <w:color w:val="000000"/>
          <w:kern w:val="0"/>
          <w:sz w:val="22"/>
          <w:szCs w:val="22"/>
          <w:lang w:val="es-ES" w:eastAsia="es-ES" w:bidi="es-ES"/>
          <w14:ligatures w14:val="none"/>
        </w:rPr>
        <w:t xml:space="preserve">Ejecución por parte de Agencias  </w:t>
      </w:r>
    </w:p>
    <w:p w14:paraId="64C0079F" w14:textId="77777777" w:rsidR="00A05F90" w:rsidRPr="00A05F90" w:rsidRDefault="00A05F90" w:rsidP="00A05F90">
      <w:pPr>
        <w:numPr>
          <w:ilvl w:val="0"/>
          <w:numId w:val="2"/>
        </w:numPr>
        <w:spacing w:after="39" w:line="242" w:lineRule="auto"/>
        <w:ind w:right="3" w:hanging="360"/>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 xml:space="preserve">La ejecución por parte de agencias es una de las cuatro modalidades disponibles para el PNUD para la ejecución de proyectos y programas.  </w:t>
      </w:r>
    </w:p>
    <w:p w14:paraId="35F13C93" w14:textId="77777777" w:rsidR="00A05F90" w:rsidRPr="00A05F90" w:rsidRDefault="00A05F90" w:rsidP="00A05F90">
      <w:pPr>
        <w:spacing w:after="0" w:line="242" w:lineRule="auto"/>
        <w:ind w:left="705"/>
        <w:jc w:val="both"/>
        <w:rPr>
          <w:rFonts w:ascii="Calibri" w:eastAsia="Calibri" w:hAnsi="Calibri" w:cs="Calibri"/>
          <w:kern w:val="0"/>
          <w:sz w:val="22"/>
          <w:szCs w:val="22"/>
          <w:lang w:val="es-ES" w:eastAsia="es-ES" w:bidi="es-ES"/>
          <w14:ligatures w14:val="none"/>
        </w:rPr>
      </w:pPr>
    </w:p>
    <w:p w14:paraId="02AD96C4" w14:textId="77777777" w:rsidR="00A05F90" w:rsidRPr="00A05F90" w:rsidRDefault="00A05F90" w:rsidP="00A05F90">
      <w:pPr>
        <w:numPr>
          <w:ilvl w:val="0"/>
          <w:numId w:val="2"/>
        </w:numPr>
        <w:spacing w:after="0" w:line="242" w:lineRule="auto"/>
        <w:ind w:right="3" w:hanging="360"/>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 xml:space="preserve">Una agencia de la ONU puede ser un Asociado en la Ejecución (responsable de la entrega de los resultados generales en un programa o un proyecto) o una Parte Responsable (responsable de la entrega de los elementos de un programa o un proyecto).   </w:t>
      </w:r>
    </w:p>
    <w:p w14:paraId="587D9BFE" w14:textId="77777777" w:rsidR="00A05F90" w:rsidRPr="00A05F90" w:rsidRDefault="00A05F90" w:rsidP="00A05F90">
      <w:pPr>
        <w:spacing w:after="20"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333333"/>
          <w:kern w:val="0"/>
          <w:sz w:val="22"/>
          <w:szCs w:val="22"/>
          <w:lang w:val="es-ES" w:eastAsia="es-ES" w:bidi="es-ES"/>
          <w14:ligatures w14:val="none"/>
        </w:rPr>
        <w:t xml:space="preserve"> </w:t>
      </w:r>
    </w:p>
    <w:p w14:paraId="65D6415B" w14:textId="77777777" w:rsidR="00A05F90" w:rsidRPr="00A05F90" w:rsidRDefault="00A05F90" w:rsidP="00A05F90">
      <w:pPr>
        <w:numPr>
          <w:ilvl w:val="0"/>
          <w:numId w:val="2"/>
        </w:numPr>
        <w:spacing w:after="4" w:line="250" w:lineRule="auto"/>
        <w:ind w:right="3" w:hanging="36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El Reglamento Financiero 17.02 del PNUD estipula que </w:t>
      </w:r>
      <w:r w:rsidRPr="00A05F90">
        <w:rPr>
          <w:rFonts w:ascii="Calibri" w:eastAsia="Calibri" w:hAnsi="Calibri" w:cs="Calibri"/>
          <w:i/>
          <w:iCs/>
          <w:color w:val="000000"/>
          <w:kern w:val="0"/>
          <w:sz w:val="22"/>
          <w:szCs w:val="22"/>
          <w:lang w:val="es-ES" w:eastAsia="es-ES" w:bidi="es-ES"/>
          <w14:ligatures w14:val="none"/>
        </w:rPr>
        <w:t>«la ejecución nacional será la norma para las actividades del programa del PNUD y se tendrán en cuenta las capacidades de los países del programa y la naturaleza de las actividades del programa del PNUD. Cuando la ejecución nacional no resulte adecuada, las organizaciones del sistema de la ONU serán consideradas para seleccionar una entidad de ejecución»</w:t>
      </w:r>
      <w:r w:rsidRPr="00A05F90">
        <w:rPr>
          <w:rFonts w:ascii="Calibri" w:eastAsia="Calibri" w:hAnsi="Calibri" w:cs="Calibri"/>
          <w:color w:val="000000"/>
          <w:kern w:val="0"/>
          <w:sz w:val="22"/>
          <w:szCs w:val="22"/>
          <w:lang w:val="es-ES" w:eastAsia="es-ES" w:bidi="es-ES"/>
          <w14:ligatures w14:val="none"/>
        </w:rPr>
        <w:t xml:space="preserve">. Esto rige independientemente de la modalidad de transferencia de efectivo usada en el proyecto de implementación nacional (NIM) (transferencia directa de efectivo, pago directo o reembolso). </w:t>
      </w:r>
    </w:p>
    <w:p w14:paraId="679627FB" w14:textId="77777777" w:rsidR="00A05F90" w:rsidRPr="00A05F90" w:rsidRDefault="00A05F90" w:rsidP="00A05F90">
      <w:pPr>
        <w:spacing w:after="23"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0688C5EB" w14:textId="77777777" w:rsidR="00A05F90" w:rsidRPr="00A05F90" w:rsidRDefault="00A05F90" w:rsidP="00A05F90">
      <w:pPr>
        <w:numPr>
          <w:ilvl w:val="0"/>
          <w:numId w:val="2"/>
        </w:numPr>
        <w:spacing w:after="33" w:line="250" w:lineRule="auto"/>
        <w:ind w:right="3" w:hanging="36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Una agencia de la ONU será un adecuado asociado en la ejecución en las siguientes circunstancias:  </w:t>
      </w:r>
    </w:p>
    <w:p w14:paraId="481D73E7" w14:textId="77777777" w:rsidR="00A05F90" w:rsidRPr="00A05F90" w:rsidRDefault="00A05F90" w:rsidP="00A05F90">
      <w:pPr>
        <w:numPr>
          <w:ilvl w:val="1"/>
          <w:numId w:val="2"/>
        </w:numPr>
        <w:spacing w:after="4" w:line="250" w:lineRule="auto"/>
        <w:ind w:right="3" w:hanging="36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Cuando una agencia de la ONU cuente con la experiencia técnica, la cual es fundamental para el éxito del proyecto.  </w:t>
      </w:r>
    </w:p>
    <w:p w14:paraId="2CF45337" w14:textId="77777777" w:rsidR="00A05F90" w:rsidRPr="00A05F90" w:rsidRDefault="00A05F90" w:rsidP="00A05F90">
      <w:pPr>
        <w:numPr>
          <w:ilvl w:val="1"/>
          <w:numId w:val="2"/>
        </w:numPr>
        <w:spacing w:after="4" w:line="250" w:lineRule="auto"/>
        <w:ind w:right="3" w:hanging="36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Cuando el organismo nacional sustantivo relevante no esté dispuesto o no sea capaz de llevar a cabo la ejecución del proyecto. </w:t>
      </w:r>
    </w:p>
    <w:p w14:paraId="342926D8" w14:textId="77777777" w:rsidR="00A05F90" w:rsidRPr="00A05F90" w:rsidRDefault="00A05F90" w:rsidP="00A05F90">
      <w:pPr>
        <w:spacing w:after="0" w:line="241" w:lineRule="auto"/>
        <w:ind w:right="8235"/>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5E418CBE" w14:textId="39C6FFD7" w:rsidR="00A05F90" w:rsidRDefault="00A05F90" w:rsidP="00C6010B">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5F90">
        <w:rPr>
          <w:rFonts w:ascii="Calibri" w:eastAsia="Calibri" w:hAnsi="Calibri" w:cs="Calibri"/>
          <w:b/>
          <w:color w:val="000000"/>
          <w:kern w:val="0"/>
          <w:sz w:val="22"/>
          <w:szCs w:val="22"/>
          <w:lang w:val="es-ES" w:eastAsia="es-ES" w:bidi="es-ES"/>
          <w14:ligatures w14:val="none"/>
        </w:rPr>
        <w:lastRenderedPageBreak/>
        <w:t xml:space="preserve">Financiación de la Ejecución por parte de Agencias   </w:t>
      </w:r>
    </w:p>
    <w:p w14:paraId="324728B8" w14:textId="77777777" w:rsidR="00C6010B" w:rsidRPr="00C6010B" w:rsidRDefault="00C6010B" w:rsidP="00C6010B">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p>
    <w:p w14:paraId="13C144D2" w14:textId="77777777" w:rsidR="00A05F90" w:rsidRPr="00A05F90" w:rsidRDefault="00A05F90" w:rsidP="00A05F90">
      <w:pPr>
        <w:numPr>
          <w:ilvl w:val="0"/>
          <w:numId w:val="2"/>
        </w:numPr>
        <w:spacing w:after="35" w:line="250" w:lineRule="auto"/>
        <w:ind w:right="3" w:hanging="370"/>
        <w:contextualSpacing/>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Con la implantación del nuevo sistema ERP Oracle Cloud (Quantum) en el PNUD a partir de enero de 2023, se ha introducido una modificación importante en las implicaciones presupuestarias de todos los pagos anticipados en el PNUD.  Todos los pagos anticipados afectarán ahora al presupuesto del proyecto en el módulo de proyectos de Quantum, así como al presupuesto de tesorería del Libro Mayor.  Por lo tanto, con el fin de garantizar la liberación oportuna y eficiente de los pagos anticipados, se requiere que las oficinas del PNUD establezcan con precisión los presupuestos de los proyectos por adelantado y garanticen que los presupuestos estén adecuadamente disponibles para procesar los pagos anticipados.</w:t>
      </w:r>
    </w:p>
    <w:p w14:paraId="7879E010" w14:textId="77777777" w:rsidR="00A05F90" w:rsidRPr="00A05F90" w:rsidRDefault="00A05F90" w:rsidP="00A05F90">
      <w:pPr>
        <w:spacing w:after="35" w:line="250" w:lineRule="auto"/>
        <w:contextualSpacing/>
        <w:jc w:val="both"/>
        <w:rPr>
          <w:rFonts w:ascii="Calibri" w:eastAsia="Calibri" w:hAnsi="Calibri" w:cs="Calibri"/>
          <w:color w:val="000000"/>
          <w:kern w:val="0"/>
          <w:sz w:val="22"/>
          <w:szCs w:val="22"/>
          <w:lang w:val="es-ES" w:eastAsia="es-ES" w:bidi="es-ES"/>
          <w14:ligatures w14:val="none"/>
        </w:rPr>
      </w:pPr>
    </w:p>
    <w:p w14:paraId="7695B35B" w14:textId="6B23C4B5" w:rsidR="00A05F90" w:rsidRPr="00C6010B" w:rsidRDefault="00A05F90" w:rsidP="00C6010B">
      <w:pPr>
        <w:pStyle w:val="ListParagraph"/>
        <w:numPr>
          <w:ilvl w:val="0"/>
          <w:numId w:val="9"/>
        </w:numPr>
        <w:spacing w:after="35" w:line="250" w:lineRule="auto"/>
        <w:ind w:hanging="360"/>
        <w:jc w:val="both"/>
        <w:rPr>
          <w:rFonts w:ascii="Calibri" w:eastAsia="Calibri" w:hAnsi="Calibri" w:cs="Calibri"/>
          <w:color w:val="000000"/>
          <w:kern w:val="0"/>
          <w:sz w:val="22"/>
          <w:szCs w:val="22"/>
          <w:lang w:val="es-ES" w:eastAsia="es-ES" w:bidi="es-ES"/>
          <w14:ligatures w14:val="none"/>
        </w:rPr>
      </w:pPr>
      <w:r w:rsidRPr="00C6010B">
        <w:rPr>
          <w:rFonts w:ascii="Calibri" w:eastAsia="Calibri" w:hAnsi="Calibri" w:cs="Calibri"/>
          <w:color w:val="000000"/>
          <w:kern w:val="0"/>
          <w:sz w:val="22"/>
          <w:szCs w:val="22"/>
          <w:lang w:val="es-ES" w:eastAsia="es-ES" w:bidi="es-ES"/>
          <w14:ligatures w14:val="none"/>
        </w:rPr>
        <w:t xml:space="preserve">Cuando un organismo de las Naciones Unidas emprende actividades de programas o proyectos, el Centro Mundial de Servicios Compartidos (CGS) proporciona fondos directamente al organismo de las Naciones Unidas. Estos fondos se proporcionan de acuerdo con el calendario de anticipos de la carta de acuerdo entre el PNUD y la agencia de la ONU (Modelo de Acuerdo Básico Normalizado de Entidad Ejecutora [SBEAA]). La solicitud de fondos de la agencia de la ONU se documenta en un informe financiero, en el que se especifican las necesidades de efectivo en función de los gastos previstos (los costes de los nuevos insumos que se adquirirán y recibirán en el próximo periodo). actualizados en función del contexto actual. </w:t>
      </w:r>
    </w:p>
    <w:p w14:paraId="680E997A" w14:textId="77777777" w:rsidR="00A05F90" w:rsidRPr="00A05F90" w:rsidRDefault="00A05F90" w:rsidP="00C6010B">
      <w:pPr>
        <w:spacing w:after="35" w:line="250" w:lineRule="auto"/>
        <w:ind w:hanging="360"/>
        <w:contextualSpacing/>
        <w:jc w:val="both"/>
        <w:rPr>
          <w:rFonts w:ascii="Calibri" w:eastAsia="Calibri" w:hAnsi="Calibri" w:cs="Calibri"/>
          <w:color w:val="000000"/>
          <w:kern w:val="0"/>
          <w:sz w:val="22"/>
          <w:szCs w:val="22"/>
          <w:lang w:val="es-ES" w:eastAsia="es-ES" w:bidi="es-ES"/>
          <w14:ligatures w14:val="none"/>
        </w:rPr>
      </w:pPr>
    </w:p>
    <w:p w14:paraId="1322BB0F" w14:textId="77777777" w:rsidR="00A05F90" w:rsidRPr="00A05F90" w:rsidRDefault="00A05F90" w:rsidP="00C6010B">
      <w:pPr>
        <w:numPr>
          <w:ilvl w:val="0"/>
          <w:numId w:val="9"/>
        </w:numPr>
        <w:spacing w:after="35" w:line="250" w:lineRule="auto"/>
        <w:ind w:right="3" w:hanging="360"/>
        <w:contextualSpacing/>
        <w:jc w:val="both"/>
        <w:rPr>
          <w:rFonts w:ascii="Calibri" w:eastAsia="Calibri" w:hAnsi="Calibri" w:cs="Calibri"/>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El marco de garantía del HACT no se aplica a las transferencias de efectivo ejecutadas por organismos</w:t>
      </w:r>
      <w:r w:rsidRPr="00A05F90">
        <w:rPr>
          <w:rFonts w:ascii="Calibri" w:eastAsia="Calibri" w:hAnsi="Calibri" w:cs="Calibri"/>
          <w:kern w:val="0"/>
          <w:sz w:val="22"/>
          <w:szCs w:val="22"/>
          <w:lang w:val="es-ES" w:eastAsia="es-ES" w:bidi="es-ES"/>
          <w14:ligatures w14:val="none"/>
        </w:rPr>
        <w:t>.</w:t>
      </w:r>
    </w:p>
    <w:p w14:paraId="366EEAD8" w14:textId="77777777" w:rsidR="00A05F90" w:rsidRPr="00A05F90" w:rsidRDefault="00A05F90" w:rsidP="00C6010B">
      <w:pPr>
        <w:spacing w:after="35" w:line="250" w:lineRule="auto"/>
        <w:ind w:hanging="360"/>
        <w:contextualSpacing/>
        <w:jc w:val="both"/>
        <w:rPr>
          <w:rFonts w:ascii="Calibri" w:eastAsia="Calibri" w:hAnsi="Calibri" w:cs="Calibri"/>
          <w:kern w:val="0"/>
          <w:sz w:val="22"/>
          <w:szCs w:val="22"/>
          <w:lang w:val="es-ES" w:eastAsia="es-ES" w:bidi="es-ES"/>
          <w14:ligatures w14:val="none"/>
        </w:rPr>
      </w:pPr>
    </w:p>
    <w:p w14:paraId="58342361" w14:textId="77777777" w:rsidR="00A05F90" w:rsidRPr="00A05F90" w:rsidRDefault="00A05F90" w:rsidP="00C6010B">
      <w:pPr>
        <w:numPr>
          <w:ilvl w:val="0"/>
          <w:numId w:val="9"/>
        </w:numPr>
        <w:spacing w:after="35" w:line="250" w:lineRule="auto"/>
        <w:ind w:right="3" w:hanging="360"/>
        <w:contextualSpacing/>
        <w:jc w:val="both"/>
        <w:rPr>
          <w:rFonts w:ascii="Calibri" w:eastAsia="Calibri" w:hAnsi="Calibri" w:cs="Calibri"/>
          <w:color w:val="000000"/>
          <w:kern w:val="0"/>
          <w:sz w:val="22"/>
          <w:szCs w:val="22"/>
          <w:lang w:val="es-ES_tradnl"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Los organismos de las Naciones Unidas informan de los gastos de sus proyectos en los informes trimestrales de ejecución de proyectos (PDR).  Esta financiación se registra como un anticipo en las cuentas del PNUD. Los PDR y los procedimientos contables son los mismos cuando una agencia es un IP o un RP. Los costes indirectos incurridos por las organizaciones del sistema de las Naciones Unidas en la ejecución de las actividades del programa del PNUD se pagan con cargo a los recursos del proyecto, según lo negociado entre las partes. </w:t>
      </w:r>
    </w:p>
    <w:p w14:paraId="633E21F1" w14:textId="77777777" w:rsidR="00A05F90" w:rsidRPr="00A05F90" w:rsidRDefault="00A05F90" w:rsidP="00C6010B">
      <w:pPr>
        <w:spacing w:after="35" w:line="250" w:lineRule="auto"/>
        <w:ind w:hanging="360"/>
        <w:contextualSpacing/>
        <w:jc w:val="both"/>
        <w:rPr>
          <w:rFonts w:ascii="Calibri" w:eastAsia="Calibri" w:hAnsi="Calibri" w:cs="Calibri"/>
          <w:color w:val="000000"/>
          <w:kern w:val="0"/>
          <w:sz w:val="22"/>
          <w:szCs w:val="22"/>
          <w:lang w:val="es-ES_tradnl" w:eastAsia="es-ES" w:bidi="es-ES"/>
          <w14:ligatures w14:val="none"/>
        </w:rPr>
      </w:pPr>
    </w:p>
    <w:p w14:paraId="61A9155B" w14:textId="77777777" w:rsidR="00A05F90" w:rsidRPr="00A05F90" w:rsidRDefault="00A05F90" w:rsidP="00C6010B">
      <w:pPr>
        <w:numPr>
          <w:ilvl w:val="0"/>
          <w:numId w:val="9"/>
        </w:numPr>
        <w:spacing w:after="35" w:line="250" w:lineRule="auto"/>
        <w:ind w:right="3" w:hanging="360"/>
        <w:contextualSpacing/>
        <w:jc w:val="both"/>
        <w:rPr>
          <w:rFonts w:ascii="Calibri" w:eastAsia="Calibri" w:hAnsi="Calibri" w:cs="Calibri"/>
          <w:kern w:val="0"/>
          <w:sz w:val="22"/>
          <w:szCs w:val="22"/>
          <w:lang w:val="es-ES_tradnl" w:eastAsia="es-ES" w:bidi="es-ES"/>
          <w14:ligatures w14:val="none"/>
        </w:rPr>
      </w:pPr>
      <w:r w:rsidRPr="00A05F90">
        <w:rPr>
          <w:rFonts w:ascii="Calibri" w:eastAsia="Calibri" w:hAnsi="Calibri" w:cs="Calibri"/>
          <w:kern w:val="0"/>
          <w:sz w:val="22"/>
          <w:szCs w:val="22"/>
          <w:lang w:val="es-ES_tradnl" w:eastAsia="es-ES" w:bidi="es-ES"/>
          <w14:ligatures w14:val="none"/>
        </w:rPr>
        <w:t xml:space="preserve">Los anticipos concedidos a los organismos de las Naciones Unidas y los gastos consignados en el PDR se registran en una cuenta de compensación de proyectos (PCA), es decir, la cuenta de mayor (16015). Esta cuenta constituye la base del saldo interinstitucional adeudado a/por el organismo de las Naciones Unidas en relación con los proyectos del PNUD. Las solicitudes de anticipos presentadas por los organismos de las Naciones Unidas son revisadas por el GSSC y aprobadas por OFM/ </w:t>
      </w:r>
      <w:proofErr w:type="spellStart"/>
      <w:r w:rsidRPr="00A05F90">
        <w:rPr>
          <w:rFonts w:ascii="Calibri" w:eastAsia="Calibri" w:hAnsi="Calibri" w:cs="Calibri"/>
          <w:kern w:val="0"/>
          <w:sz w:val="22"/>
          <w:szCs w:val="22"/>
          <w:lang w:val="es-ES_tradnl" w:eastAsia="es-ES" w:bidi="es-ES"/>
          <w14:ligatures w14:val="none"/>
        </w:rPr>
        <w:t>Financial</w:t>
      </w:r>
      <w:proofErr w:type="spellEnd"/>
      <w:r w:rsidRPr="00A05F90">
        <w:rPr>
          <w:rFonts w:ascii="Calibri" w:eastAsia="Calibri" w:hAnsi="Calibri" w:cs="Calibri"/>
          <w:kern w:val="0"/>
          <w:sz w:val="22"/>
          <w:szCs w:val="22"/>
          <w:lang w:val="es-ES_tradnl" w:eastAsia="es-ES" w:bidi="es-ES"/>
          <w14:ligatures w14:val="none"/>
        </w:rPr>
        <w:t xml:space="preserve"> Performance </w:t>
      </w:r>
      <w:proofErr w:type="spellStart"/>
      <w:r w:rsidRPr="00A05F90">
        <w:rPr>
          <w:rFonts w:ascii="Calibri" w:eastAsia="Calibri" w:hAnsi="Calibri" w:cs="Calibri"/>
          <w:kern w:val="0"/>
          <w:sz w:val="22"/>
          <w:szCs w:val="22"/>
          <w:lang w:val="es-ES_tradnl" w:eastAsia="es-ES" w:bidi="es-ES"/>
          <w14:ligatures w14:val="none"/>
        </w:rPr>
        <w:t>Monitoring</w:t>
      </w:r>
      <w:proofErr w:type="spellEnd"/>
      <w:r w:rsidRPr="00A05F90">
        <w:rPr>
          <w:rFonts w:ascii="Calibri" w:eastAsia="Calibri" w:hAnsi="Calibri" w:cs="Calibri"/>
          <w:kern w:val="0"/>
          <w:sz w:val="22"/>
          <w:szCs w:val="22"/>
          <w:lang w:val="es-ES_tradnl" w:eastAsia="es-ES" w:bidi="es-ES"/>
          <w14:ligatures w14:val="none"/>
        </w:rPr>
        <w:t xml:space="preserve"> and </w:t>
      </w:r>
      <w:proofErr w:type="spellStart"/>
      <w:r w:rsidRPr="00A05F90">
        <w:rPr>
          <w:rFonts w:ascii="Calibri" w:eastAsia="Calibri" w:hAnsi="Calibri" w:cs="Calibri"/>
          <w:kern w:val="0"/>
          <w:sz w:val="22"/>
          <w:szCs w:val="22"/>
          <w:lang w:val="es-ES_tradnl" w:eastAsia="es-ES" w:bidi="es-ES"/>
          <w14:ligatures w14:val="none"/>
        </w:rPr>
        <w:t>Reporting</w:t>
      </w:r>
      <w:proofErr w:type="spellEnd"/>
      <w:r w:rsidRPr="00A05F90">
        <w:rPr>
          <w:rFonts w:ascii="Calibri" w:eastAsia="Calibri" w:hAnsi="Calibri" w:cs="Calibri"/>
          <w:kern w:val="0"/>
          <w:sz w:val="22"/>
          <w:szCs w:val="22"/>
          <w:lang w:val="es-ES_tradnl" w:eastAsia="es-ES" w:bidi="es-ES"/>
          <w14:ligatures w14:val="none"/>
        </w:rPr>
        <w:t xml:space="preserve"> (FPMR) / </w:t>
      </w:r>
      <w:proofErr w:type="spellStart"/>
      <w:r w:rsidRPr="00A05F90">
        <w:rPr>
          <w:rFonts w:ascii="Calibri" w:eastAsia="Calibri" w:hAnsi="Calibri" w:cs="Calibri"/>
          <w:kern w:val="0"/>
          <w:sz w:val="22"/>
          <w:szCs w:val="22"/>
          <w:lang w:val="es-ES_tradnl" w:eastAsia="es-ES" w:bidi="es-ES"/>
          <w14:ligatures w14:val="none"/>
        </w:rPr>
        <w:t>Corporate</w:t>
      </w:r>
      <w:proofErr w:type="spellEnd"/>
      <w:r w:rsidRPr="00A05F90">
        <w:rPr>
          <w:rFonts w:ascii="Calibri" w:eastAsia="Calibri" w:hAnsi="Calibri" w:cs="Calibri"/>
          <w:kern w:val="0"/>
          <w:sz w:val="22"/>
          <w:szCs w:val="22"/>
          <w:lang w:val="es-ES_tradnl" w:eastAsia="es-ES" w:bidi="es-ES"/>
          <w14:ligatures w14:val="none"/>
        </w:rPr>
        <w:t xml:space="preserve"> </w:t>
      </w:r>
      <w:proofErr w:type="spellStart"/>
      <w:r w:rsidRPr="00A05F90">
        <w:rPr>
          <w:rFonts w:ascii="Calibri" w:eastAsia="Calibri" w:hAnsi="Calibri" w:cs="Calibri"/>
          <w:kern w:val="0"/>
          <w:sz w:val="22"/>
          <w:szCs w:val="22"/>
          <w:lang w:val="es-ES_tradnl" w:eastAsia="es-ES" w:bidi="es-ES"/>
          <w14:ligatures w14:val="none"/>
        </w:rPr>
        <w:t>Financial</w:t>
      </w:r>
      <w:proofErr w:type="spellEnd"/>
      <w:r w:rsidRPr="00A05F90">
        <w:rPr>
          <w:rFonts w:ascii="Calibri" w:eastAsia="Calibri" w:hAnsi="Calibri" w:cs="Calibri"/>
          <w:kern w:val="0"/>
          <w:sz w:val="22"/>
          <w:szCs w:val="22"/>
          <w:lang w:val="es-ES_tradnl" w:eastAsia="es-ES" w:bidi="es-ES"/>
          <w14:ligatures w14:val="none"/>
        </w:rPr>
        <w:t xml:space="preserve"> </w:t>
      </w:r>
      <w:proofErr w:type="spellStart"/>
      <w:r w:rsidRPr="00A05F90">
        <w:rPr>
          <w:rFonts w:ascii="Calibri" w:eastAsia="Calibri" w:hAnsi="Calibri" w:cs="Calibri"/>
          <w:kern w:val="0"/>
          <w:sz w:val="22"/>
          <w:szCs w:val="22"/>
          <w:lang w:val="es-ES_tradnl" w:eastAsia="es-ES" w:bidi="es-ES"/>
          <w14:ligatures w14:val="none"/>
        </w:rPr>
        <w:t>Reporting</w:t>
      </w:r>
      <w:proofErr w:type="spellEnd"/>
      <w:r w:rsidRPr="00A05F90">
        <w:rPr>
          <w:rFonts w:ascii="Calibri" w:eastAsia="Calibri" w:hAnsi="Calibri" w:cs="Calibri"/>
          <w:kern w:val="0"/>
          <w:sz w:val="22"/>
          <w:szCs w:val="22"/>
          <w:lang w:val="es-ES_tradnl" w:eastAsia="es-ES" w:bidi="es-ES"/>
          <w14:ligatures w14:val="none"/>
        </w:rPr>
        <w:t xml:space="preserve"> &amp; Agency </w:t>
      </w:r>
      <w:proofErr w:type="spellStart"/>
      <w:r w:rsidRPr="00A05F90">
        <w:rPr>
          <w:rFonts w:ascii="Calibri" w:eastAsia="Calibri" w:hAnsi="Calibri" w:cs="Calibri"/>
          <w:kern w:val="0"/>
          <w:sz w:val="22"/>
          <w:szCs w:val="22"/>
          <w:lang w:val="es-ES_tradnl" w:eastAsia="es-ES" w:bidi="es-ES"/>
          <w14:ligatures w14:val="none"/>
        </w:rPr>
        <w:t>Services</w:t>
      </w:r>
      <w:proofErr w:type="spellEnd"/>
      <w:r w:rsidRPr="00A05F90">
        <w:rPr>
          <w:rFonts w:ascii="Calibri" w:eastAsia="Calibri" w:hAnsi="Calibri" w:cs="Calibri"/>
          <w:kern w:val="0"/>
          <w:sz w:val="22"/>
          <w:szCs w:val="22"/>
          <w:lang w:val="es-ES_tradnl" w:eastAsia="es-ES" w:bidi="es-ES"/>
          <w14:ligatures w14:val="none"/>
        </w:rPr>
        <w:t xml:space="preserve"> (CFRA).</w:t>
      </w:r>
      <w:r w:rsidRPr="00A05F90">
        <w:rPr>
          <w:rFonts w:ascii="Calibri" w:eastAsia="Calibri" w:hAnsi="Calibri" w:cs="Calibri"/>
          <w:kern w:val="0"/>
          <w:sz w:val="22"/>
          <w:szCs w:val="22"/>
          <w:u w:val="single"/>
          <w:lang w:val="es-ES_tradnl" w:eastAsia="es-ES" w:bidi="es-ES"/>
          <w14:ligatures w14:val="none"/>
        </w:rPr>
        <w:t xml:space="preserve"> </w:t>
      </w:r>
    </w:p>
    <w:p w14:paraId="2EA53919" w14:textId="77777777" w:rsidR="00A05F90" w:rsidRPr="00A05F90" w:rsidRDefault="00A05F90" w:rsidP="00C6010B">
      <w:pPr>
        <w:spacing w:after="4" w:line="250" w:lineRule="auto"/>
        <w:ind w:right="3" w:hanging="360"/>
        <w:contextualSpacing/>
        <w:jc w:val="both"/>
        <w:rPr>
          <w:rFonts w:ascii="Calibri" w:eastAsia="Calibri" w:hAnsi="Calibri" w:cs="Calibri"/>
          <w:kern w:val="0"/>
          <w:sz w:val="22"/>
          <w:szCs w:val="22"/>
          <w:lang w:val="es-ES_tradnl" w:eastAsia="es-ES" w:bidi="es-ES"/>
          <w14:ligatures w14:val="none"/>
        </w:rPr>
      </w:pPr>
    </w:p>
    <w:p w14:paraId="138C4349" w14:textId="77777777" w:rsidR="00A05F90" w:rsidRPr="00A05F90" w:rsidRDefault="00A05F90" w:rsidP="00C6010B">
      <w:pPr>
        <w:numPr>
          <w:ilvl w:val="0"/>
          <w:numId w:val="9"/>
        </w:numPr>
        <w:spacing w:after="35" w:line="250" w:lineRule="auto"/>
        <w:ind w:right="3" w:hanging="360"/>
        <w:contextualSpacing/>
        <w:jc w:val="both"/>
        <w:rPr>
          <w:rFonts w:ascii="Calibri" w:eastAsia="Calibri" w:hAnsi="Calibri" w:cs="Calibri"/>
          <w:kern w:val="0"/>
          <w:sz w:val="22"/>
          <w:szCs w:val="22"/>
          <w:lang w:val="es-ES_tradnl" w:eastAsia="es-ES" w:bidi="es-ES"/>
          <w14:ligatures w14:val="none"/>
        </w:rPr>
      </w:pPr>
      <w:r w:rsidRPr="00A05F90">
        <w:rPr>
          <w:rFonts w:ascii="Calibri" w:eastAsia="Calibri" w:hAnsi="Calibri" w:cs="Calibri"/>
          <w:kern w:val="0"/>
          <w:sz w:val="22"/>
          <w:szCs w:val="22"/>
          <w:lang w:val="es-ES_tradnl" w:eastAsia="es-ES" w:bidi="es-ES"/>
          <w14:ligatures w14:val="none"/>
        </w:rPr>
        <w:t xml:space="preserve">La política del PNUD es centralizar tanto los anticipos a las agencias para proyectos como la contabilización de sus gastos PDR. Ambos se contabilizan a través de la cuenta de compensación de proyectos Quantum (cuenta 16015).  Con el apoyo de OFM/FPMR/CFRA, GSSC supervisa y concilia los saldos adeudados a/por cada agencia y, junto con Tesorería, garantiza que el saldo neto adelantado y retenido por la agencia respectiva no sea excesivo y, por tanto, que el PNUD tenga tanto el control de los fondos como que no pierda ingresos de inversión por una prefinanciación excesiva, lo que permite al PNUD invertir el exceso de efectivo y mantener un control más estricto de los fondos. Es importante que </w:t>
      </w:r>
      <w:r w:rsidRPr="00A05F90">
        <w:rPr>
          <w:rFonts w:ascii="Calibri" w:eastAsia="Calibri" w:hAnsi="Calibri" w:cs="Calibri"/>
          <w:kern w:val="0"/>
          <w:sz w:val="22"/>
          <w:szCs w:val="22"/>
          <w:lang w:val="es-ES_tradnl" w:eastAsia="es-ES" w:bidi="es-ES"/>
          <w14:ligatures w14:val="none"/>
        </w:rPr>
        <w:lastRenderedPageBreak/>
        <w:t>las Oficinas del PNUD cumplan con la estructura de gestión centralizada de estas transacciones interinstitucionales, ya que el incumplimiento de esta norma puede dar lugar a la doble contabilización de anticipos y/o gastos, creando posibles problemas de financiación en períodos posteriores y procesos ineficientes.</w:t>
      </w:r>
    </w:p>
    <w:p w14:paraId="06FDFAC6" w14:textId="77777777" w:rsidR="00A05F90" w:rsidRPr="00A05F90" w:rsidRDefault="00A05F90" w:rsidP="00C6010B">
      <w:pPr>
        <w:spacing w:after="4" w:line="250" w:lineRule="auto"/>
        <w:ind w:right="3" w:hanging="360"/>
        <w:contextualSpacing/>
        <w:jc w:val="both"/>
        <w:rPr>
          <w:rFonts w:ascii="Calibri" w:eastAsia="Calibri" w:hAnsi="Calibri" w:cs="Calibri"/>
          <w:kern w:val="0"/>
          <w:sz w:val="22"/>
          <w:szCs w:val="22"/>
          <w:lang w:val="es-ES_tradnl" w:eastAsia="es-ES" w:bidi="es-ES"/>
          <w14:ligatures w14:val="none"/>
        </w:rPr>
      </w:pPr>
    </w:p>
    <w:p w14:paraId="588A3AB2" w14:textId="77777777" w:rsidR="00A05F90" w:rsidRPr="00A05F90" w:rsidRDefault="00A05F90" w:rsidP="00C6010B">
      <w:pPr>
        <w:numPr>
          <w:ilvl w:val="0"/>
          <w:numId w:val="9"/>
        </w:numPr>
        <w:spacing w:after="35" w:line="250" w:lineRule="auto"/>
        <w:ind w:right="3" w:hanging="360"/>
        <w:contextualSpacing/>
        <w:jc w:val="both"/>
        <w:rPr>
          <w:rFonts w:ascii="Calibri" w:eastAsia="Calibri" w:hAnsi="Calibri" w:cs="Calibri"/>
          <w:kern w:val="0"/>
          <w:sz w:val="22"/>
          <w:szCs w:val="22"/>
          <w:lang w:val="es-ES_tradnl" w:eastAsia="es-ES" w:bidi="es-ES"/>
          <w14:ligatures w14:val="none"/>
        </w:rPr>
      </w:pPr>
      <w:r w:rsidRPr="00A05F90">
        <w:rPr>
          <w:rFonts w:ascii="Calibri" w:eastAsia="Calibri" w:hAnsi="Calibri" w:cs="Calibri"/>
          <w:kern w:val="0"/>
          <w:sz w:val="22"/>
          <w:szCs w:val="22"/>
          <w:lang w:val="es-ES_tradnl" w:eastAsia="es-ES" w:bidi="es-ES"/>
          <w14:ligatures w14:val="none"/>
        </w:rPr>
        <w:t>Bajo circunstancias excepcionales (por ejemplo, si la agencia no opera bajo la modalidad global de PCA, es decir, no utiliza los informes corporativos de entrega del proyecto (PDR), la agencia no ha firmado el Acuerdo Básico Estándar de Entidad Ejecutora (SBEAA), etc.), las oficinas del PNUD pueden solicitar el uso de la cuenta local de PCA (cuenta 16010) a través de GSSC. La autorización del uso de la cuenta local de la agencia la proporciona OFM/FPMR/CFRA, en el entendimiento de que pasa a ser responsabilidad de la Oficina de País, con la supervisión de la Dirección Regional respectiva, garantizar que el saldo de la cuenta local 16010 de la ACP se liquide oportunamente.</w:t>
      </w:r>
    </w:p>
    <w:p w14:paraId="49FAA46B" w14:textId="77777777" w:rsidR="00A05F90" w:rsidRPr="00A05F90" w:rsidRDefault="00A05F90" w:rsidP="00C6010B">
      <w:pPr>
        <w:spacing w:after="4" w:line="250" w:lineRule="auto"/>
        <w:ind w:right="3" w:hanging="360"/>
        <w:contextualSpacing/>
        <w:jc w:val="both"/>
        <w:rPr>
          <w:rFonts w:ascii="Calibri" w:eastAsia="Calibri" w:hAnsi="Calibri" w:cs="Calibri"/>
          <w:kern w:val="0"/>
          <w:sz w:val="22"/>
          <w:szCs w:val="22"/>
          <w:lang w:val="es-ES_tradnl" w:eastAsia="es-ES" w:bidi="es-ES"/>
          <w14:ligatures w14:val="none"/>
        </w:rPr>
      </w:pPr>
    </w:p>
    <w:p w14:paraId="2F8269F9" w14:textId="77777777" w:rsidR="00A05F90" w:rsidRPr="00A05F90" w:rsidRDefault="00A05F90" w:rsidP="00C6010B">
      <w:pPr>
        <w:numPr>
          <w:ilvl w:val="0"/>
          <w:numId w:val="9"/>
        </w:numPr>
        <w:spacing w:after="35" w:line="250" w:lineRule="auto"/>
        <w:ind w:right="3" w:hanging="360"/>
        <w:contextualSpacing/>
        <w:jc w:val="both"/>
        <w:rPr>
          <w:rFonts w:ascii="Calibri" w:eastAsia="Calibri" w:hAnsi="Calibri" w:cs="Calibri"/>
          <w:kern w:val="0"/>
          <w:sz w:val="22"/>
          <w:szCs w:val="22"/>
          <w:lang w:val="es-ES_tradnl" w:eastAsia="es-ES" w:bidi="es-ES"/>
          <w14:ligatures w14:val="none"/>
        </w:rPr>
      </w:pPr>
      <w:r w:rsidRPr="00A05F90">
        <w:rPr>
          <w:rFonts w:ascii="Calibri" w:eastAsia="Calibri" w:hAnsi="Calibri" w:cs="Calibri"/>
          <w:kern w:val="0"/>
          <w:sz w:val="22"/>
          <w:szCs w:val="22"/>
          <w:lang w:val="es-ES_tradnl" w:eastAsia="es-ES" w:bidi="es-ES"/>
          <w14:ligatures w14:val="none"/>
        </w:rPr>
        <w:t>Las oficinas del PNUD pueden ponerse en contacto con la unidad de Agencias de la GSSC para obtener orientación general sobre la política o para solicitar autorización para el uso de la cuenta de la agencia local utilizando la dirección de correo electrónico: localagencyadvance@undp.org.</w:t>
      </w:r>
    </w:p>
    <w:p w14:paraId="39284BC6" w14:textId="77777777" w:rsidR="00A05F90" w:rsidRPr="00A05F90" w:rsidRDefault="00A05F90" w:rsidP="00A05F90">
      <w:pPr>
        <w:spacing w:after="0" w:line="259" w:lineRule="auto"/>
        <w:rPr>
          <w:rFonts w:ascii="Calibri" w:eastAsia="Calibri" w:hAnsi="Calibri" w:cs="Calibri"/>
          <w:color w:val="000000"/>
          <w:kern w:val="0"/>
          <w:sz w:val="22"/>
          <w:szCs w:val="22"/>
          <w:lang w:val="es-ES_tradnl" w:eastAsia="es-ES" w:bidi="es-ES"/>
          <w14:ligatures w14:val="none"/>
        </w:rPr>
      </w:pPr>
    </w:p>
    <w:p w14:paraId="59EFCE5C" w14:textId="77777777" w:rsidR="00A05F90" w:rsidRPr="00A05F90" w:rsidRDefault="00A05F90" w:rsidP="00A05F90">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5F90">
        <w:rPr>
          <w:rFonts w:ascii="Calibri" w:eastAsia="Calibri" w:hAnsi="Calibri" w:cs="Calibri"/>
          <w:b/>
          <w:color w:val="000000"/>
          <w:kern w:val="0"/>
          <w:sz w:val="22"/>
          <w:szCs w:val="22"/>
          <w:lang w:val="es-ES" w:eastAsia="es-ES" w:bidi="es-ES"/>
          <w14:ligatures w14:val="none"/>
        </w:rPr>
        <w:t>Informes sobre la Ejecución de un Proyecto (PDR)</w:t>
      </w:r>
      <w:r w:rsidRPr="00A05F90">
        <w:rPr>
          <w:rFonts w:ascii="Calibri" w:eastAsia="Calibri" w:hAnsi="Calibri" w:cs="Calibri"/>
          <w:b/>
          <w:color w:val="333333"/>
          <w:kern w:val="0"/>
          <w:sz w:val="22"/>
          <w:szCs w:val="22"/>
          <w:lang w:val="es-ES" w:eastAsia="es-ES" w:bidi="es-ES"/>
          <w14:ligatures w14:val="none"/>
        </w:rPr>
        <w:t xml:space="preserve"> </w:t>
      </w:r>
    </w:p>
    <w:p w14:paraId="5FCC7AAF" w14:textId="77777777" w:rsidR="00A05F90" w:rsidRPr="00A05F90" w:rsidRDefault="00A05F90" w:rsidP="00A05F90">
      <w:pPr>
        <w:spacing w:after="24"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333333"/>
          <w:kern w:val="0"/>
          <w:sz w:val="22"/>
          <w:szCs w:val="22"/>
          <w:lang w:val="es-ES" w:eastAsia="es-ES" w:bidi="es-ES"/>
          <w14:ligatures w14:val="none"/>
        </w:rPr>
        <w:t xml:space="preserve"> </w:t>
      </w:r>
    </w:p>
    <w:p w14:paraId="5356085A"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46A5E28C"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0783F76A"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4EB93015"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27B61F3C"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6EDDAA90"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209F5E6D"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2FD12B87"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68C93D71"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3C58A263"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3FDB5035"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429DB4F0"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41C587E1"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1766BF28"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71B3ADC0" w14:textId="77777777" w:rsidR="00A05F90" w:rsidRPr="00A05F90" w:rsidRDefault="00A05F90" w:rsidP="00A05F90">
      <w:pPr>
        <w:pStyle w:val="ListParagraph"/>
        <w:numPr>
          <w:ilvl w:val="0"/>
          <w:numId w:val="10"/>
        </w:numPr>
        <w:spacing w:after="4" w:line="250" w:lineRule="auto"/>
        <w:ind w:left="90" w:right="3" w:hanging="450"/>
        <w:contextualSpacing w:val="0"/>
        <w:jc w:val="both"/>
        <w:rPr>
          <w:rFonts w:ascii="Calibri" w:eastAsia="Calibri" w:hAnsi="Calibri" w:cs="Calibri"/>
          <w:vanish/>
          <w:color w:val="000000"/>
          <w:kern w:val="0"/>
          <w:sz w:val="22"/>
          <w:szCs w:val="22"/>
          <w:lang w:val="es-ES" w:eastAsia="es-ES" w:bidi="es-ES"/>
          <w14:ligatures w14:val="none"/>
        </w:rPr>
      </w:pPr>
    </w:p>
    <w:p w14:paraId="428B6E8E" w14:textId="5BC00CB0" w:rsidR="00A05F90" w:rsidRPr="00A05F90" w:rsidRDefault="00A05F90" w:rsidP="00C6010B">
      <w:pPr>
        <w:numPr>
          <w:ilvl w:val="0"/>
          <w:numId w:val="10"/>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Los Informes sobre la Ejecución de un Proyecto deben presentarse 15 días después de la fecha de finalización del trimestre (el trimestre del 31 de marzo vence el 15 de abril; el trimestre del 30 de junio vence el 15 de julio). </w:t>
      </w:r>
      <w:r w:rsidRPr="00A05F90">
        <w:rPr>
          <w:rFonts w:ascii="Calibri" w:eastAsia="Calibri" w:hAnsi="Calibri" w:cs="Calibri"/>
          <w:color w:val="333333"/>
          <w:kern w:val="0"/>
          <w:sz w:val="22"/>
          <w:szCs w:val="22"/>
          <w:lang w:val="es-ES" w:eastAsia="es-ES" w:bidi="es-ES"/>
          <w14:ligatures w14:val="none"/>
        </w:rPr>
        <w:t xml:space="preserve"> </w:t>
      </w:r>
    </w:p>
    <w:p w14:paraId="7A1D1566" w14:textId="563E48CA" w:rsidR="00A05F90" w:rsidRPr="00A05F90" w:rsidRDefault="00A05F90" w:rsidP="00C6010B">
      <w:pPr>
        <w:spacing w:after="20" w:line="259" w:lineRule="auto"/>
        <w:ind w:left="90" w:hanging="450"/>
        <w:rPr>
          <w:rFonts w:ascii="Calibri" w:eastAsia="Calibri" w:hAnsi="Calibri" w:cs="Calibri"/>
          <w:color w:val="000000"/>
          <w:kern w:val="0"/>
          <w:sz w:val="22"/>
          <w:szCs w:val="22"/>
          <w:lang w:val="es-ES" w:eastAsia="es-ES" w:bidi="es-ES"/>
          <w14:ligatures w14:val="none"/>
        </w:rPr>
      </w:pPr>
    </w:p>
    <w:p w14:paraId="48CAE5C3" w14:textId="519CFB88" w:rsidR="00A05F90" w:rsidRPr="00A05F90" w:rsidRDefault="00A05F90" w:rsidP="00C6010B">
      <w:pPr>
        <w:numPr>
          <w:ilvl w:val="0"/>
          <w:numId w:val="10"/>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Con la adopción de las Normas Internacionales de Contabilidad del Sector Público (IPSAS) en enero de 2012, el PNUD reconoce los gastos solo cuando se hayan recibido los bienes o se hayan prestado los servicios. Por lo tanto, los gastos del PDR incluyen dos componentes: (i) todos </w:t>
      </w:r>
      <w:r w:rsidR="00C6010B" w:rsidRPr="00A05F90">
        <w:rPr>
          <w:rFonts w:ascii="Calibri" w:eastAsia="Calibri" w:hAnsi="Calibri" w:cs="Calibri"/>
          <w:color w:val="000000"/>
          <w:kern w:val="0"/>
          <w:sz w:val="22"/>
          <w:szCs w:val="22"/>
          <w:lang w:val="es-ES" w:eastAsia="es-ES" w:bidi="es-ES"/>
          <w14:ligatures w14:val="none"/>
        </w:rPr>
        <w:t>los elementos</w:t>
      </w:r>
      <w:r w:rsidRPr="00A05F90">
        <w:rPr>
          <w:rFonts w:ascii="Calibri" w:eastAsia="Calibri" w:hAnsi="Calibri" w:cs="Calibri"/>
          <w:color w:val="000000"/>
          <w:kern w:val="0"/>
          <w:sz w:val="22"/>
          <w:szCs w:val="22"/>
          <w:lang w:val="es-ES" w:eastAsia="es-ES" w:bidi="es-ES"/>
          <w14:ligatures w14:val="none"/>
        </w:rPr>
        <w:t xml:space="preserve"> para los que se hayan recibido bienes o </w:t>
      </w:r>
      <w:proofErr w:type="gramStart"/>
      <w:r w:rsidRPr="00A05F90">
        <w:rPr>
          <w:rFonts w:ascii="Calibri" w:eastAsia="Calibri" w:hAnsi="Calibri" w:cs="Calibri"/>
          <w:color w:val="000000"/>
          <w:kern w:val="0"/>
          <w:sz w:val="22"/>
          <w:szCs w:val="22"/>
          <w:lang w:val="es-ES" w:eastAsia="es-ES" w:bidi="es-ES"/>
          <w14:ligatures w14:val="none"/>
        </w:rPr>
        <w:t>prestado servicios</w:t>
      </w:r>
      <w:proofErr w:type="gramEnd"/>
      <w:r w:rsidRPr="00A05F90">
        <w:rPr>
          <w:rFonts w:ascii="Calibri" w:eastAsia="Calibri" w:hAnsi="Calibri" w:cs="Calibri"/>
          <w:color w:val="000000"/>
          <w:kern w:val="0"/>
          <w:sz w:val="22"/>
          <w:szCs w:val="22"/>
          <w:lang w:val="es-ES" w:eastAsia="es-ES" w:bidi="es-ES"/>
          <w14:ligatures w14:val="none"/>
        </w:rPr>
        <w:t>, y que la agencia de la ONU haya pagado; y (</w:t>
      </w:r>
      <w:proofErr w:type="spellStart"/>
      <w:r w:rsidRPr="00A05F90">
        <w:rPr>
          <w:rFonts w:ascii="Calibri" w:eastAsia="Calibri" w:hAnsi="Calibri" w:cs="Calibri"/>
          <w:color w:val="000000"/>
          <w:kern w:val="0"/>
          <w:sz w:val="22"/>
          <w:szCs w:val="22"/>
          <w:lang w:val="es-ES" w:eastAsia="es-ES" w:bidi="es-ES"/>
          <w14:ligatures w14:val="none"/>
        </w:rPr>
        <w:t>ii</w:t>
      </w:r>
      <w:proofErr w:type="spellEnd"/>
      <w:r w:rsidRPr="00A05F90">
        <w:rPr>
          <w:rFonts w:ascii="Calibri" w:eastAsia="Calibri" w:hAnsi="Calibri" w:cs="Calibri"/>
          <w:color w:val="000000"/>
          <w:kern w:val="0"/>
          <w:sz w:val="22"/>
          <w:szCs w:val="22"/>
          <w:lang w:val="es-ES" w:eastAsia="es-ES" w:bidi="es-ES"/>
          <w14:ligatures w14:val="none"/>
        </w:rPr>
        <w:t xml:space="preserve">) todos los elementos para los que se hayan recibido bienes o </w:t>
      </w:r>
      <w:r w:rsidR="00C6010B" w:rsidRPr="00A05F90">
        <w:rPr>
          <w:rFonts w:ascii="Calibri" w:eastAsia="Calibri" w:hAnsi="Calibri" w:cs="Calibri"/>
          <w:color w:val="000000"/>
          <w:kern w:val="0"/>
          <w:sz w:val="22"/>
          <w:szCs w:val="22"/>
          <w:lang w:val="es-ES" w:eastAsia="es-ES" w:bidi="es-ES"/>
          <w14:ligatures w14:val="none"/>
        </w:rPr>
        <w:t>prestados servicios</w:t>
      </w:r>
      <w:r w:rsidRPr="00A05F90">
        <w:rPr>
          <w:rFonts w:ascii="Calibri" w:eastAsia="Calibri" w:hAnsi="Calibri" w:cs="Calibri"/>
          <w:color w:val="000000"/>
          <w:kern w:val="0"/>
          <w:sz w:val="22"/>
          <w:szCs w:val="22"/>
          <w:lang w:val="es-ES" w:eastAsia="es-ES" w:bidi="es-ES"/>
          <w14:ligatures w14:val="none"/>
        </w:rPr>
        <w:t xml:space="preserve">, pero que aún no hayan sido facturados a la agencia de la ONU por parte del proveedor o el prestador de servicios (devengo de recepción). El concepto de obligaciones por liquidar (ULO) ya no se aplica y no forma parte del proceso de presentación de informes de PDR. Todas las agencias de la ONU deben presentar sus PDR en el formato basado en valores devengados de las IPSAS efectivos desde el </w:t>
      </w:r>
      <w:r w:rsidRPr="00A05F90">
        <w:rPr>
          <w:rFonts w:ascii="Calibri" w:eastAsia="Calibri" w:hAnsi="Calibri" w:cs="Calibri"/>
          <w:color w:val="000000"/>
          <w:kern w:val="0"/>
          <w:sz w:val="22"/>
          <w:szCs w:val="22"/>
          <w:lang w:val="es-ES" w:eastAsia="es-ES" w:bidi="es-ES"/>
          <w14:ligatures w14:val="none"/>
        </w:rPr>
        <w:tab/>
        <w:t xml:space="preserve">1 de enero de 2012. </w:t>
      </w:r>
      <w:r w:rsidRPr="00A05F90">
        <w:rPr>
          <w:rFonts w:ascii="Calibri" w:eastAsia="Calibri" w:hAnsi="Calibri" w:cs="Calibri"/>
          <w:color w:val="333333"/>
          <w:kern w:val="0"/>
          <w:sz w:val="22"/>
          <w:szCs w:val="22"/>
          <w:lang w:val="es-ES" w:eastAsia="es-ES" w:bidi="es-ES"/>
          <w14:ligatures w14:val="none"/>
        </w:rPr>
        <w:t xml:space="preserve"> </w:t>
      </w:r>
    </w:p>
    <w:p w14:paraId="2ADD3F7C" w14:textId="2E7B6319" w:rsidR="00A05F90" w:rsidRPr="00A05F90" w:rsidRDefault="00A05F90" w:rsidP="00C6010B">
      <w:pPr>
        <w:spacing w:after="22" w:line="259" w:lineRule="auto"/>
        <w:ind w:left="90" w:hanging="450"/>
        <w:rPr>
          <w:rFonts w:ascii="Calibri" w:eastAsia="Calibri" w:hAnsi="Calibri" w:cs="Calibri"/>
          <w:color w:val="000000"/>
          <w:kern w:val="0"/>
          <w:sz w:val="22"/>
          <w:szCs w:val="22"/>
          <w:lang w:val="es-ES" w:eastAsia="es-ES" w:bidi="es-ES"/>
          <w14:ligatures w14:val="none"/>
        </w:rPr>
      </w:pPr>
    </w:p>
    <w:p w14:paraId="04D94321" w14:textId="77777777" w:rsidR="00A05F90" w:rsidRPr="00A05F90" w:rsidRDefault="00A05F90" w:rsidP="00C6010B">
      <w:pPr>
        <w:numPr>
          <w:ilvl w:val="0"/>
          <w:numId w:val="10"/>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Los gastos deben registrarse en el sistema en el período en que se recibieron los bienes o se prestaron los servicios. Ejemplo - Los gastos declarados en un DDP de enero a marzo y presentados en abril deben registrarse en el período de enero a marzo para garantizar el cumplimiento de las NICSP.</w:t>
      </w:r>
    </w:p>
    <w:p w14:paraId="1DF0FC9E" w14:textId="4E957745" w:rsidR="00A05F90" w:rsidRPr="00A05F90" w:rsidRDefault="00A05F90" w:rsidP="00C6010B">
      <w:pPr>
        <w:spacing w:after="24" w:line="259" w:lineRule="auto"/>
        <w:ind w:left="90" w:hanging="450"/>
        <w:rPr>
          <w:rFonts w:ascii="Calibri" w:eastAsia="Calibri" w:hAnsi="Calibri" w:cs="Calibri"/>
          <w:color w:val="000000"/>
          <w:kern w:val="0"/>
          <w:sz w:val="22"/>
          <w:szCs w:val="22"/>
          <w:lang w:val="es-ES" w:eastAsia="es-ES" w:bidi="es-ES"/>
          <w14:ligatures w14:val="none"/>
        </w:rPr>
      </w:pPr>
    </w:p>
    <w:p w14:paraId="4117F2A5" w14:textId="77777777" w:rsidR="00A05F90" w:rsidRPr="00A05F90" w:rsidRDefault="00A05F90" w:rsidP="00C6010B">
      <w:pPr>
        <w:numPr>
          <w:ilvl w:val="0"/>
          <w:numId w:val="10"/>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Todos los PDR se introducen en una plataforma puente denominada UNEX (sistema de gastos de las Naciones Unidas) y son procesados en Quantum por la GSSC. </w:t>
      </w:r>
    </w:p>
    <w:p w14:paraId="4EC47517" w14:textId="570D6CF4" w:rsidR="00A05F90" w:rsidRPr="00A05F90" w:rsidRDefault="00A05F90" w:rsidP="00C6010B">
      <w:pPr>
        <w:spacing w:after="24" w:line="259" w:lineRule="auto"/>
        <w:ind w:left="90" w:hanging="450"/>
        <w:rPr>
          <w:rFonts w:ascii="Calibri" w:eastAsia="Calibri" w:hAnsi="Calibri" w:cs="Calibri"/>
          <w:color w:val="000000"/>
          <w:kern w:val="0"/>
          <w:sz w:val="22"/>
          <w:szCs w:val="22"/>
          <w:lang w:val="es-ES" w:eastAsia="es-ES" w:bidi="es-ES"/>
          <w14:ligatures w14:val="none"/>
        </w:rPr>
      </w:pPr>
    </w:p>
    <w:p w14:paraId="61CCC254" w14:textId="77777777" w:rsidR="00A05F90" w:rsidRPr="00A05F90" w:rsidRDefault="00A05F90" w:rsidP="00C6010B">
      <w:pPr>
        <w:numPr>
          <w:ilvl w:val="0"/>
          <w:numId w:val="10"/>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Los presupuestos de los proyectos Quantum del PNUD están orientados a los resultados, a diferencia de los presupuestos tradicionales de insumos utilizados por la mayoría de los demás organismos de las </w:t>
      </w:r>
      <w:r w:rsidRPr="00A05F90">
        <w:rPr>
          <w:rFonts w:ascii="Calibri" w:eastAsia="Calibri" w:hAnsi="Calibri" w:cs="Calibri"/>
          <w:color w:val="000000"/>
          <w:kern w:val="0"/>
          <w:sz w:val="22"/>
          <w:szCs w:val="22"/>
          <w:lang w:val="es-ES" w:eastAsia="es-ES" w:bidi="es-ES"/>
          <w14:ligatures w14:val="none"/>
        </w:rPr>
        <w:lastRenderedPageBreak/>
        <w:t>Naciones Unidas. UNEX traduce la codificación de gastos de la agencia a la utilizada en Quantum, prorrateando los costes con respecto al donante y la actividad que no existen en los presupuestos estándar de la ONU</w:t>
      </w:r>
      <w:r w:rsidRPr="00A05F90">
        <w:rPr>
          <w:rFonts w:ascii="Calibri" w:eastAsia="Calibri" w:hAnsi="Calibri" w:cs="Calibri"/>
          <w:kern w:val="0"/>
          <w:sz w:val="22"/>
          <w:szCs w:val="22"/>
          <w:lang w:val="es-ES" w:eastAsia="es-ES" w:bidi="es-ES"/>
          <w14:ligatures w14:val="none"/>
        </w:rPr>
        <w:t xml:space="preserve">.  </w:t>
      </w:r>
    </w:p>
    <w:p w14:paraId="0747FB98" w14:textId="77777777" w:rsidR="00A05F90" w:rsidRPr="00A05F90" w:rsidRDefault="00A05F90" w:rsidP="00C6010B">
      <w:pPr>
        <w:spacing w:after="4" w:line="250" w:lineRule="auto"/>
        <w:ind w:left="90" w:right="3" w:hanging="450"/>
        <w:contextualSpacing/>
        <w:jc w:val="both"/>
        <w:rPr>
          <w:rFonts w:ascii="Calibri" w:eastAsia="Calibri" w:hAnsi="Calibri" w:cs="Calibri"/>
          <w:color w:val="000000"/>
          <w:kern w:val="0"/>
          <w:sz w:val="22"/>
          <w:szCs w:val="22"/>
          <w:lang w:val="es-ES" w:eastAsia="es-ES" w:bidi="es-ES"/>
          <w14:ligatures w14:val="none"/>
        </w:rPr>
      </w:pPr>
    </w:p>
    <w:p w14:paraId="5978E02D" w14:textId="29FA5880" w:rsidR="00A05F90" w:rsidRPr="00A05F90" w:rsidRDefault="00A05F90" w:rsidP="00C6010B">
      <w:pPr>
        <w:numPr>
          <w:ilvl w:val="0"/>
          <w:numId w:val="10"/>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Los oficiales de programa son responsables de todos los gastos relativos a su cartera de proyectos, incluido el seguimiento de los gastos de los proyectos en UNEX, donde pueden modificar el prorrateo automático y rechazar gastos, según proceda.</w:t>
      </w:r>
    </w:p>
    <w:p w14:paraId="1047D56A" w14:textId="77777777" w:rsidR="00A05F90" w:rsidRPr="00C6010B" w:rsidRDefault="00A05F90" w:rsidP="00C6010B">
      <w:pPr>
        <w:rPr>
          <w:rFonts w:ascii="Calibri" w:hAnsi="Calibri" w:cs="Calibri"/>
          <w:sz w:val="22"/>
          <w:szCs w:val="22"/>
        </w:rPr>
      </w:pPr>
    </w:p>
    <w:p w14:paraId="0D3CF618" w14:textId="431824C8" w:rsidR="00A05F90" w:rsidRPr="00A05F90" w:rsidRDefault="00A05F90" w:rsidP="00A05F90">
      <w:pPr>
        <w:keepNext/>
        <w:keepLines/>
        <w:spacing w:after="302" w:line="259" w:lineRule="auto"/>
        <w:ind w:left="-5" w:hanging="10"/>
        <w:outlineLvl w:val="0"/>
        <w:rPr>
          <w:rFonts w:ascii="Calibri" w:eastAsia="Calibri" w:hAnsi="Calibri" w:cs="Calibri"/>
          <w:b/>
          <w:color w:val="000000"/>
          <w:kern w:val="0"/>
          <w:sz w:val="22"/>
          <w:szCs w:val="22"/>
          <w:lang w:val="es-ES" w:eastAsia="es-ES" w:bidi="es-ES"/>
          <w14:ligatures w14:val="none"/>
        </w:rPr>
      </w:pPr>
      <w:r w:rsidRPr="00A05F90">
        <w:rPr>
          <w:rFonts w:ascii="Calibri" w:eastAsia="Calibri" w:hAnsi="Calibri" w:cs="Calibri"/>
          <w:b/>
          <w:color w:val="000000"/>
          <w:kern w:val="0"/>
          <w:sz w:val="22"/>
          <w:szCs w:val="22"/>
          <w:lang w:val="es-ES" w:eastAsia="es-ES" w:bidi="es-ES"/>
          <w14:ligatures w14:val="none"/>
        </w:rPr>
        <w:t xml:space="preserve">Registro y Supervisión de los Gastos del PDR </w:t>
      </w:r>
    </w:p>
    <w:p w14:paraId="227A348F"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1F9A42EF"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21AC3030"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47B20659"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0AAF06DE"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609CC03F"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184F3961"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1C292988"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761760E4"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1474132D"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42886430"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7356D635"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60EB816C" w14:textId="77777777" w:rsidR="00A05F90" w:rsidRPr="00A05F90" w:rsidRDefault="00A05F90" w:rsidP="00A05F90">
      <w:pPr>
        <w:pStyle w:val="ListParagraph"/>
        <w:numPr>
          <w:ilvl w:val="0"/>
          <w:numId w:val="4"/>
        </w:numPr>
        <w:spacing w:after="33" w:line="250" w:lineRule="auto"/>
        <w:ind w:right="3"/>
        <w:contextualSpacing w:val="0"/>
        <w:jc w:val="both"/>
        <w:rPr>
          <w:rFonts w:ascii="Calibri" w:eastAsia="Calibri" w:hAnsi="Calibri" w:cs="Calibri"/>
          <w:vanish/>
          <w:color w:val="000000"/>
          <w:kern w:val="0"/>
          <w:sz w:val="22"/>
          <w:szCs w:val="22"/>
          <w:lang w:val="es-ES" w:eastAsia="es-ES" w:bidi="es-ES"/>
          <w14:ligatures w14:val="none"/>
        </w:rPr>
      </w:pPr>
    </w:p>
    <w:p w14:paraId="76B99EBA" w14:textId="6564A3C4" w:rsidR="00A05F90" w:rsidRPr="00A05F90" w:rsidRDefault="00A05F90" w:rsidP="00C6010B">
      <w:pPr>
        <w:numPr>
          <w:ilvl w:val="0"/>
          <w:numId w:val="4"/>
        </w:numPr>
        <w:spacing w:after="33"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La responsabilidad final de todos los gastos de la agencia de la ONU recae sobre el Oficial de Programa del PNUD, quien debe hacer lo siguiente: </w:t>
      </w:r>
    </w:p>
    <w:p w14:paraId="4A0B459F" w14:textId="77777777" w:rsidR="00A05F90" w:rsidRPr="00A05F90" w:rsidRDefault="00A05F90" w:rsidP="00C6010B">
      <w:pPr>
        <w:numPr>
          <w:ilvl w:val="1"/>
          <w:numId w:val="3"/>
        </w:numPr>
        <w:spacing w:after="2" w:line="259" w:lineRule="auto"/>
        <w:ind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Garantizar que los presupuestos del proyecto se hayan ingresado correctamente en Quantum antes de que comiencen las actividades, y </w:t>
      </w:r>
    </w:p>
    <w:p w14:paraId="2D7ACEF0" w14:textId="77777777" w:rsidR="00A05F90" w:rsidRPr="00A05F90" w:rsidRDefault="00A05F90" w:rsidP="00C6010B">
      <w:pPr>
        <w:numPr>
          <w:ilvl w:val="1"/>
          <w:numId w:val="3"/>
        </w:numPr>
        <w:spacing w:after="38" w:line="250" w:lineRule="auto"/>
        <w:ind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Revisar los PDR entrantes de manera oportuna con el fin de aceptar los gastos que sean coherentes con el plan de trabajo anual (AWP) y el Reglamento Financiero y Reglamentación Financiera Detallada (FRR) del PNUD, y </w:t>
      </w:r>
      <w:r w:rsidRPr="00A05F90">
        <w:rPr>
          <w:rFonts w:ascii="Calibri" w:eastAsia="Calibri" w:hAnsi="Calibri" w:cs="Calibri"/>
          <w:color w:val="333333"/>
          <w:kern w:val="0"/>
          <w:sz w:val="22"/>
          <w:szCs w:val="22"/>
          <w:lang w:val="es-ES" w:eastAsia="es-ES" w:bidi="es-ES"/>
          <w14:ligatures w14:val="none"/>
        </w:rPr>
        <w:t xml:space="preserve"> </w:t>
      </w:r>
    </w:p>
    <w:p w14:paraId="5B618F6C" w14:textId="77777777" w:rsidR="00A05F90" w:rsidRPr="00A05F90" w:rsidRDefault="00A05F90" w:rsidP="00C6010B">
      <w:pPr>
        <w:numPr>
          <w:ilvl w:val="1"/>
          <w:numId w:val="3"/>
        </w:numPr>
        <w:spacing w:after="4" w:line="250" w:lineRule="auto"/>
        <w:ind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Garantizar que los gastos de PDR entrantes se encuentren dentro del presupuesto establecido del proyecto y rechazar gastos de PDR incorrectos.</w:t>
      </w:r>
      <w:r w:rsidRPr="00A05F90">
        <w:rPr>
          <w:rFonts w:ascii="Calibri" w:eastAsia="Calibri" w:hAnsi="Calibri" w:cs="Calibri"/>
          <w:color w:val="333333"/>
          <w:kern w:val="0"/>
          <w:sz w:val="22"/>
          <w:szCs w:val="22"/>
          <w:lang w:val="es-ES" w:eastAsia="es-ES" w:bidi="es-ES"/>
          <w14:ligatures w14:val="none"/>
        </w:rPr>
        <w:t xml:space="preserve"> </w:t>
      </w:r>
    </w:p>
    <w:p w14:paraId="48C811F4" w14:textId="77777777" w:rsidR="00A05F90" w:rsidRPr="00A05F90" w:rsidRDefault="00A05F90" w:rsidP="00C6010B">
      <w:pPr>
        <w:spacing w:after="20" w:line="259" w:lineRule="auto"/>
        <w:ind w:left="90" w:hanging="450"/>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3E6590D0" w14:textId="77777777" w:rsidR="00A05F90" w:rsidRPr="00A05F90" w:rsidRDefault="00A05F90" w:rsidP="00C6010B">
      <w:pPr>
        <w:numPr>
          <w:ilvl w:val="0"/>
          <w:numId w:val="4"/>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Los gastos de PDR pueden rechazarse en cualquier momento si se dispone de información posterior que cuestione la idoneidad de los gastos previamente aceptados y registrados en el sistema. </w:t>
      </w:r>
    </w:p>
    <w:p w14:paraId="597146DD" w14:textId="77777777" w:rsidR="00A05F90" w:rsidRPr="00A05F90" w:rsidRDefault="00A05F90" w:rsidP="00C6010B">
      <w:pPr>
        <w:spacing w:after="22" w:line="259" w:lineRule="auto"/>
        <w:ind w:left="90" w:hanging="450"/>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69B87B2D" w14:textId="3E799411" w:rsidR="00A05F90" w:rsidRPr="00A05F90" w:rsidRDefault="00A05F90" w:rsidP="00C6010B">
      <w:pPr>
        <w:numPr>
          <w:ilvl w:val="0"/>
          <w:numId w:val="4"/>
        </w:numPr>
        <w:spacing w:after="4" w:line="250" w:lineRule="auto"/>
        <w:ind w:left="90" w:right="3" w:hanging="450"/>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Los presupuestos del proyecto y los Límites de Gasto Autorizados (ASL) constituyen </w:t>
      </w:r>
      <w:proofErr w:type="gramStart"/>
      <w:r w:rsidRPr="00A05F90">
        <w:rPr>
          <w:rFonts w:ascii="Calibri" w:eastAsia="Calibri" w:hAnsi="Calibri" w:cs="Calibri"/>
          <w:color w:val="000000"/>
          <w:kern w:val="0"/>
          <w:sz w:val="22"/>
          <w:szCs w:val="22"/>
          <w:lang w:val="es-ES" w:eastAsia="es-ES" w:bidi="es-ES"/>
          <w14:ligatures w14:val="none"/>
        </w:rPr>
        <w:t xml:space="preserve">límites </w:t>
      </w:r>
      <w:r>
        <w:rPr>
          <w:rFonts w:ascii="Calibri" w:eastAsia="Calibri" w:hAnsi="Calibri" w:cs="Calibri"/>
          <w:color w:val="000000"/>
          <w:kern w:val="0"/>
          <w:sz w:val="22"/>
          <w:szCs w:val="22"/>
          <w:lang w:val="es-ES" w:eastAsia="es-ES" w:bidi="es-ES"/>
          <w14:ligatures w14:val="none"/>
        </w:rPr>
        <w:t xml:space="preserve"> </w:t>
      </w:r>
      <w:r w:rsidRPr="00A05F90">
        <w:rPr>
          <w:rFonts w:ascii="Calibri" w:eastAsia="Calibri" w:hAnsi="Calibri" w:cs="Calibri"/>
          <w:color w:val="000000"/>
          <w:kern w:val="0"/>
          <w:sz w:val="22"/>
          <w:szCs w:val="22"/>
          <w:lang w:val="es-ES" w:eastAsia="es-ES" w:bidi="es-ES"/>
          <w14:ligatures w14:val="none"/>
        </w:rPr>
        <w:t>máximos</w:t>
      </w:r>
      <w:proofErr w:type="gramEnd"/>
      <w:r w:rsidRPr="00A05F90">
        <w:rPr>
          <w:rFonts w:ascii="Calibri" w:eastAsia="Calibri" w:hAnsi="Calibri" w:cs="Calibri"/>
          <w:color w:val="000000"/>
          <w:kern w:val="0"/>
          <w:sz w:val="22"/>
          <w:szCs w:val="22"/>
          <w:lang w:val="es-ES" w:eastAsia="es-ES" w:bidi="es-ES"/>
          <w14:ligatures w14:val="none"/>
        </w:rPr>
        <w:t xml:space="preserve"> para los gastos en las actividades del programa del PNUD para los años actuales y</w:t>
      </w:r>
      <w:r>
        <w:rPr>
          <w:rFonts w:ascii="Calibri" w:eastAsia="Calibri" w:hAnsi="Calibri" w:cs="Calibri"/>
          <w:color w:val="000000"/>
          <w:kern w:val="0"/>
          <w:sz w:val="22"/>
          <w:szCs w:val="22"/>
          <w:lang w:val="es-ES" w:eastAsia="es-ES" w:bidi="es-ES"/>
          <w14:ligatures w14:val="none"/>
        </w:rPr>
        <w:t xml:space="preserve"> </w:t>
      </w:r>
      <w:r w:rsidRPr="00A05F90">
        <w:rPr>
          <w:rFonts w:ascii="Calibri" w:eastAsia="Calibri" w:hAnsi="Calibri" w:cs="Calibri"/>
          <w:color w:val="000000"/>
          <w:kern w:val="0"/>
          <w:sz w:val="22"/>
          <w:szCs w:val="22"/>
          <w:lang w:val="es-ES" w:eastAsia="es-ES" w:bidi="es-ES"/>
          <w14:ligatures w14:val="none"/>
        </w:rPr>
        <w:t>futuros.</w:t>
      </w:r>
      <w:r>
        <w:rPr>
          <w:rFonts w:ascii="Calibri" w:eastAsia="Calibri" w:hAnsi="Calibri" w:cs="Calibri"/>
          <w:color w:val="000000"/>
          <w:kern w:val="0"/>
          <w:sz w:val="22"/>
          <w:szCs w:val="22"/>
          <w:lang w:val="es-ES" w:eastAsia="es-ES" w:bidi="es-ES"/>
          <w14:ligatures w14:val="none"/>
        </w:rPr>
        <w:t xml:space="preserve"> </w:t>
      </w:r>
      <w:r w:rsidRPr="00A05F90">
        <w:rPr>
          <w:rFonts w:ascii="Calibri" w:eastAsia="Calibri" w:hAnsi="Calibri" w:cs="Calibri"/>
          <w:color w:val="000000"/>
          <w:kern w:val="0"/>
          <w:sz w:val="22"/>
          <w:szCs w:val="22"/>
          <w:lang w:val="es-ES" w:eastAsia="es-ES" w:bidi="es-ES"/>
          <w14:ligatures w14:val="none"/>
        </w:rPr>
        <w:t>La</w:t>
      </w:r>
      <w:r>
        <w:rPr>
          <w:rFonts w:ascii="Calibri" w:eastAsia="Calibri" w:hAnsi="Calibri" w:cs="Calibri"/>
          <w:color w:val="000000"/>
          <w:kern w:val="0"/>
          <w:sz w:val="22"/>
          <w:szCs w:val="22"/>
          <w:lang w:val="es-ES" w:eastAsia="es-ES" w:bidi="es-ES"/>
          <w14:ligatures w14:val="none"/>
        </w:rPr>
        <w:t xml:space="preserve"> </w:t>
      </w:r>
      <w:r w:rsidRPr="00A05F90">
        <w:rPr>
          <w:rFonts w:ascii="Calibri" w:eastAsia="Calibri" w:hAnsi="Calibri" w:cs="Calibri"/>
          <w:color w:val="000000"/>
          <w:kern w:val="0"/>
          <w:sz w:val="22"/>
          <w:szCs w:val="22"/>
          <w:lang w:val="es-ES" w:eastAsia="es-ES" w:bidi="es-ES"/>
          <w14:ligatures w14:val="none"/>
        </w:rPr>
        <w:t xml:space="preserve">Reglamentación Financiera 118.07 (b) establece lo siguiente: </w:t>
      </w:r>
    </w:p>
    <w:p w14:paraId="655A66F4" w14:textId="77777777" w:rsidR="00A05F90" w:rsidRPr="00A05F90" w:rsidRDefault="00A05F90" w:rsidP="00C6010B">
      <w:pPr>
        <w:spacing w:after="0" w:line="259" w:lineRule="auto"/>
        <w:ind w:left="90" w:hanging="450"/>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582C9746" w14:textId="77777777" w:rsidR="00A05F90" w:rsidRPr="00A05F90" w:rsidRDefault="00A05F90" w:rsidP="00C6010B">
      <w:pPr>
        <w:spacing w:after="281" w:line="239" w:lineRule="auto"/>
        <w:ind w:left="90" w:right="4"/>
        <w:jc w:val="both"/>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b/>
          <w:i/>
          <w:color w:val="000000"/>
          <w:kern w:val="0"/>
          <w:sz w:val="22"/>
          <w:szCs w:val="22"/>
          <w:lang w:val="es-ES" w:eastAsia="es-ES" w:bidi="es-ES"/>
          <w14:ligatures w14:val="none"/>
        </w:rPr>
        <w:t xml:space="preserve">«En un año determinado, los gastos de un asociado en la ejecución pueden exceder el presupuesto aprobado de un proyecto para ese año en un 4 por ciento del presupuesto anual del proyecto de ese año (sin incluir el presupuesto de distribución de costos y fondo fiduciario). Estos gastos adicionales se aprueban siempre que el monto total en exceso de dicha agencia o asociado para ese año no exceda el 2 por ciento del fondo total del PNUD (sin incluir la distribución de costos y los fondos fiduciarios) aprobado para los gastos por esa agencia o asociado para ese año». </w:t>
      </w:r>
    </w:p>
    <w:p w14:paraId="41B44334" w14:textId="77777777" w:rsidR="00A05F90" w:rsidRPr="00A05F90" w:rsidRDefault="00A05F90" w:rsidP="00A05F90">
      <w:pPr>
        <w:keepNext/>
        <w:keepLines/>
        <w:spacing w:after="257" w:line="259" w:lineRule="auto"/>
        <w:ind w:left="-5" w:hanging="10"/>
        <w:outlineLvl w:val="0"/>
        <w:rPr>
          <w:rFonts w:ascii="Calibri" w:eastAsia="Calibri" w:hAnsi="Calibri" w:cs="Calibri"/>
          <w:b/>
          <w:color w:val="000000"/>
          <w:kern w:val="0"/>
          <w:sz w:val="22"/>
          <w:szCs w:val="22"/>
          <w:lang w:val="es-ES" w:eastAsia="es-ES" w:bidi="es-ES"/>
          <w14:ligatures w14:val="none"/>
        </w:rPr>
      </w:pPr>
      <w:r w:rsidRPr="00A05F90">
        <w:rPr>
          <w:rFonts w:ascii="Calibri" w:eastAsia="Calibri" w:hAnsi="Calibri" w:cs="Calibri"/>
          <w:b/>
          <w:color w:val="000000"/>
          <w:kern w:val="0"/>
          <w:sz w:val="22"/>
          <w:szCs w:val="22"/>
          <w:lang w:val="es-ES" w:eastAsia="es-ES" w:bidi="es-ES"/>
          <w14:ligatures w14:val="none"/>
        </w:rPr>
        <w:t xml:space="preserve">Cierre del Proyecto </w:t>
      </w:r>
    </w:p>
    <w:p w14:paraId="13D41E86" w14:textId="77777777" w:rsidR="00A05F90" w:rsidRPr="00A05F90" w:rsidRDefault="00A05F90" w:rsidP="00A05F90">
      <w:pPr>
        <w:pStyle w:val="ListParagraph"/>
        <w:numPr>
          <w:ilvl w:val="0"/>
          <w:numId w:val="10"/>
        </w:numPr>
        <w:spacing w:after="4" w:line="250" w:lineRule="auto"/>
        <w:jc w:val="both"/>
        <w:rPr>
          <w:rFonts w:ascii="Calibri" w:eastAsia="Calibri" w:hAnsi="Calibri" w:cs="Calibri"/>
          <w:vanish/>
          <w:kern w:val="0"/>
          <w:sz w:val="22"/>
          <w:szCs w:val="22"/>
          <w:lang w:val="es-ES" w:eastAsia="es-ES" w:bidi="es-ES"/>
          <w14:ligatures w14:val="none"/>
        </w:rPr>
      </w:pPr>
    </w:p>
    <w:p w14:paraId="62E9B45B" w14:textId="77777777" w:rsidR="00A05F90" w:rsidRPr="00A05F90" w:rsidRDefault="00A05F90" w:rsidP="00A05F90">
      <w:pPr>
        <w:pStyle w:val="ListParagraph"/>
        <w:numPr>
          <w:ilvl w:val="0"/>
          <w:numId w:val="10"/>
        </w:numPr>
        <w:spacing w:after="4" w:line="250" w:lineRule="auto"/>
        <w:jc w:val="both"/>
        <w:rPr>
          <w:rFonts w:ascii="Calibri" w:eastAsia="Calibri" w:hAnsi="Calibri" w:cs="Calibri"/>
          <w:vanish/>
          <w:kern w:val="0"/>
          <w:sz w:val="22"/>
          <w:szCs w:val="22"/>
          <w:lang w:val="es-ES" w:eastAsia="es-ES" w:bidi="es-ES"/>
          <w14:ligatures w14:val="none"/>
        </w:rPr>
      </w:pPr>
    </w:p>
    <w:p w14:paraId="628A1E5D" w14:textId="77777777" w:rsidR="00A05F90" w:rsidRPr="00A05F90" w:rsidRDefault="00A05F90" w:rsidP="00A05F90">
      <w:pPr>
        <w:pStyle w:val="ListParagraph"/>
        <w:numPr>
          <w:ilvl w:val="0"/>
          <w:numId w:val="10"/>
        </w:numPr>
        <w:spacing w:after="4" w:line="250" w:lineRule="auto"/>
        <w:jc w:val="both"/>
        <w:rPr>
          <w:rFonts w:ascii="Calibri" w:eastAsia="Calibri" w:hAnsi="Calibri" w:cs="Calibri"/>
          <w:vanish/>
          <w:kern w:val="0"/>
          <w:sz w:val="22"/>
          <w:szCs w:val="22"/>
          <w:lang w:val="es-ES" w:eastAsia="es-ES" w:bidi="es-ES"/>
          <w14:ligatures w14:val="none"/>
        </w:rPr>
      </w:pPr>
    </w:p>
    <w:p w14:paraId="2619A120" w14:textId="77777777" w:rsidR="00A05F90" w:rsidRPr="00A05F90" w:rsidRDefault="00A05F90" w:rsidP="00A05F90">
      <w:pPr>
        <w:pStyle w:val="ListParagraph"/>
        <w:numPr>
          <w:ilvl w:val="0"/>
          <w:numId w:val="10"/>
        </w:numPr>
        <w:spacing w:after="4" w:line="250" w:lineRule="auto"/>
        <w:jc w:val="both"/>
        <w:rPr>
          <w:rFonts w:ascii="Calibri" w:eastAsia="Calibri" w:hAnsi="Calibri" w:cs="Calibri"/>
          <w:vanish/>
          <w:kern w:val="0"/>
          <w:sz w:val="22"/>
          <w:szCs w:val="22"/>
          <w:lang w:val="es-ES" w:eastAsia="es-ES" w:bidi="es-ES"/>
          <w14:ligatures w14:val="none"/>
        </w:rPr>
      </w:pPr>
    </w:p>
    <w:p w14:paraId="01C93D6D" w14:textId="35837600" w:rsidR="00A05F90" w:rsidRPr="00C6010B" w:rsidRDefault="00A05F90" w:rsidP="00C6010B">
      <w:pPr>
        <w:pStyle w:val="ListParagraph"/>
        <w:numPr>
          <w:ilvl w:val="0"/>
          <w:numId w:val="10"/>
        </w:numPr>
        <w:spacing w:after="4" w:line="250" w:lineRule="auto"/>
        <w:ind w:hanging="360"/>
        <w:jc w:val="both"/>
        <w:rPr>
          <w:rFonts w:ascii="Calibri" w:eastAsia="Calibri" w:hAnsi="Calibri" w:cs="Calibri"/>
          <w:color w:val="000000"/>
          <w:kern w:val="0"/>
          <w:sz w:val="22"/>
          <w:szCs w:val="22"/>
          <w:lang w:val="es-ES" w:eastAsia="es-ES" w:bidi="es-ES"/>
          <w14:ligatures w14:val="none"/>
        </w:rPr>
      </w:pPr>
      <w:r w:rsidRPr="00C6010B">
        <w:rPr>
          <w:rFonts w:ascii="Calibri" w:eastAsia="Calibri" w:hAnsi="Calibri" w:cs="Calibri"/>
          <w:color w:val="000000"/>
          <w:kern w:val="0"/>
          <w:sz w:val="22"/>
          <w:szCs w:val="22"/>
          <w:lang w:val="es-ES" w:eastAsia="es-ES" w:bidi="es-ES"/>
          <w14:ligatures w14:val="none"/>
        </w:rPr>
        <w:t xml:space="preserve">Tan pronto como las actividades del proyecto del PNUD finalicen, el asociado en la ejecución declarará el proyecto operacionalmente completado. Informará al PNUD de dicha compleción operacional y enviará al PNUD una revisión de presupuesto, conforme a los procedimientos establecidos para la revisión de presupuestos. Las actividades del programa del PNUD se considerarán financieramente completadas cuando finalicen o se completen a nivel operacional, y siempre que se hayan registrado </w:t>
      </w:r>
      <w:r w:rsidRPr="00C6010B">
        <w:rPr>
          <w:rFonts w:ascii="Calibri" w:eastAsia="Calibri" w:hAnsi="Calibri" w:cs="Calibri"/>
          <w:color w:val="000000"/>
          <w:kern w:val="0"/>
          <w:sz w:val="22"/>
          <w:szCs w:val="22"/>
          <w:lang w:val="es-ES" w:eastAsia="es-ES" w:bidi="es-ES"/>
          <w14:ligatures w14:val="none"/>
        </w:rPr>
        <w:lastRenderedPageBreak/>
        <w:t>todas las transacciones financieras, se hayan cerrados las cuentas relevantes y se haya aprobado una revisión final del presupuesto del proyecto.</w:t>
      </w:r>
      <w:r w:rsidRPr="00C6010B">
        <w:rPr>
          <w:rFonts w:ascii="Calibri" w:eastAsia="Calibri" w:hAnsi="Calibri" w:cs="Calibri"/>
          <w:color w:val="333333"/>
          <w:kern w:val="0"/>
          <w:sz w:val="22"/>
          <w:szCs w:val="22"/>
          <w:lang w:val="es-ES" w:eastAsia="es-ES" w:bidi="es-ES"/>
          <w14:ligatures w14:val="none"/>
        </w:rPr>
        <w:t xml:space="preserve">  </w:t>
      </w:r>
    </w:p>
    <w:p w14:paraId="1D017A0A" w14:textId="77777777" w:rsidR="00C6010B" w:rsidRPr="00C6010B" w:rsidRDefault="00C6010B" w:rsidP="00C6010B">
      <w:pPr>
        <w:pStyle w:val="ListParagraph"/>
        <w:spacing w:after="4" w:line="250" w:lineRule="auto"/>
        <w:ind w:left="0"/>
        <w:jc w:val="both"/>
        <w:rPr>
          <w:rFonts w:ascii="Calibri" w:eastAsia="Calibri" w:hAnsi="Calibri" w:cs="Calibri"/>
          <w:color w:val="000000"/>
          <w:kern w:val="0"/>
          <w:sz w:val="22"/>
          <w:szCs w:val="22"/>
          <w:lang w:val="es-ES" w:eastAsia="es-ES" w:bidi="es-ES"/>
          <w14:ligatures w14:val="none"/>
        </w:rPr>
      </w:pPr>
    </w:p>
    <w:p w14:paraId="20463BD1" w14:textId="77777777" w:rsidR="00A05F90" w:rsidRPr="00A05F90" w:rsidRDefault="00A05F90" w:rsidP="00A05F90">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5F90">
        <w:rPr>
          <w:rFonts w:ascii="Calibri" w:eastAsia="Calibri" w:hAnsi="Calibri" w:cs="Calibri"/>
          <w:b/>
          <w:color w:val="000000"/>
          <w:kern w:val="0"/>
          <w:sz w:val="22"/>
          <w:szCs w:val="22"/>
          <w:lang w:val="es-ES" w:eastAsia="es-ES" w:bidi="es-ES"/>
          <w14:ligatures w14:val="none"/>
        </w:rPr>
        <w:t xml:space="preserve">Auditoría </w:t>
      </w:r>
    </w:p>
    <w:p w14:paraId="417183C4" w14:textId="77777777" w:rsidR="00A05F90" w:rsidRPr="00A05F90" w:rsidRDefault="00A05F90" w:rsidP="00A05F90">
      <w:pPr>
        <w:spacing w:after="22"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3AD8C195" w14:textId="1D80D7C8" w:rsidR="00A05F90" w:rsidRPr="00C6010B" w:rsidRDefault="00A05F90" w:rsidP="00C6010B">
      <w:pPr>
        <w:pStyle w:val="ListParagraph"/>
        <w:numPr>
          <w:ilvl w:val="0"/>
          <w:numId w:val="10"/>
        </w:numPr>
        <w:spacing w:after="4" w:line="250" w:lineRule="auto"/>
        <w:ind w:hanging="360"/>
        <w:jc w:val="both"/>
        <w:rPr>
          <w:rFonts w:ascii="Calibri" w:eastAsia="Calibri" w:hAnsi="Calibri" w:cs="Calibri"/>
          <w:color w:val="000000"/>
          <w:kern w:val="0"/>
          <w:sz w:val="22"/>
          <w:szCs w:val="22"/>
          <w:lang w:val="es-ES" w:eastAsia="es-ES" w:bidi="es-ES"/>
          <w14:ligatures w14:val="none"/>
        </w:rPr>
      </w:pPr>
      <w:r w:rsidRPr="00C6010B">
        <w:rPr>
          <w:rFonts w:ascii="Calibri" w:eastAsia="Calibri" w:hAnsi="Calibri" w:cs="Calibri"/>
          <w:color w:val="000000"/>
          <w:kern w:val="0"/>
          <w:sz w:val="22"/>
          <w:szCs w:val="22"/>
          <w:lang w:val="es-ES" w:eastAsia="es-ES" w:bidi="es-ES"/>
          <w14:ligatures w14:val="none"/>
        </w:rPr>
        <w:t>La auditoría de los programas y los proyectos ejecutados por una Agencia de la ONU son realizadas por los auditores debidamente designados de esa agencia. Si una Oficina del PNUD tiene inquietudes sobre la ejecución de un proyecto o un programa, debe expresar dichas inquietudes a la Agencia de la ONU. Si la Oficina del PNUD no está satisfecha con la reacción de la institución, podrá reenviar las inquietudes a la Oficina de Auditoría e Investigaciones (OAI). La política del PNUD exige que un proyecto debe auditarse al menos una vez durante su período de actividad (OIL). El nuevo criterio para las auditorías OIL exige que se audite un proyecto al menos una vez durante su período de actividad en el año siguiente a aquel en que los gastos acumulativos alcancen o superen los USD 300 000.  Este criterio no rige en el primer año de actividades de un proyecto.</w:t>
      </w:r>
      <w:r>
        <w:rPr>
          <w:rFonts w:ascii="Calibri" w:eastAsia="Calibri" w:hAnsi="Calibri" w:cs="Calibri"/>
          <w:color w:val="000000"/>
          <w:kern w:val="0"/>
          <w:sz w:val="22"/>
          <w:szCs w:val="22"/>
          <w:lang w:val="es-ES" w:eastAsia="es-ES" w:bidi="es-ES"/>
          <w14:ligatures w14:val="none"/>
        </w:rPr>
        <w:t xml:space="preserve"> </w:t>
      </w:r>
      <w:r w:rsidRPr="00C6010B">
        <w:rPr>
          <w:rFonts w:ascii="Calibri" w:eastAsia="Calibri" w:hAnsi="Calibri" w:cs="Calibri"/>
          <w:color w:val="000000"/>
          <w:kern w:val="0"/>
          <w:sz w:val="22"/>
          <w:szCs w:val="22"/>
          <w:lang w:val="es-ES" w:eastAsia="es-ES" w:bidi="es-ES"/>
          <w14:ligatures w14:val="none"/>
        </w:rPr>
        <w:t xml:space="preserve">La auditoría vencerá el año siguiente a aquel en que los gastos acumulativos hayan alcanzado o superado el umbral de USD 300 000. Por ejemplo, la auditoría de un proyecto se exigirá en el tercer año de actividades en los casos donde los gastos acumulativos en los primeros dos años hayan alcanzado o superado los USD 300 000 y el proyecto aún no haya estado sujeto a una auditoría. </w:t>
      </w:r>
    </w:p>
    <w:p w14:paraId="288740A1"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color w:val="000000"/>
          <w:kern w:val="0"/>
          <w:sz w:val="22"/>
          <w:szCs w:val="22"/>
          <w:lang w:val="es-ES" w:eastAsia="es-ES" w:bidi="es-ES"/>
          <w14:ligatures w14:val="none"/>
        </w:rPr>
        <w:t xml:space="preserve"> </w:t>
      </w:r>
    </w:p>
    <w:p w14:paraId="67C72F9C"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5F7A6CAE"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76A83676"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2E3E323F"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231A6B96"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479E2505"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18FF0E41"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0BD29A80"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297DCD89"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5A42BA9D"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4CFDFB91"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46A8BE0C"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528F9A11"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6A16517E"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75414E60"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65689F86"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79BCD22F"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5BD8549A"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153277C8"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4C29F358"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00695FF3"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0831DEFE" w14:textId="77777777" w:rsid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7C446866" w14:textId="5CB38D59"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p>
    <w:p w14:paraId="6765FEBF" w14:textId="77777777" w:rsidR="00A05F90" w:rsidRPr="00A05F90" w:rsidRDefault="00A05F90" w:rsidP="00A05F90">
      <w:pPr>
        <w:spacing w:after="0" w:line="259" w:lineRule="auto"/>
        <w:rPr>
          <w:rFonts w:ascii="Calibri" w:eastAsia="Calibri" w:hAnsi="Calibri" w:cs="Calibri"/>
          <w:kern w:val="0"/>
          <w:sz w:val="22"/>
          <w:szCs w:val="22"/>
          <w:lang w:val="es-ES" w:eastAsia="es-ES" w:bidi="es-ES"/>
          <w14:ligatures w14:val="none"/>
        </w:rPr>
      </w:pPr>
      <w:r w:rsidRPr="00A05F90">
        <w:rPr>
          <w:rFonts w:ascii="Calibri" w:eastAsia="Calibri" w:hAnsi="Calibri" w:cs="Calibri"/>
          <w:b/>
          <w:kern w:val="0"/>
          <w:sz w:val="22"/>
          <w:szCs w:val="22"/>
          <w:lang w:val="es-ES" w:eastAsia="es-ES" w:bidi="es-ES"/>
          <w14:ligatures w14:val="none"/>
        </w:rPr>
        <w:lastRenderedPageBreak/>
        <w:t xml:space="preserve">Anexo 1: Marco de Rendición de Cuentas para la Ejecución por parte de Agencias </w:t>
      </w:r>
      <w:r w:rsidRPr="00A05F90">
        <w:rPr>
          <w:rFonts w:ascii="Calibri" w:eastAsia="Calibri" w:hAnsi="Calibri" w:cs="Calibri"/>
          <w:kern w:val="0"/>
          <w:sz w:val="22"/>
          <w:szCs w:val="22"/>
          <w:lang w:val="es-ES" w:eastAsia="es-ES" w:bidi="es-ES"/>
          <w14:ligatures w14:val="none"/>
        </w:rPr>
        <w:t xml:space="preserve"> </w:t>
      </w:r>
    </w:p>
    <w:p w14:paraId="4EEAE297" w14:textId="77777777" w:rsidR="00A05F90" w:rsidRPr="00A05F90" w:rsidRDefault="00A05F90" w:rsidP="00A05F90">
      <w:pPr>
        <w:spacing w:after="0" w:line="259" w:lineRule="auto"/>
        <w:rPr>
          <w:rFonts w:ascii="Calibri" w:eastAsia="Calibri" w:hAnsi="Calibri" w:cs="Calibri"/>
          <w:color w:val="000000"/>
          <w:kern w:val="0"/>
          <w:sz w:val="22"/>
          <w:szCs w:val="22"/>
          <w:lang w:val="es-ES" w:eastAsia="es-ES" w:bidi="es-ES"/>
          <w14:ligatures w14:val="none"/>
        </w:rPr>
      </w:pPr>
      <w:r w:rsidRPr="00A05F90">
        <w:rPr>
          <w:rFonts w:ascii="Calibri" w:eastAsia="Calibri" w:hAnsi="Calibri" w:cs="Calibri"/>
          <w:kern w:val="0"/>
          <w:sz w:val="22"/>
          <w:szCs w:val="22"/>
          <w:lang w:val="es-ES" w:eastAsia="es-ES" w:bidi="es-ES"/>
          <w14:ligatures w14:val="none"/>
        </w:rPr>
        <w:t xml:space="preserve"> </w:t>
      </w:r>
    </w:p>
    <w:tbl>
      <w:tblPr>
        <w:tblStyle w:val="TableGrid"/>
        <w:tblW w:w="9210" w:type="dxa"/>
        <w:tblInd w:w="5" w:type="dxa"/>
        <w:tblCellMar>
          <w:top w:w="76" w:type="dxa"/>
          <w:left w:w="72" w:type="dxa"/>
          <w:bottom w:w="72" w:type="dxa"/>
          <w:right w:w="72" w:type="dxa"/>
        </w:tblCellMar>
        <w:tblLook w:val="04A0" w:firstRow="1" w:lastRow="0" w:firstColumn="1" w:lastColumn="0" w:noHBand="0" w:noVBand="1"/>
      </w:tblPr>
      <w:tblGrid>
        <w:gridCol w:w="1857"/>
        <w:gridCol w:w="16"/>
        <w:gridCol w:w="5654"/>
        <w:gridCol w:w="1533"/>
        <w:gridCol w:w="150"/>
      </w:tblGrid>
      <w:tr w:rsidR="00A05F90" w:rsidRPr="00A05F90" w14:paraId="3B6BBFCE" w14:textId="77777777" w:rsidTr="00C6010B">
        <w:trPr>
          <w:gridAfter w:val="1"/>
          <w:trHeight w:val="341"/>
        </w:trPr>
        <w:tc>
          <w:tcPr>
            <w:tcW w:w="9179" w:type="dxa"/>
            <w:gridSpan w:val="4"/>
            <w:tcBorders>
              <w:top w:val="single" w:sz="4" w:space="0" w:color="000000"/>
              <w:left w:val="single" w:sz="4" w:space="0" w:color="000000"/>
              <w:bottom w:val="single" w:sz="4" w:space="0" w:color="000000"/>
              <w:right w:val="single" w:sz="4" w:space="0" w:color="000000"/>
            </w:tcBorders>
            <w:hideMark/>
          </w:tcPr>
          <w:p w14:paraId="2403A8B4" w14:textId="77777777" w:rsidR="00A05F90" w:rsidRPr="00A05F90" w:rsidRDefault="00A05F90" w:rsidP="00A05F90">
            <w:pPr>
              <w:spacing w:line="256" w:lineRule="auto"/>
              <w:ind w:left="2"/>
              <w:rPr>
                <w:rFonts w:ascii="Calibri" w:eastAsia="Calibri" w:hAnsi="Calibri" w:cs="Calibri"/>
              </w:rPr>
            </w:pPr>
            <w:r w:rsidRPr="00A05F90">
              <w:rPr>
                <w:rFonts w:ascii="Calibri" w:eastAsia="Calibri" w:hAnsi="Calibri" w:cs="Calibri"/>
              </w:rPr>
              <w:t xml:space="preserve">Marco de rendición de cuentas para la aplicación de la Agencia  </w:t>
            </w:r>
          </w:p>
        </w:tc>
      </w:tr>
      <w:tr w:rsidR="00A05F90" w:rsidRPr="00A05F90" w14:paraId="2657C4D8" w14:textId="77777777" w:rsidTr="00C6010B">
        <w:trPr>
          <w:gridAfter w:val="1"/>
          <w:trHeight w:val="8021"/>
        </w:trPr>
        <w:tc>
          <w:tcPr>
            <w:tcW w:w="1875" w:type="dxa"/>
            <w:tcBorders>
              <w:top w:val="single" w:sz="4" w:space="0" w:color="000000"/>
              <w:left w:val="single" w:sz="4" w:space="0" w:color="000000"/>
              <w:bottom w:val="single" w:sz="4" w:space="0" w:color="000000"/>
              <w:right w:val="single" w:sz="4" w:space="0" w:color="000000"/>
            </w:tcBorders>
            <w:hideMark/>
          </w:tcPr>
          <w:p w14:paraId="2FAA2771" w14:textId="77777777" w:rsidR="00A05F90" w:rsidRPr="00A05F90" w:rsidRDefault="00A05F90" w:rsidP="00A05F90">
            <w:pPr>
              <w:spacing w:line="256" w:lineRule="auto"/>
              <w:ind w:left="2"/>
              <w:rPr>
                <w:rFonts w:ascii="Calibri" w:eastAsia="Calibri" w:hAnsi="Calibri" w:cs="Calibri"/>
                <w:lang w:val="en-GB"/>
              </w:rPr>
            </w:pPr>
            <w:proofErr w:type="spellStart"/>
            <w:r w:rsidRPr="00A05F90">
              <w:rPr>
                <w:rFonts w:ascii="Calibri" w:eastAsia="Calibri" w:hAnsi="Calibri" w:cs="Calibri"/>
                <w:lang w:val="en-GB"/>
              </w:rPr>
              <w:t>Responsable</w:t>
            </w:r>
            <w:proofErr w:type="spellEnd"/>
            <w:r w:rsidRPr="00A05F90">
              <w:rPr>
                <w:rFonts w:ascii="Calibri" w:eastAsia="Calibri" w:hAnsi="Calibri" w:cs="Calibri"/>
                <w:lang w:val="en-GB"/>
              </w:rPr>
              <w:t xml:space="preserve"> del </w:t>
            </w:r>
            <w:proofErr w:type="spellStart"/>
            <w:r w:rsidRPr="00A05F90">
              <w:rPr>
                <w:rFonts w:ascii="Calibri" w:eastAsia="Calibri" w:hAnsi="Calibri" w:cs="Calibri"/>
                <w:lang w:val="en-GB"/>
              </w:rPr>
              <w:t>programa</w:t>
            </w:r>
            <w:proofErr w:type="spellEnd"/>
            <w:r w:rsidRPr="00A05F90">
              <w:rPr>
                <w:rFonts w:ascii="Calibri" w:eastAsia="Calibri" w:hAnsi="Calibri" w:cs="Calibri"/>
                <w:lang w:val="en-GB"/>
              </w:rPr>
              <w:t xml:space="preserve"> </w:t>
            </w:r>
          </w:p>
        </w:tc>
        <w:tc>
          <w:tcPr>
            <w:tcW w:w="5764" w:type="dxa"/>
            <w:gridSpan w:val="2"/>
            <w:tcBorders>
              <w:top w:val="single" w:sz="4" w:space="0" w:color="000000"/>
              <w:left w:val="single" w:sz="4" w:space="0" w:color="000000"/>
              <w:bottom w:val="single" w:sz="4" w:space="0" w:color="000000"/>
              <w:right w:val="single" w:sz="4" w:space="0" w:color="000000"/>
            </w:tcBorders>
            <w:hideMark/>
          </w:tcPr>
          <w:p w14:paraId="2DB7D937" w14:textId="77777777" w:rsidR="00A05F90" w:rsidRPr="00A05F90" w:rsidRDefault="00A05F90" w:rsidP="00C6010B">
            <w:pPr>
              <w:numPr>
                <w:ilvl w:val="0"/>
                <w:numId w:val="13"/>
              </w:numPr>
              <w:spacing w:after="50" w:line="256" w:lineRule="auto"/>
              <w:ind w:right="29"/>
              <w:rPr>
                <w:rFonts w:ascii="Calibri" w:eastAsia="Calibri" w:hAnsi="Calibri" w:cs="Calibri"/>
              </w:rPr>
            </w:pPr>
            <w:r w:rsidRPr="00A05F90">
              <w:rPr>
                <w:rFonts w:ascii="Calibri" w:eastAsia="Calibri" w:hAnsi="Calibri" w:cs="Calibri"/>
              </w:rPr>
              <w:t xml:space="preserve">Crear proyecto y presupuesto de proyecto en Quantum.  </w:t>
            </w:r>
          </w:p>
          <w:p w14:paraId="0114F18B" w14:textId="77777777" w:rsidR="00A05F90" w:rsidRPr="00A05F90" w:rsidRDefault="00A05F90" w:rsidP="00C6010B">
            <w:pPr>
              <w:numPr>
                <w:ilvl w:val="0"/>
                <w:numId w:val="13"/>
              </w:numPr>
              <w:spacing w:after="34" w:line="273" w:lineRule="auto"/>
              <w:ind w:right="29"/>
              <w:rPr>
                <w:rFonts w:ascii="Calibri" w:eastAsia="Calibri" w:hAnsi="Calibri" w:cs="Calibri"/>
              </w:rPr>
            </w:pPr>
            <w:r w:rsidRPr="00A05F90">
              <w:rPr>
                <w:rFonts w:ascii="Calibri" w:eastAsia="Calibri" w:hAnsi="Calibri" w:cs="Calibri"/>
              </w:rPr>
              <w:t xml:space="preserve">Revisa todos los PDR en UNEX para garantizar que los gastos notificados son coherentes con el AWP y el presupuesto del proyecto del sistema, y dentro de los límites de financiación establecidos. </w:t>
            </w:r>
          </w:p>
          <w:p w14:paraId="1B831DD1" w14:textId="77777777" w:rsidR="00A05F90" w:rsidRPr="00A05F90" w:rsidRDefault="00A05F90" w:rsidP="00C6010B">
            <w:pPr>
              <w:numPr>
                <w:ilvl w:val="0"/>
                <w:numId w:val="13"/>
              </w:numPr>
              <w:spacing w:after="16" w:line="256" w:lineRule="auto"/>
              <w:ind w:right="29"/>
              <w:rPr>
                <w:rFonts w:ascii="Calibri" w:eastAsia="Calibri" w:hAnsi="Calibri" w:cs="Calibri"/>
              </w:rPr>
            </w:pPr>
            <w:r w:rsidRPr="00A05F90">
              <w:rPr>
                <w:rFonts w:ascii="Calibri" w:eastAsia="Calibri" w:hAnsi="Calibri" w:cs="Calibri"/>
              </w:rPr>
              <w:t xml:space="preserve">Investiga y resuelve los gastos PDR rechazados por </w:t>
            </w:r>
          </w:p>
          <w:p w14:paraId="101B96DF" w14:textId="77777777" w:rsidR="00A05F90" w:rsidRPr="00C6010B" w:rsidRDefault="00A05F90" w:rsidP="00C6010B">
            <w:pPr>
              <w:pStyle w:val="ListParagraph"/>
              <w:numPr>
                <w:ilvl w:val="0"/>
                <w:numId w:val="13"/>
              </w:numPr>
              <w:spacing w:after="52" w:line="256" w:lineRule="auto"/>
              <w:rPr>
                <w:rFonts w:ascii="Calibri" w:eastAsia="Calibri" w:hAnsi="Calibri" w:cs="Calibri"/>
                <w:lang w:val="en-GB"/>
              </w:rPr>
            </w:pPr>
            <w:r w:rsidRPr="00C6010B">
              <w:rPr>
                <w:rFonts w:ascii="Calibri" w:eastAsia="Calibri" w:hAnsi="Calibri" w:cs="Calibri"/>
                <w:lang w:val="en-GB"/>
              </w:rPr>
              <w:t>UNEX.</w:t>
            </w:r>
          </w:p>
          <w:p w14:paraId="0D77B3FB" w14:textId="77777777" w:rsidR="00A05F90" w:rsidRPr="00A05F90" w:rsidRDefault="00A05F90" w:rsidP="00C6010B">
            <w:pPr>
              <w:numPr>
                <w:ilvl w:val="0"/>
                <w:numId w:val="13"/>
              </w:numPr>
              <w:spacing w:after="31" w:line="276" w:lineRule="auto"/>
              <w:ind w:right="29"/>
              <w:rPr>
                <w:rFonts w:ascii="Calibri" w:eastAsia="Calibri" w:hAnsi="Calibri" w:cs="Calibri"/>
              </w:rPr>
            </w:pPr>
            <w:r w:rsidRPr="00A05F90">
              <w:rPr>
                <w:rFonts w:ascii="Calibri" w:eastAsia="Calibri" w:hAnsi="Calibri" w:cs="Calibri"/>
              </w:rPr>
              <w:t xml:space="preserve">Determina si debe rechazarse algún gasto RDP o revisarse el plan contable. </w:t>
            </w:r>
          </w:p>
          <w:p w14:paraId="4440608A" w14:textId="77777777" w:rsidR="00A05F90" w:rsidRPr="00A05F90" w:rsidRDefault="00A05F90" w:rsidP="00C6010B">
            <w:pPr>
              <w:numPr>
                <w:ilvl w:val="0"/>
                <w:numId w:val="13"/>
              </w:numPr>
              <w:spacing w:after="231" w:line="276" w:lineRule="auto"/>
              <w:ind w:right="29"/>
              <w:rPr>
                <w:rFonts w:ascii="Calibri" w:eastAsia="Calibri" w:hAnsi="Calibri" w:cs="Calibri"/>
              </w:rPr>
            </w:pPr>
            <w:r w:rsidRPr="00A05F90">
              <w:rPr>
                <w:rFonts w:ascii="Calibri" w:eastAsia="Calibri" w:hAnsi="Calibri" w:cs="Calibri"/>
              </w:rPr>
              <w:t xml:space="preserve">Realizar un seguimiento con los homólogos de las agencias de la ONU para resolver todas las cuestiones pendientes relativas a gastos rechazados o contenciosos.  </w:t>
            </w:r>
          </w:p>
          <w:p w14:paraId="74C460BD" w14:textId="77777777" w:rsidR="00A05F90" w:rsidRPr="00A05F90" w:rsidRDefault="00A05F90" w:rsidP="00C6010B">
            <w:pPr>
              <w:numPr>
                <w:ilvl w:val="0"/>
                <w:numId w:val="13"/>
              </w:numPr>
              <w:spacing w:after="231" w:line="276" w:lineRule="auto"/>
              <w:ind w:right="29"/>
              <w:rPr>
                <w:rFonts w:ascii="Calibri" w:eastAsia="Calibri" w:hAnsi="Calibri" w:cs="Calibri"/>
              </w:rPr>
            </w:pPr>
            <w:r w:rsidRPr="00A05F90">
              <w:rPr>
                <w:rFonts w:ascii="Calibri" w:eastAsia="Calibri" w:hAnsi="Calibri" w:cs="Calibri"/>
              </w:rPr>
              <w:t xml:space="preserve">Cuando esté justificado el rechazo de gastos o la corrección del plan contable notificado (por ejemplo, debido a gastos superiores a los presupuestados), notifica a la GSSC (con documentación justificativa) la corrección o el rechazo en UNEX.  </w:t>
            </w:r>
          </w:p>
          <w:p w14:paraId="2CC029A6" w14:textId="77777777" w:rsidR="00A05F90" w:rsidRPr="00A05F90" w:rsidRDefault="00A05F90" w:rsidP="00C6010B">
            <w:pPr>
              <w:numPr>
                <w:ilvl w:val="0"/>
                <w:numId w:val="13"/>
              </w:numPr>
              <w:spacing w:line="256" w:lineRule="auto"/>
              <w:ind w:right="29"/>
              <w:rPr>
                <w:rFonts w:ascii="Calibri" w:eastAsia="Calibri" w:hAnsi="Calibri" w:cs="Calibri"/>
              </w:rPr>
            </w:pPr>
            <w:r w:rsidRPr="00A05F90">
              <w:rPr>
                <w:rFonts w:ascii="Calibri" w:eastAsia="Calibri" w:hAnsi="Calibri" w:cs="Calibri"/>
              </w:rPr>
              <w:t xml:space="preserve">Supervisa continuamente todos los gastos de los proyectos registrados en Quantum para garantizar que se declaran correctamente. </w:t>
            </w:r>
          </w:p>
        </w:tc>
        <w:tc>
          <w:tcPr>
            <w:tcW w:w="1540" w:type="dxa"/>
            <w:tcBorders>
              <w:top w:val="single" w:sz="4" w:space="0" w:color="000000"/>
              <w:left w:val="single" w:sz="4" w:space="0" w:color="000000"/>
              <w:bottom w:val="single" w:sz="4" w:space="0" w:color="000000"/>
              <w:right w:val="single" w:sz="4" w:space="0" w:color="000000"/>
            </w:tcBorders>
            <w:hideMark/>
          </w:tcPr>
          <w:p w14:paraId="630A89DD" w14:textId="77777777" w:rsidR="00A05F90" w:rsidRPr="00A05F90" w:rsidRDefault="00A05F90" w:rsidP="00A05F90">
            <w:pPr>
              <w:spacing w:line="256" w:lineRule="auto"/>
              <w:rPr>
                <w:rFonts w:ascii="Calibri" w:eastAsia="Calibri" w:hAnsi="Calibri" w:cs="Calibri"/>
              </w:rPr>
            </w:pPr>
            <w:r w:rsidRPr="00A05F90">
              <w:rPr>
                <w:rFonts w:ascii="Calibri" w:eastAsia="Calibri" w:hAnsi="Calibri" w:cs="Calibri"/>
              </w:rPr>
              <w:t xml:space="preserve"> </w:t>
            </w:r>
          </w:p>
        </w:tc>
      </w:tr>
      <w:tr w:rsidR="00A05F90" w:rsidRPr="00A05F90" w14:paraId="185E76FF" w14:textId="77777777" w:rsidTr="00C6010B">
        <w:trPr>
          <w:gridAfter w:val="1"/>
          <w:trHeight w:val="1493"/>
        </w:trPr>
        <w:tc>
          <w:tcPr>
            <w:tcW w:w="1875" w:type="dxa"/>
            <w:tcBorders>
              <w:top w:val="single" w:sz="4" w:space="0" w:color="000000"/>
              <w:left w:val="single" w:sz="4" w:space="0" w:color="000000"/>
              <w:bottom w:val="single" w:sz="4" w:space="0" w:color="000000"/>
              <w:right w:val="single" w:sz="4" w:space="0" w:color="000000"/>
            </w:tcBorders>
            <w:hideMark/>
          </w:tcPr>
          <w:p w14:paraId="102758FB" w14:textId="77777777" w:rsidR="00A05F90" w:rsidRPr="00A05F90" w:rsidRDefault="00A05F90" w:rsidP="00A05F90">
            <w:pPr>
              <w:ind w:left="2"/>
              <w:jc w:val="both"/>
              <w:rPr>
                <w:rFonts w:ascii="Calibri" w:eastAsia="Calibri" w:hAnsi="Calibri" w:cs="Calibri"/>
                <w:lang w:val="en-GB"/>
              </w:rPr>
            </w:pPr>
            <w:r w:rsidRPr="00A05F90">
              <w:rPr>
                <w:rFonts w:ascii="Calibri" w:eastAsia="Calibri" w:hAnsi="Calibri" w:cs="Calibri"/>
                <w:lang w:val="en-GB"/>
              </w:rPr>
              <w:t xml:space="preserve">OFM/CFRA </w:t>
            </w:r>
          </w:p>
        </w:tc>
        <w:tc>
          <w:tcPr>
            <w:tcW w:w="5764" w:type="dxa"/>
            <w:gridSpan w:val="2"/>
            <w:tcBorders>
              <w:top w:val="single" w:sz="4" w:space="0" w:color="000000"/>
              <w:left w:val="single" w:sz="4" w:space="0" w:color="000000"/>
              <w:bottom w:val="single" w:sz="4" w:space="0" w:color="000000"/>
              <w:right w:val="single" w:sz="4" w:space="0" w:color="000000"/>
            </w:tcBorders>
            <w:hideMark/>
          </w:tcPr>
          <w:p w14:paraId="508D45BD" w14:textId="77777777" w:rsidR="00A05F90" w:rsidRPr="00A05F90" w:rsidRDefault="00A05F90" w:rsidP="00C6010B">
            <w:pPr>
              <w:numPr>
                <w:ilvl w:val="0"/>
                <w:numId w:val="15"/>
              </w:numPr>
              <w:spacing w:after="50" w:line="256" w:lineRule="auto"/>
              <w:ind w:left="882" w:right="29" w:hanging="360"/>
              <w:rPr>
                <w:rFonts w:ascii="Calibri" w:eastAsia="Calibri" w:hAnsi="Calibri" w:cs="Calibri"/>
              </w:rPr>
            </w:pPr>
            <w:r w:rsidRPr="00A05F90">
              <w:rPr>
                <w:rFonts w:ascii="Calibri" w:eastAsia="Calibri" w:hAnsi="Calibri" w:cs="Calibri"/>
              </w:rPr>
              <w:t xml:space="preserve">Aprobar anticipos de proyectos para la cuenta (global) PCA GL número 16015. </w:t>
            </w:r>
          </w:p>
          <w:p w14:paraId="56B9321C" w14:textId="77777777" w:rsidR="00A05F90" w:rsidRPr="00A05F90" w:rsidRDefault="00A05F90" w:rsidP="00C6010B">
            <w:pPr>
              <w:numPr>
                <w:ilvl w:val="0"/>
                <w:numId w:val="15"/>
              </w:numPr>
              <w:spacing w:after="50" w:line="256" w:lineRule="auto"/>
              <w:ind w:left="882" w:right="29" w:hanging="360"/>
              <w:rPr>
                <w:rFonts w:ascii="Calibri" w:eastAsia="Calibri" w:hAnsi="Calibri" w:cs="Calibri"/>
              </w:rPr>
            </w:pPr>
            <w:r w:rsidRPr="00A05F90">
              <w:rPr>
                <w:rFonts w:ascii="Calibri" w:eastAsia="Calibri" w:hAnsi="Calibri" w:cs="Calibri"/>
              </w:rPr>
              <w:t xml:space="preserve">Aprobar el uso de la cuenta 16010 para anticipos locales según lo solicitado por GSSC.  </w:t>
            </w:r>
          </w:p>
        </w:tc>
        <w:tc>
          <w:tcPr>
            <w:tcW w:w="1540" w:type="dxa"/>
            <w:tcBorders>
              <w:top w:val="single" w:sz="4" w:space="0" w:color="000000"/>
              <w:left w:val="single" w:sz="4" w:space="0" w:color="000000"/>
              <w:bottom w:val="single" w:sz="4" w:space="0" w:color="000000"/>
              <w:right w:val="single" w:sz="4" w:space="0" w:color="000000"/>
            </w:tcBorders>
            <w:vAlign w:val="center"/>
            <w:hideMark/>
          </w:tcPr>
          <w:p w14:paraId="19C43CD5" w14:textId="77777777" w:rsidR="00A05F90" w:rsidRPr="00A05F90" w:rsidRDefault="00A05F90" w:rsidP="00A05F90">
            <w:pPr>
              <w:spacing w:line="256" w:lineRule="auto"/>
              <w:rPr>
                <w:rFonts w:ascii="Calibri" w:eastAsia="Calibri" w:hAnsi="Calibri" w:cs="Calibri"/>
              </w:rPr>
            </w:pPr>
            <w:r w:rsidRPr="00A05F90">
              <w:rPr>
                <w:rFonts w:ascii="Calibri" w:eastAsia="Calibri" w:hAnsi="Calibri" w:cs="Calibri"/>
              </w:rPr>
              <w:t xml:space="preserve"> </w:t>
            </w:r>
          </w:p>
        </w:tc>
      </w:tr>
      <w:tr w:rsidR="00A05F90" w:rsidRPr="00A05F90" w14:paraId="4F4A815D" w14:textId="77777777" w:rsidTr="00C6010B">
        <w:trPr>
          <w:trHeight w:val="2552"/>
        </w:trPr>
        <w:tc>
          <w:tcPr>
            <w:tcW w:w="1891" w:type="dxa"/>
            <w:gridSpan w:val="2"/>
            <w:tcBorders>
              <w:top w:val="single" w:sz="4" w:space="0" w:color="000000"/>
              <w:left w:val="single" w:sz="4" w:space="0" w:color="000000"/>
              <w:bottom w:val="single" w:sz="4" w:space="0" w:color="000000"/>
              <w:right w:val="single" w:sz="4" w:space="0" w:color="000000"/>
            </w:tcBorders>
            <w:tcMar>
              <w:top w:w="47" w:type="dxa"/>
              <w:left w:w="11" w:type="dxa"/>
              <w:bottom w:w="0" w:type="dxa"/>
              <w:right w:w="0" w:type="dxa"/>
            </w:tcMar>
            <w:hideMark/>
          </w:tcPr>
          <w:p w14:paraId="7B07D047" w14:textId="77777777" w:rsidR="00A05F90" w:rsidRPr="00A05F90" w:rsidRDefault="00A05F90" w:rsidP="00A05F90">
            <w:pPr>
              <w:spacing w:line="256" w:lineRule="auto"/>
              <w:ind w:left="36"/>
              <w:rPr>
                <w:rFonts w:ascii="Calibri" w:eastAsia="Calibri" w:hAnsi="Calibri" w:cs="Calibri"/>
                <w:lang w:val="en-GB"/>
              </w:rPr>
            </w:pPr>
            <w:r w:rsidRPr="00A05F90">
              <w:rPr>
                <w:rFonts w:ascii="Calibri" w:eastAsia="Calibri" w:hAnsi="Calibri" w:cs="Calibri"/>
                <w:lang w:val="en-GB"/>
              </w:rPr>
              <w:lastRenderedPageBreak/>
              <w:t>GSSC</w:t>
            </w:r>
          </w:p>
        </w:tc>
        <w:tc>
          <w:tcPr>
            <w:tcW w:w="5748" w:type="dxa"/>
            <w:tcBorders>
              <w:top w:val="single" w:sz="4" w:space="0" w:color="000000"/>
              <w:left w:val="single" w:sz="4" w:space="0" w:color="000000"/>
              <w:bottom w:val="single" w:sz="4" w:space="0" w:color="000000"/>
              <w:right w:val="single" w:sz="4" w:space="0" w:color="000000"/>
            </w:tcBorders>
            <w:tcMar>
              <w:top w:w="47" w:type="dxa"/>
              <w:left w:w="11" w:type="dxa"/>
              <w:bottom w:w="0" w:type="dxa"/>
              <w:right w:w="0" w:type="dxa"/>
            </w:tcMar>
          </w:tcPr>
          <w:p w14:paraId="75CE241C" w14:textId="77777777" w:rsidR="00A05F90" w:rsidRPr="00A05F90" w:rsidRDefault="00A05F90" w:rsidP="00A05F90">
            <w:pPr>
              <w:spacing w:line="256" w:lineRule="auto"/>
              <w:ind w:left="2"/>
              <w:rPr>
                <w:rFonts w:ascii="Calibri" w:eastAsia="Calibri" w:hAnsi="Calibri" w:cs="Calibri"/>
              </w:rPr>
            </w:pPr>
            <w:r w:rsidRPr="00A05F90">
              <w:rPr>
                <w:rFonts w:ascii="Calibri" w:eastAsia="Calibri" w:hAnsi="Calibri" w:cs="Calibri"/>
              </w:rPr>
              <w:t xml:space="preserve">Para fondos básicos y no básicos: </w:t>
            </w:r>
          </w:p>
          <w:p w14:paraId="004C2ACE" w14:textId="77777777" w:rsidR="00A05F90" w:rsidRPr="00A05F90" w:rsidRDefault="00A05F90" w:rsidP="00A05F90">
            <w:pPr>
              <w:spacing w:line="256" w:lineRule="auto"/>
              <w:ind w:left="2"/>
              <w:rPr>
                <w:rFonts w:ascii="Calibri" w:eastAsia="Calibri" w:hAnsi="Calibri" w:cs="Calibri"/>
              </w:rPr>
            </w:pPr>
          </w:p>
          <w:p w14:paraId="0512D238" w14:textId="77777777" w:rsidR="00A05F90" w:rsidRPr="00A05F90" w:rsidRDefault="00A05F90" w:rsidP="00C6010B">
            <w:pPr>
              <w:numPr>
                <w:ilvl w:val="0"/>
                <w:numId w:val="17"/>
              </w:numPr>
              <w:spacing w:after="229"/>
              <w:ind w:right="128" w:hanging="360"/>
              <w:rPr>
                <w:rFonts w:ascii="Calibri" w:eastAsia="Calibri" w:hAnsi="Calibri" w:cs="Calibri"/>
              </w:rPr>
            </w:pPr>
            <w:r w:rsidRPr="00A05F90">
              <w:rPr>
                <w:rFonts w:ascii="Calibri" w:eastAsia="Calibri" w:hAnsi="Calibri" w:cs="Calibri"/>
              </w:rPr>
              <w:t xml:space="preserve">La GSSC, en colaboración con la CFRA/FPMR, evalúa las solicitudes trimestrales de anticipos y revisa los niveles de anticipos pendientes de cada agencia y, según proceda, remite efectivo a la agencia. Estos anticipos se basan en las previsiones anuales del proyecto que debe ejecutar la agencia de la ONU respectiva. Todos los anticipos deben basarse en las previsiones de gastos y no limitarse únicamente a los pagos. </w:t>
            </w:r>
          </w:p>
          <w:p w14:paraId="3E17565B" w14:textId="77777777" w:rsidR="00A05F90" w:rsidRPr="00A05F90" w:rsidRDefault="00A05F90" w:rsidP="00C6010B">
            <w:pPr>
              <w:numPr>
                <w:ilvl w:val="0"/>
                <w:numId w:val="17"/>
              </w:numPr>
              <w:spacing w:after="229"/>
              <w:ind w:right="128" w:hanging="360"/>
              <w:rPr>
                <w:rFonts w:ascii="Calibri" w:eastAsia="Calibri" w:hAnsi="Calibri" w:cs="Calibri"/>
              </w:rPr>
            </w:pPr>
            <w:r w:rsidRPr="00A05F90">
              <w:rPr>
                <w:rFonts w:ascii="Calibri" w:eastAsia="Calibri" w:hAnsi="Calibri" w:cs="Calibri"/>
              </w:rPr>
              <w:t xml:space="preserve">Las agencias presentan los PDR trimestrales acumulativos basados en el devengo a la GSSC, que supervisa su carga en UNEX.  </w:t>
            </w:r>
          </w:p>
          <w:p w14:paraId="2058C91F" w14:textId="77777777" w:rsidR="00A05F90" w:rsidRPr="00A05F90" w:rsidRDefault="00A05F90" w:rsidP="00C6010B">
            <w:pPr>
              <w:numPr>
                <w:ilvl w:val="0"/>
                <w:numId w:val="17"/>
              </w:numPr>
              <w:spacing w:after="228"/>
              <w:ind w:right="128" w:hanging="360"/>
              <w:rPr>
                <w:rFonts w:ascii="Calibri" w:eastAsia="Calibri" w:hAnsi="Calibri" w:cs="Calibri"/>
              </w:rPr>
            </w:pPr>
            <w:r w:rsidRPr="00A05F90">
              <w:rPr>
                <w:rFonts w:ascii="Calibri" w:eastAsia="Calibri" w:hAnsi="Calibri" w:cs="Calibri"/>
              </w:rPr>
              <w:t xml:space="preserve">A continuación, los PDR validados se procesan en UNEX y se contabilizan en </w:t>
            </w:r>
            <w:proofErr w:type="gramStart"/>
            <w:r w:rsidRPr="00A05F90">
              <w:rPr>
                <w:rFonts w:ascii="Calibri" w:eastAsia="Calibri" w:hAnsi="Calibri" w:cs="Calibri"/>
              </w:rPr>
              <w:t>Quantum .</w:t>
            </w:r>
            <w:proofErr w:type="gramEnd"/>
            <w:r w:rsidRPr="00A05F90">
              <w:rPr>
                <w:rFonts w:ascii="Calibri" w:eastAsia="Calibri" w:hAnsi="Calibri" w:cs="Calibri"/>
              </w:rPr>
              <w:t xml:space="preserve">  </w:t>
            </w:r>
          </w:p>
          <w:p w14:paraId="092878B7" w14:textId="77777777" w:rsidR="00A05F90" w:rsidRPr="00A05F90" w:rsidRDefault="00A05F90" w:rsidP="00C6010B">
            <w:pPr>
              <w:numPr>
                <w:ilvl w:val="0"/>
                <w:numId w:val="17"/>
              </w:numPr>
              <w:spacing w:line="256" w:lineRule="auto"/>
              <w:ind w:right="128" w:hanging="360"/>
              <w:rPr>
                <w:rFonts w:ascii="Calibri" w:eastAsia="Calibri" w:hAnsi="Calibri" w:cs="Calibri"/>
              </w:rPr>
            </w:pPr>
            <w:r w:rsidRPr="00A05F90">
              <w:rPr>
                <w:rFonts w:ascii="Calibri" w:eastAsia="Calibri" w:hAnsi="Calibri" w:cs="Calibri"/>
              </w:rPr>
              <w:t>OFM/GSSC concilia los saldos del ACC con cada agencia de la ONU.</w:t>
            </w:r>
          </w:p>
        </w:tc>
        <w:tc>
          <w:tcPr>
            <w:tcW w:w="1540" w:type="dxa"/>
            <w:tcBorders>
              <w:top w:val="single" w:sz="4" w:space="0" w:color="000000"/>
              <w:left w:val="single" w:sz="4" w:space="0" w:color="000000"/>
              <w:bottom w:val="single" w:sz="4" w:space="0" w:color="000000"/>
              <w:right w:val="single" w:sz="4" w:space="0" w:color="000000"/>
            </w:tcBorders>
            <w:tcMar>
              <w:top w:w="47" w:type="dxa"/>
              <w:left w:w="11" w:type="dxa"/>
              <w:bottom w:w="0" w:type="dxa"/>
              <w:right w:w="0" w:type="dxa"/>
            </w:tcMar>
            <w:hideMark/>
          </w:tcPr>
          <w:p w14:paraId="70ABBEC6" w14:textId="77777777" w:rsidR="00A05F90" w:rsidRPr="00A05F90" w:rsidRDefault="00A05F90" w:rsidP="00C6010B">
            <w:pPr>
              <w:spacing w:line="256" w:lineRule="auto"/>
              <w:ind w:left="18" w:right="27"/>
              <w:rPr>
                <w:rFonts w:ascii="Calibri" w:eastAsia="Calibri" w:hAnsi="Calibri" w:cs="Calibri"/>
              </w:rPr>
            </w:pPr>
            <w:r w:rsidRPr="00A05F90">
              <w:rPr>
                <w:rFonts w:ascii="Calibri" w:eastAsia="Calibri" w:hAnsi="Calibri" w:cs="Calibri"/>
              </w:rPr>
              <w:t>Los PDR se procesan a través de la plataforma UNEX, y la información se rellenará en Quantum AP para liquidar los anticipos y registrar los gastos que finalmente se contabilizarán en LG.</w:t>
            </w:r>
          </w:p>
        </w:tc>
        <w:tc>
          <w:tcPr>
            <w:tcW w:w="0" w:type="auto"/>
            <w:tcBorders>
              <w:top w:val="nil"/>
              <w:left w:val="single" w:sz="4" w:space="0" w:color="000000"/>
              <w:bottom w:val="nil"/>
              <w:right w:val="nil"/>
            </w:tcBorders>
            <w:vAlign w:val="center"/>
            <w:hideMark/>
          </w:tcPr>
          <w:p w14:paraId="07C297E9" w14:textId="77777777" w:rsidR="00A05F90" w:rsidRPr="00A05F90" w:rsidRDefault="00A05F90" w:rsidP="00A05F90">
            <w:pPr>
              <w:rPr>
                <w:rFonts w:ascii="Calibri" w:eastAsia="Calibri" w:hAnsi="Calibri" w:cs="Calibri"/>
              </w:rPr>
            </w:pPr>
          </w:p>
        </w:tc>
      </w:tr>
      <w:tr w:rsidR="00A05F90" w:rsidRPr="00A05F90" w14:paraId="6E1C092F" w14:textId="77777777" w:rsidTr="00C6010B">
        <w:trPr>
          <w:gridAfter w:val="1"/>
          <w:trHeight w:val="272"/>
        </w:trPr>
        <w:tc>
          <w:tcPr>
            <w:tcW w:w="9179" w:type="dxa"/>
            <w:gridSpan w:val="4"/>
            <w:tcBorders>
              <w:top w:val="single" w:sz="4" w:space="0" w:color="000000"/>
              <w:left w:val="nil"/>
              <w:bottom w:val="nil"/>
              <w:right w:val="nil"/>
            </w:tcBorders>
            <w:shd w:val="clear" w:color="auto" w:fill="FFFFFF"/>
            <w:tcMar>
              <w:top w:w="47" w:type="dxa"/>
              <w:left w:w="11" w:type="dxa"/>
              <w:bottom w:w="0" w:type="dxa"/>
              <w:right w:w="0" w:type="dxa"/>
            </w:tcMar>
            <w:hideMark/>
          </w:tcPr>
          <w:p w14:paraId="78519DB4" w14:textId="77777777" w:rsidR="00A05F90" w:rsidRPr="00A05F90" w:rsidRDefault="00A05F90" w:rsidP="00A05F90">
            <w:pPr>
              <w:spacing w:line="256" w:lineRule="auto"/>
              <w:rPr>
                <w:rFonts w:ascii="Calibri" w:eastAsia="Calibri" w:hAnsi="Calibri" w:cs="Calibri"/>
              </w:rPr>
            </w:pPr>
            <w:r w:rsidRPr="00A05F90">
              <w:rPr>
                <w:rFonts w:ascii="Calibri" w:eastAsia="Calibri" w:hAnsi="Calibri" w:cs="Calibri"/>
                <w:color w:val="000000"/>
              </w:rPr>
              <w:t xml:space="preserve"> </w:t>
            </w:r>
          </w:p>
        </w:tc>
      </w:tr>
    </w:tbl>
    <w:p w14:paraId="44994796" w14:textId="77777777" w:rsidR="00A05F90" w:rsidRPr="00A05F90" w:rsidRDefault="00A05F90" w:rsidP="00A05F90">
      <w:pPr>
        <w:spacing w:after="0" w:line="256" w:lineRule="auto"/>
        <w:jc w:val="both"/>
        <w:rPr>
          <w:rFonts w:ascii="Calibri" w:eastAsia="Calibri" w:hAnsi="Calibri" w:cs="Calibri"/>
          <w:kern w:val="0"/>
          <w:sz w:val="22"/>
          <w:szCs w:val="22"/>
          <w:lang w:val="es-ES" w:bidi="es-ES"/>
          <w14:ligatures w14:val="none"/>
        </w:rPr>
      </w:pPr>
      <w:r w:rsidRPr="00A05F90">
        <w:rPr>
          <w:rFonts w:ascii="Calibri" w:eastAsia="Calibri" w:hAnsi="Calibri" w:cs="Calibri"/>
          <w:kern w:val="0"/>
          <w:sz w:val="22"/>
          <w:szCs w:val="22"/>
          <w:lang w:val="es-ES" w:eastAsia="es-ES" w:bidi="es-ES"/>
          <w14:ligatures w14:val="none"/>
        </w:rPr>
        <w:t xml:space="preserve"> </w:t>
      </w:r>
    </w:p>
    <w:p w14:paraId="5913808D" w14:textId="77777777" w:rsidR="00A05F90" w:rsidRPr="00A23672" w:rsidRDefault="00A05F90" w:rsidP="00A05F90">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45CBF0F5" w14:textId="533C8A91" w:rsidR="00A05F90" w:rsidRPr="00A05F90" w:rsidRDefault="00A05F90" w:rsidP="00A05F90">
      <w:pPr>
        <w:spacing w:after="0" w:line="259" w:lineRule="auto"/>
        <w:jc w:val="both"/>
        <w:rPr>
          <w:rFonts w:ascii="Calibri" w:eastAsia="Calibri" w:hAnsi="Calibri" w:cs="Calibri"/>
          <w:color w:val="000000"/>
          <w:kern w:val="0"/>
          <w:sz w:val="22"/>
          <w:szCs w:val="22"/>
          <w:lang w:val="es-ES_tradnl"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Pr>
          <w:rFonts w:ascii="Calibri" w:hAnsi="Calibri" w:cs="Calibri"/>
          <w:i/>
          <w:iCs/>
          <w:sz w:val="22"/>
          <w:szCs w:val="22"/>
        </w:rPr>
        <w:t>.</w:t>
      </w:r>
    </w:p>
    <w:p w14:paraId="564CEB37" w14:textId="77777777" w:rsidR="00DA504D" w:rsidRDefault="00DA504D"/>
    <w:sectPr w:rsidR="00DA504D" w:rsidSect="00C6010B">
      <w:headerReference w:type="default" r:id="rId7"/>
      <w:footerReference w:type="even" r:id="rId8"/>
      <w:footerReference w:type="default" r:id="rId9"/>
      <w:footerReference w:type="first" r:id="rId10"/>
      <w:pgSz w:w="12240" w:h="15840"/>
      <w:pgMar w:top="1445" w:right="1435" w:bottom="1688" w:left="153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0EB7" w14:textId="77777777" w:rsidR="007B6563" w:rsidRDefault="007B6563" w:rsidP="00A05F90">
      <w:pPr>
        <w:spacing w:after="0" w:line="240" w:lineRule="auto"/>
      </w:pPr>
      <w:r>
        <w:separator/>
      </w:r>
    </w:p>
  </w:endnote>
  <w:endnote w:type="continuationSeparator" w:id="0">
    <w:p w14:paraId="28A1410E" w14:textId="77777777" w:rsidR="007B6563" w:rsidRDefault="007B6563" w:rsidP="00A05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9BF3" w14:textId="77777777" w:rsidR="00A05F90" w:rsidRDefault="00A05F90">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28E892D2" w14:textId="77777777" w:rsidR="00A05F90" w:rsidRDefault="00A05F90">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8DDE" w14:textId="67A4D688" w:rsidR="00A05F90" w:rsidRPr="00C6010B" w:rsidRDefault="00A05F90">
    <w:pPr>
      <w:spacing w:after="0" w:line="259" w:lineRule="auto"/>
      <w:rPr>
        <w:rFonts w:ascii="Calibri" w:hAnsi="Calibri" w:cs="Calibri"/>
        <w:sz w:val="22"/>
        <w:szCs w:val="22"/>
      </w:rPr>
    </w:pPr>
    <w:r w:rsidRPr="00C6010B">
      <w:rPr>
        <w:rFonts w:ascii="Calibri" w:hAnsi="Calibri" w:cs="Calibri"/>
        <w:sz w:val="22"/>
        <w:szCs w:val="22"/>
      </w:rPr>
      <w:t xml:space="preserve">Página </w:t>
    </w:r>
    <w:r w:rsidRPr="00C6010B">
      <w:rPr>
        <w:rFonts w:ascii="Calibri" w:hAnsi="Calibri" w:cs="Calibri"/>
        <w:b/>
        <w:sz w:val="22"/>
        <w:szCs w:val="22"/>
      </w:rPr>
      <w:fldChar w:fldCharType="begin"/>
    </w:r>
    <w:r w:rsidRPr="00C6010B">
      <w:rPr>
        <w:rFonts w:ascii="Calibri" w:hAnsi="Calibri" w:cs="Calibri"/>
        <w:b/>
        <w:sz w:val="22"/>
        <w:szCs w:val="22"/>
      </w:rPr>
      <w:instrText xml:space="preserve"> PAGE  \* Arabic  \* MERGEFORMAT </w:instrText>
    </w:r>
    <w:r w:rsidRPr="00C6010B">
      <w:rPr>
        <w:rFonts w:ascii="Calibri" w:hAnsi="Calibri" w:cs="Calibri"/>
        <w:b/>
        <w:sz w:val="22"/>
        <w:szCs w:val="22"/>
      </w:rPr>
      <w:fldChar w:fldCharType="separate"/>
    </w:r>
    <w:r w:rsidRPr="00C6010B">
      <w:rPr>
        <w:rFonts w:ascii="Calibri" w:hAnsi="Calibri" w:cs="Calibri"/>
        <w:b/>
        <w:noProof/>
        <w:sz w:val="22"/>
        <w:szCs w:val="22"/>
      </w:rPr>
      <w:t>3</w:t>
    </w:r>
    <w:r w:rsidRPr="00C6010B">
      <w:rPr>
        <w:rFonts w:ascii="Calibri" w:hAnsi="Calibri" w:cs="Calibri"/>
        <w:b/>
        <w:sz w:val="22"/>
        <w:szCs w:val="22"/>
      </w:rPr>
      <w:fldChar w:fldCharType="end"/>
    </w:r>
    <w:r w:rsidRPr="00C6010B">
      <w:rPr>
        <w:rFonts w:ascii="Calibri" w:hAnsi="Calibri" w:cs="Calibri"/>
        <w:sz w:val="22"/>
        <w:szCs w:val="22"/>
      </w:rPr>
      <w:t xml:space="preserve"> de </w:t>
    </w:r>
    <w:r w:rsidRPr="00C6010B">
      <w:rPr>
        <w:rFonts w:ascii="Calibri" w:hAnsi="Calibri" w:cs="Calibri"/>
        <w:b/>
        <w:sz w:val="22"/>
        <w:szCs w:val="22"/>
      </w:rPr>
      <w:fldChar w:fldCharType="begin"/>
    </w:r>
    <w:r w:rsidRPr="00C6010B">
      <w:rPr>
        <w:rFonts w:ascii="Calibri" w:hAnsi="Calibri" w:cs="Calibri"/>
        <w:b/>
        <w:sz w:val="22"/>
        <w:szCs w:val="22"/>
      </w:rPr>
      <w:instrText xml:space="preserve"> NUMPAGES  \* Arabic  \* MERGEFORMAT </w:instrText>
    </w:r>
    <w:r w:rsidRPr="00C6010B">
      <w:rPr>
        <w:rFonts w:ascii="Calibri" w:hAnsi="Calibri" w:cs="Calibri"/>
        <w:b/>
        <w:sz w:val="22"/>
        <w:szCs w:val="22"/>
      </w:rPr>
      <w:fldChar w:fldCharType="separate"/>
    </w:r>
    <w:r w:rsidRPr="00C6010B">
      <w:rPr>
        <w:rFonts w:ascii="Calibri" w:hAnsi="Calibri" w:cs="Calibri"/>
        <w:b/>
        <w:noProof/>
        <w:sz w:val="22"/>
        <w:szCs w:val="22"/>
      </w:rPr>
      <w:t>7</w:t>
    </w:r>
    <w:r w:rsidRPr="00C6010B">
      <w:rPr>
        <w:rFonts w:ascii="Calibri" w:hAnsi="Calibri" w:cs="Calibri"/>
        <w:b/>
        <w:sz w:val="22"/>
        <w:szCs w:val="22"/>
      </w:rPr>
      <w:fldChar w:fldCharType="end"/>
    </w:r>
    <w:r w:rsidRPr="00C6010B">
      <w:rPr>
        <w:rFonts w:ascii="Calibri" w:hAnsi="Calibri" w:cs="Calibri"/>
        <w:sz w:val="22"/>
        <w:szCs w:val="22"/>
      </w:rPr>
      <w:ptab w:relativeTo="margin" w:alignment="center" w:leader="none"/>
    </w:r>
    <w:proofErr w:type="spellStart"/>
    <w:r w:rsidRPr="00C6010B">
      <w:rPr>
        <w:rFonts w:ascii="Calibri" w:hAnsi="Calibri" w:cs="Calibri"/>
        <w:sz w:val="22"/>
        <w:szCs w:val="22"/>
      </w:rPr>
      <w:t>Fecha</w:t>
    </w:r>
    <w:proofErr w:type="spellEnd"/>
    <w:r w:rsidRPr="00C6010B">
      <w:rPr>
        <w:rFonts w:ascii="Calibri" w:hAnsi="Calibri" w:cs="Calibri"/>
        <w:sz w:val="22"/>
        <w:szCs w:val="22"/>
      </w:rPr>
      <w:t xml:space="preserve"> de entrada </w:t>
    </w:r>
    <w:proofErr w:type="spellStart"/>
    <w:r w:rsidRPr="00C6010B">
      <w:rPr>
        <w:rFonts w:ascii="Calibri" w:hAnsi="Calibri" w:cs="Calibri"/>
        <w:sz w:val="22"/>
        <w:szCs w:val="22"/>
      </w:rPr>
      <w:t>en</w:t>
    </w:r>
    <w:proofErr w:type="spellEnd"/>
    <w:r w:rsidRPr="00C6010B">
      <w:rPr>
        <w:rFonts w:ascii="Calibri" w:hAnsi="Calibri" w:cs="Calibri"/>
        <w:sz w:val="22"/>
        <w:szCs w:val="22"/>
      </w:rPr>
      <w:t xml:space="preserve"> vigor: 11/07/2019 </w:t>
    </w:r>
    <w:r w:rsidRPr="00C6010B">
      <w:rPr>
        <w:rFonts w:ascii="Calibri" w:hAnsi="Calibri" w:cs="Calibri"/>
        <w:sz w:val="22"/>
        <w:szCs w:val="22"/>
      </w:rPr>
      <w:ptab w:relativeTo="margin" w:alignment="right" w:leader="none"/>
    </w:r>
    <w:proofErr w:type="spellStart"/>
    <w:r w:rsidRPr="00C6010B">
      <w:rPr>
        <w:rFonts w:ascii="Calibri" w:hAnsi="Calibri" w:cs="Calibri"/>
        <w:sz w:val="22"/>
        <w:szCs w:val="22"/>
      </w:rPr>
      <w:t>Versión</w:t>
    </w:r>
    <w:proofErr w:type="spellEnd"/>
    <w:r w:rsidRPr="00C6010B">
      <w:rPr>
        <w:rFonts w:ascii="Calibri" w:hAnsi="Calibri" w:cs="Calibri"/>
        <w:sz w:val="22"/>
        <w:szCs w:val="22"/>
      </w:rPr>
      <w:t xml:space="preserve"> </w:t>
    </w:r>
    <w:r>
      <w:rPr>
        <w:rFonts w:ascii="Calibri" w:hAnsi="Calibri" w:cs="Calibri"/>
        <w:sz w:val="22"/>
        <w:szCs w:val="22"/>
      </w:rPr>
      <w:t>#</w:t>
    </w:r>
    <w:r w:rsidRPr="00C6010B">
      <w:rPr>
        <w:rFonts w:ascii="Calibri" w:hAnsi="Calibri" w:cs="Calibri"/>
        <w:sz w:val="22"/>
        <w:szCs w:val="22"/>
      </w:rPr>
      <w:t xml:space="preserve">: </w:t>
    </w:r>
    <w:sdt>
      <w:sdtPr>
        <w:rPr>
          <w:rFonts w:ascii="Calibri" w:hAnsi="Calibri" w:cs="Calibri"/>
          <w:sz w:val="22"/>
          <w:szCs w:val="22"/>
        </w:rPr>
        <w:alias w:val="POPPRefItemVersion"/>
        <w:tag w:val="UNDP_POPP_REFITEM_VERSION"/>
        <w:id w:val="-1013464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260F48E-068E-40AC-8342-494DEE796717}"/>
        <w:text/>
      </w:sdtPr>
      <w:sdtContent>
        <w:r w:rsidRPr="00C6010B">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15C3" w14:textId="77777777" w:rsidR="00A05F90" w:rsidRDefault="00A05F90">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31CCA4B2" w14:textId="77777777" w:rsidR="00A05F90" w:rsidRDefault="00A05F90">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D2432" w14:textId="77777777" w:rsidR="007B6563" w:rsidRDefault="007B6563" w:rsidP="00A05F90">
      <w:pPr>
        <w:spacing w:after="0" w:line="240" w:lineRule="auto"/>
      </w:pPr>
      <w:r>
        <w:separator/>
      </w:r>
    </w:p>
  </w:footnote>
  <w:footnote w:type="continuationSeparator" w:id="0">
    <w:p w14:paraId="42EA5762" w14:textId="77777777" w:rsidR="007B6563" w:rsidRDefault="007B6563" w:rsidP="00A05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B574" w14:textId="0C710A4D" w:rsidR="00A05F90" w:rsidRDefault="00A05F90" w:rsidP="00CD0862">
    <w:pPr>
      <w:pStyle w:val="Header"/>
      <w:spacing w:before="100" w:beforeAutospacing="1" w:after="100" w:afterAutospacing="1"/>
      <w:ind w:left="9730" w:right="43"/>
    </w:pPr>
    <w:r>
      <w:rPr>
        <w:noProof/>
      </w:rPr>
      <w:drawing>
        <wp:inline distT="0" distB="0" distL="0" distR="0" wp14:anchorId="49D66EB6" wp14:editId="42621E0C">
          <wp:extent cx="298160" cy="606425"/>
          <wp:effectExtent l="0" t="0" r="6985" b="3175"/>
          <wp:docPr id="222035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930" cy="6303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4353A"/>
    <w:multiLevelType w:val="hybridMultilevel"/>
    <w:tmpl w:val="DF4637B2"/>
    <w:lvl w:ilvl="0" w:tplc="F38A863C">
      <w:start w:val="9"/>
      <w:numFmt w:val="decimal"/>
      <w:lvlText w:val="%1."/>
      <w:lvlJc w:val="left"/>
      <w:pPr>
        <w:ind w:left="0" w:firstLine="0"/>
      </w:pPr>
      <w:rPr>
        <w:rFonts w:ascii="Calibri" w:eastAsia="Calibri" w:hAnsi="Calibri" w:cs="Calibri" w:hint="default"/>
        <w:b w:val="0"/>
        <w:i w:val="0"/>
        <w:strike w:val="0"/>
        <w:dstrike w:val="0"/>
        <w:color w:val="auto"/>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40469"/>
    <w:multiLevelType w:val="hybridMultilevel"/>
    <w:tmpl w:val="1B4C85D2"/>
    <w:lvl w:ilvl="0" w:tplc="0409000F">
      <w:start w:val="1"/>
      <w:numFmt w:val="decimal"/>
      <w:lvlText w:val="%1."/>
      <w:lvlJc w:val="left"/>
      <w:pPr>
        <w:ind w:left="0" w:firstLine="0"/>
      </w:pPr>
      <w:rPr>
        <w:rFonts w:hint="default"/>
        <w:b w:val="0"/>
        <w:i w:val="0"/>
        <w:strike w:val="0"/>
        <w:dstrike w:val="0"/>
        <w:color w:val="auto"/>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002072"/>
    <w:multiLevelType w:val="hybridMultilevel"/>
    <w:tmpl w:val="B6960720"/>
    <w:lvl w:ilvl="0" w:tplc="0409000F">
      <w:start w:val="1"/>
      <w:numFmt w:val="decimal"/>
      <w:lvlText w:val="%1."/>
      <w:lvlJc w:val="left"/>
      <w:pPr>
        <w:ind w:left="0" w:firstLine="0"/>
      </w:pPr>
      <w:rPr>
        <w:rFonts w:hint="default"/>
        <w:b w:val="0"/>
        <w:i w:val="0"/>
        <w:strike w:val="0"/>
        <w:dstrike w:val="0"/>
        <w:color w:val="auto"/>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741D9"/>
    <w:multiLevelType w:val="hybridMultilevel"/>
    <w:tmpl w:val="C1A0BAF6"/>
    <w:lvl w:ilvl="0" w:tplc="F58C7D3C">
      <w:start w:val="1"/>
      <w:numFmt w:val="lowerLetter"/>
      <w:lvlText w:val="%1."/>
      <w:lvlJc w:val="left"/>
      <w:pPr>
        <w:ind w:left="722"/>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A5A57FA">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576721E">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40FC38">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5609948">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A00A898">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BD0899C">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65AEB5C">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7C994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4A8F1940"/>
    <w:multiLevelType w:val="hybridMultilevel"/>
    <w:tmpl w:val="C1A0BAF6"/>
    <w:lvl w:ilvl="0" w:tplc="F58C7D3C">
      <w:start w:val="1"/>
      <w:numFmt w:val="lowerLetter"/>
      <w:lvlText w:val="%1."/>
      <w:lvlJc w:val="left"/>
      <w:pPr>
        <w:ind w:left="722"/>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A5A57FA">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576721E">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40FC38">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5609948">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A00A898">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BD0899C">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65AEB5C">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7C994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4C9537D6"/>
    <w:multiLevelType w:val="hybridMultilevel"/>
    <w:tmpl w:val="A14680DC"/>
    <w:lvl w:ilvl="0" w:tplc="04090019">
      <w:start w:val="1"/>
      <w:numFmt w:val="lowerLetter"/>
      <w:lvlText w:val="%1."/>
      <w:lvlJc w:val="left"/>
      <w:pPr>
        <w:ind w:left="722"/>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FFFFFFF">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4E56723E"/>
    <w:multiLevelType w:val="hybridMultilevel"/>
    <w:tmpl w:val="489E6428"/>
    <w:lvl w:ilvl="0" w:tplc="AF56178A">
      <w:start w:val="1"/>
      <w:numFmt w:val="decimal"/>
      <w:lvlText w:val="%1."/>
      <w:lvlJc w:val="left"/>
      <w:pPr>
        <w:ind w:left="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A1F8517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568F99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C5025E3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D60D8D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F5C6A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6A42C8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0AEDF4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7A0713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578958E4"/>
    <w:multiLevelType w:val="hybridMultilevel"/>
    <w:tmpl w:val="D1CE8A74"/>
    <w:lvl w:ilvl="0" w:tplc="F38A863C">
      <w:start w:val="9"/>
      <w:numFmt w:val="decimal"/>
      <w:lvlText w:val="%1."/>
      <w:lvlJc w:val="left"/>
      <w:pPr>
        <w:ind w:left="0" w:firstLine="0"/>
      </w:pPr>
      <w:rPr>
        <w:rFonts w:ascii="Calibri" w:eastAsia="Calibri" w:hAnsi="Calibri" w:cs="Calibri" w:hint="default"/>
        <w:b w:val="0"/>
        <w:i w:val="0"/>
        <w:strike w:val="0"/>
        <w:dstrike w:val="0"/>
        <w:color w:val="auto"/>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0032B7"/>
    <w:multiLevelType w:val="hybridMultilevel"/>
    <w:tmpl w:val="AC9C6BDE"/>
    <w:lvl w:ilvl="0" w:tplc="9E3A8C14">
      <w:start w:val="4"/>
      <w:numFmt w:val="decimal"/>
      <w:lvlText w:val="%1."/>
      <w:lvlJc w:val="left"/>
      <w:pPr>
        <w:ind w:left="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04090001">
      <w:start w:val="1"/>
      <w:numFmt w:val="bullet"/>
      <w:lvlText w:val=""/>
      <w:lvlJc w:val="left"/>
      <w:pPr>
        <w:ind w:left="375"/>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2" w:tplc="C9401F9E">
      <w:start w:val="1"/>
      <w:numFmt w:val="bullet"/>
      <w:lvlText w:val="▪"/>
      <w:lvlJc w:val="left"/>
      <w:pPr>
        <w:ind w:left="1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541DC2">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A0FEE0">
      <w:start w:val="1"/>
      <w:numFmt w:val="bullet"/>
      <w:lvlText w:val="o"/>
      <w:lvlJc w:val="left"/>
      <w:pPr>
        <w:ind w:left="2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B45B5E">
      <w:start w:val="1"/>
      <w:numFmt w:val="bullet"/>
      <w:lvlText w:val="▪"/>
      <w:lvlJc w:val="left"/>
      <w:pPr>
        <w:ind w:left="3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F83A86">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92D204">
      <w:start w:val="1"/>
      <w:numFmt w:val="bullet"/>
      <w:lvlText w:val="o"/>
      <w:lvlJc w:val="left"/>
      <w:pPr>
        <w:ind w:left="4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1CA1D2">
      <w:start w:val="1"/>
      <w:numFmt w:val="bullet"/>
      <w:lvlText w:val="▪"/>
      <w:lvlJc w:val="left"/>
      <w:pPr>
        <w:ind w:left="5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C3828F3"/>
    <w:multiLevelType w:val="hybridMultilevel"/>
    <w:tmpl w:val="78CCADC2"/>
    <w:lvl w:ilvl="0" w:tplc="6E46025E">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9CB50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68F3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70D92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E89EA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1E7C7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62F0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F4D6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7C08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FA17EA9"/>
    <w:multiLevelType w:val="hybridMultilevel"/>
    <w:tmpl w:val="DB12F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57D6D"/>
    <w:multiLevelType w:val="hybridMultilevel"/>
    <w:tmpl w:val="2EDE41DC"/>
    <w:lvl w:ilvl="0" w:tplc="E0EE9BDE">
      <w:start w:val="1"/>
      <w:numFmt w:val="lowerLetter"/>
      <w:lvlText w:val="%1."/>
      <w:lvlJc w:val="left"/>
      <w:pPr>
        <w:ind w:left="7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3C481F10">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4A09840">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7A23C2">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6061162">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7CCB38E">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63075F2">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EF41580">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9D8E43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2" w15:restartNumberingAfterBreak="0">
    <w:nsid w:val="63987A83"/>
    <w:multiLevelType w:val="hybridMultilevel"/>
    <w:tmpl w:val="5C604186"/>
    <w:lvl w:ilvl="0" w:tplc="04090019">
      <w:start w:val="1"/>
      <w:numFmt w:val="lowerLetter"/>
      <w:lvlText w:val="%1."/>
      <w:lvlJc w:val="left"/>
      <w:pPr>
        <w:ind w:left="740"/>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FFFFFFF">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3" w15:restartNumberingAfterBreak="0">
    <w:nsid w:val="63EE73D9"/>
    <w:multiLevelType w:val="hybridMultilevel"/>
    <w:tmpl w:val="35BE0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95FF9"/>
    <w:multiLevelType w:val="hybridMultilevel"/>
    <w:tmpl w:val="4D88C8A0"/>
    <w:lvl w:ilvl="0" w:tplc="04090019">
      <w:start w:val="1"/>
      <w:numFmt w:val="lowerLetter"/>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16cid:durableId="102389302">
    <w:abstractNumId w:val="6"/>
  </w:num>
  <w:num w:numId="2" w16cid:durableId="1984692963">
    <w:abstractNumId w:val="8"/>
  </w:num>
  <w:num w:numId="3" w16cid:durableId="1005130423">
    <w:abstractNumId w:val="9"/>
  </w:num>
  <w:num w:numId="4" w16cid:durableId="485315751">
    <w:abstractNumId w:val="0"/>
  </w:num>
  <w:num w:numId="5" w16cid:durableId="1148548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02673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8293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223830">
    <w:abstractNumId w:val="13"/>
  </w:num>
  <w:num w:numId="9" w16cid:durableId="1300575774">
    <w:abstractNumId w:val="7"/>
  </w:num>
  <w:num w:numId="10" w16cid:durableId="1360813625">
    <w:abstractNumId w:val="1"/>
  </w:num>
  <w:num w:numId="11" w16cid:durableId="1174953241">
    <w:abstractNumId w:val="10"/>
  </w:num>
  <w:num w:numId="12" w16cid:durableId="979192431">
    <w:abstractNumId w:val="2"/>
  </w:num>
  <w:num w:numId="13" w16cid:durableId="276723458">
    <w:abstractNumId w:val="14"/>
  </w:num>
  <w:num w:numId="14" w16cid:durableId="1626152828">
    <w:abstractNumId w:val="3"/>
  </w:num>
  <w:num w:numId="15" w16cid:durableId="972832113">
    <w:abstractNumId w:val="5"/>
  </w:num>
  <w:num w:numId="16" w16cid:durableId="1833830877">
    <w:abstractNumId w:val="11"/>
  </w:num>
  <w:num w:numId="17" w16cid:durableId="1403137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90"/>
    <w:rsid w:val="00334853"/>
    <w:rsid w:val="007416AF"/>
    <w:rsid w:val="007B6563"/>
    <w:rsid w:val="009E5CEB"/>
    <w:rsid w:val="00A05F90"/>
    <w:rsid w:val="00C20586"/>
    <w:rsid w:val="00C6010B"/>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A5ED"/>
  <w15:chartTrackingRefBased/>
  <w15:docId w15:val="{CF4CF7B0-4A8F-4FBC-857A-832BA93F7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F90"/>
    <w:rPr>
      <w:rFonts w:eastAsiaTheme="majorEastAsia" w:cstheme="majorBidi"/>
      <w:color w:val="272727" w:themeColor="text1" w:themeTint="D8"/>
    </w:rPr>
  </w:style>
  <w:style w:type="paragraph" w:styleId="Title">
    <w:name w:val="Title"/>
    <w:basedOn w:val="Normal"/>
    <w:next w:val="Normal"/>
    <w:link w:val="TitleChar"/>
    <w:uiPriority w:val="10"/>
    <w:qFormat/>
    <w:rsid w:val="00A05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F90"/>
    <w:pPr>
      <w:spacing w:before="160"/>
      <w:jc w:val="center"/>
    </w:pPr>
    <w:rPr>
      <w:i/>
      <w:iCs/>
      <w:color w:val="404040" w:themeColor="text1" w:themeTint="BF"/>
    </w:rPr>
  </w:style>
  <w:style w:type="character" w:customStyle="1" w:styleId="QuoteChar">
    <w:name w:val="Quote Char"/>
    <w:basedOn w:val="DefaultParagraphFont"/>
    <w:link w:val="Quote"/>
    <w:uiPriority w:val="29"/>
    <w:rsid w:val="00A05F90"/>
    <w:rPr>
      <w:i/>
      <w:iCs/>
      <w:color w:val="404040" w:themeColor="text1" w:themeTint="BF"/>
    </w:rPr>
  </w:style>
  <w:style w:type="paragraph" w:styleId="ListParagraph">
    <w:name w:val="List Paragraph"/>
    <w:basedOn w:val="Normal"/>
    <w:uiPriority w:val="34"/>
    <w:qFormat/>
    <w:rsid w:val="00A05F90"/>
    <w:pPr>
      <w:ind w:left="720"/>
      <w:contextualSpacing/>
    </w:pPr>
  </w:style>
  <w:style w:type="character" w:styleId="IntenseEmphasis">
    <w:name w:val="Intense Emphasis"/>
    <w:basedOn w:val="DefaultParagraphFont"/>
    <w:uiPriority w:val="21"/>
    <w:qFormat/>
    <w:rsid w:val="00A05F90"/>
    <w:rPr>
      <w:i/>
      <w:iCs/>
      <w:color w:val="0F4761" w:themeColor="accent1" w:themeShade="BF"/>
    </w:rPr>
  </w:style>
  <w:style w:type="paragraph" w:styleId="IntenseQuote">
    <w:name w:val="Intense Quote"/>
    <w:basedOn w:val="Normal"/>
    <w:next w:val="Normal"/>
    <w:link w:val="IntenseQuoteChar"/>
    <w:uiPriority w:val="30"/>
    <w:qFormat/>
    <w:rsid w:val="00A05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F90"/>
    <w:rPr>
      <w:i/>
      <w:iCs/>
      <w:color w:val="0F4761" w:themeColor="accent1" w:themeShade="BF"/>
    </w:rPr>
  </w:style>
  <w:style w:type="character" w:styleId="IntenseReference">
    <w:name w:val="Intense Reference"/>
    <w:basedOn w:val="DefaultParagraphFont"/>
    <w:uiPriority w:val="32"/>
    <w:qFormat/>
    <w:rsid w:val="00A05F90"/>
    <w:rPr>
      <w:b/>
      <w:bCs/>
      <w:smallCaps/>
      <w:color w:val="0F4761" w:themeColor="accent1" w:themeShade="BF"/>
      <w:spacing w:val="5"/>
    </w:rPr>
  </w:style>
  <w:style w:type="table" w:customStyle="1" w:styleId="TableGrid">
    <w:name w:val="TableGrid"/>
    <w:rsid w:val="00A05F90"/>
    <w:pPr>
      <w:spacing w:after="0" w:line="240" w:lineRule="auto"/>
    </w:pPr>
    <w:rPr>
      <w:rFonts w:eastAsia="Times New Roman"/>
      <w:kern w:val="0"/>
      <w:sz w:val="22"/>
      <w:szCs w:val="22"/>
      <w:lang w:val="es-ES" w:eastAsia="es-ES" w:bidi="es-ES"/>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A05F90"/>
    <w:pPr>
      <w:tabs>
        <w:tab w:val="center" w:pos="4680"/>
        <w:tab w:val="right" w:pos="9360"/>
      </w:tabs>
      <w:spacing w:after="0" w:line="240" w:lineRule="auto"/>
      <w:ind w:left="730" w:right="3"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A05F90"/>
    <w:rPr>
      <w:rFonts w:ascii="Calibri" w:eastAsia="Calibri" w:hAnsi="Calibri" w:cs="Calibri"/>
      <w:color w:val="000000"/>
      <w:kern w:val="0"/>
      <w:sz w:val="22"/>
      <w:szCs w:val="22"/>
      <w:lang w:val="es-ES" w:eastAsia="es-ES" w:bidi="es-ES"/>
      <w14:ligatures w14:val="none"/>
    </w:rPr>
  </w:style>
  <w:style w:type="paragraph" w:styleId="Revision">
    <w:name w:val="Revision"/>
    <w:hidden/>
    <w:uiPriority w:val="99"/>
    <w:semiHidden/>
    <w:rsid w:val="00A05F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2357</Words>
  <Characters>13435</Characters>
  <Application>Microsoft Office Word</Application>
  <DocSecurity>0</DocSecurity>
  <Lines>111</Lines>
  <Paragraphs>31</Paragraphs>
  <ScaleCrop>false</ScaleCrop>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2026-04-30T23:40:00Z</dcterms:created>
  <dcterms:modified xsi:type="dcterms:W3CDTF">2026-04-30T23:58:00Z</dcterms:modified>
</cp:coreProperties>
</file>