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94AE4" w14:textId="77777777" w:rsidR="008271CA" w:rsidRPr="00483F3B" w:rsidRDefault="008271CA" w:rsidP="008271CA">
      <w:pPr>
        <w:spacing w:line="259" w:lineRule="auto"/>
        <w:rPr>
          <w:rFonts w:ascii="Calibri" w:eastAsia="Calibri" w:hAnsi="Calibri" w:cs="Calibri"/>
          <w:b/>
          <w:kern w:val="0"/>
          <w:sz w:val="28"/>
          <w:szCs w:val="22"/>
          <w14:ligatures w14:val="none"/>
        </w:rPr>
      </w:pPr>
      <w:r w:rsidRPr="00483F3B">
        <w:rPr>
          <w:rFonts w:ascii="Calibri" w:eastAsia="Calibri" w:hAnsi="Calibri" w:cs="Calibri"/>
          <w:b/>
          <w:kern w:val="0"/>
          <w:sz w:val="28"/>
          <w:szCs w:val="22"/>
          <w14:ligatures w14:val="none"/>
        </w:rPr>
        <w:t xml:space="preserve">Sourcing and Market Research </w:t>
      </w:r>
    </w:p>
    <w:p w14:paraId="43BAEC23" w14:textId="77777777" w:rsidR="008271CA" w:rsidRPr="00483F3B" w:rsidRDefault="008271CA" w:rsidP="008271CA">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bookmarkStart w:id="0" w:name="Description"/>
      <w:bookmarkEnd w:id="0"/>
      <w:r w:rsidRPr="00483F3B">
        <w:rPr>
          <w:rFonts w:ascii="Calibri" w:eastAsia="Times New Roman" w:hAnsi="Calibri" w:cs="Calibri"/>
          <w:kern w:val="0"/>
          <w:sz w:val="22"/>
          <w:szCs w:val="22"/>
          <w14:ligatures w14:val="none"/>
        </w:rPr>
        <w:t>Inclusive sourcing for procurement is essential to effective competition as well as fairness, integrity and transparency.  </w:t>
      </w:r>
    </w:p>
    <w:p w14:paraId="7501D659"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62891A27" w14:textId="77777777" w:rsidR="008271CA" w:rsidRPr="00483F3B" w:rsidRDefault="008271CA" w:rsidP="008271CA">
      <w:pPr>
        <w:shd w:val="clear" w:color="auto" w:fill="FFFFFF"/>
        <w:spacing w:after="0" w:line="240" w:lineRule="auto"/>
        <w:ind w:firstLine="720"/>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The following are key components:</w:t>
      </w:r>
    </w:p>
    <w:p w14:paraId="40BD33E4" w14:textId="77777777" w:rsidR="008271CA" w:rsidRPr="00483F3B" w:rsidRDefault="008271CA" w:rsidP="008271CA">
      <w:pPr>
        <w:shd w:val="clear" w:color="auto" w:fill="FFFFFF"/>
        <w:spacing w:after="0" w:line="240" w:lineRule="auto"/>
        <w:ind w:left="2610"/>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357C96FB" w14:textId="77777777" w:rsidR="008271CA" w:rsidRPr="00483F3B" w:rsidRDefault="008271CA" w:rsidP="008271CA">
      <w:pPr>
        <w:numPr>
          <w:ilvl w:val="0"/>
          <w:numId w:val="13"/>
        </w:numPr>
        <w:shd w:val="clear" w:color="auto" w:fill="FFFFFF"/>
        <w:spacing w:after="0" w:line="240" w:lineRule="auto"/>
        <w:ind w:left="1800"/>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Define the sourcing method</w:t>
      </w:r>
    </w:p>
    <w:p w14:paraId="07B8FD45" w14:textId="77777777" w:rsidR="008271CA" w:rsidRPr="00483F3B" w:rsidRDefault="008271CA" w:rsidP="008271CA">
      <w:pPr>
        <w:shd w:val="clear" w:color="auto" w:fill="FFFFFF"/>
        <w:spacing w:after="0" w:line="240" w:lineRule="auto"/>
        <w:ind w:left="1800"/>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xml:space="preserve"> </w:t>
      </w:r>
    </w:p>
    <w:p w14:paraId="5ED8EAA0" w14:textId="77777777" w:rsidR="008271CA" w:rsidRPr="00483F3B" w:rsidRDefault="008271CA" w:rsidP="008271CA">
      <w:pPr>
        <w:numPr>
          <w:ilvl w:val="0"/>
          <w:numId w:val="13"/>
        </w:numPr>
        <w:shd w:val="clear" w:color="auto" w:fill="FFFFFF"/>
        <w:spacing w:after="0" w:line="240" w:lineRule="auto"/>
        <w:ind w:left="1800"/>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Conduct market research</w:t>
      </w:r>
    </w:p>
    <w:p w14:paraId="42ADDC8F"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22F32B06" w14:textId="77777777" w:rsidR="008271CA" w:rsidRPr="00483F3B" w:rsidRDefault="008271CA" w:rsidP="008271CA">
      <w:pPr>
        <w:numPr>
          <w:ilvl w:val="0"/>
          <w:numId w:val="13"/>
        </w:numPr>
        <w:shd w:val="clear" w:color="auto" w:fill="FFFFFF"/>
        <w:spacing w:after="0" w:line="240" w:lineRule="auto"/>
        <w:ind w:left="1800"/>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Identify suppliers</w:t>
      </w:r>
    </w:p>
    <w:p w14:paraId="65C64D2F" w14:textId="77777777" w:rsidR="008271CA" w:rsidRPr="00483F3B" w:rsidRDefault="008271CA" w:rsidP="008271CA">
      <w:pPr>
        <w:shd w:val="clear" w:color="auto" w:fill="FFFFFF"/>
        <w:spacing w:after="0" w:line="240" w:lineRule="auto"/>
        <w:ind w:left="1800"/>
        <w:contextualSpacing/>
        <w:jc w:val="both"/>
        <w:textAlignment w:val="top"/>
        <w:rPr>
          <w:rFonts w:ascii="Calibri" w:eastAsia="Times New Roman" w:hAnsi="Calibri" w:cs="Calibri"/>
          <w:kern w:val="0"/>
          <w:sz w:val="22"/>
          <w:szCs w:val="22"/>
          <w14:ligatures w14:val="none"/>
        </w:rPr>
      </w:pPr>
    </w:p>
    <w:p w14:paraId="038BF346" w14:textId="77777777" w:rsidR="008271CA" w:rsidRPr="00483F3B" w:rsidRDefault="008271CA" w:rsidP="008271CA">
      <w:pPr>
        <w:numPr>
          <w:ilvl w:val="0"/>
          <w:numId w:val="13"/>
        </w:numPr>
        <w:shd w:val="clear" w:color="auto" w:fill="FFFFFF"/>
        <w:spacing w:after="0" w:line="240" w:lineRule="auto"/>
        <w:ind w:left="1800"/>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Appraise and manage suppliers</w:t>
      </w:r>
    </w:p>
    <w:p w14:paraId="2B0066D3" w14:textId="77777777" w:rsidR="008271CA" w:rsidRPr="00483F3B" w:rsidRDefault="008271CA" w:rsidP="008271CA">
      <w:pPr>
        <w:shd w:val="clear" w:color="auto" w:fill="FFFFFF"/>
        <w:spacing w:after="0" w:line="240" w:lineRule="auto"/>
        <w:contextualSpacing/>
        <w:jc w:val="both"/>
        <w:textAlignment w:val="top"/>
        <w:rPr>
          <w:rFonts w:ascii="Calibri" w:eastAsia="Times New Roman" w:hAnsi="Calibri" w:cs="Calibri"/>
          <w:b/>
          <w:kern w:val="0"/>
          <w:sz w:val="22"/>
          <w:szCs w:val="22"/>
          <w14:ligatures w14:val="none"/>
        </w:rPr>
      </w:pPr>
      <w:bookmarkStart w:id="1" w:name="Procedures"/>
      <w:bookmarkEnd w:id="1"/>
    </w:p>
    <w:p w14:paraId="49756E70" w14:textId="77777777" w:rsidR="008271CA" w:rsidRPr="00483F3B" w:rsidRDefault="008271CA" w:rsidP="008271CA">
      <w:pPr>
        <w:spacing w:line="259" w:lineRule="auto"/>
        <w:jc w:val="both"/>
        <w:rPr>
          <w:rFonts w:ascii="Calibri" w:eastAsia="Calibri" w:hAnsi="Calibri" w:cs="Calibri"/>
          <w:b/>
          <w:kern w:val="0"/>
          <w:sz w:val="22"/>
          <w:szCs w:val="22"/>
          <w14:ligatures w14:val="none"/>
        </w:rPr>
      </w:pPr>
      <w:r w:rsidRPr="00483F3B">
        <w:rPr>
          <w:rFonts w:ascii="Calibri" w:eastAsia="Calibri" w:hAnsi="Calibri" w:cs="Calibri"/>
          <w:b/>
          <w:kern w:val="0"/>
          <w:sz w:val="22"/>
          <w:szCs w:val="22"/>
          <w14:ligatures w14:val="none"/>
        </w:rPr>
        <w:t>Sourcing and Market Research</w:t>
      </w:r>
    </w:p>
    <w:p w14:paraId="391AAAF6" w14:textId="77777777" w:rsidR="008271CA" w:rsidRPr="00483F3B" w:rsidRDefault="008271CA" w:rsidP="008271CA">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Before starting any activities, it is important to have a clear understanding of sourcing objectives. Questions that may require consideration include:</w:t>
      </w:r>
    </w:p>
    <w:p w14:paraId="4F1D64E6"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35B4BAF9" w14:textId="77777777" w:rsidR="008271CA" w:rsidRPr="00483F3B" w:rsidRDefault="008271CA" w:rsidP="008271CA">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Is the sourcing for a stand-alone procurement activity?</w:t>
      </w:r>
    </w:p>
    <w:p w14:paraId="7175C01D" w14:textId="77777777" w:rsidR="008271CA" w:rsidRPr="00483F3B" w:rsidRDefault="008271CA" w:rsidP="008271CA">
      <w:pPr>
        <w:shd w:val="clear" w:color="auto" w:fill="FFFFFF"/>
        <w:spacing w:after="0" w:line="240" w:lineRule="auto"/>
        <w:ind w:left="1800"/>
        <w:contextualSpacing/>
        <w:jc w:val="both"/>
        <w:textAlignment w:val="top"/>
        <w:rPr>
          <w:rFonts w:ascii="Calibri" w:eastAsia="Times New Roman" w:hAnsi="Calibri" w:cs="Calibri"/>
          <w:kern w:val="0"/>
          <w:sz w:val="22"/>
          <w:szCs w:val="22"/>
          <w14:ligatures w14:val="none"/>
        </w:rPr>
      </w:pPr>
    </w:p>
    <w:p w14:paraId="4D581AAF" w14:textId="77777777" w:rsidR="008271CA" w:rsidRPr="00483F3B" w:rsidRDefault="008271CA" w:rsidP="008271CA">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Do we want to establish a framework agreement (also called a long-term agreement)?</w:t>
      </w:r>
    </w:p>
    <w:p w14:paraId="4804990B"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7370234B" w14:textId="77777777" w:rsidR="008271CA" w:rsidRPr="00483F3B" w:rsidRDefault="008271CA" w:rsidP="008271CA">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Do we need to identify global, regional or local suppliers?</w:t>
      </w:r>
    </w:p>
    <w:p w14:paraId="3006EE75"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14F6BBE0" w14:textId="77777777" w:rsidR="008271CA" w:rsidRPr="00483F3B" w:rsidRDefault="008271CA" w:rsidP="008271CA">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xml:space="preserve">Are we dealing with a worldwide or regional market? </w:t>
      </w:r>
    </w:p>
    <w:p w14:paraId="58922AC9"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7A803383" w14:textId="77777777" w:rsidR="008271CA" w:rsidRPr="00483F3B" w:rsidRDefault="008271CA" w:rsidP="008271CA">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xml:space="preserve">What is the budgeted amount for the goods, works or services? </w:t>
      </w:r>
    </w:p>
    <w:p w14:paraId="23452845"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2F26A653" w14:textId="77777777" w:rsidR="008271CA" w:rsidRPr="00483F3B" w:rsidRDefault="008271CA" w:rsidP="008271CA">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xml:space="preserve">What is the risk associated with the proposed procurement action? </w:t>
      </w:r>
    </w:p>
    <w:p w14:paraId="78C78E06"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1AA06E26" w14:textId="77777777" w:rsidR="008271CA" w:rsidRPr="00483F3B" w:rsidRDefault="008271CA" w:rsidP="008271CA">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Is prequalification the most suitable approach?</w:t>
      </w:r>
    </w:p>
    <w:p w14:paraId="17AE65EC"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1888D877" w14:textId="77777777" w:rsidR="008271CA" w:rsidRPr="00483F3B" w:rsidRDefault="008271CA" w:rsidP="008271CA">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Setting clear objectives is strongly recommended to identify the level of market analysis and the approach to identification of a supplier, including whether it is more suitable to pursue a prequalification or post-qualification process.</w:t>
      </w:r>
    </w:p>
    <w:p w14:paraId="54E51CE1"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i/>
          <w:iCs/>
          <w:kern w:val="0"/>
          <w:sz w:val="22"/>
          <w:szCs w:val="22"/>
          <w14:ligatures w14:val="none"/>
        </w:rPr>
        <w:t> </w:t>
      </w:r>
    </w:p>
    <w:p w14:paraId="7491C0CC" w14:textId="77777777" w:rsidR="008271CA" w:rsidRPr="00483F3B" w:rsidRDefault="008271CA" w:rsidP="008271CA">
      <w:pPr>
        <w:spacing w:line="259" w:lineRule="auto"/>
        <w:jc w:val="both"/>
        <w:rPr>
          <w:rFonts w:ascii="Calibri" w:eastAsia="Calibri" w:hAnsi="Calibri" w:cs="Calibri"/>
          <w:b/>
          <w:kern w:val="0"/>
          <w:sz w:val="22"/>
          <w:szCs w:val="22"/>
          <w14:ligatures w14:val="none"/>
        </w:rPr>
      </w:pPr>
      <w:r w:rsidRPr="00483F3B">
        <w:rPr>
          <w:rFonts w:ascii="Calibri" w:eastAsia="Calibri" w:hAnsi="Calibri" w:cs="Calibri"/>
          <w:b/>
          <w:kern w:val="0"/>
          <w:sz w:val="22"/>
          <w:szCs w:val="22"/>
          <w14:ligatures w14:val="none"/>
        </w:rPr>
        <w:t>Market Research</w:t>
      </w:r>
    </w:p>
    <w:p w14:paraId="169E42E1" w14:textId="77777777" w:rsidR="008271CA" w:rsidRPr="00483F3B" w:rsidRDefault="008271CA" w:rsidP="008271CA">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The level of market research depends on the risk and value of project requirements:</w:t>
      </w:r>
    </w:p>
    <w:p w14:paraId="50787373"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37F1E815" w14:textId="77777777" w:rsidR="008271CA" w:rsidRPr="00483F3B" w:rsidRDefault="008271CA" w:rsidP="008271CA">
      <w:pPr>
        <w:numPr>
          <w:ilvl w:val="1"/>
          <w:numId w:val="1"/>
        </w:numPr>
        <w:shd w:val="clear" w:color="auto" w:fill="FFFFFF"/>
        <w:spacing w:after="0" w:line="240" w:lineRule="auto"/>
        <w:ind w:left="1800"/>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xml:space="preserve">Small or standard procurement activities (e.g., purchasing off-the-shelf goods): limit research to identifying eligible suppliers and establishing a realistic delivery schedule and price list </w:t>
      </w:r>
    </w:p>
    <w:p w14:paraId="56613748" w14:textId="77777777" w:rsidR="008271CA" w:rsidRPr="00483F3B" w:rsidRDefault="008271CA" w:rsidP="008271CA">
      <w:pPr>
        <w:shd w:val="clear" w:color="auto" w:fill="FFFFFF"/>
        <w:spacing w:after="0" w:line="240" w:lineRule="auto"/>
        <w:ind w:left="1800"/>
        <w:contextualSpacing/>
        <w:jc w:val="both"/>
        <w:textAlignment w:val="top"/>
        <w:rPr>
          <w:rFonts w:ascii="Calibri" w:eastAsia="Times New Roman" w:hAnsi="Calibri" w:cs="Calibri"/>
          <w:kern w:val="0"/>
          <w:sz w:val="22"/>
          <w:szCs w:val="22"/>
          <w14:ligatures w14:val="none"/>
        </w:rPr>
      </w:pPr>
    </w:p>
    <w:p w14:paraId="6A92B433" w14:textId="77777777" w:rsidR="008271CA" w:rsidRPr="00483F3B" w:rsidRDefault="008271CA" w:rsidP="008271CA">
      <w:pPr>
        <w:numPr>
          <w:ilvl w:val="1"/>
          <w:numId w:val="1"/>
        </w:numPr>
        <w:shd w:val="clear" w:color="auto" w:fill="FFFFFF"/>
        <w:spacing w:after="0" w:line="240" w:lineRule="auto"/>
        <w:ind w:left="1800"/>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lastRenderedPageBreak/>
        <w:t xml:space="preserve">Large and/or high-risk procurement activities: requires broader sourcing and more detailed market understanding. Conduct a thorough market analysis of five key areas including, but not limited to: market structure, competition, supply chain management, substitute goods and services, and agency value as a customer.  </w:t>
      </w:r>
    </w:p>
    <w:p w14:paraId="1917E9B6"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456DB525" w14:textId="77777777" w:rsidR="008271CA" w:rsidRPr="00483F3B" w:rsidRDefault="008271CA" w:rsidP="008271CA">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Each of the five areas of market analysis can be used, depending on information required:</w:t>
      </w:r>
    </w:p>
    <w:p w14:paraId="1CCB37F7"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3B2ECB4F" w14:textId="77777777" w:rsidR="008271CA" w:rsidRPr="00483F3B" w:rsidRDefault="008271CA" w:rsidP="008271CA">
      <w:pPr>
        <w:numPr>
          <w:ilvl w:val="0"/>
          <w:numId w:val="2"/>
        </w:numPr>
        <w:shd w:val="clear" w:color="auto" w:fill="FFFFFF"/>
        <w:spacing w:after="0" w:line="240" w:lineRule="auto"/>
        <w:ind w:left="1350"/>
        <w:contextualSpacing/>
        <w:jc w:val="both"/>
        <w:textAlignment w:val="top"/>
        <w:rPr>
          <w:rFonts w:ascii="Calibri" w:eastAsia="Times New Roman" w:hAnsi="Calibri" w:cs="Calibri"/>
          <w:kern w:val="0"/>
          <w:sz w:val="22"/>
          <w:szCs w:val="22"/>
          <w14:ligatures w14:val="none"/>
        </w:rPr>
      </w:pPr>
      <w:r w:rsidRPr="00483F3B">
        <w:rPr>
          <w:rFonts w:ascii="Calibri" w:eastAsia="Calibri" w:hAnsi="Calibri" w:cs="Calibri"/>
          <w:kern w:val="0"/>
          <w:sz w:val="22"/>
          <w:szCs w:val="22"/>
          <w14:ligatures w14:val="none"/>
        </w:rPr>
        <w:t>Market structure analysis provides information such as:</w:t>
      </w:r>
    </w:p>
    <w:p w14:paraId="0D3A619B"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13BF2ADD" w14:textId="77777777" w:rsidR="008271CA" w:rsidRPr="00483F3B" w:rsidRDefault="008271CA" w:rsidP="008271CA">
      <w:pPr>
        <w:numPr>
          <w:ilvl w:val="1"/>
          <w:numId w:val="4"/>
        </w:numPr>
        <w:shd w:val="clear" w:color="auto" w:fill="FFFFFF"/>
        <w:spacing w:after="0" w:line="240" w:lineRule="auto"/>
        <w:ind w:left="2610"/>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Number of suppliers in the market</w:t>
      </w:r>
    </w:p>
    <w:p w14:paraId="27DC1290" w14:textId="77777777" w:rsidR="008271CA" w:rsidRPr="00483F3B" w:rsidRDefault="008271CA" w:rsidP="008271CA">
      <w:pPr>
        <w:shd w:val="clear" w:color="auto" w:fill="FFFFFF"/>
        <w:spacing w:after="0" w:line="240" w:lineRule="auto"/>
        <w:ind w:left="2610"/>
        <w:contextualSpacing/>
        <w:jc w:val="both"/>
        <w:textAlignment w:val="top"/>
        <w:rPr>
          <w:rFonts w:ascii="Calibri" w:eastAsia="Times New Roman" w:hAnsi="Calibri" w:cs="Calibri"/>
          <w:kern w:val="0"/>
          <w:sz w:val="22"/>
          <w:szCs w:val="22"/>
          <w14:ligatures w14:val="none"/>
        </w:rPr>
      </w:pPr>
    </w:p>
    <w:p w14:paraId="40C0F395" w14:textId="77777777" w:rsidR="008271CA" w:rsidRPr="00483F3B" w:rsidRDefault="008271CA" w:rsidP="008271CA">
      <w:pPr>
        <w:numPr>
          <w:ilvl w:val="1"/>
          <w:numId w:val="4"/>
        </w:numPr>
        <w:shd w:val="clear" w:color="auto" w:fill="FFFFFF"/>
        <w:spacing w:after="0" w:line="240" w:lineRule="auto"/>
        <w:ind w:left="2610"/>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Size of suppliers in terms of production capacity and market share</w:t>
      </w:r>
    </w:p>
    <w:p w14:paraId="454D69BB"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45DDF32A" w14:textId="77777777" w:rsidR="008271CA" w:rsidRPr="00483F3B" w:rsidRDefault="008271CA" w:rsidP="008271CA">
      <w:pPr>
        <w:numPr>
          <w:ilvl w:val="1"/>
          <w:numId w:val="4"/>
        </w:numPr>
        <w:shd w:val="clear" w:color="auto" w:fill="FFFFFF"/>
        <w:spacing w:after="0" w:line="240" w:lineRule="auto"/>
        <w:ind w:left="2610"/>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Geographical distribution of suppliers</w:t>
      </w:r>
    </w:p>
    <w:p w14:paraId="6EC66FFE"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4DC34607" w14:textId="77777777" w:rsidR="008271CA" w:rsidRPr="00483F3B" w:rsidRDefault="008271CA" w:rsidP="008271CA">
      <w:pPr>
        <w:numPr>
          <w:ilvl w:val="1"/>
          <w:numId w:val="4"/>
        </w:numPr>
        <w:shd w:val="clear" w:color="auto" w:fill="FFFFFF"/>
        <w:spacing w:after="0" w:line="240" w:lineRule="auto"/>
        <w:ind w:left="2610"/>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Level of market concentration</w:t>
      </w:r>
    </w:p>
    <w:p w14:paraId="576263F7"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74A1EA5F" w14:textId="77777777" w:rsidR="008271CA" w:rsidRPr="00483F3B" w:rsidRDefault="008271CA" w:rsidP="008271CA">
      <w:pPr>
        <w:numPr>
          <w:ilvl w:val="1"/>
          <w:numId w:val="4"/>
        </w:numPr>
        <w:shd w:val="clear" w:color="auto" w:fill="FFFFFF"/>
        <w:spacing w:after="0" w:line="240" w:lineRule="auto"/>
        <w:ind w:left="2610"/>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Whether horizontal or vertical integration of suppliers exists</w:t>
      </w:r>
    </w:p>
    <w:p w14:paraId="02A93115"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2FCC9BC4" w14:textId="77777777" w:rsidR="008271CA" w:rsidRPr="00483F3B" w:rsidRDefault="008271CA" w:rsidP="008271CA">
      <w:pPr>
        <w:numPr>
          <w:ilvl w:val="1"/>
          <w:numId w:val="4"/>
        </w:numPr>
        <w:shd w:val="clear" w:color="auto" w:fill="FFFFFF"/>
        <w:spacing w:after="0" w:line="240" w:lineRule="auto"/>
        <w:ind w:left="2610"/>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Identification of market leaders and followers</w:t>
      </w:r>
    </w:p>
    <w:p w14:paraId="57807D54"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7754E929" w14:textId="77777777" w:rsidR="008271CA" w:rsidRPr="00483F3B" w:rsidRDefault="008271CA" w:rsidP="008271CA">
      <w:pPr>
        <w:numPr>
          <w:ilvl w:val="1"/>
          <w:numId w:val="4"/>
        </w:numPr>
        <w:shd w:val="clear" w:color="auto" w:fill="FFFFFF"/>
        <w:spacing w:after="0" w:line="240" w:lineRule="auto"/>
        <w:ind w:left="2610"/>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Level of product differentiation</w:t>
      </w:r>
    </w:p>
    <w:p w14:paraId="0F81CE72"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01D9AB55" w14:textId="77777777" w:rsidR="008271CA" w:rsidRPr="00483F3B" w:rsidRDefault="008271CA" w:rsidP="008271CA">
      <w:pPr>
        <w:numPr>
          <w:ilvl w:val="0"/>
          <w:numId w:val="2"/>
        </w:numPr>
        <w:shd w:val="clear" w:color="auto" w:fill="FFFFFF"/>
        <w:spacing w:after="0" w:line="240" w:lineRule="auto"/>
        <w:ind w:left="1350"/>
        <w:contextualSpacing/>
        <w:jc w:val="both"/>
        <w:textAlignment w:val="top"/>
        <w:rPr>
          <w:rFonts w:ascii="Calibri" w:eastAsia="Times New Roman" w:hAnsi="Calibri" w:cs="Calibri"/>
          <w:kern w:val="0"/>
          <w:sz w:val="22"/>
          <w:szCs w:val="22"/>
          <w14:ligatures w14:val="none"/>
        </w:rPr>
      </w:pPr>
      <w:r w:rsidRPr="00483F3B">
        <w:rPr>
          <w:rFonts w:ascii="Calibri" w:eastAsia="Calibri" w:hAnsi="Calibri" w:cs="Calibri"/>
          <w:kern w:val="0"/>
          <w:sz w:val="22"/>
          <w:szCs w:val="22"/>
          <w14:ligatures w14:val="none"/>
        </w:rPr>
        <w:t>Competition analysis provides information such as:</w:t>
      </w:r>
    </w:p>
    <w:p w14:paraId="168E8D09"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75C54BBD" w14:textId="77777777" w:rsidR="008271CA" w:rsidRPr="00483F3B" w:rsidRDefault="008271CA" w:rsidP="008271CA">
      <w:pPr>
        <w:numPr>
          <w:ilvl w:val="1"/>
          <w:numId w:val="5"/>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The degree of supplier competition, and whether or not suppliers seek to excel in quality, price, service or other aspect(s)</w:t>
      </w:r>
    </w:p>
    <w:p w14:paraId="2CF78EB8" w14:textId="77777777" w:rsidR="008271CA" w:rsidRPr="00483F3B" w:rsidRDefault="008271CA" w:rsidP="008271CA">
      <w:pPr>
        <w:shd w:val="clear" w:color="auto" w:fill="FFFFFF"/>
        <w:spacing w:after="0" w:line="240" w:lineRule="auto"/>
        <w:ind w:left="2535"/>
        <w:contextualSpacing/>
        <w:jc w:val="both"/>
        <w:textAlignment w:val="top"/>
        <w:rPr>
          <w:rFonts w:ascii="Calibri" w:eastAsia="Times New Roman" w:hAnsi="Calibri" w:cs="Calibri"/>
          <w:kern w:val="0"/>
          <w:sz w:val="22"/>
          <w:szCs w:val="22"/>
          <w14:ligatures w14:val="none"/>
        </w:rPr>
      </w:pPr>
    </w:p>
    <w:p w14:paraId="302AE277" w14:textId="77777777" w:rsidR="008271CA" w:rsidRPr="00483F3B" w:rsidRDefault="008271CA" w:rsidP="008271CA">
      <w:pPr>
        <w:numPr>
          <w:ilvl w:val="1"/>
          <w:numId w:val="5"/>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Barriers to market entry</w:t>
      </w:r>
    </w:p>
    <w:p w14:paraId="783EBCDA"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19DFFE4B" w14:textId="77777777" w:rsidR="008271CA" w:rsidRPr="00483F3B" w:rsidRDefault="008271CA" w:rsidP="008271CA">
      <w:pPr>
        <w:numPr>
          <w:ilvl w:val="1"/>
          <w:numId w:val="5"/>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Exit barriers</w:t>
      </w:r>
    </w:p>
    <w:p w14:paraId="412B49E7"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34BF07C6" w14:textId="77777777" w:rsidR="008271CA" w:rsidRPr="00483F3B" w:rsidRDefault="008271CA" w:rsidP="008271CA">
      <w:pPr>
        <w:numPr>
          <w:ilvl w:val="1"/>
          <w:numId w:val="5"/>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Competitive advantage of a supplier</w:t>
      </w:r>
    </w:p>
    <w:p w14:paraId="1F99FD24"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7191091E" w14:textId="77777777" w:rsidR="008271CA" w:rsidRPr="00483F3B" w:rsidRDefault="008271CA" w:rsidP="008271CA">
      <w:pPr>
        <w:numPr>
          <w:ilvl w:val="1"/>
          <w:numId w:val="5"/>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Market trends</w:t>
      </w:r>
    </w:p>
    <w:p w14:paraId="6417C932"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7F8E6265" w14:textId="77777777" w:rsidR="008271CA" w:rsidRPr="00483F3B" w:rsidRDefault="008271CA" w:rsidP="008271CA">
      <w:pPr>
        <w:numPr>
          <w:ilvl w:val="1"/>
          <w:numId w:val="5"/>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Relevant government restrictions</w:t>
      </w:r>
    </w:p>
    <w:p w14:paraId="1461B7BA"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03D217F1" w14:textId="77777777" w:rsidR="008271CA" w:rsidRPr="00483F3B" w:rsidRDefault="008271CA" w:rsidP="008271CA">
      <w:pPr>
        <w:numPr>
          <w:ilvl w:val="0"/>
          <w:numId w:val="2"/>
        </w:numPr>
        <w:shd w:val="clear" w:color="auto" w:fill="FFFFFF"/>
        <w:spacing w:after="0" w:line="240" w:lineRule="auto"/>
        <w:ind w:left="1440"/>
        <w:contextualSpacing/>
        <w:jc w:val="both"/>
        <w:textAlignment w:val="top"/>
        <w:rPr>
          <w:rFonts w:ascii="Calibri" w:eastAsia="Calibri" w:hAnsi="Calibri" w:cs="Calibri"/>
          <w:kern w:val="0"/>
          <w:sz w:val="22"/>
          <w:szCs w:val="22"/>
          <w14:ligatures w14:val="none"/>
        </w:rPr>
      </w:pPr>
      <w:r w:rsidRPr="00483F3B">
        <w:rPr>
          <w:rFonts w:ascii="Calibri" w:eastAsia="Calibri" w:hAnsi="Calibri" w:cs="Calibri"/>
          <w:kern w:val="0"/>
          <w:sz w:val="22"/>
          <w:szCs w:val="22"/>
          <w14:ligatures w14:val="none"/>
        </w:rPr>
        <w:t>Supply chain analysis provides information such as:</w:t>
      </w:r>
    </w:p>
    <w:p w14:paraId="2DED22F6"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7D6309DC" w14:textId="77777777" w:rsidR="008271CA" w:rsidRPr="00483F3B" w:rsidRDefault="008271CA" w:rsidP="008271CA">
      <w:pPr>
        <w:numPr>
          <w:ilvl w:val="1"/>
          <w:numId w:val="6"/>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Complexity of supply chains</w:t>
      </w:r>
    </w:p>
    <w:p w14:paraId="5B7E3C99" w14:textId="77777777" w:rsidR="008271CA" w:rsidRPr="00483F3B" w:rsidRDefault="008271CA" w:rsidP="008271CA">
      <w:pPr>
        <w:shd w:val="clear" w:color="auto" w:fill="FFFFFF"/>
        <w:spacing w:after="0" w:line="240" w:lineRule="auto"/>
        <w:ind w:left="2535"/>
        <w:contextualSpacing/>
        <w:jc w:val="both"/>
        <w:textAlignment w:val="top"/>
        <w:rPr>
          <w:rFonts w:ascii="Calibri" w:eastAsia="Times New Roman" w:hAnsi="Calibri" w:cs="Calibri"/>
          <w:kern w:val="0"/>
          <w:sz w:val="22"/>
          <w:szCs w:val="22"/>
          <w14:ligatures w14:val="none"/>
        </w:rPr>
      </w:pPr>
    </w:p>
    <w:p w14:paraId="14E7A734" w14:textId="77777777" w:rsidR="008271CA" w:rsidRPr="00483F3B" w:rsidRDefault="008271CA" w:rsidP="008271CA">
      <w:pPr>
        <w:numPr>
          <w:ilvl w:val="1"/>
          <w:numId w:val="6"/>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Stability and vulnerability</w:t>
      </w:r>
    </w:p>
    <w:p w14:paraId="160645C4" w14:textId="77777777" w:rsidR="008271CA" w:rsidRPr="00483F3B" w:rsidRDefault="008271CA" w:rsidP="008271CA">
      <w:pPr>
        <w:shd w:val="clear" w:color="auto" w:fill="FFFFFF"/>
        <w:spacing w:after="0" w:line="240" w:lineRule="auto"/>
        <w:ind w:left="2535"/>
        <w:contextualSpacing/>
        <w:jc w:val="both"/>
        <w:textAlignment w:val="top"/>
        <w:rPr>
          <w:rFonts w:ascii="Calibri" w:eastAsia="Times New Roman" w:hAnsi="Calibri" w:cs="Calibri"/>
          <w:kern w:val="0"/>
          <w:sz w:val="22"/>
          <w:szCs w:val="22"/>
          <w14:ligatures w14:val="none"/>
        </w:rPr>
      </w:pPr>
    </w:p>
    <w:p w14:paraId="09AF3BCF" w14:textId="77777777" w:rsidR="008271CA" w:rsidRPr="00483F3B" w:rsidRDefault="008271CA" w:rsidP="008271CA">
      <w:pPr>
        <w:numPr>
          <w:ilvl w:val="1"/>
          <w:numId w:val="6"/>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Level of dependency on other suppliers for key components</w:t>
      </w:r>
    </w:p>
    <w:p w14:paraId="2296323E" w14:textId="77777777" w:rsidR="008271CA" w:rsidRPr="00483F3B" w:rsidRDefault="008271CA" w:rsidP="008271CA">
      <w:pPr>
        <w:shd w:val="clear" w:color="auto" w:fill="FFFFFF"/>
        <w:spacing w:after="0" w:line="240" w:lineRule="auto"/>
        <w:ind w:left="2535"/>
        <w:contextualSpacing/>
        <w:jc w:val="both"/>
        <w:textAlignment w:val="top"/>
        <w:rPr>
          <w:rFonts w:ascii="Calibri" w:eastAsia="Times New Roman" w:hAnsi="Calibri" w:cs="Calibri"/>
          <w:kern w:val="0"/>
          <w:sz w:val="22"/>
          <w:szCs w:val="22"/>
          <w14:ligatures w14:val="none"/>
        </w:rPr>
      </w:pPr>
    </w:p>
    <w:p w14:paraId="77123748" w14:textId="77777777" w:rsidR="008271CA" w:rsidRPr="00483F3B" w:rsidRDefault="008271CA" w:rsidP="008271CA">
      <w:pPr>
        <w:numPr>
          <w:ilvl w:val="1"/>
          <w:numId w:val="6"/>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lastRenderedPageBreak/>
        <w:t>Each member’s contribution to the end product</w:t>
      </w:r>
    </w:p>
    <w:p w14:paraId="10DFBF4B"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72BA56B7" w14:textId="77777777" w:rsidR="008271CA" w:rsidRPr="00483F3B" w:rsidRDefault="008271CA" w:rsidP="008271CA">
      <w:pPr>
        <w:numPr>
          <w:ilvl w:val="1"/>
          <w:numId w:val="6"/>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Delivery and transportation methods</w:t>
      </w:r>
    </w:p>
    <w:p w14:paraId="719DACB4"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48F769E7" w14:textId="77777777" w:rsidR="008271CA" w:rsidRPr="00483F3B" w:rsidRDefault="008271CA" w:rsidP="008271CA">
      <w:pPr>
        <w:numPr>
          <w:ilvl w:val="0"/>
          <w:numId w:val="2"/>
        </w:numPr>
        <w:shd w:val="clear" w:color="auto" w:fill="FFFFFF"/>
        <w:spacing w:after="0" w:line="240" w:lineRule="auto"/>
        <w:ind w:left="1530"/>
        <w:contextualSpacing/>
        <w:jc w:val="both"/>
        <w:textAlignment w:val="top"/>
        <w:rPr>
          <w:rFonts w:ascii="Calibri" w:eastAsia="Times New Roman" w:hAnsi="Calibri" w:cs="Calibri"/>
          <w:kern w:val="0"/>
          <w:sz w:val="22"/>
          <w:szCs w:val="22"/>
          <w14:ligatures w14:val="none"/>
        </w:rPr>
      </w:pPr>
      <w:r w:rsidRPr="00483F3B">
        <w:rPr>
          <w:rFonts w:ascii="Calibri" w:eastAsia="Calibri" w:hAnsi="Calibri" w:cs="Calibri"/>
          <w:kern w:val="0"/>
          <w:sz w:val="22"/>
          <w:szCs w:val="22"/>
          <w14:ligatures w14:val="none"/>
        </w:rPr>
        <w:t>Substitute goods and services analysis provides information such as:</w:t>
      </w:r>
    </w:p>
    <w:p w14:paraId="56A6AE24"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53737225" w14:textId="77777777" w:rsidR="008271CA" w:rsidRPr="00483F3B" w:rsidRDefault="008271CA" w:rsidP="008271CA">
      <w:pPr>
        <w:numPr>
          <w:ilvl w:val="1"/>
          <w:numId w:val="7"/>
        </w:numPr>
        <w:shd w:val="clear" w:color="auto" w:fill="FFFFFF"/>
        <w:spacing w:after="0" w:line="240" w:lineRule="auto"/>
        <w:ind w:left="2520"/>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Current availability of goods and services that meet the needs of the end user</w:t>
      </w:r>
    </w:p>
    <w:p w14:paraId="0EEED1D5" w14:textId="77777777" w:rsidR="008271CA" w:rsidRPr="00483F3B" w:rsidRDefault="008271CA" w:rsidP="008271CA">
      <w:pPr>
        <w:shd w:val="clear" w:color="auto" w:fill="FFFFFF"/>
        <w:spacing w:after="0" w:line="240" w:lineRule="auto"/>
        <w:ind w:left="2520"/>
        <w:contextualSpacing/>
        <w:jc w:val="both"/>
        <w:textAlignment w:val="top"/>
        <w:rPr>
          <w:rFonts w:ascii="Calibri" w:eastAsia="Times New Roman" w:hAnsi="Calibri" w:cs="Calibri"/>
          <w:kern w:val="0"/>
          <w:sz w:val="22"/>
          <w:szCs w:val="22"/>
          <w14:ligatures w14:val="none"/>
        </w:rPr>
      </w:pPr>
    </w:p>
    <w:p w14:paraId="7AF48A6E" w14:textId="77777777" w:rsidR="008271CA" w:rsidRPr="00483F3B" w:rsidRDefault="008271CA" w:rsidP="008271CA">
      <w:pPr>
        <w:numPr>
          <w:ilvl w:val="1"/>
          <w:numId w:val="7"/>
        </w:numPr>
        <w:shd w:val="clear" w:color="auto" w:fill="FFFFFF"/>
        <w:spacing w:after="0" w:line="240" w:lineRule="auto"/>
        <w:ind w:left="2520"/>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xml:space="preserve">Substitutes under development that may alter the future market </w:t>
      </w:r>
    </w:p>
    <w:p w14:paraId="126F84B1" w14:textId="77777777" w:rsidR="008271CA" w:rsidRPr="00483F3B" w:rsidRDefault="008271CA" w:rsidP="008271CA">
      <w:pPr>
        <w:shd w:val="clear" w:color="auto" w:fill="FFFFFF"/>
        <w:spacing w:after="0" w:line="240" w:lineRule="auto"/>
        <w:ind w:left="2340"/>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5B422EF9" w14:textId="77777777" w:rsidR="008271CA" w:rsidRPr="00483F3B" w:rsidRDefault="008271CA" w:rsidP="008271CA">
      <w:pPr>
        <w:numPr>
          <w:ilvl w:val="0"/>
          <w:numId w:val="2"/>
        </w:numPr>
        <w:shd w:val="clear" w:color="auto" w:fill="FFFFFF"/>
        <w:spacing w:after="0" w:line="240" w:lineRule="auto"/>
        <w:ind w:left="1440"/>
        <w:contextualSpacing/>
        <w:jc w:val="both"/>
        <w:textAlignment w:val="top"/>
        <w:rPr>
          <w:rFonts w:ascii="Calibri" w:eastAsia="Times New Roman" w:hAnsi="Calibri" w:cs="Calibri"/>
          <w:kern w:val="0"/>
          <w:sz w:val="22"/>
          <w:szCs w:val="22"/>
          <w14:ligatures w14:val="none"/>
        </w:rPr>
      </w:pPr>
      <w:r w:rsidRPr="00483F3B">
        <w:rPr>
          <w:rFonts w:ascii="Calibri" w:eastAsia="Calibri" w:hAnsi="Calibri" w:cs="Calibri"/>
          <w:kern w:val="0"/>
          <w:sz w:val="22"/>
          <w:szCs w:val="22"/>
          <w14:ligatures w14:val="none"/>
        </w:rPr>
        <w:t>Analysis of agency value as a customer provides information such as:</w:t>
      </w:r>
    </w:p>
    <w:p w14:paraId="1510FAE6"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4776075F" w14:textId="77777777" w:rsidR="008271CA" w:rsidRPr="00483F3B" w:rsidRDefault="008271CA" w:rsidP="008271CA">
      <w:pPr>
        <w:numPr>
          <w:ilvl w:val="1"/>
          <w:numId w:val="8"/>
        </w:numPr>
        <w:shd w:val="clear" w:color="auto" w:fill="FFFFFF"/>
        <w:spacing w:after="0" w:line="240" w:lineRule="auto"/>
        <w:ind w:left="2520"/>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Agency market share as a customer, and relevancy as a player</w:t>
      </w:r>
    </w:p>
    <w:p w14:paraId="16059BBC" w14:textId="77777777" w:rsidR="008271CA" w:rsidRPr="00483F3B" w:rsidRDefault="008271CA" w:rsidP="008271CA">
      <w:pPr>
        <w:shd w:val="clear" w:color="auto" w:fill="FFFFFF"/>
        <w:spacing w:after="0" w:line="240" w:lineRule="auto"/>
        <w:ind w:left="2520"/>
        <w:contextualSpacing/>
        <w:jc w:val="both"/>
        <w:textAlignment w:val="top"/>
        <w:rPr>
          <w:rFonts w:ascii="Calibri" w:eastAsia="Times New Roman" w:hAnsi="Calibri" w:cs="Calibri"/>
          <w:kern w:val="0"/>
          <w:sz w:val="22"/>
          <w:szCs w:val="22"/>
          <w14:ligatures w14:val="none"/>
        </w:rPr>
      </w:pPr>
    </w:p>
    <w:p w14:paraId="70343510" w14:textId="77777777" w:rsidR="008271CA" w:rsidRPr="00483F3B" w:rsidRDefault="008271CA" w:rsidP="008271CA">
      <w:pPr>
        <w:numPr>
          <w:ilvl w:val="1"/>
          <w:numId w:val="8"/>
        </w:numPr>
        <w:shd w:val="clear" w:color="auto" w:fill="FFFFFF"/>
        <w:spacing w:after="0" w:line="240" w:lineRule="auto"/>
        <w:ind w:left="2520"/>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Attractiveness of the agency as a customer</w:t>
      </w:r>
    </w:p>
    <w:p w14:paraId="1DE4A8BE"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682A334C" w14:textId="77777777" w:rsidR="008271CA" w:rsidRPr="00483F3B" w:rsidRDefault="008271CA" w:rsidP="008271CA">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In addition to these five areas, other factors, such as relevant legal, political or economic considerations, may also be part of the analysis.</w:t>
      </w:r>
    </w:p>
    <w:p w14:paraId="35FEE63E"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i/>
          <w:iCs/>
          <w:kern w:val="0"/>
          <w:sz w:val="22"/>
          <w:szCs w:val="22"/>
          <w14:ligatures w14:val="none"/>
        </w:rPr>
        <w:t> </w:t>
      </w:r>
    </w:p>
    <w:p w14:paraId="0ED3A720" w14:textId="77777777" w:rsidR="008271CA" w:rsidRPr="00483F3B" w:rsidRDefault="008271CA" w:rsidP="008271CA">
      <w:pPr>
        <w:shd w:val="clear" w:color="auto" w:fill="FFFFFF"/>
        <w:spacing w:after="0" w:line="240" w:lineRule="auto"/>
        <w:contextualSpacing/>
        <w:jc w:val="both"/>
        <w:textAlignment w:val="top"/>
        <w:rPr>
          <w:rFonts w:ascii="Calibri" w:eastAsia="Calibri" w:hAnsi="Calibri" w:cs="Calibri"/>
          <w:b/>
          <w:kern w:val="0"/>
          <w:sz w:val="22"/>
          <w:szCs w:val="22"/>
          <w14:ligatures w14:val="none"/>
        </w:rPr>
      </w:pPr>
      <w:r w:rsidRPr="00483F3B">
        <w:rPr>
          <w:rFonts w:ascii="Calibri" w:eastAsia="Calibri" w:hAnsi="Calibri" w:cs="Calibri"/>
          <w:b/>
          <w:kern w:val="0"/>
          <w:sz w:val="22"/>
          <w:szCs w:val="22"/>
          <w14:ligatures w14:val="none"/>
        </w:rPr>
        <w:t>Identification of Suppliers</w:t>
      </w:r>
    </w:p>
    <w:p w14:paraId="68BF3EDB" w14:textId="77777777" w:rsidR="008271CA" w:rsidRPr="00483F3B" w:rsidRDefault="008271CA" w:rsidP="008271CA">
      <w:pPr>
        <w:shd w:val="clear" w:color="auto" w:fill="FFFFFF"/>
        <w:spacing w:after="0" w:line="240" w:lineRule="auto"/>
        <w:ind w:left="720"/>
        <w:contextualSpacing/>
        <w:jc w:val="both"/>
        <w:textAlignment w:val="top"/>
        <w:rPr>
          <w:rFonts w:ascii="Calibri" w:eastAsia="Calibri" w:hAnsi="Calibri" w:cs="Calibri"/>
          <w:kern w:val="0"/>
          <w:sz w:val="22"/>
          <w:szCs w:val="22"/>
          <w14:ligatures w14:val="none"/>
        </w:rPr>
      </w:pPr>
    </w:p>
    <w:p w14:paraId="0BDB354C" w14:textId="77777777" w:rsidR="008271CA" w:rsidRPr="00483F3B" w:rsidRDefault="008271CA" w:rsidP="008271CA">
      <w:pPr>
        <w:shd w:val="clear" w:color="auto" w:fill="FFFFFF"/>
        <w:spacing w:after="0" w:line="240" w:lineRule="auto"/>
        <w:ind w:left="360"/>
        <w:contextualSpacing/>
        <w:jc w:val="both"/>
        <w:textAlignment w:val="top"/>
        <w:rPr>
          <w:rFonts w:ascii="Calibri" w:eastAsia="Times New Roman" w:hAnsi="Calibri" w:cs="Calibri"/>
          <w:b/>
          <w:kern w:val="0"/>
          <w:sz w:val="22"/>
          <w:szCs w:val="22"/>
          <w14:ligatures w14:val="none"/>
        </w:rPr>
      </w:pPr>
      <w:r w:rsidRPr="00483F3B">
        <w:rPr>
          <w:rFonts w:ascii="Calibri" w:eastAsia="Calibri" w:hAnsi="Calibri" w:cs="Calibri"/>
          <w:b/>
          <w:kern w:val="0"/>
          <w:sz w:val="22"/>
          <w:szCs w:val="22"/>
          <w14:ligatures w14:val="none"/>
        </w:rPr>
        <w:t>Sources for supplier identification</w:t>
      </w:r>
    </w:p>
    <w:p w14:paraId="73986100"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37CE2646" w14:textId="77777777" w:rsidR="008271CA" w:rsidRPr="00483F3B" w:rsidRDefault="008271CA" w:rsidP="008271CA">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Apart from market research, which will help in the supplier identification process, business units can use other internal and external sources to identify suppliers, including existing lists of registered suppliers, and/or those identified through in the UN Global Marketplace (UNGM) and/or business seminars, where applicable; an expression of interest for commonly procured goods or services or through a prequalification process.</w:t>
      </w:r>
    </w:p>
    <w:p w14:paraId="7A9F2D35"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47964C08" w14:textId="77777777" w:rsidR="008271CA" w:rsidRPr="00483F3B" w:rsidRDefault="008271CA" w:rsidP="008271CA">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xml:space="preserve">The following resources are available: </w:t>
      </w:r>
    </w:p>
    <w:p w14:paraId="6BEF9975"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61DF1370" w14:textId="77777777" w:rsidR="008271CA" w:rsidRPr="00483F3B" w:rsidRDefault="008271CA" w:rsidP="008271CA">
      <w:pPr>
        <w:numPr>
          <w:ilvl w:val="0"/>
          <w:numId w:val="9"/>
        </w:numPr>
        <w:shd w:val="clear" w:color="auto" w:fill="FFFFFF"/>
        <w:spacing w:line="240" w:lineRule="auto"/>
        <w:ind w:left="2070" w:hanging="630"/>
        <w:jc w:val="both"/>
        <w:textAlignment w:val="top"/>
        <w:rPr>
          <w:rFonts w:ascii="Calibri" w:eastAsia="Times New Roman" w:hAnsi="Calibri" w:cs="Calibri"/>
          <w:kern w:val="0"/>
          <w:sz w:val="22"/>
          <w:szCs w:val="22"/>
          <w14:ligatures w14:val="none"/>
        </w:rPr>
      </w:pPr>
      <w:hyperlink r:id="rId7" w:tgtFrame="_blank" w:history="1">
        <w:r w:rsidRPr="00483F3B">
          <w:rPr>
            <w:rFonts w:ascii="Calibri" w:eastAsia="Times New Roman" w:hAnsi="Calibri" w:cs="Calibri"/>
            <w:kern w:val="0"/>
            <w:sz w:val="22"/>
            <w:szCs w:val="22"/>
            <w14:ligatures w14:val="none"/>
          </w:rPr>
          <w:t>United Nations Global Marketplace</w:t>
        </w:r>
      </w:hyperlink>
      <w:r w:rsidRPr="00483F3B">
        <w:rPr>
          <w:rFonts w:ascii="Calibri" w:eastAsia="Times New Roman" w:hAnsi="Calibri" w:cs="Calibri"/>
          <w:kern w:val="0"/>
          <w:sz w:val="22"/>
          <w:szCs w:val="22"/>
          <w14:ligatures w14:val="none"/>
        </w:rPr>
        <w:t xml:space="preserve"> (UNGM), a supplier database available to all UN procurement personnel</w:t>
      </w:r>
    </w:p>
    <w:p w14:paraId="45F9AC4B" w14:textId="77777777" w:rsidR="008271CA" w:rsidRPr="00483F3B" w:rsidRDefault="008271CA" w:rsidP="008271CA">
      <w:pPr>
        <w:numPr>
          <w:ilvl w:val="0"/>
          <w:numId w:val="9"/>
        </w:numPr>
        <w:shd w:val="clear" w:color="auto" w:fill="FFFFFF"/>
        <w:spacing w:line="240" w:lineRule="auto"/>
        <w:ind w:left="2070" w:hanging="630"/>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Procurement Support Unit, Bureau for Management Services at UNDP</w:t>
      </w:r>
    </w:p>
    <w:p w14:paraId="165395B6" w14:textId="77777777" w:rsidR="008271CA" w:rsidRPr="00483F3B" w:rsidRDefault="008271CA" w:rsidP="008271CA">
      <w:pPr>
        <w:numPr>
          <w:ilvl w:val="0"/>
          <w:numId w:val="9"/>
        </w:numPr>
        <w:shd w:val="clear" w:color="auto" w:fill="FFFFFF"/>
        <w:spacing w:line="240" w:lineRule="auto"/>
        <w:ind w:left="2070" w:hanging="630"/>
        <w:jc w:val="both"/>
        <w:textAlignment w:val="top"/>
        <w:rPr>
          <w:rFonts w:ascii="Calibri" w:eastAsia="Times New Roman" w:hAnsi="Calibri" w:cs="Calibri"/>
          <w:kern w:val="0"/>
          <w:sz w:val="22"/>
          <w:szCs w:val="22"/>
          <w14:ligatures w14:val="none"/>
        </w:rPr>
      </w:pPr>
      <w:hyperlink r:id="rId8" w:tgtFrame="_blank" w:history="1">
        <w:r w:rsidRPr="00483F3B">
          <w:rPr>
            <w:rFonts w:ascii="Calibri" w:eastAsia="Times New Roman" w:hAnsi="Calibri" w:cs="Calibri"/>
            <w:kern w:val="0"/>
            <w:sz w:val="22"/>
            <w:szCs w:val="22"/>
            <w14:ligatures w14:val="none"/>
          </w:rPr>
          <w:t>DACON</w:t>
        </w:r>
      </w:hyperlink>
      <w:r w:rsidRPr="00483F3B">
        <w:rPr>
          <w:rFonts w:ascii="Calibri" w:eastAsia="Times New Roman" w:hAnsi="Calibri" w:cs="Calibri"/>
          <w:kern w:val="0"/>
          <w:sz w:val="22"/>
          <w:szCs w:val="22"/>
          <w14:ligatures w14:val="none"/>
        </w:rPr>
        <w:t xml:space="preserve"> (Data on Consultants), a database of consulting companies maintained by the World Bank and the Inter-American Development Bank</w:t>
      </w:r>
    </w:p>
    <w:p w14:paraId="1FA32024" w14:textId="77777777" w:rsidR="008271CA" w:rsidRPr="00483F3B" w:rsidRDefault="008271CA" w:rsidP="008271CA">
      <w:pPr>
        <w:numPr>
          <w:ilvl w:val="0"/>
          <w:numId w:val="9"/>
        </w:numPr>
        <w:shd w:val="clear" w:color="auto" w:fill="FFFFFF"/>
        <w:spacing w:line="240" w:lineRule="auto"/>
        <w:ind w:left="2070" w:hanging="630"/>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Consultations with other UN entities that have purchased similar inputs</w:t>
      </w:r>
    </w:p>
    <w:p w14:paraId="5014C152" w14:textId="77777777" w:rsidR="008271CA" w:rsidRPr="00483F3B" w:rsidRDefault="008271CA" w:rsidP="008271CA">
      <w:pPr>
        <w:numPr>
          <w:ilvl w:val="0"/>
          <w:numId w:val="9"/>
        </w:numPr>
        <w:shd w:val="clear" w:color="auto" w:fill="FFFFFF"/>
        <w:spacing w:line="240" w:lineRule="auto"/>
        <w:ind w:left="2070" w:hanging="630"/>
        <w:jc w:val="both"/>
        <w:textAlignment w:val="top"/>
        <w:rPr>
          <w:rFonts w:ascii="Calibri" w:eastAsia="Times New Roman" w:hAnsi="Calibri" w:cs="Calibri"/>
          <w:kern w:val="0"/>
          <w:sz w:val="22"/>
          <w:szCs w:val="22"/>
          <w14:ligatures w14:val="none"/>
        </w:rPr>
      </w:pPr>
      <w:hyperlink r:id="rId9" w:history="1">
        <w:r w:rsidRPr="00483F3B">
          <w:rPr>
            <w:rFonts w:ascii="Calibri" w:eastAsia="Times New Roman" w:hAnsi="Calibri" w:cs="Calibri"/>
            <w:kern w:val="0"/>
            <w:sz w:val="22"/>
            <w:szCs w:val="22"/>
            <w14:ligatures w14:val="none"/>
          </w:rPr>
          <w:t>Thomas Register</w:t>
        </w:r>
      </w:hyperlink>
      <w:r w:rsidRPr="00483F3B">
        <w:rPr>
          <w:rFonts w:ascii="Calibri" w:eastAsia="Times New Roman" w:hAnsi="Calibri" w:cs="Calibri"/>
          <w:kern w:val="0"/>
          <w:sz w:val="22"/>
          <w:szCs w:val="22"/>
          <w14:ligatures w14:val="none"/>
        </w:rPr>
        <w:t xml:space="preserve">, a comprehensive online resource for companies and products manufactured in North America </w:t>
      </w:r>
    </w:p>
    <w:p w14:paraId="47494220" w14:textId="77777777" w:rsidR="008271CA" w:rsidRPr="00483F3B" w:rsidRDefault="008271CA" w:rsidP="008271CA">
      <w:pPr>
        <w:numPr>
          <w:ilvl w:val="0"/>
          <w:numId w:val="9"/>
        </w:numPr>
        <w:shd w:val="clear" w:color="auto" w:fill="FFFFFF"/>
        <w:spacing w:line="240" w:lineRule="auto"/>
        <w:ind w:left="2070" w:hanging="630"/>
        <w:jc w:val="both"/>
        <w:textAlignment w:val="top"/>
        <w:rPr>
          <w:rFonts w:ascii="Calibri" w:eastAsia="Times New Roman" w:hAnsi="Calibri" w:cs="Calibri"/>
          <w:kern w:val="0"/>
          <w:sz w:val="22"/>
          <w:szCs w:val="22"/>
          <w14:ligatures w14:val="none"/>
        </w:rPr>
      </w:pPr>
      <w:hyperlink r:id="rId10" w:history="1">
        <w:r w:rsidRPr="00483F3B">
          <w:rPr>
            <w:rFonts w:ascii="Calibri" w:eastAsia="Times New Roman" w:hAnsi="Calibri" w:cs="Calibri"/>
            <w:kern w:val="0"/>
            <w:sz w:val="22"/>
            <w:szCs w:val="22"/>
            <w14:ligatures w14:val="none"/>
          </w:rPr>
          <w:t>Kompass System</w:t>
        </w:r>
      </w:hyperlink>
      <w:r w:rsidRPr="00483F3B">
        <w:rPr>
          <w:rFonts w:ascii="Calibri" w:eastAsia="Times New Roman" w:hAnsi="Calibri" w:cs="Calibri"/>
          <w:kern w:val="0"/>
          <w:sz w:val="22"/>
          <w:szCs w:val="22"/>
          <w14:ligatures w14:val="none"/>
        </w:rPr>
        <w:t>, a database with more than 23 million references to the products and services of over 1.8 million companies</w:t>
      </w:r>
    </w:p>
    <w:p w14:paraId="607AAF92" w14:textId="77777777" w:rsidR="008271CA" w:rsidRPr="00483F3B" w:rsidRDefault="008271CA" w:rsidP="008271CA">
      <w:pPr>
        <w:numPr>
          <w:ilvl w:val="0"/>
          <w:numId w:val="9"/>
        </w:numPr>
        <w:shd w:val="clear" w:color="auto" w:fill="FFFFFF"/>
        <w:spacing w:line="240" w:lineRule="auto"/>
        <w:ind w:left="2070" w:hanging="630"/>
        <w:jc w:val="both"/>
        <w:textAlignment w:val="top"/>
        <w:rPr>
          <w:rFonts w:ascii="Calibri" w:eastAsia="Times New Roman" w:hAnsi="Calibri" w:cs="Calibri"/>
          <w:kern w:val="0"/>
          <w:sz w:val="22"/>
          <w:szCs w:val="22"/>
          <w14:ligatures w14:val="none"/>
        </w:rPr>
      </w:pPr>
      <w:hyperlink r:id="rId11" w:tgtFrame="_blank" w:history="1">
        <w:r w:rsidRPr="00483F3B">
          <w:rPr>
            <w:rFonts w:ascii="Calibri" w:eastAsia="Times New Roman" w:hAnsi="Calibri" w:cs="Calibri"/>
            <w:kern w:val="0"/>
            <w:sz w:val="22"/>
            <w:szCs w:val="22"/>
            <w14:ligatures w14:val="none"/>
          </w:rPr>
          <w:t>Prosavvy</w:t>
        </w:r>
      </w:hyperlink>
      <w:r w:rsidRPr="00483F3B">
        <w:rPr>
          <w:rFonts w:ascii="Calibri" w:eastAsia="Times New Roman" w:hAnsi="Calibri" w:cs="Calibri"/>
          <w:kern w:val="0"/>
          <w:sz w:val="22"/>
          <w:szCs w:val="22"/>
          <w14:ligatures w14:val="none"/>
        </w:rPr>
        <w:t>, an online community of consulting and professional service providers</w:t>
      </w:r>
    </w:p>
    <w:p w14:paraId="5DAE6E19" w14:textId="77777777" w:rsidR="008271CA" w:rsidRPr="00483F3B" w:rsidRDefault="008271CA" w:rsidP="008271CA">
      <w:pPr>
        <w:numPr>
          <w:ilvl w:val="0"/>
          <w:numId w:val="9"/>
        </w:numPr>
        <w:shd w:val="clear" w:color="auto" w:fill="FFFFFF"/>
        <w:spacing w:line="240" w:lineRule="auto"/>
        <w:ind w:left="2070" w:hanging="630"/>
        <w:jc w:val="both"/>
        <w:textAlignment w:val="top"/>
        <w:rPr>
          <w:rFonts w:ascii="Calibri" w:eastAsia="Times New Roman" w:hAnsi="Calibri" w:cs="Calibri"/>
          <w:kern w:val="0"/>
          <w:sz w:val="22"/>
          <w:szCs w:val="22"/>
          <w:lang w:val="fr-FR"/>
          <w14:ligatures w14:val="none"/>
        </w:rPr>
      </w:pPr>
      <w:r w:rsidRPr="00483F3B">
        <w:rPr>
          <w:rFonts w:ascii="Calibri" w:eastAsia="Times New Roman" w:hAnsi="Calibri" w:cs="Calibri"/>
          <w:kern w:val="0"/>
          <w:sz w:val="22"/>
          <w:szCs w:val="22"/>
          <w:lang w:val="fr-FR"/>
          <w14:ligatures w14:val="none"/>
        </w:rPr>
        <w:lastRenderedPageBreak/>
        <w:t xml:space="preserve">Trade publications, directories, supplier catalogues and professional journals  </w:t>
      </w:r>
    </w:p>
    <w:p w14:paraId="07C28ACE" w14:textId="77777777" w:rsidR="008271CA" w:rsidRPr="00483F3B" w:rsidRDefault="008271CA" w:rsidP="008271CA">
      <w:pPr>
        <w:numPr>
          <w:ilvl w:val="0"/>
          <w:numId w:val="9"/>
        </w:numPr>
        <w:shd w:val="clear" w:color="auto" w:fill="FFFFFF"/>
        <w:spacing w:line="240" w:lineRule="auto"/>
        <w:ind w:left="2070" w:hanging="630"/>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Other procurement-related websites</w:t>
      </w:r>
    </w:p>
    <w:p w14:paraId="4D53AC85" w14:textId="77777777" w:rsidR="008271CA" w:rsidRPr="00483F3B" w:rsidRDefault="008271CA" w:rsidP="008271CA">
      <w:pPr>
        <w:shd w:val="clear" w:color="auto" w:fill="FFFFFF"/>
        <w:spacing w:after="0" w:line="240" w:lineRule="auto"/>
        <w:ind w:left="3060"/>
        <w:jc w:val="both"/>
        <w:textAlignment w:val="top"/>
        <w:rPr>
          <w:rFonts w:ascii="Calibri" w:eastAsia="Times New Roman" w:hAnsi="Calibri" w:cs="Calibri"/>
          <w:kern w:val="0"/>
          <w:sz w:val="22"/>
          <w:szCs w:val="22"/>
          <w14:ligatures w14:val="none"/>
        </w:rPr>
      </w:pPr>
    </w:p>
    <w:p w14:paraId="1E0E4030" w14:textId="77777777" w:rsidR="008271CA" w:rsidRPr="00483F3B" w:rsidRDefault="008271CA" w:rsidP="008271CA">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xml:space="preserve">The UNGM, formerly known as the United Nations Common Supply Database, is the main supplier database for 15 UN entities, including UNDP. It offers comprehensive supplier information, including contact and company details, financial information, export volume, previous UN experience, and registered products and services. Improved search facilities allow for greater accuracy in identifying appropriate suppliers based on products, geographical areas and the United Nations Common Code System, among other options. Features include shortlisting and data export facilities, as well as a discussion forum. An Ineligibility List contains suppliers subject to sanctions that affect their eligibility. For further information, see link Section 7.  </w:t>
      </w:r>
    </w:p>
    <w:p w14:paraId="23C12B0F"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449DAC13" w14:textId="77777777" w:rsidR="008271CA" w:rsidRPr="00483F3B" w:rsidRDefault="008271CA" w:rsidP="008271CA">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Supplier registration with the UNGM is not mandatory; UNDP contracts may be awarded to non-registered suppliers. In either case, each UNDP business unit is responsible for conducting a proper background check based on specific procurement requirements.</w:t>
      </w:r>
    </w:p>
    <w:p w14:paraId="6FDF35A2"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611974CC" w14:textId="77777777" w:rsidR="008271CA" w:rsidRPr="00483F3B" w:rsidRDefault="008271CA" w:rsidP="008271CA">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xml:space="preserve">Offices are encouraged to maintain a roster of qualified suppliers to accommodate specific needs. When identifying suppliers, procurement officers must undertake due diligence to ensure that establishing a business relationship with a supplier would be in the best interest of UNDP. A crucial first step is verifying a supplier’s existence through a simple physical confirmation of their registered address. </w:t>
      </w:r>
    </w:p>
    <w:p w14:paraId="28A29425"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001A27B6" w14:textId="77777777" w:rsidR="008271CA" w:rsidRPr="00483F3B" w:rsidRDefault="008271CA" w:rsidP="008271CA">
      <w:pPr>
        <w:shd w:val="clear" w:color="auto" w:fill="FFFFFF"/>
        <w:spacing w:after="0" w:line="240" w:lineRule="auto"/>
        <w:contextualSpacing/>
        <w:jc w:val="both"/>
        <w:textAlignment w:val="top"/>
        <w:rPr>
          <w:rFonts w:ascii="Calibri" w:eastAsia="Times New Roman" w:hAnsi="Calibri" w:cs="Calibri"/>
          <w:b/>
          <w:kern w:val="0"/>
          <w:sz w:val="22"/>
          <w:szCs w:val="22"/>
          <w14:ligatures w14:val="none"/>
        </w:rPr>
      </w:pPr>
      <w:r w:rsidRPr="00483F3B">
        <w:rPr>
          <w:rFonts w:ascii="Calibri" w:eastAsia="Times New Roman" w:hAnsi="Calibri" w:cs="Calibri"/>
          <w:b/>
          <w:kern w:val="0"/>
          <w:sz w:val="22"/>
          <w:szCs w:val="22"/>
          <w14:ligatures w14:val="none"/>
        </w:rPr>
        <w:t>Advertisement for Business Opportunities</w:t>
      </w:r>
    </w:p>
    <w:p w14:paraId="0672238C"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63CA6EB3" w14:textId="77777777" w:rsidR="008271CA" w:rsidRPr="00483F3B" w:rsidRDefault="008271CA" w:rsidP="008271CA">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Advertisement refers to the dissemination of upcoming solicitation information through a request for information, call for expression of interest, prequalification announcement or open announcement to encourage competition.</w:t>
      </w:r>
    </w:p>
    <w:p w14:paraId="6805C41E" w14:textId="77777777" w:rsidR="008271CA" w:rsidRPr="00483F3B" w:rsidRDefault="008271CA" w:rsidP="008271CA">
      <w:pPr>
        <w:shd w:val="clear" w:color="auto" w:fill="FFFFFF"/>
        <w:spacing w:after="0" w:line="240" w:lineRule="auto"/>
        <w:ind w:hanging="360"/>
        <w:jc w:val="both"/>
        <w:textAlignment w:val="top"/>
        <w:rPr>
          <w:rFonts w:ascii="Calibri" w:eastAsia="Times New Roman" w:hAnsi="Calibri" w:cs="Calibri"/>
          <w:b/>
          <w:kern w:val="0"/>
          <w:sz w:val="22"/>
          <w:szCs w:val="22"/>
          <w14:ligatures w14:val="none"/>
        </w:rPr>
      </w:pPr>
      <w:r w:rsidRPr="00483F3B">
        <w:rPr>
          <w:rFonts w:ascii="Calibri" w:eastAsia="Times New Roman" w:hAnsi="Calibri" w:cs="Calibri"/>
          <w:kern w:val="0"/>
          <w:sz w:val="22"/>
          <w:szCs w:val="22"/>
          <w14:ligatures w14:val="none"/>
        </w:rPr>
        <w:t> </w:t>
      </w:r>
    </w:p>
    <w:p w14:paraId="4041ACF5" w14:textId="77777777" w:rsidR="008271CA" w:rsidRPr="00483F3B" w:rsidRDefault="008271CA" w:rsidP="008271CA">
      <w:pPr>
        <w:numPr>
          <w:ilvl w:val="0"/>
          <w:numId w:val="10"/>
        </w:numPr>
        <w:spacing w:line="259" w:lineRule="auto"/>
        <w:contextualSpacing/>
        <w:jc w:val="both"/>
        <w:rPr>
          <w:rFonts w:ascii="Calibri" w:eastAsia="Calibri" w:hAnsi="Calibri" w:cs="Calibri"/>
          <w:b/>
          <w:kern w:val="0"/>
          <w:sz w:val="22"/>
          <w:szCs w:val="22"/>
          <w14:ligatures w14:val="none"/>
        </w:rPr>
      </w:pPr>
      <w:r w:rsidRPr="00483F3B">
        <w:rPr>
          <w:rFonts w:ascii="Calibri" w:eastAsia="Calibri" w:hAnsi="Calibri" w:cs="Calibri"/>
          <w:b/>
          <w:kern w:val="0"/>
          <w:sz w:val="22"/>
          <w:szCs w:val="22"/>
          <w14:ligatures w14:val="none"/>
        </w:rPr>
        <w:t>Request for information</w:t>
      </w:r>
    </w:p>
    <w:p w14:paraId="329508B9" w14:textId="77777777" w:rsidR="008271CA" w:rsidRPr="00483F3B" w:rsidRDefault="008271CA" w:rsidP="008271CA">
      <w:pPr>
        <w:spacing w:line="259" w:lineRule="auto"/>
        <w:ind w:left="1080"/>
        <w:contextualSpacing/>
        <w:jc w:val="both"/>
        <w:rPr>
          <w:rFonts w:ascii="Calibri" w:eastAsia="Calibri" w:hAnsi="Calibri" w:cs="Calibri"/>
          <w:b/>
          <w:kern w:val="0"/>
          <w:sz w:val="22"/>
          <w:szCs w:val="22"/>
          <w14:ligatures w14:val="none"/>
        </w:rPr>
      </w:pPr>
    </w:p>
    <w:p w14:paraId="1A7C7342" w14:textId="77777777" w:rsidR="008271CA" w:rsidRPr="00483F3B" w:rsidRDefault="008271CA" w:rsidP="008271CA">
      <w:pPr>
        <w:numPr>
          <w:ilvl w:val="0"/>
          <w:numId w:val="14"/>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A request for information is a cost-effective method to continually update a UNDP office’s supplier database and to deepen understanding of markets and existing technologies. Written communications by the supplier provide the company profile, and information about products, services, resources, qualifications and experience.</w:t>
      </w:r>
    </w:p>
    <w:p w14:paraId="335E5A7B"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b/>
          <w:kern w:val="0"/>
          <w:sz w:val="22"/>
          <w:szCs w:val="22"/>
          <w14:ligatures w14:val="none"/>
        </w:rPr>
      </w:pPr>
      <w:r w:rsidRPr="00483F3B">
        <w:rPr>
          <w:rFonts w:ascii="Calibri" w:eastAsia="Times New Roman" w:hAnsi="Calibri" w:cs="Calibri"/>
          <w:kern w:val="0"/>
          <w:sz w:val="22"/>
          <w:szCs w:val="22"/>
          <w14:ligatures w14:val="none"/>
        </w:rPr>
        <w:t> </w:t>
      </w:r>
    </w:p>
    <w:p w14:paraId="45C200AB" w14:textId="77777777" w:rsidR="008271CA" w:rsidRPr="00483F3B" w:rsidRDefault="008271CA" w:rsidP="008271CA">
      <w:pPr>
        <w:numPr>
          <w:ilvl w:val="0"/>
          <w:numId w:val="10"/>
        </w:numPr>
        <w:spacing w:line="259" w:lineRule="auto"/>
        <w:contextualSpacing/>
        <w:jc w:val="both"/>
        <w:rPr>
          <w:rFonts w:ascii="Calibri" w:eastAsia="Calibri" w:hAnsi="Calibri" w:cs="Calibri"/>
          <w:b/>
          <w:kern w:val="0"/>
          <w:sz w:val="22"/>
          <w:szCs w:val="22"/>
          <w14:ligatures w14:val="none"/>
        </w:rPr>
      </w:pPr>
      <w:r w:rsidRPr="00483F3B">
        <w:rPr>
          <w:rFonts w:ascii="Calibri" w:eastAsia="Calibri" w:hAnsi="Calibri" w:cs="Calibri"/>
          <w:b/>
          <w:kern w:val="0"/>
          <w:sz w:val="22"/>
          <w:szCs w:val="22"/>
          <w14:ligatures w14:val="none"/>
        </w:rPr>
        <w:t xml:space="preserve">Expression of interest </w:t>
      </w:r>
    </w:p>
    <w:p w14:paraId="3EA06DBF" w14:textId="77777777" w:rsidR="008271CA" w:rsidRPr="00483F3B" w:rsidRDefault="008271CA" w:rsidP="008271CA">
      <w:pPr>
        <w:spacing w:line="259" w:lineRule="auto"/>
        <w:ind w:left="1080"/>
        <w:contextualSpacing/>
        <w:jc w:val="both"/>
        <w:rPr>
          <w:rFonts w:ascii="Calibri" w:eastAsia="Calibri" w:hAnsi="Calibri" w:cs="Calibri"/>
          <w:b/>
          <w:kern w:val="0"/>
          <w:sz w:val="22"/>
          <w:szCs w:val="22"/>
          <w14:ligatures w14:val="none"/>
        </w:rPr>
      </w:pPr>
    </w:p>
    <w:p w14:paraId="2B9F191F" w14:textId="77777777" w:rsidR="008271CA" w:rsidRPr="00483F3B" w:rsidRDefault="008271CA" w:rsidP="008271CA">
      <w:pPr>
        <w:numPr>
          <w:ilvl w:val="0"/>
          <w:numId w:val="15"/>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xml:space="preserve">The call for an </w:t>
      </w:r>
      <w:hyperlink r:id="rId12" w:history="1">
        <w:r w:rsidRPr="00483F3B">
          <w:rPr>
            <w:rFonts w:ascii="Calibri" w:eastAsia="Times New Roman" w:hAnsi="Calibri" w:cs="Calibri"/>
            <w:color w:val="0072BC"/>
            <w:kern w:val="0"/>
            <w:sz w:val="22"/>
            <w:szCs w:val="22"/>
            <w14:ligatures w14:val="none"/>
          </w:rPr>
          <w:t>expression of interest</w:t>
        </w:r>
      </w:hyperlink>
      <w:r w:rsidRPr="00483F3B">
        <w:rPr>
          <w:rFonts w:ascii="Calibri" w:eastAsia="Times New Roman" w:hAnsi="Calibri" w:cs="Calibri"/>
          <w:kern w:val="0"/>
          <w:sz w:val="22"/>
          <w:szCs w:val="22"/>
          <w14:ligatures w14:val="none"/>
        </w:rPr>
        <w:t xml:space="preserve"> is a notice used to assess interest in an upcoming solicitation for goods, works or services. Suppliers are requested to express interest and provide information about products, services, resources, qualifications and experience before a fixed deadline. This method may be used to continually update a UNDP office’s supplier database, where procurement planning has forecasted future requirements of specific goods, services or civil works. </w:t>
      </w:r>
      <w:r w:rsidRPr="00483F3B">
        <w:rPr>
          <w:rFonts w:ascii="Calibri" w:eastAsia="Times New Roman" w:hAnsi="Calibri" w:cs="Calibri"/>
          <w:kern w:val="0"/>
          <w:sz w:val="22"/>
          <w:szCs w:val="22"/>
          <w14:ligatures w14:val="none"/>
        </w:rPr>
        <w:lastRenderedPageBreak/>
        <w:t>Information provided by interested suppliers is assessed, and depending on the complexity of the requirement, may lead to either of the following: (a) a long list of suppliers that may be further subjected to detailed review of eligibility and qualification at the time of solicitation; or (b) if the required documents are very specific and detailed, a shortlist of suppliers considered prequalified and therefore invited to submit detailed offers at a later time.</w:t>
      </w:r>
    </w:p>
    <w:p w14:paraId="119380D9"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b/>
          <w:kern w:val="0"/>
          <w:sz w:val="22"/>
          <w:szCs w:val="22"/>
          <w14:ligatures w14:val="none"/>
        </w:rPr>
      </w:pPr>
      <w:r w:rsidRPr="00483F3B">
        <w:rPr>
          <w:rFonts w:ascii="Calibri" w:eastAsia="Times New Roman" w:hAnsi="Calibri" w:cs="Calibri"/>
          <w:b/>
          <w:kern w:val="0"/>
          <w:sz w:val="22"/>
          <w:szCs w:val="22"/>
          <w14:ligatures w14:val="none"/>
        </w:rPr>
        <w:t> </w:t>
      </w:r>
    </w:p>
    <w:p w14:paraId="62C2BC5A" w14:textId="77777777" w:rsidR="008271CA" w:rsidRPr="00483F3B" w:rsidRDefault="008271CA" w:rsidP="008271CA">
      <w:pPr>
        <w:numPr>
          <w:ilvl w:val="0"/>
          <w:numId w:val="10"/>
        </w:numPr>
        <w:spacing w:line="259" w:lineRule="auto"/>
        <w:contextualSpacing/>
        <w:jc w:val="both"/>
        <w:rPr>
          <w:rFonts w:ascii="Calibri" w:eastAsia="Calibri" w:hAnsi="Calibri" w:cs="Calibri"/>
          <w:b/>
          <w:kern w:val="0"/>
          <w:sz w:val="22"/>
          <w:szCs w:val="22"/>
          <w14:ligatures w14:val="none"/>
        </w:rPr>
      </w:pPr>
      <w:r w:rsidRPr="00483F3B">
        <w:rPr>
          <w:rFonts w:ascii="Calibri" w:eastAsia="Calibri" w:hAnsi="Calibri" w:cs="Calibri"/>
          <w:b/>
          <w:kern w:val="0"/>
          <w:sz w:val="22"/>
          <w:szCs w:val="22"/>
          <w14:ligatures w14:val="none"/>
        </w:rPr>
        <w:t xml:space="preserve">Prequalification of suppliers </w:t>
      </w:r>
    </w:p>
    <w:p w14:paraId="63C0B963" w14:textId="77777777" w:rsidR="008271CA" w:rsidRPr="00483F3B" w:rsidRDefault="008271CA" w:rsidP="008271CA">
      <w:pPr>
        <w:spacing w:line="259" w:lineRule="auto"/>
        <w:ind w:left="1080"/>
        <w:contextualSpacing/>
        <w:jc w:val="both"/>
        <w:rPr>
          <w:rFonts w:ascii="Calibri" w:eastAsia="Calibri" w:hAnsi="Calibri" w:cs="Calibri"/>
          <w:b/>
          <w:kern w:val="0"/>
          <w:sz w:val="22"/>
          <w:szCs w:val="22"/>
          <w14:ligatures w14:val="none"/>
        </w:rPr>
      </w:pPr>
    </w:p>
    <w:p w14:paraId="7394EBFF" w14:textId="77777777" w:rsidR="008271CA" w:rsidRPr="00483F3B" w:rsidRDefault="008271CA" w:rsidP="008271CA">
      <w:pPr>
        <w:numPr>
          <w:ilvl w:val="0"/>
          <w:numId w:val="16"/>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Particularly for high value or complex procurement requirements, a solicitation may be limited only to suppliers who meet established criteria for capacity and resources, based on a prequalification process.    The prequalification process aims to ensure that solicitation documents are extended only to those with adequate capacity and resources to provide the requisite goods, services or perform civil works.   </w:t>
      </w:r>
    </w:p>
    <w:p w14:paraId="332E7818"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18C1FE46" w14:textId="77777777" w:rsidR="008271CA" w:rsidRPr="00483F3B" w:rsidRDefault="008271CA" w:rsidP="008271CA">
      <w:pPr>
        <w:numPr>
          <w:ilvl w:val="0"/>
          <w:numId w:val="16"/>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xml:space="preserve">Because the solicitation process will be limited to only the prequalified suppliers, it is important that prequalification announcements should be opened to an international audience; provide a brief description of the goods, civil works and/or services to be procured; outline contract terms including applicable UNDP General Terms and Conditions; and specify eligibility requirements. UNDP offices must allow adequate time for potential suppliers to prepare responsive applications for the specific procurement activity. </w:t>
      </w:r>
    </w:p>
    <w:p w14:paraId="654476D4"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0E8F9416" w14:textId="77777777" w:rsidR="008271CA" w:rsidRPr="00483F3B" w:rsidRDefault="008271CA" w:rsidP="008271CA">
      <w:pPr>
        <w:numPr>
          <w:ilvl w:val="0"/>
          <w:numId w:val="16"/>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It is advisable to require documents such as registration paperwork, audited financial statements, evidence of a track record, lists of clients, annual reports, catalogues, samples or any other tangible evidence that would establish applicants as reliable suppliers.  </w:t>
      </w:r>
    </w:p>
    <w:p w14:paraId="3530C724"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2B547DEE" w14:textId="77777777" w:rsidR="008271CA" w:rsidRPr="00483F3B" w:rsidRDefault="008271CA" w:rsidP="008271CA">
      <w:pPr>
        <w:numPr>
          <w:ilvl w:val="0"/>
          <w:numId w:val="16"/>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xml:space="preserve">Once a list of pre-qualified suppliers has been compiled, business units must inform the suppliers and request confirmation of their intention to submit offers. </w:t>
      </w:r>
    </w:p>
    <w:p w14:paraId="636FE2BC"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565A26E1" w14:textId="77777777" w:rsidR="008271CA" w:rsidRPr="00483F3B" w:rsidRDefault="008271CA" w:rsidP="008271CA">
      <w:pPr>
        <w:numPr>
          <w:ilvl w:val="0"/>
          <w:numId w:val="10"/>
        </w:numPr>
        <w:spacing w:line="259" w:lineRule="auto"/>
        <w:contextualSpacing/>
        <w:jc w:val="both"/>
        <w:rPr>
          <w:rFonts w:ascii="Calibri" w:eastAsia="Calibri" w:hAnsi="Calibri" w:cs="Calibri"/>
          <w:b/>
          <w:kern w:val="0"/>
          <w:sz w:val="22"/>
          <w:szCs w:val="22"/>
          <w14:ligatures w14:val="none"/>
        </w:rPr>
      </w:pPr>
      <w:r w:rsidRPr="00483F3B">
        <w:rPr>
          <w:rFonts w:ascii="Calibri" w:eastAsia="Calibri" w:hAnsi="Calibri" w:cs="Calibri"/>
          <w:b/>
          <w:kern w:val="0"/>
          <w:sz w:val="22"/>
          <w:szCs w:val="22"/>
          <w14:ligatures w14:val="none"/>
        </w:rPr>
        <w:t>Open announcement</w:t>
      </w:r>
    </w:p>
    <w:p w14:paraId="5B9264BF" w14:textId="77777777" w:rsidR="008271CA" w:rsidRPr="00483F3B" w:rsidRDefault="008271CA" w:rsidP="008271CA">
      <w:pPr>
        <w:spacing w:line="259" w:lineRule="auto"/>
        <w:ind w:left="1080"/>
        <w:contextualSpacing/>
        <w:jc w:val="both"/>
        <w:rPr>
          <w:rFonts w:ascii="Calibri" w:eastAsia="Calibri" w:hAnsi="Calibri" w:cs="Calibri"/>
          <w:b/>
          <w:kern w:val="0"/>
          <w:sz w:val="22"/>
          <w:szCs w:val="22"/>
          <w14:ligatures w14:val="none"/>
        </w:rPr>
      </w:pPr>
    </w:p>
    <w:p w14:paraId="1A2FD984" w14:textId="77777777" w:rsidR="008271CA" w:rsidRPr="00483F3B" w:rsidRDefault="008271CA" w:rsidP="008271CA">
      <w:pPr>
        <w:numPr>
          <w:ilvl w:val="0"/>
          <w:numId w:val="17"/>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This sourcing method creates awareness in the business community of an opportunity related to a specific project, and requires advertisement in an appropriate medium (including, but not limited to, the UNDP global website) depending on the nature of the procurement activity. In an open competitive bidding process, there will be no shortlisted companies; consequently, all suppliers wishing to participate in the process are invited to do so.</w:t>
      </w:r>
    </w:p>
    <w:p w14:paraId="38B86689"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1542577C" w14:textId="77777777" w:rsidR="008271CA" w:rsidRPr="00483F3B" w:rsidRDefault="008271CA" w:rsidP="008271CA">
      <w:pPr>
        <w:numPr>
          <w:ilvl w:val="0"/>
          <w:numId w:val="17"/>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xml:space="preserve">Advertisements for an open competitive process often result in a more extensive evaluation process due to the large number of offers received, but they have the advantage of providing broader competition. </w:t>
      </w:r>
    </w:p>
    <w:p w14:paraId="2D22EEFD"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30372991" w14:textId="77777777" w:rsidR="008271CA" w:rsidRPr="00483F3B" w:rsidRDefault="008271CA" w:rsidP="008271CA">
      <w:pPr>
        <w:shd w:val="clear" w:color="auto" w:fill="FFFFFF"/>
        <w:spacing w:after="0" w:line="240" w:lineRule="auto"/>
        <w:contextualSpacing/>
        <w:jc w:val="both"/>
        <w:textAlignment w:val="top"/>
        <w:rPr>
          <w:rFonts w:ascii="Calibri" w:eastAsia="Calibri" w:hAnsi="Calibri" w:cs="Calibri"/>
          <w:b/>
          <w:kern w:val="0"/>
          <w:sz w:val="22"/>
          <w:szCs w:val="22"/>
          <w14:ligatures w14:val="none"/>
        </w:rPr>
      </w:pPr>
      <w:r w:rsidRPr="00483F3B">
        <w:rPr>
          <w:rFonts w:ascii="Calibri" w:eastAsia="Calibri" w:hAnsi="Calibri" w:cs="Calibri"/>
          <w:b/>
          <w:kern w:val="0"/>
          <w:sz w:val="22"/>
          <w:szCs w:val="22"/>
          <w14:ligatures w14:val="none"/>
        </w:rPr>
        <w:lastRenderedPageBreak/>
        <w:t>Appraising Suppliers</w:t>
      </w:r>
    </w:p>
    <w:p w14:paraId="4F42685B"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41AA4C3E" w14:textId="77777777" w:rsidR="008271CA" w:rsidRPr="00483F3B" w:rsidRDefault="008271CA" w:rsidP="008271CA">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In order for suppliers to be qualified to submit an offer and potentially be awarded a contract, they must demonstrate, and in certain cases certify, that they can meet the following criteria: </w:t>
      </w:r>
    </w:p>
    <w:p w14:paraId="3D3BB08E" w14:textId="77777777" w:rsidR="008271CA" w:rsidRPr="00483F3B" w:rsidRDefault="008271CA" w:rsidP="008271CA">
      <w:pPr>
        <w:shd w:val="clear" w:color="auto" w:fill="FFFFFF"/>
        <w:spacing w:after="0" w:line="240" w:lineRule="auto"/>
        <w:ind w:left="720"/>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35F0FCBF" w14:textId="77777777" w:rsidR="008271CA" w:rsidRPr="00483F3B" w:rsidRDefault="008271CA" w:rsidP="008271CA">
      <w:pPr>
        <w:numPr>
          <w:ilvl w:val="0"/>
          <w:numId w:val="11"/>
        </w:numPr>
        <w:shd w:val="clear" w:color="auto" w:fill="FFFFFF"/>
        <w:spacing w:after="0" w:line="240" w:lineRule="auto"/>
        <w:ind w:left="1890" w:hanging="450"/>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Have the technical capability to satisfactorily meet procurement requirements</w:t>
      </w:r>
    </w:p>
    <w:p w14:paraId="791CF7F6" w14:textId="77777777" w:rsidR="008271CA" w:rsidRPr="00483F3B" w:rsidRDefault="008271CA" w:rsidP="008271CA">
      <w:pPr>
        <w:shd w:val="clear" w:color="auto" w:fill="FFFFFF"/>
        <w:spacing w:after="0" w:line="240" w:lineRule="auto"/>
        <w:ind w:left="1890"/>
        <w:jc w:val="both"/>
        <w:textAlignment w:val="top"/>
        <w:rPr>
          <w:rFonts w:ascii="Calibri" w:eastAsia="Times New Roman" w:hAnsi="Calibri" w:cs="Calibri"/>
          <w:kern w:val="0"/>
          <w:sz w:val="22"/>
          <w:szCs w:val="22"/>
          <w14:ligatures w14:val="none"/>
        </w:rPr>
      </w:pPr>
    </w:p>
    <w:p w14:paraId="67618AA1" w14:textId="77777777" w:rsidR="008271CA" w:rsidRPr="00483F3B" w:rsidRDefault="008271CA" w:rsidP="008271CA">
      <w:pPr>
        <w:numPr>
          <w:ilvl w:val="0"/>
          <w:numId w:val="11"/>
        </w:numPr>
        <w:shd w:val="clear" w:color="auto" w:fill="FFFFFF"/>
        <w:spacing w:after="0" w:line="240" w:lineRule="auto"/>
        <w:ind w:left="1890" w:hanging="450"/>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Have adequate financial resources to perform the contract or the ability to obtain  them as evidenced by audited financial statements for completed years of operation</w:t>
      </w:r>
    </w:p>
    <w:p w14:paraId="241042D8"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1EE111B7" w14:textId="77777777" w:rsidR="008271CA" w:rsidRPr="00483F3B" w:rsidRDefault="008271CA" w:rsidP="008271CA">
      <w:pPr>
        <w:numPr>
          <w:ilvl w:val="0"/>
          <w:numId w:val="11"/>
        </w:numPr>
        <w:shd w:val="clear" w:color="auto" w:fill="FFFFFF"/>
        <w:spacing w:after="0" w:line="240" w:lineRule="auto"/>
        <w:ind w:left="1890" w:hanging="450"/>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Have sufficient materials and other non-financial resources to meet all existing commercial commitments</w:t>
      </w:r>
    </w:p>
    <w:p w14:paraId="3B716AA1"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09147177" w14:textId="77777777" w:rsidR="008271CA" w:rsidRPr="00483F3B" w:rsidRDefault="008271CA" w:rsidP="008271CA">
      <w:pPr>
        <w:numPr>
          <w:ilvl w:val="0"/>
          <w:numId w:val="11"/>
        </w:numPr>
        <w:shd w:val="clear" w:color="auto" w:fill="FFFFFF"/>
        <w:spacing w:after="0" w:line="240" w:lineRule="auto"/>
        <w:ind w:left="1890" w:hanging="450"/>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Be able to comply fully and effectively with UNDP General Terms and Conditions</w:t>
      </w:r>
    </w:p>
    <w:p w14:paraId="7051A6F0"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077E34AF" w14:textId="77777777" w:rsidR="008271CA" w:rsidRPr="00483F3B" w:rsidRDefault="008271CA" w:rsidP="008271CA">
      <w:pPr>
        <w:numPr>
          <w:ilvl w:val="0"/>
          <w:numId w:val="11"/>
        </w:numPr>
        <w:shd w:val="clear" w:color="auto" w:fill="FFFFFF"/>
        <w:spacing w:after="0" w:line="240" w:lineRule="auto"/>
        <w:ind w:left="1890" w:hanging="450"/>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xml:space="preserve">Have the necessary facilities, experience, accounting and operational controls, insurance and technical skills (including, as needed, for quality control, property and production control, and/or standards and safety programmes applicable to goods produced or services performed) </w:t>
      </w:r>
    </w:p>
    <w:p w14:paraId="0FB7DBD8"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1B799EC6" w14:textId="77777777" w:rsidR="008271CA" w:rsidRPr="00483F3B" w:rsidRDefault="008271CA" w:rsidP="008271CA">
      <w:pPr>
        <w:numPr>
          <w:ilvl w:val="0"/>
          <w:numId w:val="11"/>
        </w:numPr>
        <w:shd w:val="clear" w:color="auto" w:fill="FFFFFF"/>
        <w:spacing w:after="0" w:line="240" w:lineRule="auto"/>
        <w:ind w:left="1890" w:hanging="450"/>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Have a record of satisfactory performance with previous clients, possibly including UNDP</w:t>
      </w:r>
    </w:p>
    <w:p w14:paraId="23CCD957"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04BA960E" w14:textId="77777777" w:rsidR="008271CA" w:rsidRPr="00483F3B" w:rsidRDefault="008271CA" w:rsidP="008271CA">
      <w:pPr>
        <w:numPr>
          <w:ilvl w:val="0"/>
          <w:numId w:val="11"/>
        </w:numPr>
        <w:shd w:val="clear" w:color="auto" w:fill="FFFFFF"/>
        <w:spacing w:after="0" w:line="240" w:lineRule="auto"/>
        <w:ind w:left="1890" w:hanging="450"/>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xml:space="preserve">Have an excellent credit rating evidenced by reputable reporting agencies (e.g., Dunn and Bradstreet, Moody’s Investor Services) in reports on the company’s production facilities, and financial and management status </w:t>
      </w:r>
    </w:p>
    <w:p w14:paraId="051B5A73"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0569AC92" w14:textId="77777777" w:rsidR="008271CA" w:rsidRPr="00483F3B" w:rsidRDefault="008271CA" w:rsidP="008271CA">
      <w:pPr>
        <w:numPr>
          <w:ilvl w:val="0"/>
          <w:numId w:val="11"/>
        </w:numPr>
        <w:shd w:val="clear" w:color="auto" w:fill="FFFFFF"/>
        <w:spacing w:after="0" w:line="240" w:lineRule="auto"/>
        <w:ind w:left="1890" w:hanging="450"/>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Are compliant with national or international quality standards for the product offered, or can provide evidence of national and international acceptance of their services</w:t>
      </w:r>
    </w:p>
    <w:p w14:paraId="420E18C2"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31D89B66" w14:textId="77777777" w:rsidR="008271CA" w:rsidRPr="00483F3B" w:rsidRDefault="008271CA" w:rsidP="008271CA">
      <w:pPr>
        <w:numPr>
          <w:ilvl w:val="0"/>
          <w:numId w:val="11"/>
        </w:numPr>
        <w:shd w:val="clear" w:color="auto" w:fill="FFFFFF"/>
        <w:spacing w:after="0" w:line="240" w:lineRule="auto"/>
        <w:ind w:left="1890" w:hanging="450"/>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Adhere to environmental sustainability practices evidenced by certifications (e.g., ISO 14000 Certification)</w:t>
      </w:r>
    </w:p>
    <w:p w14:paraId="4A94CBC0" w14:textId="77777777" w:rsidR="008271CA" w:rsidRPr="00483F3B" w:rsidRDefault="008271CA" w:rsidP="00E54CB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5DCE787C" w14:textId="77777777" w:rsidR="008271CA" w:rsidRPr="00483F3B" w:rsidRDefault="008271CA" w:rsidP="008271CA">
      <w:pPr>
        <w:shd w:val="clear" w:color="auto" w:fill="FFFFFF"/>
        <w:spacing w:after="0" w:line="240" w:lineRule="auto"/>
        <w:contextualSpacing/>
        <w:jc w:val="both"/>
        <w:textAlignment w:val="top"/>
        <w:rPr>
          <w:rFonts w:ascii="Calibri" w:eastAsia="Calibri" w:hAnsi="Calibri" w:cs="Calibri"/>
          <w:b/>
          <w:kern w:val="0"/>
          <w:sz w:val="22"/>
          <w:szCs w:val="22"/>
          <w14:ligatures w14:val="none"/>
        </w:rPr>
      </w:pPr>
      <w:r w:rsidRPr="00483F3B">
        <w:rPr>
          <w:rFonts w:ascii="Calibri" w:eastAsia="Calibri" w:hAnsi="Calibri" w:cs="Calibri"/>
          <w:b/>
          <w:kern w:val="0"/>
          <w:sz w:val="22"/>
          <w:szCs w:val="22"/>
          <w14:ligatures w14:val="none"/>
        </w:rPr>
        <w:t>Eligibility of Suppliers</w:t>
      </w:r>
    </w:p>
    <w:p w14:paraId="54F1247B"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4211710E" w14:textId="77777777" w:rsidR="008271CA" w:rsidRPr="00483F3B" w:rsidRDefault="008271CA" w:rsidP="008271CA">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xml:space="preserve">A supplier is presumed to be eligible unless it is on the Ineligibility List administered by UNGM, by virtue of sanctions imposed by UNDP or another participating UN entity, and the sanctions have not been revised or revoked. </w:t>
      </w:r>
    </w:p>
    <w:p w14:paraId="322AEEEB" w14:textId="77777777" w:rsidR="008271CA" w:rsidRPr="00483F3B" w:rsidRDefault="008271CA" w:rsidP="008271CA">
      <w:pPr>
        <w:shd w:val="clear" w:color="auto" w:fill="FFFFFF"/>
        <w:spacing w:after="0" w:line="240" w:lineRule="auto"/>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341C7621" w14:textId="77777777" w:rsidR="008271CA" w:rsidRPr="00483F3B" w:rsidRDefault="008271CA" w:rsidP="008271CA">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xml:space="preserve">When the supplier is a consortium, or a holding or parent company, all of its members or subsidiaries must meet this requirement. </w:t>
      </w:r>
    </w:p>
    <w:p w14:paraId="42EC91C7"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0F89F65D"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6F40BF3F"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0DF37989"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08A14534" w14:textId="77777777" w:rsidR="008271CA" w:rsidRPr="00483F3B" w:rsidRDefault="008271CA" w:rsidP="008271CA">
      <w:pPr>
        <w:shd w:val="clear" w:color="auto" w:fill="FFFFFF"/>
        <w:spacing w:after="0" w:line="240" w:lineRule="auto"/>
        <w:contextualSpacing/>
        <w:jc w:val="both"/>
        <w:textAlignment w:val="top"/>
        <w:rPr>
          <w:rFonts w:ascii="Calibri" w:eastAsia="Times New Roman" w:hAnsi="Calibri" w:cs="Calibri"/>
          <w:b/>
          <w:kern w:val="0"/>
          <w:sz w:val="22"/>
          <w:szCs w:val="22"/>
          <w14:ligatures w14:val="none"/>
        </w:rPr>
      </w:pPr>
      <w:r w:rsidRPr="00483F3B">
        <w:rPr>
          <w:rFonts w:ascii="Calibri" w:eastAsia="Times New Roman" w:hAnsi="Calibri" w:cs="Calibri"/>
          <w:b/>
          <w:kern w:val="0"/>
          <w:sz w:val="22"/>
          <w:szCs w:val="22"/>
          <w14:ligatures w14:val="none"/>
        </w:rPr>
        <w:lastRenderedPageBreak/>
        <w:t>Rosters of Eligible Suppliers </w:t>
      </w:r>
    </w:p>
    <w:p w14:paraId="2DE8A16D"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50859BA7" w14:textId="77777777" w:rsidR="008271CA" w:rsidRPr="00483F3B" w:rsidRDefault="008271CA" w:rsidP="008271CA">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Offices or business units may find it efficient to maintain a roster of eligible suppliers. Both UNGM and UNDP office rosters can be used to source local and international suppliers.</w:t>
      </w:r>
    </w:p>
    <w:p w14:paraId="30B13354"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190AF94E" w14:textId="77777777" w:rsidR="008271CA" w:rsidRPr="00483F3B" w:rsidRDefault="008271CA" w:rsidP="008271CA">
      <w:pPr>
        <w:shd w:val="clear" w:color="auto" w:fill="FFFFFF"/>
        <w:spacing w:after="0" w:line="240" w:lineRule="auto"/>
        <w:contextualSpacing/>
        <w:jc w:val="both"/>
        <w:textAlignment w:val="top"/>
        <w:rPr>
          <w:rFonts w:ascii="Calibri" w:eastAsia="Calibri" w:hAnsi="Calibri" w:cs="Calibri"/>
          <w:b/>
          <w:kern w:val="0"/>
          <w:sz w:val="22"/>
          <w:szCs w:val="22"/>
          <w14:ligatures w14:val="none"/>
        </w:rPr>
      </w:pPr>
      <w:r w:rsidRPr="00483F3B">
        <w:rPr>
          <w:rFonts w:ascii="Calibri" w:eastAsia="Calibri" w:hAnsi="Calibri" w:cs="Calibri"/>
          <w:b/>
          <w:kern w:val="0"/>
          <w:sz w:val="22"/>
          <w:szCs w:val="22"/>
          <w14:ligatures w14:val="none"/>
        </w:rPr>
        <w:t>Performance Evaluation</w:t>
      </w:r>
    </w:p>
    <w:p w14:paraId="550AEC5E"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1F1AB37C" w14:textId="77777777" w:rsidR="008271CA" w:rsidRPr="00483F3B" w:rsidRDefault="008271CA" w:rsidP="008271CA">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xml:space="preserve">Performance of suppliers should be evaluated on an ongoing basis, and poor performance reported to UNGM or recorded in existing UNDP roster information systems as applicable. </w:t>
      </w:r>
    </w:p>
    <w:p w14:paraId="5E644DA6"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4903BC96" w14:textId="77777777" w:rsidR="008271CA" w:rsidRPr="00483F3B" w:rsidRDefault="008271CA" w:rsidP="008271CA">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Calibri" w:hAnsi="Calibri" w:cs="Calibri"/>
          <w:kern w:val="0"/>
          <w:sz w:val="22"/>
          <w:szCs w:val="22"/>
          <w14:ligatures w14:val="none"/>
        </w:rPr>
        <w:t>Evaluation</w:t>
      </w:r>
      <w:r w:rsidRPr="00483F3B">
        <w:rPr>
          <w:rFonts w:ascii="Calibri" w:eastAsia="Times New Roman" w:hAnsi="Calibri" w:cs="Calibri"/>
          <w:kern w:val="0"/>
          <w:sz w:val="22"/>
          <w:szCs w:val="22"/>
          <w14:ligatures w14:val="none"/>
        </w:rPr>
        <w:t xml:space="preserve"> criteria should include but not be limited to:</w:t>
      </w:r>
    </w:p>
    <w:p w14:paraId="2F6693D2"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0D41A427" w14:textId="77777777" w:rsidR="008271CA" w:rsidRPr="00483F3B" w:rsidRDefault="008271CA" w:rsidP="008271CA">
      <w:pPr>
        <w:numPr>
          <w:ilvl w:val="1"/>
          <w:numId w:val="12"/>
        </w:numPr>
        <w:shd w:val="clear" w:color="auto" w:fill="FFFFFF"/>
        <w:spacing w:after="0" w:line="240" w:lineRule="auto"/>
        <w:ind w:left="1800"/>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Quality of goods and services</w:t>
      </w:r>
    </w:p>
    <w:p w14:paraId="2A431CDF" w14:textId="77777777" w:rsidR="008271CA" w:rsidRPr="00483F3B" w:rsidRDefault="008271CA" w:rsidP="008271CA">
      <w:pPr>
        <w:shd w:val="clear" w:color="auto" w:fill="FFFFFF"/>
        <w:spacing w:after="0" w:line="240" w:lineRule="auto"/>
        <w:ind w:left="1800"/>
        <w:contextualSpacing/>
        <w:jc w:val="both"/>
        <w:textAlignment w:val="top"/>
        <w:rPr>
          <w:rFonts w:ascii="Calibri" w:eastAsia="Times New Roman" w:hAnsi="Calibri" w:cs="Calibri"/>
          <w:kern w:val="0"/>
          <w:sz w:val="22"/>
          <w:szCs w:val="22"/>
          <w14:ligatures w14:val="none"/>
        </w:rPr>
      </w:pPr>
    </w:p>
    <w:p w14:paraId="6BB77365" w14:textId="77777777" w:rsidR="008271CA" w:rsidRPr="00483F3B" w:rsidRDefault="008271CA" w:rsidP="008271CA">
      <w:pPr>
        <w:numPr>
          <w:ilvl w:val="1"/>
          <w:numId w:val="12"/>
        </w:numPr>
        <w:shd w:val="clear" w:color="auto" w:fill="FFFFFF"/>
        <w:spacing w:after="0" w:line="240" w:lineRule="auto"/>
        <w:ind w:left="1800"/>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Compliance with delivery times and deadlines</w:t>
      </w:r>
    </w:p>
    <w:p w14:paraId="77D2E878"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712D2A51" w14:textId="77777777" w:rsidR="008271CA" w:rsidRPr="00483F3B" w:rsidRDefault="008271CA" w:rsidP="008271CA">
      <w:pPr>
        <w:numPr>
          <w:ilvl w:val="1"/>
          <w:numId w:val="12"/>
        </w:numPr>
        <w:shd w:val="clear" w:color="auto" w:fill="FFFFFF"/>
        <w:spacing w:after="0" w:line="240" w:lineRule="auto"/>
        <w:ind w:left="1800"/>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After sales service provided</w:t>
      </w:r>
    </w:p>
    <w:p w14:paraId="6CBD66D3"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391EA12B" w14:textId="77777777" w:rsidR="008271CA" w:rsidRPr="00483F3B" w:rsidRDefault="008271CA" w:rsidP="008271CA">
      <w:pPr>
        <w:numPr>
          <w:ilvl w:val="1"/>
          <w:numId w:val="12"/>
        </w:numPr>
        <w:shd w:val="clear" w:color="auto" w:fill="FFFFFF"/>
        <w:spacing w:after="0" w:line="240" w:lineRule="auto"/>
        <w:ind w:left="1800"/>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Accuracy of documentation</w:t>
      </w:r>
    </w:p>
    <w:p w14:paraId="6719B37A"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p>
    <w:p w14:paraId="60074CC0" w14:textId="77777777" w:rsidR="008271CA" w:rsidRPr="00483F3B" w:rsidRDefault="008271CA" w:rsidP="008271CA">
      <w:pPr>
        <w:numPr>
          <w:ilvl w:val="1"/>
          <w:numId w:val="12"/>
        </w:numPr>
        <w:shd w:val="clear" w:color="auto" w:fill="FFFFFF"/>
        <w:spacing w:after="0" w:line="240" w:lineRule="auto"/>
        <w:ind w:left="1800"/>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General cooperation and speed in response</w:t>
      </w:r>
    </w:p>
    <w:p w14:paraId="13183E24" w14:textId="77777777" w:rsidR="008271CA" w:rsidRPr="00483F3B" w:rsidRDefault="008271CA" w:rsidP="008271CA">
      <w:pPr>
        <w:shd w:val="clear" w:color="auto" w:fill="FFFFFF"/>
        <w:spacing w:after="0" w:line="240" w:lineRule="auto"/>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24149D22" w14:textId="77777777" w:rsidR="008271CA" w:rsidRPr="00483F3B" w:rsidRDefault="008271CA" w:rsidP="008271CA">
      <w:pPr>
        <w:numPr>
          <w:ilvl w:val="0"/>
          <w:numId w:val="18"/>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Evaluating service performance can be complicated and requires identifying meaningful and measurable key performance indicators. For more information on developing specific evaluation criteria and monitoring performance, see the chapter entitled Contract Management.</w:t>
      </w:r>
    </w:p>
    <w:p w14:paraId="45DCE1B7" w14:textId="77777777" w:rsidR="008271CA" w:rsidRPr="00483F3B" w:rsidRDefault="008271CA" w:rsidP="008271CA">
      <w:pPr>
        <w:shd w:val="clear" w:color="auto" w:fill="FFFFFF"/>
        <w:spacing w:after="0" w:line="240" w:lineRule="auto"/>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45CC0472" w14:textId="77777777" w:rsidR="008271CA" w:rsidRPr="00483F3B" w:rsidRDefault="008271CA" w:rsidP="008271CA">
      <w:pPr>
        <w:shd w:val="clear" w:color="auto" w:fill="FFFFFF"/>
        <w:spacing w:after="0" w:line="240" w:lineRule="auto"/>
        <w:textAlignment w:val="top"/>
        <w:rPr>
          <w:rFonts w:ascii="Calibri" w:eastAsia="Times New Roman" w:hAnsi="Calibri" w:cs="Calibri"/>
          <w:kern w:val="0"/>
          <w:sz w:val="22"/>
          <w:szCs w:val="22"/>
          <w14:ligatures w14:val="none"/>
        </w:rPr>
      </w:pPr>
      <w:r w:rsidRPr="00483F3B">
        <w:rPr>
          <w:rFonts w:ascii="Calibri" w:eastAsia="Times New Roman" w:hAnsi="Calibri" w:cs="Calibri"/>
          <w:kern w:val="0"/>
          <w:sz w:val="22"/>
          <w:szCs w:val="22"/>
          <w14:ligatures w14:val="none"/>
        </w:rPr>
        <w:t> </w:t>
      </w:r>
    </w:p>
    <w:p w14:paraId="06C5C7A7" w14:textId="77777777" w:rsidR="00DA504D" w:rsidRPr="00483F3B" w:rsidRDefault="00DA504D">
      <w:pPr>
        <w:rPr>
          <w:rFonts w:ascii="Calibri" w:hAnsi="Calibri" w:cs="Calibri"/>
        </w:rPr>
      </w:pPr>
    </w:p>
    <w:sectPr w:rsidR="00DA504D" w:rsidRPr="00483F3B" w:rsidSect="008271C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C462D" w14:textId="77777777" w:rsidR="00FD4367" w:rsidRDefault="00FD4367" w:rsidP="008271CA">
      <w:pPr>
        <w:spacing w:after="0" w:line="240" w:lineRule="auto"/>
      </w:pPr>
      <w:r>
        <w:separator/>
      </w:r>
    </w:p>
  </w:endnote>
  <w:endnote w:type="continuationSeparator" w:id="0">
    <w:p w14:paraId="79015025" w14:textId="77777777" w:rsidR="00FD4367" w:rsidRDefault="00FD4367" w:rsidP="00827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B4A4" w14:textId="20EB2D69" w:rsidR="008271CA" w:rsidRPr="00E54CBA" w:rsidRDefault="008271CA" w:rsidP="001D677F">
    <w:pPr>
      <w:rPr>
        <w:rFonts w:ascii="Calibri" w:hAnsi="Calibri" w:cs="Calibri"/>
        <w:sz w:val="22"/>
        <w:szCs w:val="22"/>
      </w:rPr>
    </w:pPr>
    <w:r w:rsidRPr="00E54CBA">
      <w:rPr>
        <w:rFonts w:ascii="Calibri" w:hAnsi="Calibri" w:cs="Calibri"/>
        <w:sz w:val="22"/>
        <w:szCs w:val="22"/>
      </w:rPr>
      <w:t xml:space="preserve">Page </w:t>
    </w:r>
    <w:r w:rsidRPr="00E54CBA">
      <w:rPr>
        <w:rFonts w:ascii="Calibri" w:hAnsi="Calibri" w:cs="Calibri"/>
        <w:b/>
        <w:bCs/>
        <w:sz w:val="22"/>
        <w:szCs w:val="22"/>
      </w:rPr>
      <w:fldChar w:fldCharType="begin"/>
    </w:r>
    <w:r w:rsidRPr="00E54CBA">
      <w:rPr>
        <w:rFonts w:ascii="Calibri" w:hAnsi="Calibri" w:cs="Calibri"/>
        <w:b/>
        <w:bCs/>
        <w:sz w:val="22"/>
        <w:szCs w:val="22"/>
      </w:rPr>
      <w:instrText>PAGE  \* Arabic  \* MERGEFORMAT</w:instrText>
    </w:r>
    <w:r w:rsidRPr="00E54CBA">
      <w:rPr>
        <w:rFonts w:ascii="Calibri" w:hAnsi="Calibri" w:cs="Calibri"/>
        <w:b/>
        <w:bCs/>
        <w:sz w:val="22"/>
        <w:szCs w:val="22"/>
      </w:rPr>
      <w:fldChar w:fldCharType="separate"/>
    </w:r>
    <w:r w:rsidRPr="00E54CBA">
      <w:rPr>
        <w:rFonts w:ascii="Calibri" w:hAnsi="Calibri" w:cs="Calibri"/>
        <w:b/>
        <w:bCs/>
        <w:noProof/>
        <w:sz w:val="22"/>
        <w:szCs w:val="22"/>
      </w:rPr>
      <w:t>4</w:t>
    </w:r>
    <w:r w:rsidRPr="00E54CBA">
      <w:rPr>
        <w:rFonts w:ascii="Calibri" w:hAnsi="Calibri" w:cs="Calibri"/>
        <w:b/>
        <w:bCs/>
        <w:sz w:val="22"/>
        <w:szCs w:val="22"/>
      </w:rPr>
      <w:fldChar w:fldCharType="end"/>
    </w:r>
    <w:r w:rsidRPr="00E54CBA">
      <w:rPr>
        <w:rFonts w:ascii="Calibri" w:hAnsi="Calibri" w:cs="Calibri"/>
        <w:sz w:val="22"/>
        <w:szCs w:val="22"/>
      </w:rPr>
      <w:t xml:space="preserve"> of </w:t>
    </w:r>
    <w:r w:rsidRPr="00E54CBA">
      <w:rPr>
        <w:rFonts w:ascii="Calibri" w:hAnsi="Calibri" w:cs="Calibri"/>
        <w:b/>
        <w:bCs/>
        <w:sz w:val="22"/>
        <w:szCs w:val="22"/>
      </w:rPr>
      <w:fldChar w:fldCharType="begin"/>
    </w:r>
    <w:r w:rsidRPr="00E54CBA">
      <w:rPr>
        <w:rFonts w:ascii="Calibri" w:hAnsi="Calibri" w:cs="Calibri"/>
        <w:b/>
        <w:bCs/>
        <w:sz w:val="22"/>
        <w:szCs w:val="22"/>
      </w:rPr>
      <w:instrText>NUMPAGES  \* Arabic  \* MERGEFORMAT</w:instrText>
    </w:r>
    <w:r w:rsidRPr="00E54CBA">
      <w:rPr>
        <w:rFonts w:ascii="Calibri" w:hAnsi="Calibri" w:cs="Calibri"/>
        <w:b/>
        <w:bCs/>
        <w:sz w:val="22"/>
        <w:szCs w:val="22"/>
      </w:rPr>
      <w:fldChar w:fldCharType="separate"/>
    </w:r>
    <w:r w:rsidRPr="00E54CBA">
      <w:rPr>
        <w:rFonts w:ascii="Calibri" w:hAnsi="Calibri" w:cs="Calibri"/>
        <w:b/>
        <w:bCs/>
        <w:noProof/>
        <w:sz w:val="22"/>
        <w:szCs w:val="22"/>
      </w:rPr>
      <w:t>7</w:t>
    </w:r>
    <w:r w:rsidRPr="00E54CBA">
      <w:rPr>
        <w:rFonts w:ascii="Calibri" w:hAnsi="Calibri" w:cs="Calibri"/>
        <w:b/>
        <w:bCs/>
        <w:sz w:val="22"/>
        <w:szCs w:val="22"/>
      </w:rPr>
      <w:fldChar w:fldCharType="end"/>
    </w:r>
    <w:r w:rsidRPr="00E54CBA">
      <w:rPr>
        <w:rFonts w:ascii="Calibri" w:hAnsi="Calibri" w:cs="Calibri"/>
        <w:sz w:val="22"/>
        <w:szCs w:val="22"/>
      </w:rPr>
      <w:tab/>
    </w:r>
    <w:r w:rsidRPr="00E54CBA">
      <w:rPr>
        <w:rFonts w:ascii="Calibri" w:hAnsi="Calibri" w:cs="Calibri"/>
        <w:sz w:val="22"/>
        <w:szCs w:val="22"/>
      </w:rPr>
      <w:tab/>
    </w:r>
    <w:r>
      <w:rPr>
        <w:rFonts w:ascii="Calibri" w:hAnsi="Calibri" w:cs="Calibri"/>
        <w:sz w:val="22"/>
        <w:szCs w:val="22"/>
      </w:rPr>
      <w:t xml:space="preserve">               </w:t>
    </w:r>
    <w:r w:rsidRPr="00E54CBA">
      <w:rPr>
        <w:rFonts w:ascii="Calibri" w:hAnsi="Calibri" w:cs="Calibri"/>
        <w:sz w:val="22"/>
        <w:szCs w:val="22"/>
      </w:rPr>
      <w:tab/>
      <w:t xml:space="preserve"> Effective Date:</w:t>
    </w:r>
    <w:r w:rsidRPr="00E54CBA">
      <w:rPr>
        <w:rFonts w:ascii="Calibri" w:hAnsi="Calibri" w:cs="Calibri"/>
        <w:sz w:val="22"/>
        <w:szCs w:val="22"/>
      </w:rPr>
      <w:tab/>
      <w:t>27/07/2016</w:t>
    </w:r>
    <w:r w:rsidRPr="00E54CBA">
      <w:rPr>
        <w:rFonts w:ascii="Calibri" w:hAnsi="Calibri" w:cs="Calibri"/>
        <w:sz w:val="22"/>
        <w:szCs w:val="22"/>
      </w:rPr>
      <w:tab/>
    </w:r>
    <w:r>
      <w:rPr>
        <w:rFonts w:ascii="Calibri" w:hAnsi="Calibri" w:cs="Calibri"/>
        <w:sz w:val="22"/>
        <w:szCs w:val="22"/>
      </w:rPr>
      <w:t xml:space="preserve">               </w:t>
    </w:r>
    <w:r w:rsidRPr="00E54CBA">
      <w:rPr>
        <w:rFonts w:ascii="Calibri" w:hAnsi="Calibri" w:cs="Calibri"/>
        <w:sz w:val="22"/>
        <w:szCs w:val="22"/>
      </w:rPr>
      <w:tab/>
    </w:r>
    <w:r>
      <w:rPr>
        <w:rFonts w:ascii="Calibri" w:hAnsi="Calibri" w:cs="Calibri"/>
        <w:sz w:val="22"/>
        <w:szCs w:val="22"/>
      </w:rPr>
      <w:t xml:space="preserve"> </w:t>
    </w:r>
    <w:r w:rsidRPr="00E54CBA">
      <w:rPr>
        <w:rFonts w:ascii="Calibri" w:hAnsi="Calibri" w:cs="Calibri"/>
        <w:sz w:val="22"/>
        <w:szCs w:val="22"/>
      </w:rPr>
      <w:t xml:space="preserve">      Version #: </w:t>
    </w:r>
    <w:sdt>
      <w:sdtPr>
        <w:rPr>
          <w:rFonts w:ascii="Calibri" w:hAnsi="Calibri" w:cs="Calibri"/>
          <w:sz w:val="22"/>
          <w:szCs w:val="22"/>
        </w:rPr>
        <w:alias w:val="POPPRefItemVersion"/>
        <w:tag w:val="UNDP_POPP_REFITEM_VERSION"/>
        <w:id w:val="-1648425417"/>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56B84AE-3DF8-4903-ACE6-F7592914E222}"/>
        <w:text/>
      </w:sdtPr>
      <w:sdtContent>
        <w:r w:rsidRPr="00E54CBA">
          <w:rPr>
            <w:rFonts w:ascii="Calibri" w:hAnsi="Calibri" w:cs="Calibri"/>
            <w:sz w:val="22"/>
            <w:szCs w:val="22"/>
          </w:rPr>
          <w:t>4</w:t>
        </w:r>
      </w:sdtContent>
    </w:sdt>
    <w:r w:rsidRPr="00E54CBA">
      <w:rPr>
        <w:rFonts w:ascii="Calibri" w:hAnsi="Calibri" w:cs="Calibri"/>
        <w:sz w:val="22"/>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DAA7B" w14:textId="77777777" w:rsidR="00FD4367" w:rsidRDefault="00FD4367" w:rsidP="008271CA">
      <w:pPr>
        <w:spacing w:after="0" w:line="240" w:lineRule="auto"/>
      </w:pPr>
      <w:r>
        <w:separator/>
      </w:r>
    </w:p>
  </w:footnote>
  <w:footnote w:type="continuationSeparator" w:id="0">
    <w:p w14:paraId="62C67E36" w14:textId="77777777" w:rsidR="00FD4367" w:rsidRDefault="00FD4367" w:rsidP="00827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A12D" w14:textId="77777777" w:rsidR="008271CA" w:rsidRDefault="008271CA" w:rsidP="00876C19">
    <w:pPr>
      <w:pStyle w:val="Header"/>
      <w:jc w:val="right"/>
    </w:pPr>
    <w:r>
      <w:rPr>
        <w:noProof/>
      </w:rPr>
      <w:drawing>
        <wp:inline distT="0" distB="0" distL="0" distR="0" wp14:anchorId="07433D93" wp14:editId="5942E228">
          <wp:extent cx="535284" cy="81534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8096" cy="8196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A72"/>
    <w:multiLevelType w:val="hybridMultilevel"/>
    <w:tmpl w:val="AF166EB8"/>
    <w:lvl w:ilvl="0" w:tplc="04090001">
      <w:start w:val="1"/>
      <w:numFmt w:val="bullet"/>
      <w:lvlText w:val=""/>
      <w:lvlJc w:val="left"/>
      <w:pPr>
        <w:ind w:left="1980" w:hanging="360"/>
      </w:pPr>
      <w:rPr>
        <w:rFonts w:ascii="Symbol" w:hAnsi="Symbol" w:hint="default"/>
      </w:rPr>
    </w:lvl>
    <w:lvl w:ilvl="1" w:tplc="041C001B">
      <w:start w:val="1"/>
      <w:numFmt w:val="lowerRoman"/>
      <w:lvlText w:val="%2."/>
      <w:lvlJc w:val="right"/>
      <w:pPr>
        <w:ind w:left="2700" w:hanging="360"/>
      </w:pPr>
      <w:rPr>
        <w:rFonts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1" w15:restartNumberingAfterBreak="0">
    <w:nsid w:val="096C1BB9"/>
    <w:multiLevelType w:val="hybridMultilevel"/>
    <w:tmpl w:val="80D01042"/>
    <w:lvl w:ilvl="0" w:tplc="04090001">
      <w:start w:val="1"/>
      <w:numFmt w:val="bullet"/>
      <w:lvlText w:val=""/>
      <w:lvlJc w:val="left"/>
      <w:pPr>
        <w:ind w:left="1980" w:hanging="360"/>
      </w:pPr>
      <w:rPr>
        <w:rFonts w:ascii="Symbol" w:hAnsi="Symbol" w:hint="default"/>
      </w:rPr>
    </w:lvl>
    <w:lvl w:ilvl="1" w:tplc="041C001B">
      <w:start w:val="1"/>
      <w:numFmt w:val="lowerRoman"/>
      <w:lvlText w:val="%2."/>
      <w:lvlJc w:val="right"/>
      <w:pPr>
        <w:ind w:left="2430" w:hanging="360"/>
      </w:pPr>
      <w:rPr>
        <w:rFonts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2" w15:restartNumberingAfterBreak="0">
    <w:nsid w:val="09860229"/>
    <w:multiLevelType w:val="hybridMultilevel"/>
    <w:tmpl w:val="FC061820"/>
    <w:lvl w:ilvl="0" w:tplc="04090001">
      <w:start w:val="1"/>
      <w:numFmt w:val="bullet"/>
      <w:lvlText w:val=""/>
      <w:lvlJc w:val="left"/>
      <w:pPr>
        <w:ind w:left="1800" w:hanging="360"/>
      </w:pPr>
      <w:rPr>
        <w:rFonts w:ascii="Symbol" w:hAnsi="Symbol" w:hint="default"/>
      </w:rPr>
    </w:lvl>
    <w:lvl w:ilvl="1" w:tplc="041C001B">
      <w:start w:val="1"/>
      <w:numFmt w:val="lowerRoman"/>
      <w:lvlText w:val="%2."/>
      <w:lvlJc w:val="right"/>
      <w:pPr>
        <w:ind w:left="2535" w:hanging="375"/>
      </w:pPr>
      <w:rPr>
        <w:rFonts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3" w15:restartNumberingAfterBreak="0">
    <w:nsid w:val="19CF46D4"/>
    <w:multiLevelType w:val="hybridMultilevel"/>
    <w:tmpl w:val="0324DDA6"/>
    <w:lvl w:ilvl="0" w:tplc="04090019">
      <w:start w:val="1"/>
      <w:numFmt w:val="lowerLetter"/>
      <w:lvlText w:val="%1."/>
      <w:lvlJc w:val="left"/>
      <w:pPr>
        <w:ind w:left="3330" w:hanging="360"/>
      </w:pPr>
      <w:rPr>
        <w:rFonts w:hint="default"/>
      </w:rPr>
    </w:lvl>
    <w:lvl w:ilvl="1" w:tplc="041C0003" w:tentative="1">
      <w:start w:val="1"/>
      <w:numFmt w:val="bullet"/>
      <w:lvlText w:val="o"/>
      <w:lvlJc w:val="left"/>
      <w:pPr>
        <w:ind w:left="4050" w:hanging="360"/>
      </w:pPr>
      <w:rPr>
        <w:rFonts w:ascii="Courier New" w:hAnsi="Courier New" w:cs="Courier New" w:hint="default"/>
      </w:rPr>
    </w:lvl>
    <w:lvl w:ilvl="2" w:tplc="041C0005" w:tentative="1">
      <w:start w:val="1"/>
      <w:numFmt w:val="bullet"/>
      <w:lvlText w:val=""/>
      <w:lvlJc w:val="left"/>
      <w:pPr>
        <w:ind w:left="4770" w:hanging="360"/>
      </w:pPr>
      <w:rPr>
        <w:rFonts w:ascii="Wingdings" w:hAnsi="Wingdings" w:hint="default"/>
      </w:rPr>
    </w:lvl>
    <w:lvl w:ilvl="3" w:tplc="041C0001" w:tentative="1">
      <w:start w:val="1"/>
      <w:numFmt w:val="bullet"/>
      <w:lvlText w:val=""/>
      <w:lvlJc w:val="left"/>
      <w:pPr>
        <w:ind w:left="5490" w:hanging="360"/>
      </w:pPr>
      <w:rPr>
        <w:rFonts w:ascii="Symbol" w:hAnsi="Symbol" w:hint="default"/>
      </w:rPr>
    </w:lvl>
    <w:lvl w:ilvl="4" w:tplc="041C0003" w:tentative="1">
      <w:start w:val="1"/>
      <w:numFmt w:val="bullet"/>
      <w:lvlText w:val="o"/>
      <w:lvlJc w:val="left"/>
      <w:pPr>
        <w:ind w:left="6210" w:hanging="360"/>
      </w:pPr>
      <w:rPr>
        <w:rFonts w:ascii="Courier New" w:hAnsi="Courier New" w:cs="Courier New" w:hint="default"/>
      </w:rPr>
    </w:lvl>
    <w:lvl w:ilvl="5" w:tplc="041C0005" w:tentative="1">
      <w:start w:val="1"/>
      <w:numFmt w:val="bullet"/>
      <w:lvlText w:val=""/>
      <w:lvlJc w:val="left"/>
      <w:pPr>
        <w:ind w:left="6930" w:hanging="360"/>
      </w:pPr>
      <w:rPr>
        <w:rFonts w:ascii="Wingdings" w:hAnsi="Wingdings" w:hint="default"/>
      </w:rPr>
    </w:lvl>
    <w:lvl w:ilvl="6" w:tplc="041C0001" w:tentative="1">
      <w:start w:val="1"/>
      <w:numFmt w:val="bullet"/>
      <w:lvlText w:val=""/>
      <w:lvlJc w:val="left"/>
      <w:pPr>
        <w:ind w:left="7650" w:hanging="360"/>
      </w:pPr>
      <w:rPr>
        <w:rFonts w:ascii="Symbol" w:hAnsi="Symbol" w:hint="default"/>
      </w:rPr>
    </w:lvl>
    <w:lvl w:ilvl="7" w:tplc="041C0003" w:tentative="1">
      <w:start w:val="1"/>
      <w:numFmt w:val="bullet"/>
      <w:lvlText w:val="o"/>
      <w:lvlJc w:val="left"/>
      <w:pPr>
        <w:ind w:left="8370" w:hanging="360"/>
      </w:pPr>
      <w:rPr>
        <w:rFonts w:ascii="Courier New" w:hAnsi="Courier New" w:cs="Courier New" w:hint="default"/>
      </w:rPr>
    </w:lvl>
    <w:lvl w:ilvl="8" w:tplc="041C0005" w:tentative="1">
      <w:start w:val="1"/>
      <w:numFmt w:val="bullet"/>
      <w:lvlText w:val=""/>
      <w:lvlJc w:val="left"/>
      <w:pPr>
        <w:ind w:left="9090" w:hanging="360"/>
      </w:pPr>
      <w:rPr>
        <w:rFonts w:ascii="Wingdings" w:hAnsi="Wingdings" w:hint="default"/>
      </w:rPr>
    </w:lvl>
  </w:abstractNum>
  <w:abstractNum w:abstractNumId="4" w15:restartNumberingAfterBreak="0">
    <w:nsid w:val="1A653E45"/>
    <w:multiLevelType w:val="hybridMultilevel"/>
    <w:tmpl w:val="377AA410"/>
    <w:lvl w:ilvl="0" w:tplc="041C001B">
      <w:start w:val="1"/>
      <w:numFmt w:val="lowerRoman"/>
      <w:lvlText w:val="%1."/>
      <w:lvlJc w:val="righ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2408089B"/>
    <w:multiLevelType w:val="hybridMultilevel"/>
    <w:tmpl w:val="0096D6DE"/>
    <w:lvl w:ilvl="0" w:tplc="041C001B">
      <w:start w:val="1"/>
      <w:numFmt w:val="lowerRoman"/>
      <w:lvlText w:val="%1."/>
      <w:lvlJc w:val="righ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355B1490"/>
    <w:multiLevelType w:val="hybridMultilevel"/>
    <w:tmpl w:val="3B1021E2"/>
    <w:lvl w:ilvl="0" w:tplc="04090001">
      <w:start w:val="1"/>
      <w:numFmt w:val="bullet"/>
      <w:lvlText w:val=""/>
      <w:lvlJc w:val="left"/>
      <w:pPr>
        <w:ind w:left="1980" w:hanging="360"/>
      </w:pPr>
      <w:rPr>
        <w:rFonts w:ascii="Symbol" w:hAnsi="Symbol" w:hint="default"/>
      </w:rPr>
    </w:lvl>
    <w:lvl w:ilvl="1" w:tplc="041C001B">
      <w:start w:val="1"/>
      <w:numFmt w:val="lowerRoman"/>
      <w:lvlText w:val="%2."/>
      <w:lvlJc w:val="right"/>
      <w:pPr>
        <w:ind w:left="2700" w:hanging="360"/>
      </w:pPr>
      <w:rPr>
        <w:rFonts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7" w15:restartNumberingAfterBreak="0">
    <w:nsid w:val="3E9763C8"/>
    <w:multiLevelType w:val="hybridMultilevel"/>
    <w:tmpl w:val="91B8A4C0"/>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3FBB33F1"/>
    <w:multiLevelType w:val="hybridMultilevel"/>
    <w:tmpl w:val="E640D806"/>
    <w:lvl w:ilvl="0" w:tplc="04090019">
      <w:start w:val="1"/>
      <w:numFmt w:val="lowerLetter"/>
      <w:lvlText w:val="%1."/>
      <w:lvlJc w:val="left"/>
      <w:pPr>
        <w:ind w:left="1890" w:hanging="360"/>
      </w:pPr>
    </w:lvl>
    <w:lvl w:ilvl="1" w:tplc="041C0019">
      <w:start w:val="1"/>
      <w:numFmt w:val="lowerLetter"/>
      <w:lvlText w:val="%2."/>
      <w:lvlJc w:val="left"/>
      <w:pPr>
        <w:ind w:left="2610" w:hanging="360"/>
      </w:pPr>
    </w:lvl>
    <w:lvl w:ilvl="2" w:tplc="041C001B" w:tentative="1">
      <w:start w:val="1"/>
      <w:numFmt w:val="lowerRoman"/>
      <w:lvlText w:val="%3."/>
      <w:lvlJc w:val="right"/>
      <w:pPr>
        <w:ind w:left="3330" w:hanging="180"/>
      </w:pPr>
    </w:lvl>
    <w:lvl w:ilvl="3" w:tplc="041C000F" w:tentative="1">
      <w:start w:val="1"/>
      <w:numFmt w:val="decimal"/>
      <w:lvlText w:val="%4."/>
      <w:lvlJc w:val="left"/>
      <w:pPr>
        <w:ind w:left="4050" w:hanging="360"/>
      </w:pPr>
    </w:lvl>
    <w:lvl w:ilvl="4" w:tplc="041C0019" w:tentative="1">
      <w:start w:val="1"/>
      <w:numFmt w:val="lowerLetter"/>
      <w:lvlText w:val="%5."/>
      <w:lvlJc w:val="left"/>
      <w:pPr>
        <w:ind w:left="4770" w:hanging="360"/>
      </w:pPr>
    </w:lvl>
    <w:lvl w:ilvl="5" w:tplc="041C001B" w:tentative="1">
      <w:start w:val="1"/>
      <w:numFmt w:val="lowerRoman"/>
      <w:lvlText w:val="%6."/>
      <w:lvlJc w:val="right"/>
      <w:pPr>
        <w:ind w:left="5490" w:hanging="180"/>
      </w:pPr>
    </w:lvl>
    <w:lvl w:ilvl="6" w:tplc="041C000F" w:tentative="1">
      <w:start w:val="1"/>
      <w:numFmt w:val="decimal"/>
      <w:lvlText w:val="%7."/>
      <w:lvlJc w:val="left"/>
      <w:pPr>
        <w:ind w:left="6210" w:hanging="360"/>
      </w:pPr>
    </w:lvl>
    <w:lvl w:ilvl="7" w:tplc="041C0019" w:tentative="1">
      <w:start w:val="1"/>
      <w:numFmt w:val="lowerLetter"/>
      <w:lvlText w:val="%8."/>
      <w:lvlJc w:val="left"/>
      <w:pPr>
        <w:ind w:left="6930" w:hanging="360"/>
      </w:pPr>
    </w:lvl>
    <w:lvl w:ilvl="8" w:tplc="041C001B" w:tentative="1">
      <w:start w:val="1"/>
      <w:numFmt w:val="lowerRoman"/>
      <w:lvlText w:val="%9."/>
      <w:lvlJc w:val="right"/>
      <w:pPr>
        <w:ind w:left="7650" w:hanging="180"/>
      </w:pPr>
    </w:lvl>
  </w:abstractNum>
  <w:abstractNum w:abstractNumId="9" w15:restartNumberingAfterBreak="0">
    <w:nsid w:val="44787DC0"/>
    <w:multiLevelType w:val="multilevel"/>
    <w:tmpl w:val="CF6888C6"/>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F0562F"/>
    <w:multiLevelType w:val="hybridMultilevel"/>
    <w:tmpl w:val="18EEDB12"/>
    <w:lvl w:ilvl="0" w:tplc="041C0019">
      <w:start w:val="1"/>
      <w:numFmt w:val="lowerLetter"/>
      <w:lvlText w:val="%1."/>
      <w:lvlJc w:val="left"/>
      <w:pPr>
        <w:ind w:left="2070" w:hanging="360"/>
      </w:pPr>
    </w:lvl>
    <w:lvl w:ilvl="1" w:tplc="041C0019">
      <w:start w:val="1"/>
      <w:numFmt w:val="lowerLetter"/>
      <w:lvlText w:val="%2."/>
      <w:lvlJc w:val="left"/>
      <w:pPr>
        <w:ind w:left="2790" w:hanging="360"/>
      </w:pPr>
    </w:lvl>
    <w:lvl w:ilvl="2" w:tplc="041C001B" w:tentative="1">
      <w:start w:val="1"/>
      <w:numFmt w:val="lowerRoman"/>
      <w:lvlText w:val="%3."/>
      <w:lvlJc w:val="right"/>
      <w:pPr>
        <w:ind w:left="3510" w:hanging="180"/>
      </w:pPr>
    </w:lvl>
    <w:lvl w:ilvl="3" w:tplc="041C000F" w:tentative="1">
      <w:start w:val="1"/>
      <w:numFmt w:val="decimal"/>
      <w:lvlText w:val="%4."/>
      <w:lvlJc w:val="left"/>
      <w:pPr>
        <w:ind w:left="4230" w:hanging="360"/>
      </w:pPr>
    </w:lvl>
    <w:lvl w:ilvl="4" w:tplc="041C0019" w:tentative="1">
      <w:start w:val="1"/>
      <w:numFmt w:val="lowerLetter"/>
      <w:lvlText w:val="%5."/>
      <w:lvlJc w:val="left"/>
      <w:pPr>
        <w:ind w:left="4950" w:hanging="360"/>
      </w:pPr>
    </w:lvl>
    <w:lvl w:ilvl="5" w:tplc="041C001B" w:tentative="1">
      <w:start w:val="1"/>
      <w:numFmt w:val="lowerRoman"/>
      <w:lvlText w:val="%6."/>
      <w:lvlJc w:val="right"/>
      <w:pPr>
        <w:ind w:left="5670" w:hanging="180"/>
      </w:pPr>
    </w:lvl>
    <w:lvl w:ilvl="6" w:tplc="041C000F" w:tentative="1">
      <w:start w:val="1"/>
      <w:numFmt w:val="decimal"/>
      <w:lvlText w:val="%7."/>
      <w:lvlJc w:val="left"/>
      <w:pPr>
        <w:ind w:left="6390" w:hanging="360"/>
      </w:pPr>
    </w:lvl>
    <w:lvl w:ilvl="7" w:tplc="041C0019" w:tentative="1">
      <w:start w:val="1"/>
      <w:numFmt w:val="lowerLetter"/>
      <w:lvlText w:val="%8."/>
      <w:lvlJc w:val="left"/>
      <w:pPr>
        <w:ind w:left="7110" w:hanging="360"/>
      </w:pPr>
    </w:lvl>
    <w:lvl w:ilvl="8" w:tplc="041C001B" w:tentative="1">
      <w:start w:val="1"/>
      <w:numFmt w:val="lowerRoman"/>
      <w:lvlText w:val="%9."/>
      <w:lvlJc w:val="right"/>
      <w:pPr>
        <w:ind w:left="7830" w:hanging="180"/>
      </w:pPr>
    </w:lvl>
  </w:abstractNum>
  <w:abstractNum w:abstractNumId="11" w15:restartNumberingAfterBreak="0">
    <w:nsid w:val="4E0555C2"/>
    <w:multiLevelType w:val="hybridMultilevel"/>
    <w:tmpl w:val="69A8C5AE"/>
    <w:lvl w:ilvl="0" w:tplc="041C001B">
      <w:start w:val="1"/>
      <w:numFmt w:val="lowerRoman"/>
      <w:lvlText w:val="%1."/>
      <w:lvlJc w:val="righ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4FBF06D6"/>
    <w:multiLevelType w:val="hybridMultilevel"/>
    <w:tmpl w:val="7F56762A"/>
    <w:lvl w:ilvl="0" w:tplc="041C001B">
      <w:start w:val="1"/>
      <w:numFmt w:val="lowerRoman"/>
      <w:lvlText w:val="%1."/>
      <w:lvlJc w:val="righ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D641741"/>
    <w:multiLevelType w:val="hybridMultilevel"/>
    <w:tmpl w:val="7778A3BC"/>
    <w:lvl w:ilvl="0" w:tplc="041C0019">
      <w:start w:val="1"/>
      <w:numFmt w:val="lowerLetter"/>
      <w:lvlText w:val="%1."/>
      <w:lvlJc w:val="left"/>
      <w:pPr>
        <w:ind w:left="1800" w:hanging="360"/>
      </w:pPr>
      <w:rPr>
        <w:rFonts w:hint="default"/>
      </w:rPr>
    </w:lvl>
    <w:lvl w:ilvl="1" w:tplc="A9A0CAF4">
      <w:start w:val="2"/>
      <w:numFmt w:val="bullet"/>
      <w:lvlText w:val="-"/>
      <w:lvlJc w:val="left"/>
      <w:pPr>
        <w:ind w:left="2535" w:hanging="375"/>
      </w:pPr>
      <w:rPr>
        <w:rFonts w:ascii="Calibri" w:eastAsia="Times New Roman" w:hAnsi="Calibri" w:cs="Arial"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14" w15:restartNumberingAfterBreak="0">
    <w:nsid w:val="63B13A23"/>
    <w:multiLevelType w:val="hybridMultilevel"/>
    <w:tmpl w:val="DAE8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9A747D"/>
    <w:multiLevelType w:val="multilevel"/>
    <w:tmpl w:val="C0F8683A"/>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51706"/>
    <w:multiLevelType w:val="hybridMultilevel"/>
    <w:tmpl w:val="F59609A8"/>
    <w:lvl w:ilvl="0" w:tplc="041C0019">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7" w15:restartNumberingAfterBreak="0">
    <w:nsid w:val="7EE85087"/>
    <w:multiLevelType w:val="hybridMultilevel"/>
    <w:tmpl w:val="07EC2F30"/>
    <w:lvl w:ilvl="0" w:tplc="04090001">
      <w:start w:val="1"/>
      <w:numFmt w:val="bullet"/>
      <w:lvlText w:val=""/>
      <w:lvlJc w:val="left"/>
      <w:pPr>
        <w:ind w:left="1800" w:hanging="360"/>
      </w:pPr>
      <w:rPr>
        <w:rFonts w:ascii="Symbol" w:hAnsi="Symbol" w:hint="default"/>
      </w:rPr>
    </w:lvl>
    <w:lvl w:ilvl="1" w:tplc="041C001B">
      <w:start w:val="1"/>
      <w:numFmt w:val="lowerRoman"/>
      <w:lvlText w:val="%2."/>
      <w:lvlJc w:val="right"/>
      <w:pPr>
        <w:ind w:left="2535" w:hanging="375"/>
      </w:pPr>
      <w:rPr>
        <w:rFonts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num w:numId="1" w16cid:durableId="542324878">
    <w:abstractNumId w:val="8"/>
  </w:num>
  <w:num w:numId="2" w16cid:durableId="66925798">
    <w:abstractNumId w:val="7"/>
  </w:num>
  <w:num w:numId="3" w16cid:durableId="1323773124">
    <w:abstractNumId w:val="13"/>
  </w:num>
  <w:num w:numId="4" w16cid:durableId="2059010056">
    <w:abstractNumId w:val="6"/>
  </w:num>
  <w:num w:numId="5" w16cid:durableId="1099251304">
    <w:abstractNumId w:val="17"/>
  </w:num>
  <w:num w:numId="6" w16cid:durableId="586616829">
    <w:abstractNumId w:val="2"/>
  </w:num>
  <w:num w:numId="7" w16cid:durableId="1044871991">
    <w:abstractNumId w:val="0"/>
  </w:num>
  <w:num w:numId="8" w16cid:durableId="115878178">
    <w:abstractNumId w:val="1"/>
  </w:num>
  <w:num w:numId="9" w16cid:durableId="702290107">
    <w:abstractNumId w:val="15"/>
  </w:num>
  <w:num w:numId="10" w16cid:durableId="1120494455">
    <w:abstractNumId w:val="16"/>
  </w:num>
  <w:num w:numId="11" w16cid:durableId="2129617880">
    <w:abstractNumId w:val="9"/>
  </w:num>
  <w:num w:numId="12" w16cid:durableId="522062666">
    <w:abstractNumId w:val="10"/>
  </w:num>
  <w:num w:numId="13" w16cid:durableId="1223710738">
    <w:abstractNumId w:val="3"/>
  </w:num>
  <w:num w:numId="14" w16cid:durableId="473529743">
    <w:abstractNumId w:val="4"/>
  </w:num>
  <w:num w:numId="15" w16cid:durableId="41708584">
    <w:abstractNumId w:val="5"/>
  </w:num>
  <w:num w:numId="16" w16cid:durableId="817190155">
    <w:abstractNumId w:val="11"/>
  </w:num>
  <w:num w:numId="17" w16cid:durableId="835070223">
    <w:abstractNumId w:val="12"/>
  </w:num>
  <w:num w:numId="18" w16cid:durableId="2318904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CA"/>
    <w:rsid w:val="0004215E"/>
    <w:rsid w:val="0023315B"/>
    <w:rsid w:val="00483F3B"/>
    <w:rsid w:val="00515669"/>
    <w:rsid w:val="0076578A"/>
    <w:rsid w:val="008271CA"/>
    <w:rsid w:val="00A8627C"/>
    <w:rsid w:val="00B750F2"/>
    <w:rsid w:val="00C61B9D"/>
    <w:rsid w:val="00C653D8"/>
    <w:rsid w:val="00CC7073"/>
    <w:rsid w:val="00DA504D"/>
    <w:rsid w:val="00E54CBA"/>
    <w:rsid w:val="00E83D1C"/>
    <w:rsid w:val="00FD4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8309"/>
  <w15:chartTrackingRefBased/>
  <w15:docId w15:val="{A739F0B7-20FF-41A0-83E2-44341CBE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1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1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1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1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1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1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1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1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1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1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1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1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1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1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1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1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1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1CA"/>
    <w:rPr>
      <w:rFonts w:eastAsiaTheme="majorEastAsia" w:cstheme="majorBidi"/>
      <w:color w:val="272727" w:themeColor="text1" w:themeTint="D8"/>
    </w:rPr>
  </w:style>
  <w:style w:type="paragraph" w:styleId="Title">
    <w:name w:val="Title"/>
    <w:basedOn w:val="Normal"/>
    <w:next w:val="Normal"/>
    <w:link w:val="TitleChar"/>
    <w:uiPriority w:val="10"/>
    <w:qFormat/>
    <w:rsid w:val="00827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1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1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1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1CA"/>
    <w:pPr>
      <w:spacing w:before="160"/>
      <w:jc w:val="center"/>
    </w:pPr>
    <w:rPr>
      <w:i/>
      <w:iCs/>
      <w:color w:val="404040" w:themeColor="text1" w:themeTint="BF"/>
    </w:rPr>
  </w:style>
  <w:style w:type="character" w:customStyle="1" w:styleId="QuoteChar">
    <w:name w:val="Quote Char"/>
    <w:basedOn w:val="DefaultParagraphFont"/>
    <w:link w:val="Quote"/>
    <w:uiPriority w:val="29"/>
    <w:rsid w:val="008271CA"/>
    <w:rPr>
      <w:i/>
      <w:iCs/>
      <w:color w:val="404040" w:themeColor="text1" w:themeTint="BF"/>
    </w:rPr>
  </w:style>
  <w:style w:type="paragraph" w:styleId="ListParagraph">
    <w:name w:val="List Paragraph"/>
    <w:basedOn w:val="Normal"/>
    <w:uiPriority w:val="34"/>
    <w:qFormat/>
    <w:rsid w:val="008271CA"/>
    <w:pPr>
      <w:ind w:left="720"/>
      <w:contextualSpacing/>
    </w:pPr>
  </w:style>
  <w:style w:type="character" w:styleId="IntenseEmphasis">
    <w:name w:val="Intense Emphasis"/>
    <w:basedOn w:val="DefaultParagraphFont"/>
    <w:uiPriority w:val="21"/>
    <w:qFormat/>
    <w:rsid w:val="008271CA"/>
    <w:rPr>
      <w:i/>
      <w:iCs/>
      <w:color w:val="0F4761" w:themeColor="accent1" w:themeShade="BF"/>
    </w:rPr>
  </w:style>
  <w:style w:type="paragraph" w:styleId="IntenseQuote">
    <w:name w:val="Intense Quote"/>
    <w:basedOn w:val="Normal"/>
    <w:next w:val="Normal"/>
    <w:link w:val="IntenseQuoteChar"/>
    <w:uiPriority w:val="30"/>
    <w:qFormat/>
    <w:rsid w:val="00827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1CA"/>
    <w:rPr>
      <w:i/>
      <w:iCs/>
      <w:color w:val="0F4761" w:themeColor="accent1" w:themeShade="BF"/>
    </w:rPr>
  </w:style>
  <w:style w:type="character" w:styleId="IntenseReference">
    <w:name w:val="Intense Reference"/>
    <w:basedOn w:val="DefaultParagraphFont"/>
    <w:uiPriority w:val="32"/>
    <w:qFormat/>
    <w:rsid w:val="008271CA"/>
    <w:rPr>
      <w:b/>
      <w:bCs/>
      <w:smallCaps/>
      <w:color w:val="0F4761" w:themeColor="accent1" w:themeShade="BF"/>
      <w:spacing w:val="5"/>
    </w:rPr>
  </w:style>
  <w:style w:type="paragraph" w:styleId="Header">
    <w:name w:val="header"/>
    <w:basedOn w:val="Normal"/>
    <w:link w:val="HeaderChar"/>
    <w:uiPriority w:val="99"/>
    <w:unhideWhenUsed/>
    <w:rsid w:val="008271CA"/>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8271CA"/>
    <w:rPr>
      <w:kern w:val="0"/>
      <w:sz w:val="22"/>
      <w:szCs w:val="22"/>
      <w14:ligatures w14:val="none"/>
    </w:rPr>
  </w:style>
  <w:style w:type="paragraph" w:styleId="Footer">
    <w:name w:val="footer"/>
    <w:basedOn w:val="Normal"/>
    <w:link w:val="FooterChar"/>
    <w:uiPriority w:val="99"/>
    <w:unhideWhenUsed/>
    <w:rsid w:val="008271CA"/>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8271CA"/>
    <w:rPr>
      <w:kern w:val="0"/>
      <w:sz w:val="22"/>
      <w:szCs w:val="22"/>
      <w14:ligatures w14:val="none"/>
    </w:rPr>
  </w:style>
  <w:style w:type="paragraph" w:styleId="Revision">
    <w:name w:val="Revision"/>
    <w:hidden/>
    <w:uiPriority w:val="99"/>
    <w:semiHidden/>
    <w:rsid w:val="008271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nders.dgmarket.com/dac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gm.org/" TargetMode="External"/><Relationship Id="rId12" Type="http://schemas.openxmlformats.org/officeDocument/2006/relationships/hyperlink" Target="https://popp.undp.org/node/512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savvy.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kompass.com/?_redirectState=false" TargetMode="External"/><Relationship Id="rId4" Type="http://schemas.openxmlformats.org/officeDocument/2006/relationships/webSettings" Target="webSettings.xml"/><Relationship Id="rId9" Type="http://schemas.openxmlformats.org/officeDocument/2006/relationships/hyperlink" Target="http://www.thomasne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1930</Words>
  <Characters>11001</Characters>
  <Application>Microsoft Office Word</Application>
  <DocSecurity>0</DocSecurity>
  <Lines>91</Lines>
  <Paragraphs>25</Paragraphs>
  <ScaleCrop>false</ScaleCrop>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10</cp:revision>
  <dcterms:created xsi:type="dcterms:W3CDTF">2026-05-12T22:24:00Z</dcterms:created>
  <dcterms:modified xsi:type="dcterms:W3CDTF">2026-05-12T22:40:00Z</dcterms:modified>
</cp:coreProperties>
</file>