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EBC3" w14:textId="77777777" w:rsidR="00455E24" w:rsidRPr="00455E24" w:rsidRDefault="00455E24" w:rsidP="00455E24">
      <w:pPr>
        <w:spacing w:after="0" w:line="240" w:lineRule="auto"/>
        <w:ind w:left="360"/>
        <w:rPr>
          <w:rFonts w:ascii="Calibri" w:eastAsia="Calibri" w:hAnsi="Calibri" w:cs="Calibri"/>
          <w:color w:val="000000"/>
          <w:kern w:val="0"/>
          <w:sz w:val="22"/>
          <w:szCs w:val="22"/>
          <w:lang w:val="fr-FR" w:eastAsia="en-GB"/>
          <w14:ligatures w14:val="none"/>
        </w:rPr>
      </w:pPr>
      <w:r w:rsidRPr="00455E24">
        <w:rPr>
          <w:rFonts w:ascii="Calibri" w:eastAsia="Calibri" w:hAnsi="Calibri" w:cs="Calibri"/>
          <w:b/>
          <w:color w:val="000000"/>
          <w:kern w:val="0"/>
          <w:sz w:val="28"/>
          <w:szCs w:val="22"/>
          <w:lang w:val="fr-FR" w:eastAsia="en-GB"/>
          <w14:ligatures w14:val="none"/>
        </w:rPr>
        <w:t>Mobilier et matériel : Amortissement, rapports de rapprochement et fonctions centralisées</w:t>
      </w:r>
    </w:p>
    <w:p w14:paraId="0C7D9BDE"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49D14939"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Amortissement</w:t>
      </w:r>
    </w:p>
    <w:p w14:paraId="7CF2E4AC"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0D3B99F1" w14:textId="77777777" w:rsidR="00455E24" w:rsidRPr="00455E24" w:rsidRDefault="00455E24" w:rsidP="00455E24">
      <w:pPr>
        <w:numPr>
          <w:ilvl w:val="0"/>
          <w:numId w:val="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L’amortissement est la mesure de l’usure, de la consommation ou de toute autre perte de valeur d’une immobilisation corporelle au cours de sa vie utile. Ceci est également connu sous le nom de « charge d’amortissement », qui est comptabilisée en charges sur la durée de vie de l’actif plutôt que lorsque l’actif est payé.</w:t>
      </w:r>
    </w:p>
    <w:p w14:paraId="428D64FA" w14:textId="77777777" w:rsidR="00455E24" w:rsidRPr="00455E24" w:rsidRDefault="00455E24" w:rsidP="00455E24">
      <w:pPr>
        <w:spacing w:after="0" w:line="259" w:lineRule="auto"/>
        <w:ind w:left="406"/>
        <w:rPr>
          <w:rFonts w:ascii="Calibri" w:eastAsia="Calibri" w:hAnsi="Calibri" w:cs="Calibri"/>
          <w:color w:val="000000"/>
          <w:kern w:val="0"/>
          <w:sz w:val="22"/>
          <w:szCs w:val="22"/>
          <w:lang w:val="fr-FR" w:eastAsia="en-GB"/>
          <w14:ligatures w14:val="none"/>
        </w:rPr>
      </w:pPr>
    </w:p>
    <w:p w14:paraId="4567AE06" w14:textId="77777777" w:rsidR="00455E24" w:rsidRPr="00455E24" w:rsidRDefault="00455E24" w:rsidP="00455E24">
      <w:pPr>
        <w:numPr>
          <w:ilvl w:val="0"/>
          <w:numId w:val="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 montant amortissable est le coût d’un actif, ou un autre montant substitué au coût, moins sa valeur résiduelle. La valeur résiduelle d’un actif est le montant estimatif qui résulterait actuellement de la sortie de l’actif, déduction faite des coûts estimés de la cession, si l’actif avait déjà atteint l’âge et l’état prévu à la fin de sa vie utile. Au Programme des Nations Unies pour le développement (PNUD), la valeur résiduelle est fixée à « 0 ».</w:t>
      </w:r>
    </w:p>
    <w:p w14:paraId="358C08E7" w14:textId="77777777" w:rsidR="00455E24" w:rsidRPr="00455E24" w:rsidRDefault="00455E24" w:rsidP="00455E24">
      <w:pPr>
        <w:spacing w:after="24" w:line="254" w:lineRule="auto"/>
        <w:ind w:left="720" w:right="38" w:hanging="10"/>
        <w:contextualSpacing/>
        <w:jc w:val="both"/>
        <w:rPr>
          <w:rFonts w:ascii="Calibri" w:eastAsia="Calibri" w:hAnsi="Calibri" w:cs="Calibri"/>
          <w:color w:val="000000"/>
          <w:kern w:val="0"/>
          <w:sz w:val="22"/>
          <w:szCs w:val="22"/>
          <w:lang w:val="fr-FR" w:eastAsia="en-GB"/>
          <w14:ligatures w14:val="none"/>
        </w:rPr>
      </w:pPr>
    </w:p>
    <w:p w14:paraId="583E4EE6" w14:textId="77777777" w:rsidR="00455E24" w:rsidRPr="00455E24" w:rsidRDefault="00455E24" w:rsidP="00455E24">
      <w:pPr>
        <w:numPr>
          <w:ilvl w:val="0"/>
          <w:numId w:val="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L’amortissement débutera lorsque l’actif sera disponible, c’est-à-dire lorsqu’il sera dans l’emplacement et l’état nécessaires pour pouvoir fonctionner de la manière prévue par la direction jusqu’à ce que l’actif atteigne sa durée de vie utile ou soit transféré, vendu ou donné. Au moment de la liquidation de l’actif, l’amortissement sera exécuté jusqu’à son avant-dernier mois (mois précédant le mois de la liquidation), c’est-à-dire qu’il ne sera pas amorti dans son dernier mois. À noter que l’amortissement n’est pas vérifié par rapport au budget et n’a aucune incidence sur les </w:t>
      </w:r>
      <w:proofErr w:type="gramStart"/>
      <w:r w:rsidRPr="00455E24">
        <w:rPr>
          <w:rFonts w:ascii="Calibri" w:eastAsia="Calibri" w:hAnsi="Calibri" w:cs="Calibri"/>
          <w:color w:val="000000"/>
          <w:kern w:val="0"/>
          <w:sz w:val="22"/>
          <w:szCs w:val="22"/>
          <w:lang w:val="fr-FR" w:eastAsia="en-GB"/>
          <w14:ligatures w14:val="none"/>
        </w:rPr>
        <w:t>ressources .</w:t>
      </w:r>
      <w:proofErr w:type="gramEnd"/>
      <w:r w:rsidRPr="00455E24">
        <w:rPr>
          <w:rFonts w:ascii="Calibri" w:eastAsia="Calibri" w:hAnsi="Calibri" w:cs="Calibri"/>
          <w:color w:val="000000"/>
          <w:kern w:val="0"/>
          <w:sz w:val="22"/>
          <w:szCs w:val="22"/>
          <w:lang w:val="fr-FR" w:eastAsia="en-GB"/>
          <w14:ligatures w14:val="none"/>
        </w:rPr>
        <w:t xml:space="preserve"> Le coût total des actifs a une incidence sur les ressources au moment de l’achat. L’amortissement subséquent sert à répartir ce coût sur la durée de vie utile de l’actif. L’amortissement sera un processus automatisé qui sera exécuté au niveau du siège.</w:t>
      </w:r>
    </w:p>
    <w:p w14:paraId="6965A43F" w14:textId="77777777" w:rsidR="00455E24" w:rsidRPr="00455E24" w:rsidRDefault="00455E24" w:rsidP="00455E24">
      <w:pPr>
        <w:spacing w:after="0" w:line="254" w:lineRule="auto"/>
        <w:ind w:left="720" w:right="28"/>
        <w:jc w:val="both"/>
        <w:rPr>
          <w:rFonts w:ascii="Calibri" w:eastAsia="Calibri" w:hAnsi="Calibri" w:cs="Calibri"/>
          <w:color w:val="000000"/>
          <w:kern w:val="0"/>
          <w:sz w:val="22"/>
          <w:szCs w:val="22"/>
          <w:lang w:val="fr-FR" w:eastAsia="en-GB"/>
          <w14:ligatures w14:val="none"/>
        </w:rPr>
      </w:pPr>
    </w:p>
    <w:p w14:paraId="7B5AE4CB" w14:textId="77777777" w:rsidR="00455E24" w:rsidRPr="00455E24" w:rsidRDefault="00455E24" w:rsidP="00455E24">
      <w:pPr>
        <w:numPr>
          <w:ilvl w:val="0"/>
          <w:numId w:val="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La durée de vie utile est définie comme la période pendant laquelle un actif devrait être disponible pour utilisation. Au PNUD, les durées de vie utile pour différentes catégories ont été établies sur la base des pratiques du PNUD consistant à conserver les actifs utilisés avec l’intention de rechercher une </w:t>
      </w:r>
      <w:r w:rsidRPr="00455E24">
        <w:rPr>
          <w:rFonts w:ascii="Calibri" w:eastAsia="Calibri" w:hAnsi="Calibri" w:cs="Calibri"/>
          <w:b/>
          <w:bCs/>
          <w:color w:val="000000"/>
          <w:kern w:val="0"/>
          <w:sz w:val="22"/>
          <w:szCs w:val="22"/>
          <w:lang w:val="fr-FR" w:eastAsia="en-GB"/>
          <w14:ligatures w14:val="none"/>
        </w:rPr>
        <w:t>durée de vie moyenne raisonnable</w:t>
      </w:r>
      <w:r w:rsidRPr="00455E24">
        <w:rPr>
          <w:rFonts w:ascii="Calibri" w:eastAsia="Calibri" w:hAnsi="Calibri" w:cs="Calibri"/>
          <w:color w:val="000000"/>
          <w:kern w:val="0"/>
          <w:sz w:val="22"/>
          <w:szCs w:val="22"/>
          <w:lang w:val="fr-FR" w:eastAsia="en-GB"/>
          <w14:ligatures w14:val="none"/>
        </w:rPr>
        <w:t xml:space="preserve"> pour tout l’ensemble des biens similaires au sein du PNUD. Par conséquent, certains actifs peuvent être liquidés avant d’atteindre leur durée de vie utile, après un examen de leur utilité à la date de remplacement recommandée. De même, d’autres actifs peuvent être conservés en service pour des périodes plus longues que leur durée de vie utile, pour des raisons opérationnelles. Le nombre et le coût d’origine des actifs conservés au-delà de leur durée de vie utile seront indiqués dans les états financiers du PNUD.</w:t>
      </w:r>
    </w:p>
    <w:p w14:paraId="69082CC4" w14:textId="77777777" w:rsidR="00455E24" w:rsidRPr="00455E24" w:rsidRDefault="00455E24" w:rsidP="00455E24">
      <w:pPr>
        <w:spacing w:after="0" w:line="259" w:lineRule="auto"/>
        <w:ind w:left="406"/>
        <w:rPr>
          <w:rFonts w:ascii="Calibri" w:eastAsia="Calibri" w:hAnsi="Calibri" w:cs="Calibri"/>
          <w:color w:val="000000"/>
          <w:kern w:val="0"/>
          <w:sz w:val="22"/>
          <w:szCs w:val="22"/>
          <w:lang w:val="fr-FR" w:eastAsia="en-GB"/>
          <w14:ligatures w14:val="none"/>
        </w:rPr>
      </w:pPr>
    </w:p>
    <w:p w14:paraId="79AA4021" w14:textId="77777777" w:rsidR="00455E24" w:rsidRPr="00455E24" w:rsidRDefault="00455E24" w:rsidP="00455E24">
      <w:pPr>
        <w:numPr>
          <w:ilvl w:val="0"/>
          <w:numId w:val="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Les durées de vie utile des actifs du PNUD seront revues à chaque date de clôture annuelle et, si les attentes diffèrent des estimations précédentes, les variations seront comptabilisées en tant que changement d’estimation comptable de manière prospective en les incluant dans l’excédent ou le déficit de la période du changement, si le changement n’affecte que la période ou la période du changement et les périodes futures, si la modification affecte les deux.</w:t>
      </w:r>
    </w:p>
    <w:p w14:paraId="136B2588" w14:textId="77777777" w:rsidR="00455E24" w:rsidRPr="00455E24" w:rsidRDefault="00455E24" w:rsidP="00455E24">
      <w:pPr>
        <w:spacing w:after="0" w:line="254" w:lineRule="auto"/>
        <w:ind w:left="720" w:right="28"/>
        <w:jc w:val="both"/>
        <w:rPr>
          <w:rFonts w:ascii="Calibri" w:eastAsia="Calibri" w:hAnsi="Calibri" w:cs="Calibri"/>
          <w:color w:val="000000"/>
          <w:kern w:val="0"/>
          <w:sz w:val="22"/>
          <w:szCs w:val="22"/>
          <w:lang w:val="fr-FR" w:eastAsia="en-GB"/>
          <w14:ligatures w14:val="none"/>
        </w:rPr>
      </w:pPr>
    </w:p>
    <w:p w14:paraId="108B897B" w14:textId="77777777" w:rsidR="00455E24" w:rsidRPr="00455E24" w:rsidRDefault="00455E24" w:rsidP="00B46BFF">
      <w:pPr>
        <w:numPr>
          <w:ilvl w:val="0"/>
          <w:numId w:val="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lastRenderedPageBreak/>
        <w:t>Le rapprochement est un processus comptable utilisé pour comparer deux ensembles d'enregistrements afin de s'assurer que les chiffres concordent et sont exacts. Étant donné que les données relatives au mobilier et aux équipements seront initiées dans un module et finalement enregistrées dans le module des actifs d'Quantum ainsi que dans le compte du grand livre général, il sera nécessaire de réconcilier les données et les informations dans les trois modules d'Quantum sur une base mensuelle. Outre le rapprochement des données comptables, il sera également nécessaire de rapprocher les résultats de l'exercice de vérification physique avec les registres du mobilier et des équipements. Le rapprochement inter-modules sera effectué au QG par les Opérations générales (GO/BMS), tandis que le rapprochement de la vérification physique avec les registres des actifs sera effectué par chaque CO ou unité du QG.</w:t>
      </w:r>
    </w:p>
    <w:p w14:paraId="5425FA91" w14:textId="77777777" w:rsidR="00455E24" w:rsidRPr="00455E24" w:rsidRDefault="00455E24" w:rsidP="00B46BFF">
      <w:pPr>
        <w:spacing w:after="24" w:line="254" w:lineRule="auto"/>
        <w:ind w:left="720" w:right="38" w:hanging="360"/>
        <w:contextualSpacing/>
        <w:jc w:val="both"/>
        <w:rPr>
          <w:rFonts w:ascii="Calibri" w:eastAsia="Calibri" w:hAnsi="Calibri" w:cs="Calibri"/>
          <w:color w:val="000000"/>
          <w:kern w:val="0"/>
          <w:sz w:val="22"/>
          <w:szCs w:val="22"/>
          <w:lang w:val="fr-FR" w:eastAsia="en-GB"/>
          <w14:ligatures w14:val="none"/>
        </w:rPr>
      </w:pPr>
    </w:p>
    <w:p w14:paraId="500A6012" w14:textId="77777777" w:rsidR="00455E24" w:rsidRPr="00455E24" w:rsidRDefault="00455E24" w:rsidP="00B46BFF">
      <w:pPr>
        <w:numPr>
          <w:ilvl w:val="0"/>
          <w:numId w:val="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 En raison de la nécessité de vérifier l'exactitude des enregistrements par le biais de rapprochements et dans le but de préparer des informations précises sur les actifs pour les rapports financiers, il existe divers rapports conçus pour aider les utilisateurs à exécuter les fonctions de rapprochement et de révision des enregistrements d'actifs. Pour plus de détails sur les types de rapports, </w:t>
      </w:r>
      <w:proofErr w:type="spellStart"/>
      <w:r w:rsidRPr="00455E24">
        <w:rPr>
          <w:rFonts w:ascii="Calibri" w:eastAsia="Calibri" w:hAnsi="Calibri" w:cs="Calibri"/>
          <w:color w:val="000000"/>
          <w:kern w:val="0"/>
          <w:sz w:val="22"/>
          <w:szCs w:val="22"/>
          <w:lang w:val="fr-FR" w:eastAsia="en-GB"/>
          <w14:ligatures w14:val="none"/>
        </w:rPr>
        <w:t>veuillez vous</w:t>
      </w:r>
      <w:proofErr w:type="spellEnd"/>
      <w:r w:rsidRPr="00455E24">
        <w:rPr>
          <w:rFonts w:ascii="Calibri" w:eastAsia="Calibri" w:hAnsi="Calibri" w:cs="Calibri"/>
          <w:color w:val="000000"/>
          <w:kern w:val="0"/>
          <w:sz w:val="22"/>
          <w:szCs w:val="22"/>
          <w:lang w:val="fr-FR" w:eastAsia="en-GB"/>
          <w14:ligatures w14:val="none"/>
        </w:rPr>
        <w:t xml:space="preserve"> référer à la sous-section sur les rapports.</w:t>
      </w:r>
    </w:p>
    <w:p w14:paraId="391472BF" w14:textId="77777777" w:rsidR="00455E24" w:rsidRPr="00455E24" w:rsidRDefault="00455E24" w:rsidP="00455E24">
      <w:pPr>
        <w:spacing w:after="24" w:line="254" w:lineRule="auto"/>
        <w:ind w:left="720" w:right="38" w:hanging="10"/>
        <w:contextualSpacing/>
        <w:jc w:val="both"/>
        <w:rPr>
          <w:rFonts w:ascii="Calibri" w:eastAsia="Calibri" w:hAnsi="Calibri" w:cs="Calibri"/>
          <w:color w:val="000000"/>
          <w:kern w:val="0"/>
          <w:sz w:val="22"/>
          <w:szCs w:val="22"/>
          <w:lang w:val="fr-FR" w:eastAsia="en-GB"/>
          <w14:ligatures w14:val="none"/>
        </w:rPr>
      </w:pPr>
    </w:p>
    <w:p w14:paraId="6082EBEA"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Fonctions centralisées</w:t>
      </w:r>
    </w:p>
    <w:p w14:paraId="19A16ABE" w14:textId="77777777" w:rsidR="00455E24" w:rsidRPr="00455E24" w:rsidRDefault="00455E24" w:rsidP="00455E24">
      <w:pPr>
        <w:spacing w:after="24" w:line="254" w:lineRule="auto"/>
        <w:ind w:left="720" w:right="38" w:hanging="10"/>
        <w:contextualSpacing/>
        <w:jc w:val="both"/>
        <w:rPr>
          <w:rFonts w:ascii="Calibri" w:eastAsia="Calibri" w:hAnsi="Calibri" w:cs="Calibri"/>
          <w:color w:val="000000"/>
          <w:kern w:val="0"/>
          <w:sz w:val="22"/>
          <w:szCs w:val="22"/>
          <w:lang w:val="fr-FR" w:eastAsia="en-GB"/>
          <w14:ligatures w14:val="none"/>
        </w:rPr>
      </w:pPr>
    </w:p>
    <w:p w14:paraId="6088C2BA" w14:textId="77777777" w:rsidR="00455E24" w:rsidRPr="00455E24" w:rsidRDefault="00455E24" w:rsidP="00B46BFF">
      <w:pPr>
        <w:numPr>
          <w:ilvl w:val="0"/>
          <w:numId w:val="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Les fonctions centralisées sont celles qui ne seront exécutées que par le Centre mondial de services partagés (GSSC) et le siège du PNUD à New York par le biais de la Division de la comptabilité, du Bureau des systèmes d'information et de la technologie informatique (OIMT) ou du service des opérations générales et du bureau des services de gestion, comme indiqué ci-dessous.</w:t>
      </w:r>
    </w:p>
    <w:p w14:paraId="79A35340" w14:textId="77777777" w:rsidR="00455E24" w:rsidRPr="00455E24" w:rsidRDefault="00455E24" w:rsidP="00455E24">
      <w:pPr>
        <w:spacing w:after="0" w:line="254" w:lineRule="auto"/>
        <w:ind w:left="720" w:right="28"/>
        <w:jc w:val="both"/>
        <w:rPr>
          <w:rFonts w:ascii="Calibri" w:eastAsia="Calibri" w:hAnsi="Calibri" w:cs="Calibri"/>
          <w:color w:val="000000"/>
          <w:kern w:val="0"/>
          <w:sz w:val="22"/>
          <w:szCs w:val="22"/>
          <w:lang w:val="fr-FR" w:eastAsia="en-GB"/>
          <w14:ligatures w14:val="none"/>
        </w:rPr>
      </w:pPr>
    </w:p>
    <w:p w14:paraId="09BDBDDB"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4F293AEC"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7BC64AB2"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Organigramme</w:t>
      </w:r>
    </w:p>
    <w:p w14:paraId="012C7C23"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22A30CBB" w14:textId="613284B2"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hyperlink r:id="rId7">
        <w:r w:rsidRPr="00455E24">
          <w:rPr>
            <w:rFonts w:ascii="Calibri" w:eastAsia="Calibri" w:hAnsi="Calibri" w:cs="Calibri"/>
            <w:color w:val="0000FF"/>
            <w:kern w:val="0"/>
            <w:sz w:val="22"/>
            <w:szCs w:val="22"/>
            <w:u w:val="single" w:color="0000FF"/>
            <w:lang w:val="fr-FR" w:eastAsia="en-GB"/>
            <w14:ligatures w14:val="none"/>
          </w:rPr>
          <w:t>Processus de fin de mois selon les normes IPSAS, y compris l’amortissement</w:t>
        </w:r>
      </w:hyperlink>
      <w:r>
        <w:rPr>
          <w:rFonts w:ascii="Calibri" w:eastAsia="Calibri" w:hAnsi="Calibri" w:cs="Calibri"/>
          <w:color w:val="000000"/>
          <w:kern w:val="0"/>
          <w:sz w:val="22"/>
          <w:szCs w:val="22"/>
          <w:lang w:val="fr-FR" w:eastAsia="en-GB"/>
          <w14:ligatures w14:val="none"/>
        </w:rPr>
        <w:t xml:space="preserve"> (en anglais)</w:t>
      </w:r>
    </w:p>
    <w:p w14:paraId="642C1662"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0A6398A4"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Méthode d’amortissement</w:t>
      </w:r>
    </w:p>
    <w:p w14:paraId="29E37E15"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4D71F0C9" w14:textId="77777777" w:rsidR="00B46BFF" w:rsidRPr="00B46BFF" w:rsidRDefault="00B46BFF" w:rsidP="00B46BFF">
      <w:pPr>
        <w:pStyle w:val="ListParagraph"/>
        <w:numPr>
          <w:ilvl w:val="0"/>
          <w:numId w:val="13"/>
        </w:numPr>
        <w:spacing w:after="0" w:line="254" w:lineRule="auto"/>
        <w:ind w:right="28"/>
        <w:jc w:val="both"/>
        <w:rPr>
          <w:rFonts w:ascii="Calibri" w:eastAsia="Calibri" w:hAnsi="Calibri" w:cs="Calibri"/>
          <w:vanish/>
          <w:color w:val="000000"/>
          <w:kern w:val="0"/>
          <w:sz w:val="22"/>
          <w:szCs w:val="22"/>
          <w:lang w:val="fr-FR" w:eastAsia="en-GB"/>
          <w14:ligatures w14:val="none"/>
        </w:rPr>
      </w:pPr>
    </w:p>
    <w:p w14:paraId="57D1EAFF" w14:textId="77777777" w:rsidR="00B46BFF" w:rsidRPr="00B46BFF" w:rsidRDefault="00B46BFF" w:rsidP="00B46BFF">
      <w:pPr>
        <w:pStyle w:val="ListParagraph"/>
        <w:numPr>
          <w:ilvl w:val="0"/>
          <w:numId w:val="13"/>
        </w:numPr>
        <w:spacing w:after="0" w:line="254" w:lineRule="auto"/>
        <w:ind w:right="28"/>
        <w:jc w:val="both"/>
        <w:rPr>
          <w:rFonts w:ascii="Calibri" w:eastAsia="Calibri" w:hAnsi="Calibri" w:cs="Calibri"/>
          <w:vanish/>
          <w:color w:val="000000"/>
          <w:kern w:val="0"/>
          <w:sz w:val="22"/>
          <w:szCs w:val="22"/>
          <w:lang w:val="fr-FR" w:eastAsia="en-GB"/>
          <w14:ligatures w14:val="none"/>
        </w:rPr>
      </w:pPr>
    </w:p>
    <w:p w14:paraId="178CE23E" w14:textId="77777777" w:rsidR="00B46BFF" w:rsidRPr="00B46BFF" w:rsidRDefault="00B46BFF" w:rsidP="00B46BFF">
      <w:pPr>
        <w:pStyle w:val="ListParagraph"/>
        <w:numPr>
          <w:ilvl w:val="0"/>
          <w:numId w:val="13"/>
        </w:numPr>
        <w:spacing w:after="0" w:line="254" w:lineRule="auto"/>
        <w:ind w:right="28"/>
        <w:jc w:val="both"/>
        <w:rPr>
          <w:rFonts w:ascii="Calibri" w:eastAsia="Calibri" w:hAnsi="Calibri" w:cs="Calibri"/>
          <w:vanish/>
          <w:color w:val="000000"/>
          <w:kern w:val="0"/>
          <w:sz w:val="22"/>
          <w:szCs w:val="22"/>
          <w:lang w:val="fr-FR" w:eastAsia="en-GB"/>
          <w14:ligatures w14:val="none"/>
        </w:rPr>
      </w:pPr>
    </w:p>
    <w:p w14:paraId="53EDACE7" w14:textId="77777777" w:rsidR="00B46BFF" w:rsidRPr="00B46BFF" w:rsidRDefault="00B46BFF" w:rsidP="00B46BFF">
      <w:pPr>
        <w:pStyle w:val="ListParagraph"/>
        <w:numPr>
          <w:ilvl w:val="0"/>
          <w:numId w:val="13"/>
        </w:numPr>
        <w:spacing w:after="0" w:line="254" w:lineRule="auto"/>
        <w:ind w:right="28"/>
        <w:jc w:val="both"/>
        <w:rPr>
          <w:rFonts w:ascii="Calibri" w:eastAsia="Calibri" w:hAnsi="Calibri" w:cs="Calibri"/>
          <w:vanish/>
          <w:color w:val="000000"/>
          <w:kern w:val="0"/>
          <w:sz w:val="22"/>
          <w:szCs w:val="22"/>
          <w:lang w:val="fr-FR" w:eastAsia="en-GB"/>
          <w14:ligatures w14:val="none"/>
        </w:rPr>
      </w:pPr>
    </w:p>
    <w:p w14:paraId="3C89DE88" w14:textId="77777777" w:rsidR="00B46BFF" w:rsidRPr="00B46BFF" w:rsidRDefault="00B46BFF" w:rsidP="00B46BFF">
      <w:pPr>
        <w:pStyle w:val="ListParagraph"/>
        <w:numPr>
          <w:ilvl w:val="0"/>
          <w:numId w:val="13"/>
        </w:numPr>
        <w:spacing w:after="0" w:line="254" w:lineRule="auto"/>
        <w:ind w:right="28"/>
        <w:jc w:val="both"/>
        <w:rPr>
          <w:rFonts w:ascii="Calibri" w:eastAsia="Calibri" w:hAnsi="Calibri" w:cs="Calibri"/>
          <w:vanish/>
          <w:color w:val="000000"/>
          <w:kern w:val="0"/>
          <w:sz w:val="22"/>
          <w:szCs w:val="22"/>
          <w:lang w:val="fr-FR" w:eastAsia="en-GB"/>
          <w14:ligatures w14:val="none"/>
        </w:rPr>
      </w:pPr>
    </w:p>
    <w:p w14:paraId="57A5A458" w14:textId="77777777" w:rsidR="00B46BFF" w:rsidRPr="00B46BFF" w:rsidRDefault="00B46BFF" w:rsidP="00B46BFF">
      <w:pPr>
        <w:pStyle w:val="ListParagraph"/>
        <w:numPr>
          <w:ilvl w:val="0"/>
          <w:numId w:val="13"/>
        </w:numPr>
        <w:spacing w:after="0" w:line="254" w:lineRule="auto"/>
        <w:ind w:right="28"/>
        <w:jc w:val="both"/>
        <w:rPr>
          <w:rFonts w:ascii="Calibri" w:eastAsia="Calibri" w:hAnsi="Calibri" w:cs="Calibri"/>
          <w:vanish/>
          <w:color w:val="000000"/>
          <w:kern w:val="0"/>
          <w:sz w:val="22"/>
          <w:szCs w:val="22"/>
          <w:lang w:val="fr-FR" w:eastAsia="en-GB"/>
          <w14:ligatures w14:val="none"/>
        </w:rPr>
      </w:pPr>
    </w:p>
    <w:p w14:paraId="47E24254" w14:textId="77777777" w:rsidR="00B46BFF" w:rsidRPr="00B46BFF" w:rsidRDefault="00B46BFF" w:rsidP="00B46BFF">
      <w:pPr>
        <w:pStyle w:val="ListParagraph"/>
        <w:numPr>
          <w:ilvl w:val="0"/>
          <w:numId w:val="13"/>
        </w:numPr>
        <w:spacing w:after="0" w:line="254" w:lineRule="auto"/>
        <w:ind w:right="28"/>
        <w:jc w:val="both"/>
        <w:rPr>
          <w:rFonts w:ascii="Calibri" w:eastAsia="Calibri" w:hAnsi="Calibri" w:cs="Calibri"/>
          <w:vanish/>
          <w:color w:val="000000"/>
          <w:kern w:val="0"/>
          <w:sz w:val="22"/>
          <w:szCs w:val="22"/>
          <w:lang w:val="fr-FR" w:eastAsia="en-GB"/>
          <w14:ligatures w14:val="none"/>
        </w:rPr>
      </w:pPr>
    </w:p>
    <w:p w14:paraId="738314CA" w14:textId="77777777" w:rsidR="00B46BFF" w:rsidRPr="00B46BFF" w:rsidRDefault="00B46BFF" w:rsidP="00B46BFF">
      <w:pPr>
        <w:pStyle w:val="ListParagraph"/>
        <w:numPr>
          <w:ilvl w:val="0"/>
          <w:numId w:val="13"/>
        </w:numPr>
        <w:spacing w:after="0" w:line="254" w:lineRule="auto"/>
        <w:ind w:right="28"/>
        <w:jc w:val="both"/>
        <w:rPr>
          <w:rFonts w:ascii="Calibri" w:eastAsia="Calibri" w:hAnsi="Calibri" w:cs="Calibri"/>
          <w:vanish/>
          <w:color w:val="000000"/>
          <w:kern w:val="0"/>
          <w:sz w:val="22"/>
          <w:szCs w:val="22"/>
          <w:lang w:val="fr-FR" w:eastAsia="en-GB"/>
          <w14:ligatures w14:val="none"/>
        </w:rPr>
      </w:pPr>
    </w:p>
    <w:p w14:paraId="1768AF71" w14:textId="4E176B7A" w:rsidR="00455E24" w:rsidRPr="00B46BFF" w:rsidRDefault="00455E24" w:rsidP="00B46BFF">
      <w:pPr>
        <w:pStyle w:val="ListParagraph"/>
        <w:numPr>
          <w:ilvl w:val="0"/>
          <w:numId w:val="13"/>
        </w:numPr>
        <w:spacing w:after="0" w:line="254" w:lineRule="auto"/>
        <w:ind w:right="28"/>
        <w:jc w:val="both"/>
        <w:rPr>
          <w:rFonts w:ascii="Calibri" w:eastAsia="Calibri" w:hAnsi="Calibri" w:cs="Calibri"/>
          <w:color w:val="000000"/>
          <w:kern w:val="0"/>
          <w:sz w:val="22"/>
          <w:szCs w:val="22"/>
          <w:lang w:val="fr-FR" w:eastAsia="en-GB"/>
          <w14:ligatures w14:val="none"/>
        </w:rPr>
      </w:pPr>
      <w:r w:rsidRPr="00B46BFF">
        <w:rPr>
          <w:rFonts w:ascii="Calibri" w:eastAsia="Calibri" w:hAnsi="Calibri" w:cs="Calibri"/>
          <w:color w:val="000000"/>
          <w:kern w:val="0"/>
          <w:sz w:val="22"/>
          <w:szCs w:val="22"/>
          <w:lang w:val="fr-FR" w:eastAsia="en-GB"/>
          <w14:ligatures w14:val="none"/>
        </w:rPr>
        <w:t>Chaque élément du mobilier et du matériel doit être amorti lorsqu’il est prêt à être utilisé (c’est-à-dire étiqueté comme étant en service dans le module des actifs), selon la méthode linéaire ou la méthode de répartition égale/charge constante sur sa durée de vie utile, sur une base mensuelle, en utilisant la convention du mois en cours. Les calculs et les frais d’amortissement seront effectués par le système Quantum et les saisies de dépenses nécessaires seront affichées dans le plan comptable (COA) associé à l’actif. C’est pour cette raison qu’il est essentiel que les COA associés aux actifs soient exacts et valides.</w:t>
      </w:r>
    </w:p>
    <w:p w14:paraId="261F444A"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188B943E"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lastRenderedPageBreak/>
        <w:t>Comptabiliser la durée de vie utile</w:t>
      </w:r>
    </w:p>
    <w:p w14:paraId="3DC2BB55"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7299772E" w14:textId="77777777" w:rsidR="00455E24" w:rsidRPr="00455E24" w:rsidRDefault="00455E24" w:rsidP="00455E24">
      <w:pPr>
        <w:numPr>
          <w:ilvl w:val="0"/>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La durée de vie utile est définie comme la période pendant laquelle un actif devrait être disponible pour utilisation. Au PNUD, les durées de vie utile pour différentes catégories ont été établies sur la base des pratiques du PNUD consistant à conserver les actifs utilisés avec l’intention de rechercher une durée de vie moyenne raisonnable pour l’ensemble des actifs similaires au sein du PNUD. Pour déterminer la durée de vie utile de divers articles de la rubrique “mobilier et matériel”, les facteurs suivants ont été pris en considération :</w:t>
      </w:r>
    </w:p>
    <w:p w14:paraId="047E0E9C" w14:textId="77777777" w:rsidR="00455E24" w:rsidRPr="00455E24" w:rsidRDefault="00455E24" w:rsidP="00455E24">
      <w:pPr>
        <w:spacing w:after="0" w:line="259" w:lineRule="auto"/>
        <w:ind w:left="1080"/>
        <w:rPr>
          <w:rFonts w:ascii="Calibri" w:eastAsia="Calibri" w:hAnsi="Calibri" w:cs="Calibri"/>
          <w:color w:val="000000"/>
          <w:kern w:val="0"/>
          <w:sz w:val="22"/>
          <w:szCs w:val="22"/>
          <w:lang w:val="fr-FR" w:eastAsia="en-GB"/>
          <w14:ligatures w14:val="none"/>
        </w:rPr>
      </w:pPr>
    </w:p>
    <w:p w14:paraId="7303238D" w14:textId="77777777" w:rsidR="00455E24" w:rsidRPr="00455E24" w:rsidRDefault="00455E24" w:rsidP="00455E24">
      <w:pPr>
        <w:numPr>
          <w:ilvl w:val="1"/>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proofErr w:type="gramStart"/>
      <w:r w:rsidRPr="00455E24">
        <w:rPr>
          <w:rFonts w:ascii="Calibri" w:eastAsia="Calibri" w:hAnsi="Calibri" w:cs="Calibri"/>
          <w:color w:val="000000"/>
          <w:kern w:val="0"/>
          <w:sz w:val="22"/>
          <w:szCs w:val="22"/>
          <w:lang w:val="fr-FR" w:eastAsia="en-GB"/>
          <w14:ligatures w14:val="none"/>
        </w:rPr>
        <w:t>l’utilisation</w:t>
      </w:r>
      <w:proofErr w:type="gramEnd"/>
      <w:r w:rsidRPr="00455E24">
        <w:rPr>
          <w:rFonts w:ascii="Calibri" w:eastAsia="Calibri" w:hAnsi="Calibri" w:cs="Calibri"/>
          <w:color w:val="000000"/>
          <w:kern w:val="0"/>
          <w:sz w:val="22"/>
          <w:szCs w:val="22"/>
          <w:lang w:val="fr-FR" w:eastAsia="en-GB"/>
          <w14:ligatures w14:val="none"/>
        </w:rPr>
        <w:t xml:space="preserve"> prévue de l’actif par l’entité ;</w:t>
      </w:r>
    </w:p>
    <w:p w14:paraId="5A77D0DB" w14:textId="77777777" w:rsidR="00455E24" w:rsidRPr="00455E24" w:rsidRDefault="00455E24" w:rsidP="00455E24">
      <w:pPr>
        <w:numPr>
          <w:ilvl w:val="1"/>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proofErr w:type="gramStart"/>
      <w:r w:rsidRPr="00455E24">
        <w:rPr>
          <w:rFonts w:ascii="Calibri" w:eastAsia="Calibri" w:hAnsi="Calibri" w:cs="Calibri"/>
          <w:color w:val="000000"/>
          <w:kern w:val="0"/>
          <w:sz w:val="22"/>
          <w:szCs w:val="22"/>
          <w:lang w:val="fr-FR" w:eastAsia="en-GB"/>
          <w14:ligatures w14:val="none"/>
        </w:rPr>
        <w:t>l’usure</w:t>
      </w:r>
      <w:proofErr w:type="gramEnd"/>
      <w:r w:rsidRPr="00455E24">
        <w:rPr>
          <w:rFonts w:ascii="Calibri" w:eastAsia="Calibri" w:hAnsi="Calibri" w:cs="Calibri"/>
          <w:color w:val="000000"/>
          <w:kern w:val="0"/>
          <w:sz w:val="22"/>
          <w:szCs w:val="22"/>
          <w:lang w:val="fr-FR" w:eastAsia="en-GB"/>
          <w14:ligatures w14:val="none"/>
        </w:rPr>
        <w:t xml:space="preserve"> physique anticipée de l’actif ;</w:t>
      </w:r>
    </w:p>
    <w:p w14:paraId="41944C7B" w14:textId="77777777" w:rsidR="00455E24" w:rsidRPr="00455E24" w:rsidRDefault="00455E24" w:rsidP="00455E24">
      <w:pPr>
        <w:numPr>
          <w:ilvl w:val="1"/>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proofErr w:type="gramStart"/>
      <w:r w:rsidRPr="00455E24">
        <w:rPr>
          <w:rFonts w:ascii="Calibri" w:eastAsia="Calibri" w:hAnsi="Calibri" w:cs="Calibri"/>
          <w:color w:val="000000"/>
          <w:kern w:val="0"/>
          <w:sz w:val="22"/>
          <w:szCs w:val="22"/>
          <w:lang w:val="fr-FR" w:eastAsia="en-GB"/>
          <w14:ligatures w14:val="none"/>
        </w:rPr>
        <w:t>l’obsolescence</w:t>
      </w:r>
      <w:proofErr w:type="gramEnd"/>
      <w:r w:rsidRPr="00455E24">
        <w:rPr>
          <w:rFonts w:ascii="Calibri" w:eastAsia="Calibri" w:hAnsi="Calibri" w:cs="Calibri"/>
          <w:color w:val="000000"/>
          <w:kern w:val="0"/>
          <w:sz w:val="22"/>
          <w:szCs w:val="22"/>
          <w:lang w:val="fr-FR" w:eastAsia="en-GB"/>
          <w14:ligatures w14:val="none"/>
        </w:rPr>
        <w:t xml:space="preserve"> technique ;</w:t>
      </w:r>
    </w:p>
    <w:p w14:paraId="7146EC3D" w14:textId="77777777" w:rsidR="00455E24" w:rsidRPr="00455E24" w:rsidRDefault="00455E24" w:rsidP="00455E24">
      <w:pPr>
        <w:numPr>
          <w:ilvl w:val="1"/>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proofErr w:type="gramStart"/>
      <w:r w:rsidRPr="00455E24">
        <w:rPr>
          <w:rFonts w:ascii="Calibri" w:eastAsia="Calibri" w:hAnsi="Calibri" w:cs="Calibri"/>
          <w:color w:val="000000"/>
          <w:kern w:val="0"/>
          <w:sz w:val="22"/>
          <w:szCs w:val="22"/>
          <w:lang w:val="fr-FR" w:eastAsia="en-GB"/>
          <w14:ligatures w14:val="none"/>
        </w:rPr>
        <w:t>les</w:t>
      </w:r>
      <w:proofErr w:type="gramEnd"/>
      <w:r w:rsidRPr="00455E24">
        <w:rPr>
          <w:rFonts w:ascii="Calibri" w:eastAsia="Calibri" w:hAnsi="Calibri" w:cs="Calibri"/>
          <w:color w:val="000000"/>
          <w:kern w:val="0"/>
          <w:sz w:val="22"/>
          <w:szCs w:val="22"/>
          <w:lang w:val="fr-FR" w:eastAsia="en-GB"/>
          <w14:ligatures w14:val="none"/>
        </w:rPr>
        <w:t xml:space="preserve"> limites juridiques ou similaires sur l’utilisation de l’actif, comme l’expiration des baux correspondants.</w:t>
      </w:r>
    </w:p>
    <w:p w14:paraId="48E1CD08"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198382E7" w14:textId="77777777" w:rsidR="00455E24" w:rsidRPr="00455E24" w:rsidRDefault="00455E24" w:rsidP="00455E24">
      <w:pPr>
        <w:numPr>
          <w:ilvl w:val="0"/>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Les durées de vie utile de diverses catégories de mobilier et matériel sont les suivantes :</w:t>
      </w:r>
    </w:p>
    <w:p w14:paraId="654186F9" w14:textId="77777777" w:rsidR="00455E24" w:rsidRPr="00455E24" w:rsidRDefault="00455E24" w:rsidP="00455E24">
      <w:pPr>
        <w:spacing w:after="0" w:line="259" w:lineRule="auto"/>
        <w:ind w:left="360"/>
        <w:rPr>
          <w:rFonts w:ascii="Calibri" w:eastAsia="Times New Roman" w:hAnsi="Calibri" w:cs="Arial"/>
          <w:color w:val="000000"/>
          <w:kern w:val="0"/>
          <w:sz w:val="22"/>
          <w:szCs w:val="22"/>
          <w:lang w:val="fr-FR" w:eastAsia="en-GB"/>
          <w14:ligatures w14:val="none"/>
        </w:rPr>
      </w:pPr>
    </w:p>
    <w:tbl>
      <w:tblPr>
        <w:tblW w:w="6655" w:type="dxa"/>
        <w:tblInd w:w="1548" w:type="dxa"/>
        <w:tblCellMar>
          <w:left w:w="0" w:type="dxa"/>
          <w:right w:w="0" w:type="dxa"/>
        </w:tblCellMar>
        <w:tblLook w:val="04A0" w:firstRow="1" w:lastRow="0" w:firstColumn="1" w:lastColumn="0" w:noHBand="0" w:noVBand="1"/>
      </w:tblPr>
      <w:tblGrid>
        <w:gridCol w:w="4590"/>
        <w:gridCol w:w="2065"/>
      </w:tblGrid>
      <w:tr w:rsidR="00455E24" w:rsidRPr="00455E24" w14:paraId="6304609C" w14:textId="77777777" w:rsidTr="00B6135C">
        <w:trPr>
          <w:trHeight w:val="398"/>
          <w:tblHeader/>
        </w:trPr>
        <w:tc>
          <w:tcPr>
            <w:tcW w:w="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E3DAFF" w14:textId="77777777" w:rsidR="00455E24" w:rsidRPr="00455E24" w:rsidRDefault="00455E24" w:rsidP="00455E24">
            <w:pPr>
              <w:spacing w:after="24" w:line="254" w:lineRule="auto"/>
              <w:ind w:left="16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i/>
                <w:iCs/>
                <w:color w:val="000000"/>
                <w:kern w:val="0"/>
                <w:sz w:val="22"/>
                <w:szCs w:val="22"/>
                <w:lang w:val="fr-FR" w:eastAsia="en-GB"/>
                <w14:ligatures w14:val="none"/>
              </w:rPr>
              <w:t>Catégorie</w:t>
            </w:r>
          </w:p>
        </w:tc>
        <w:tc>
          <w:tcPr>
            <w:tcW w:w="20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5528A0" w14:textId="77777777" w:rsidR="00455E24" w:rsidRPr="00455E24" w:rsidRDefault="00455E24" w:rsidP="00455E24">
            <w:pPr>
              <w:spacing w:after="24" w:line="254" w:lineRule="auto"/>
              <w:ind w:left="25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i/>
                <w:iCs/>
                <w:color w:val="000000"/>
                <w:kern w:val="0"/>
                <w:sz w:val="22"/>
                <w:szCs w:val="22"/>
                <w:lang w:val="fr-FR" w:eastAsia="en-GB"/>
                <w14:ligatures w14:val="none"/>
              </w:rPr>
              <w:t>Vie amortissable</w:t>
            </w:r>
          </w:p>
        </w:tc>
      </w:tr>
      <w:tr w:rsidR="00455E24" w:rsidRPr="00455E24" w14:paraId="5A2C6BFF" w14:textId="77777777" w:rsidTr="00B6135C">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B1C63" w14:textId="77777777" w:rsidR="00455E24" w:rsidRPr="00455E24" w:rsidRDefault="00455E24" w:rsidP="00455E24">
            <w:pPr>
              <w:spacing w:after="24" w:line="254" w:lineRule="auto"/>
              <w:ind w:left="16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Matériel informatique et de communications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717CC207" w14:textId="77777777" w:rsidR="00455E24" w:rsidRPr="00455E24" w:rsidRDefault="00455E24" w:rsidP="00455E24">
            <w:pPr>
              <w:spacing w:after="24" w:line="254" w:lineRule="auto"/>
              <w:ind w:left="25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8 -20 ans</w:t>
            </w:r>
          </w:p>
        </w:tc>
      </w:tr>
      <w:tr w:rsidR="00455E24" w:rsidRPr="00455E24" w14:paraId="28DF10E0" w14:textId="77777777" w:rsidTr="00B6135C">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7ED60" w14:textId="77777777" w:rsidR="00455E24" w:rsidRPr="00455E24" w:rsidRDefault="00455E24" w:rsidP="00455E24">
            <w:pPr>
              <w:spacing w:after="24" w:line="254" w:lineRule="auto"/>
              <w:ind w:left="16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Équipements lourds et autres matériels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7D9A709C" w14:textId="77777777" w:rsidR="00455E24" w:rsidRPr="00455E24" w:rsidRDefault="00455E24" w:rsidP="00455E24">
            <w:pPr>
              <w:spacing w:after="24" w:line="254" w:lineRule="auto"/>
              <w:ind w:left="25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20 ans</w:t>
            </w:r>
          </w:p>
        </w:tc>
      </w:tr>
      <w:tr w:rsidR="00455E24" w:rsidRPr="00455E24" w14:paraId="3E9DF9DE" w14:textId="77777777" w:rsidTr="00B6135C">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973320" w14:textId="77777777" w:rsidR="00455E24" w:rsidRPr="00455E24" w:rsidRDefault="00455E24" w:rsidP="00455E24">
            <w:pPr>
              <w:spacing w:after="24" w:line="254" w:lineRule="auto"/>
              <w:ind w:left="16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Véhicules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13910C9F" w14:textId="77777777" w:rsidR="00455E24" w:rsidRPr="00455E24" w:rsidRDefault="00455E24" w:rsidP="00455E24">
            <w:pPr>
              <w:spacing w:after="24" w:line="254" w:lineRule="auto"/>
              <w:ind w:left="25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12 ans</w:t>
            </w:r>
          </w:p>
        </w:tc>
      </w:tr>
      <w:tr w:rsidR="00455E24" w:rsidRPr="00455E24" w14:paraId="7417F106" w14:textId="77777777" w:rsidTr="00B6135C">
        <w:tc>
          <w:tcPr>
            <w:tcW w:w="4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785C6" w14:textId="77777777" w:rsidR="00455E24" w:rsidRPr="00455E24" w:rsidRDefault="00455E24" w:rsidP="00455E24">
            <w:pPr>
              <w:spacing w:after="24" w:line="254" w:lineRule="auto"/>
              <w:ind w:left="16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Mobilier et accessoires</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6323EBBF" w14:textId="77777777" w:rsidR="00455E24" w:rsidRPr="00455E24" w:rsidRDefault="00455E24" w:rsidP="00455E24">
            <w:pPr>
              <w:spacing w:after="24" w:line="254" w:lineRule="auto"/>
              <w:ind w:left="25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15 ans</w:t>
            </w:r>
          </w:p>
        </w:tc>
      </w:tr>
    </w:tbl>
    <w:p w14:paraId="55866FEF" w14:textId="77777777" w:rsidR="00455E24" w:rsidRPr="00455E24" w:rsidRDefault="00455E24" w:rsidP="00455E24">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fr-FR" w:eastAsia="en-GB"/>
          <w14:ligatures w14:val="none"/>
        </w:rPr>
      </w:pPr>
    </w:p>
    <w:p w14:paraId="21810E4D" w14:textId="77777777" w:rsidR="00455E24" w:rsidRPr="00455E24" w:rsidRDefault="00455E24" w:rsidP="00455E24">
      <w:pPr>
        <w:numPr>
          <w:ilvl w:val="0"/>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La convention du mois en cours exige que, si un actif est mis en service le 28 janvier 2010, la charge d’amortissement doit correspondre au mois de janvier en entier et non pas à seulement trois jours. Par conséquent, l’amortissement sera imputé en totalité au cours du mois où l’actif sera disponible pour utilisation. </w:t>
      </w:r>
      <w:r w:rsidRPr="00455E24">
        <w:rPr>
          <w:rFonts w:ascii="Calibri" w:eastAsia="Calibri" w:hAnsi="Calibri" w:cs="Calibri"/>
          <w:i/>
          <w:color w:val="000000"/>
          <w:kern w:val="0"/>
          <w:sz w:val="22"/>
          <w:szCs w:val="22"/>
          <w:lang w:val="fr-FR" w:eastAsia="en-GB"/>
          <w14:ligatures w14:val="none"/>
        </w:rPr>
        <w:t>Aucun</w:t>
      </w:r>
      <w:r w:rsidRPr="00455E24">
        <w:rPr>
          <w:rFonts w:ascii="Calibri" w:eastAsia="Calibri" w:hAnsi="Calibri" w:cs="Calibri"/>
          <w:color w:val="000000"/>
          <w:kern w:val="0"/>
          <w:sz w:val="22"/>
          <w:szCs w:val="22"/>
          <w:lang w:val="fr-FR" w:eastAsia="en-GB"/>
          <w14:ligatures w14:val="none"/>
        </w:rPr>
        <w:t xml:space="preserve"> amortissement ne sera imputé dans le mois de la liquidation, quelle que soit la date de liquidation.</w:t>
      </w:r>
    </w:p>
    <w:p w14:paraId="6F0E57B7" w14:textId="77777777" w:rsidR="00455E24" w:rsidRPr="00455E24" w:rsidRDefault="00455E24" w:rsidP="00455E24">
      <w:pPr>
        <w:spacing w:after="0" w:line="259" w:lineRule="auto"/>
        <w:ind w:left="406"/>
        <w:rPr>
          <w:rFonts w:ascii="Calibri" w:eastAsia="Calibri" w:hAnsi="Calibri" w:cs="Calibri"/>
          <w:color w:val="000000"/>
          <w:kern w:val="0"/>
          <w:sz w:val="22"/>
          <w:szCs w:val="22"/>
          <w:lang w:val="fr-FR" w:eastAsia="en-GB"/>
          <w14:ligatures w14:val="none"/>
        </w:rPr>
      </w:pPr>
    </w:p>
    <w:p w14:paraId="14480D15" w14:textId="77777777" w:rsidR="00455E24" w:rsidRPr="00455E24" w:rsidRDefault="00455E24" w:rsidP="00455E24">
      <w:pPr>
        <w:numPr>
          <w:ilvl w:val="0"/>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La durée de vie utile est définie comme la période pendant laquelle un actif devrait être disponible pour utilisation. Au PNUD, les durées de vie utile pour différentes catégories ont été établies sur la base des pratiques du PNUD consistant à conserver les actifs utilisés avec l’intention de rechercher une </w:t>
      </w:r>
      <w:r w:rsidRPr="00455E24">
        <w:rPr>
          <w:rFonts w:ascii="Calibri" w:eastAsia="Calibri" w:hAnsi="Calibri" w:cs="Calibri"/>
          <w:b/>
          <w:bCs/>
          <w:color w:val="000000"/>
          <w:kern w:val="0"/>
          <w:sz w:val="22"/>
          <w:szCs w:val="22"/>
          <w:lang w:val="fr-FR" w:eastAsia="en-GB"/>
          <w14:ligatures w14:val="none"/>
        </w:rPr>
        <w:t>durée de vie moyenne raisonnable</w:t>
      </w:r>
      <w:r w:rsidRPr="00455E24">
        <w:rPr>
          <w:rFonts w:ascii="Calibri" w:eastAsia="Calibri" w:hAnsi="Calibri" w:cs="Calibri"/>
          <w:color w:val="000000"/>
          <w:kern w:val="0"/>
          <w:sz w:val="22"/>
          <w:szCs w:val="22"/>
          <w:lang w:val="fr-FR" w:eastAsia="en-GB"/>
          <w14:ligatures w14:val="none"/>
        </w:rPr>
        <w:t xml:space="preserve"> pour toute la population des biens similaires au sein du PNUD. Par conséquent, certains actifs peuvent être liquidés avant d’atteindre leur durée de vie utile, après un examen de leur utilité à la date de remplacement recommandée. De même, d’autres actifs peuvent être conservés en service pour des périodes plus longues que leur durée de vie utile pour des raisons opérationnelles. Le nombre et le coût d’origine des actifs conservés au-delà de leur durée de vie utile seront indiqués dans les états financiers du PNUD.</w:t>
      </w:r>
    </w:p>
    <w:p w14:paraId="2B2A8D03" w14:textId="77777777" w:rsidR="00455E24" w:rsidRPr="00455E24" w:rsidRDefault="00455E24" w:rsidP="00455E24">
      <w:pPr>
        <w:spacing w:after="0" w:line="259" w:lineRule="auto"/>
        <w:ind w:left="406"/>
        <w:rPr>
          <w:rFonts w:ascii="Calibri" w:eastAsia="Calibri" w:hAnsi="Calibri" w:cs="Calibri"/>
          <w:color w:val="000000"/>
          <w:kern w:val="0"/>
          <w:sz w:val="22"/>
          <w:szCs w:val="22"/>
          <w:lang w:val="fr-FR" w:eastAsia="en-GB"/>
          <w14:ligatures w14:val="none"/>
        </w:rPr>
      </w:pPr>
    </w:p>
    <w:p w14:paraId="1A707047" w14:textId="77777777" w:rsidR="00455E24" w:rsidRPr="00455E24" w:rsidRDefault="00455E24" w:rsidP="00455E24">
      <w:pPr>
        <w:numPr>
          <w:ilvl w:val="0"/>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Les durées de vie utile des actifs du PNUD seront revues à chaque date de clôture annuelle et, si les attentes diffèrent des estimations précédentes, les variations seront comptabilisées en tant </w:t>
      </w:r>
      <w:r w:rsidRPr="00455E24">
        <w:rPr>
          <w:rFonts w:ascii="Calibri" w:eastAsia="Calibri" w:hAnsi="Calibri" w:cs="Calibri"/>
          <w:color w:val="000000"/>
          <w:kern w:val="0"/>
          <w:sz w:val="22"/>
          <w:szCs w:val="22"/>
          <w:lang w:val="fr-FR" w:eastAsia="en-GB"/>
          <w14:ligatures w14:val="none"/>
        </w:rPr>
        <w:lastRenderedPageBreak/>
        <w:t>que changement d’estimation comptable de manière prospective en les incluant dans l’excédent ou le déficit de la période du changement, si le changement n’affecte que la période ou la période du changement et les périodes futures, si la modification affecte les deux.</w:t>
      </w:r>
    </w:p>
    <w:p w14:paraId="66901282" w14:textId="77777777" w:rsidR="00455E24" w:rsidRPr="00455E24" w:rsidRDefault="00455E24" w:rsidP="00455E24">
      <w:pPr>
        <w:spacing w:after="0" w:line="259" w:lineRule="auto"/>
        <w:ind w:left="730" w:hanging="10"/>
        <w:rPr>
          <w:rFonts w:ascii="Calibri" w:eastAsia="Calibri" w:hAnsi="Calibri" w:cs="Calibri"/>
          <w:color w:val="000000"/>
          <w:kern w:val="0"/>
          <w:sz w:val="22"/>
          <w:szCs w:val="22"/>
          <w:lang w:val="fr-FR" w:eastAsia="en-GB"/>
          <w14:ligatures w14:val="none"/>
        </w:rPr>
      </w:pPr>
    </w:p>
    <w:p w14:paraId="4022E057" w14:textId="77777777" w:rsidR="00455E24" w:rsidRPr="00455E24" w:rsidRDefault="00455E24" w:rsidP="00455E24">
      <w:pPr>
        <w:numPr>
          <w:ilvl w:val="0"/>
          <w:numId w:val="2"/>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 nombre et le coût d’origine des actifs conservés au-delà de leur durée de vie utile seront indiqués dans les états financiers du PNUD (actifs entièrement amortis).</w:t>
      </w:r>
    </w:p>
    <w:p w14:paraId="15053EA7" w14:textId="77777777" w:rsidR="00455E24" w:rsidRPr="00455E24" w:rsidRDefault="00455E24" w:rsidP="00455E24">
      <w:pPr>
        <w:spacing w:after="24" w:line="254" w:lineRule="auto"/>
        <w:ind w:left="720" w:right="38" w:hanging="10"/>
        <w:contextualSpacing/>
        <w:jc w:val="both"/>
        <w:rPr>
          <w:rFonts w:ascii="Calibri" w:eastAsia="Calibri" w:hAnsi="Calibri" w:cs="Calibri"/>
          <w:color w:val="000000"/>
          <w:kern w:val="0"/>
          <w:sz w:val="22"/>
          <w:szCs w:val="22"/>
          <w:lang w:val="fr-FR" w:eastAsia="en-GB"/>
          <w14:ligatures w14:val="none"/>
        </w:rPr>
      </w:pPr>
    </w:p>
    <w:p w14:paraId="0541465E" w14:textId="77777777" w:rsidR="00455E24" w:rsidRPr="00455E24" w:rsidRDefault="00455E24" w:rsidP="00455E24">
      <w:pPr>
        <w:spacing w:after="0" w:line="259" w:lineRule="auto"/>
        <w:rPr>
          <w:rFonts w:ascii="Calibri" w:eastAsia="Calibri" w:hAnsi="Calibri" w:cs="Calibri"/>
          <w:color w:val="000000"/>
          <w:kern w:val="0"/>
          <w:sz w:val="22"/>
          <w:szCs w:val="22"/>
          <w:lang w:val="fr-FR" w:eastAsia="en-GB"/>
          <w14:ligatures w14:val="none"/>
        </w:rPr>
      </w:pPr>
    </w:p>
    <w:p w14:paraId="34353261"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Durée de vie de remplacement recommandée</w:t>
      </w:r>
    </w:p>
    <w:p w14:paraId="77DA8FD9" w14:textId="77777777" w:rsidR="00455E24" w:rsidRPr="00455E24" w:rsidRDefault="00455E24" w:rsidP="00455E24">
      <w:pPr>
        <w:spacing w:after="0" w:line="259" w:lineRule="auto"/>
        <w:ind w:left="360"/>
        <w:rPr>
          <w:rFonts w:ascii="Calibri" w:eastAsia="Calibri" w:hAnsi="Calibri" w:cs="Calibri"/>
          <w:color w:val="000000"/>
          <w:kern w:val="0"/>
          <w:sz w:val="20"/>
          <w:szCs w:val="20"/>
          <w:lang w:val="fr-FR" w:eastAsia="en-GB"/>
          <w14:ligatures w14:val="none"/>
        </w:rPr>
      </w:pPr>
    </w:p>
    <w:p w14:paraId="16CD6528" w14:textId="77777777" w:rsidR="00455E24" w:rsidRPr="00455E24" w:rsidRDefault="00455E24" w:rsidP="00455E24">
      <w:pPr>
        <w:numPr>
          <w:ilvl w:val="0"/>
          <w:numId w:val="3"/>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Pour des raisons opérationnelles et pour garantir des normes de sécurité, le PNUD a établi un ensemble de durées de vie de remplacement recommandées pour les actifs devant servir à déclencher l’examen de l’état des actifs et à les liquider s’ils sont jugés prêts à être liquidés.</w:t>
      </w:r>
    </w:p>
    <w:p w14:paraId="60AE639B" w14:textId="77777777" w:rsidR="00455E24" w:rsidRPr="00455E24" w:rsidRDefault="00455E24" w:rsidP="00455E24">
      <w:pPr>
        <w:spacing w:after="0" w:line="259" w:lineRule="auto"/>
        <w:ind w:left="406"/>
        <w:rPr>
          <w:rFonts w:ascii="Calibri" w:eastAsia="Calibri" w:hAnsi="Calibri" w:cs="Calibri"/>
          <w:color w:val="000000"/>
          <w:kern w:val="0"/>
          <w:sz w:val="20"/>
          <w:szCs w:val="20"/>
          <w:lang w:val="fr-FR" w:eastAsia="en-GB"/>
          <w14:ligatures w14:val="none"/>
        </w:rPr>
      </w:pPr>
    </w:p>
    <w:p w14:paraId="1D30145E" w14:textId="77777777" w:rsidR="00455E24" w:rsidRPr="00455E24" w:rsidRDefault="00455E24" w:rsidP="00455E24">
      <w:pPr>
        <w:numPr>
          <w:ilvl w:val="0"/>
          <w:numId w:val="3"/>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Lorsqu’il s’agit de déterminer s’il faut continuer à utiliser un actif ou non, il faut considérer que les actifs des technologies de l'information et de la communication (TIC) (ordinateurs de bureau, ordinateurs portables, serveurs, imprimantes, équipements de vidéoconférence, etc.) devront peut-être être remplacés lorsqu’une ou plusieurs des conditions ci-dessous seront remplies :</w:t>
      </w:r>
    </w:p>
    <w:p w14:paraId="588A1291" w14:textId="77777777" w:rsidR="00455E24" w:rsidRPr="00455E24" w:rsidRDefault="00455E24" w:rsidP="00455E24">
      <w:pPr>
        <w:spacing w:after="0" w:line="259" w:lineRule="auto"/>
        <w:ind w:left="1080"/>
        <w:rPr>
          <w:rFonts w:ascii="Calibri" w:eastAsia="Calibri" w:hAnsi="Calibri" w:cs="Calibri"/>
          <w:color w:val="000000"/>
          <w:kern w:val="0"/>
          <w:sz w:val="20"/>
          <w:szCs w:val="20"/>
          <w:lang w:val="fr-FR" w:eastAsia="en-GB"/>
          <w14:ligatures w14:val="none"/>
        </w:rPr>
      </w:pPr>
    </w:p>
    <w:p w14:paraId="43F73C43" w14:textId="77777777" w:rsidR="00455E24" w:rsidRPr="00455E24" w:rsidRDefault="00455E24" w:rsidP="00455E24">
      <w:pPr>
        <w:numPr>
          <w:ilvl w:val="1"/>
          <w:numId w:val="3"/>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La durée de vie d’un actif TIC atteint la fin de l’assistance fournie par le fabricant, </w:t>
      </w:r>
      <w:proofErr w:type="gramStart"/>
      <w:r w:rsidRPr="00455E24">
        <w:rPr>
          <w:rFonts w:ascii="Calibri" w:eastAsia="Calibri" w:hAnsi="Calibri" w:cs="Calibri"/>
          <w:color w:val="000000"/>
          <w:kern w:val="0"/>
          <w:sz w:val="22"/>
          <w:szCs w:val="22"/>
          <w:lang w:val="fr-FR" w:eastAsia="en-GB"/>
          <w14:ligatures w14:val="none"/>
        </w:rPr>
        <w:t>ou</w:t>
      </w:r>
      <w:proofErr w:type="gramEnd"/>
    </w:p>
    <w:p w14:paraId="7ECFAC47" w14:textId="77777777" w:rsidR="00455E24" w:rsidRPr="00455E24" w:rsidRDefault="00455E24" w:rsidP="00455E24">
      <w:pPr>
        <w:numPr>
          <w:ilvl w:val="1"/>
          <w:numId w:val="3"/>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La garantie prolongée d’un fabricant expire, </w:t>
      </w:r>
      <w:proofErr w:type="gramStart"/>
      <w:r w:rsidRPr="00455E24">
        <w:rPr>
          <w:rFonts w:ascii="Calibri" w:eastAsia="Calibri" w:hAnsi="Calibri" w:cs="Calibri"/>
          <w:color w:val="000000"/>
          <w:kern w:val="0"/>
          <w:sz w:val="22"/>
          <w:szCs w:val="22"/>
          <w:lang w:val="fr-FR" w:eastAsia="en-GB"/>
          <w14:ligatures w14:val="none"/>
        </w:rPr>
        <w:t>ou</w:t>
      </w:r>
      <w:proofErr w:type="gramEnd"/>
    </w:p>
    <w:p w14:paraId="00112D1D" w14:textId="77777777" w:rsidR="00455E24" w:rsidRPr="00455E24" w:rsidRDefault="00455E24" w:rsidP="00455E24">
      <w:pPr>
        <w:numPr>
          <w:ilvl w:val="1"/>
          <w:numId w:val="3"/>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Le coût annuel de la garantie prolongée pour un actif TIC dépasse la valeur comptable nette </w:t>
      </w:r>
      <w:proofErr w:type="gramStart"/>
      <w:r w:rsidRPr="00455E24">
        <w:rPr>
          <w:rFonts w:ascii="Calibri" w:eastAsia="Calibri" w:hAnsi="Calibri" w:cs="Calibri"/>
          <w:color w:val="000000"/>
          <w:kern w:val="0"/>
          <w:sz w:val="22"/>
          <w:szCs w:val="22"/>
          <w:lang w:val="fr-FR" w:eastAsia="en-GB"/>
          <w14:ligatures w14:val="none"/>
        </w:rPr>
        <w:t>ou</w:t>
      </w:r>
      <w:proofErr w:type="gramEnd"/>
    </w:p>
    <w:p w14:paraId="2DFC54D4" w14:textId="77777777" w:rsidR="00455E24" w:rsidRPr="00455E24" w:rsidRDefault="00455E24" w:rsidP="00455E24">
      <w:pPr>
        <w:numPr>
          <w:ilvl w:val="1"/>
          <w:numId w:val="3"/>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Un équipement TIC n’est plus compatible avec le système d’exploitation standard du PNUD, les outils de productivité personnelle (traitement de texte, tableur, présentation, etc.) et les applications d’entreprise du PNUD comme Quantum ERP, </w:t>
      </w:r>
      <w:proofErr w:type="gramStart"/>
      <w:r w:rsidRPr="00455E24">
        <w:rPr>
          <w:rFonts w:ascii="Calibri" w:eastAsia="Calibri" w:hAnsi="Calibri" w:cs="Calibri"/>
          <w:color w:val="000000"/>
          <w:kern w:val="0"/>
          <w:sz w:val="22"/>
          <w:szCs w:val="22"/>
          <w:lang w:val="fr-FR" w:eastAsia="en-GB"/>
          <w14:ligatures w14:val="none"/>
        </w:rPr>
        <w:t>E-mail</w:t>
      </w:r>
      <w:proofErr w:type="gramEnd"/>
      <w:r w:rsidRPr="00455E24">
        <w:rPr>
          <w:rFonts w:ascii="Calibri" w:eastAsia="Calibri" w:hAnsi="Calibri" w:cs="Calibri"/>
          <w:color w:val="000000"/>
          <w:kern w:val="0"/>
          <w:sz w:val="22"/>
          <w:szCs w:val="22"/>
          <w:lang w:val="fr-FR" w:eastAsia="en-GB"/>
          <w14:ligatures w14:val="none"/>
        </w:rPr>
        <w:t xml:space="preserve"> et </w:t>
      </w:r>
      <w:proofErr w:type="spellStart"/>
      <w:r w:rsidRPr="00455E24">
        <w:rPr>
          <w:rFonts w:ascii="Calibri" w:eastAsia="Calibri" w:hAnsi="Calibri" w:cs="Calibri"/>
          <w:color w:val="000000"/>
          <w:kern w:val="0"/>
          <w:sz w:val="22"/>
          <w:szCs w:val="22"/>
          <w:lang w:val="fr-FR" w:eastAsia="en-GB"/>
          <w14:ligatures w14:val="none"/>
        </w:rPr>
        <w:t>Unified</w:t>
      </w:r>
      <w:proofErr w:type="spellEnd"/>
      <w:r w:rsidRPr="00455E24">
        <w:rPr>
          <w:rFonts w:ascii="Calibri" w:eastAsia="Calibri" w:hAnsi="Calibri" w:cs="Calibri"/>
          <w:color w:val="000000"/>
          <w:kern w:val="0"/>
          <w:sz w:val="22"/>
          <w:szCs w:val="22"/>
          <w:lang w:val="fr-FR" w:eastAsia="en-GB"/>
          <w14:ligatures w14:val="none"/>
        </w:rPr>
        <w:t xml:space="preserve"> Communication </w:t>
      </w:r>
      <w:proofErr w:type="spellStart"/>
      <w:r w:rsidRPr="00455E24">
        <w:rPr>
          <w:rFonts w:ascii="Calibri" w:eastAsia="Calibri" w:hAnsi="Calibri" w:cs="Calibri"/>
          <w:color w:val="000000"/>
          <w:kern w:val="0"/>
          <w:sz w:val="22"/>
          <w:szCs w:val="22"/>
          <w:lang w:val="fr-FR" w:eastAsia="en-GB"/>
          <w14:ligatures w14:val="none"/>
        </w:rPr>
        <w:t>systems</w:t>
      </w:r>
      <w:proofErr w:type="spellEnd"/>
      <w:r w:rsidRPr="00455E24">
        <w:rPr>
          <w:rFonts w:ascii="Calibri" w:eastAsia="Calibri" w:hAnsi="Calibri" w:cs="Calibri"/>
          <w:color w:val="000000"/>
          <w:kern w:val="0"/>
          <w:sz w:val="22"/>
          <w:szCs w:val="22"/>
          <w:lang w:val="fr-FR" w:eastAsia="en-GB"/>
          <w14:ligatures w14:val="none"/>
        </w:rPr>
        <w:t xml:space="preserve">, </w:t>
      </w:r>
      <w:proofErr w:type="gramStart"/>
      <w:r w:rsidRPr="00455E24">
        <w:rPr>
          <w:rFonts w:ascii="Calibri" w:eastAsia="Calibri" w:hAnsi="Calibri" w:cs="Calibri"/>
          <w:color w:val="000000"/>
          <w:kern w:val="0"/>
          <w:sz w:val="22"/>
          <w:szCs w:val="22"/>
          <w:lang w:val="fr-FR" w:eastAsia="en-GB"/>
          <w14:ligatures w14:val="none"/>
        </w:rPr>
        <w:t>ou</w:t>
      </w:r>
      <w:proofErr w:type="gramEnd"/>
    </w:p>
    <w:p w14:paraId="444F11B3" w14:textId="77777777" w:rsidR="00455E24" w:rsidRPr="00455E24" w:rsidRDefault="00455E24" w:rsidP="00455E24">
      <w:pPr>
        <w:numPr>
          <w:ilvl w:val="1"/>
          <w:numId w:val="3"/>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Les coûts pour traiter ou prévenir des risques de sécurité ou la réparation d’un matériel informatique TIC dépassent sa valeur.</w:t>
      </w:r>
    </w:p>
    <w:p w14:paraId="2866C87C" w14:textId="77777777" w:rsidR="00455E24" w:rsidRPr="00455E24" w:rsidRDefault="00455E24" w:rsidP="00455E24">
      <w:pPr>
        <w:spacing w:after="0" w:line="259" w:lineRule="auto"/>
        <w:ind w:left="360"/>
        <w:rPr>
          <w:rFonts w:ascii="Calibri" w:eastAsia="Calibri" w:hAnsi="Calibri" w:cs="Calibri"/>
          <w:color w:val="000000"/>
          <w:kern w:val="0"/>
          <w:sz w:val="20"/>
          <w:szCs w:val="20"/>
          <w:lang w:val="fr-FR" w:eastAsia="en-GB"/>
          <w14:ligatures w14:val="none"/>
        </w:rPr>
      </w:pPr>
    </w:p>
    <w:p w14:paraId="0A260954" w14:textId="77777777" w:rsidR="00455E24" w:rsidRPr="00455E24" w:rsidRDefault="00455E24" w:rsidP="00455E24">
      <w:pPr>
        <w:numPr>
          <w:ilvl w:val="0"/>
          <w:numId w:val="3"/>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 tableau ci-dessous indique les durées de remplacement recommandées à utiliser pour déterminer si un actif doit rester en service ou doit être liquidé. Étant donné que ces durées de remplacement recommandées sont différentes des durées d’utilisation comptable utilisées pour l’amortissement, il arrive que les bureaux du PNUD disposent d’actifs qui ont encore une VCN dans les registres. Le projet absorbera alors la valeur comptable nette (VCN) restante moins les liquidités provenant de la vente de l’actif en tant que dépense. Les durées de vie de remplacement recommandées sont les suivantes :</w:t>
      </w:r>
    </w:p>
    <w:p w14:paraId="70408B8B" w14:textId="77777777" w:rsidR="00455E24" w:rsidRPr="00455E24" w:rsidRDefault="00455E24" w:rsidP="00455E24">
      <w:pPr>
        <w:shd w:val="clear" w:color="auto" w:fill="FFFFFF"/>
        <w:spacing w:after="24" w:line="254" w:lineRule="auto"/>
        <w:ind w:left="730" w:right="38" w:hanging="10"/>
        <w:jc w:val="both"/>
        <w:textAlignment w:val="top"/>
        <w:rPr>
          <w:rFonts w:ascii="Calibri" w:eastAsia="Times New Roman" w:hAnsi="Calibri" w:cs="Arial"/>
          <w:color w:val="000000"/>
          <w:kern w:val="0"/>
          <w:sz w:val="20"/>
          <w:szCs w:val="20"/>
          <w:lang w:val="fr-FR" w:eastAsia="en-GB"/>
          <w14:ligatures w14:val="none"/>
        </w:rPr>
      </w:pPr>
    </w:p>
    <w:tbl>
      <w:tblPr>
        <w:tblStyle w:val="TableGrid"/>
        <w:tblW w:w="8640" w:type="dxa"/>
        <w:tblInd w:w="1075" w:type="dxa"/>
        <w:tblLook w:val="04A0" w:firstRow="1" w:lastRow="0" w:firstColumn="1" w:lastColumn="0" w:noHBand="0" w:noVBand="1"/>
      </w:tblPr>
      <w:tblGrid>
        <w:gridCol w:w="6120"/>
        <w:gridCol w:w="2520"/>
      </w:tblGrid>
      <w:tr w:rsidR="00455E24" w:rsidRPr="00455E24" w14:paraId="22CA0D50" w14:textId="77777777" w:rsidTr="00B46BFF">
        <w:trPr>
          <w:trHeight w:val="668"/>
        </w:trPr>
        <w:tc>
          <w:tcPr>
            <w:tcW w:w="6120" w:type="dxa"/>
            <w:hideMark/>
          </w:tcPr>
          <w:p w14:paraId="77363DE4" w14:textId="77777777" w:rsidR="00455E24" w:rsidRPr="00455E24" w:rsidRDefault="00455E24" w:rsidP="00455E24">
            <w:pPr>
              <w:spacing w:after="24" w:line="254" w:lineRule="auto"/>
              <w:ind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b/>
                <w:bCs/>
                <w:color w:val="000000"/>
                <w:kern w:val="0"/>
                <w:sz w:val="22"/>
                <w:szCs w:val="22"/>
                <w:lang w:val="fr-FR" w:eastAsia="en-GB"/>
                <w14:ligatures w14:val="none"/>
              </w:rPr>
              <w:t>Classification des actifs TIC</w:t>
            </w:r>
          </w:p>
        </w:tc>
        <w:tc>
          <w:tcPr>
            <w:tcW w:w="2520" w:type="dxa"/>
            <w:hideMark/>
          </w:tcPr>
          <w:p w14:paraId="76F15154" w14:textId="77777777" w:rsidR="00455E24" w:rsidRPr="00455E24" w:rsidRDefault="00455E24" w:rsidP="00455E24">
            <w:pPr>
              <w:spacing w:after="24" w:line="254" w:lineRule="auto"/>
              <w:ind w:left="72"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b/>
                <w:bCs/>
                <w:color w:val="000000"/>
                <w:kern w:val="0"/>
                <w:sz w:val="22"/>
                <w:szCs w:val="22"/>
                <w:lang w:val="fr-FR" w:eastAsia="en-GB"/>
                <w14:ligatures w14:val="none"/>
              </w:rPr>
              <w:t>Durée de vie de remplacement recommandée (années)</w:t>
            </w:r>
          </w:p>
        </w:tc>
      </w:tr>
      <w:tr w:rsidR="00455E24" w:rsidRPr="00455E24" w14:paraId="1C1D920B" w14:textId="77777777" w:rsidTr="00B46BFF">
        <w:trPr>
          <w:trHeight w:val="300"/>
        </w:trPr>
        <w:tc>
          <w:tcPr>
            <w:tcW w:w="6120" w:type="dxa"/>
            <w:hideMark/>
          </w:tcPr>
          <w:p w14:paraId="3C6D6B0A"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Ordinateurs de bureau</w:t>
            </w:r>
          </w:p>
        </w:tc>
        <w:tc>
          <w:tcPr>
            <w:tcW w:w="2520" w:type="dxa"/>
            <w:hideMark/>
          </w:tcPr>
          <w:p w14:paraId="4CB02238"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4</w:t>
            </w:r>
          </w:p>
        </w:tc>
      </w:tr>
      <w:tr w:rsidR="00455E24" w:rsidRPr="00455E24" w14:paraId="15F13BE5" w14:textId="77777777" w:rsidTr="00B46BFF">
        <w:trPr>
          <w:trHeight w:val="280"/>
        </w:trPr>
        <w:tc>
          <w:tcPr>
            <w:tcW w:w="6120" w:type="dxa"/>
            <w:hideMark/>
          </w:tcPr>
          <w:p w14:paraId="35785F5A"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lastRenderedPageBreak/>
              <w:t>Ordinateurs portables</w:t>
            </w:r>
          </w:p>
        </w:tc>
        <w:tc>
          <w:tcPr>
            <w:tcW w:w="2520" w:type="dxa"/>
            <w:hideMark/>
          </w:tcPr>
          <w:p w14:paraId="65EED1BD"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4</w:t>
            </w:r>
          </w:p>
        </w:tc>
      </w:tr>
      <w:tr w:rsidR="00455E24" w:rsidRPr="00455E24" w14:paraId="0E22882C" w14:textId="77777777" w:rsidTr="00B46BFF">
        <w:trPr>
          <w:trHeight w:val="280"/>
        </w:trPr>
        <w:tc>
          <w:tcPr>
            <w:tcW w:w="6120" w:type="dxa"/>
            <w:hideMark/>
          </w:tcPr>
          <w:p w14:paraId="629379CF"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Serveurs</w:t>
            </w:r>
          </w:p>
        </w:tc>
        <w:tc>
          <w:tcPr>
            <w:tcW w:w="2520" w:type="dxa"/>
            <w:hideMark/>
          </w:tcPr>
          <w:p w14:paraId="4EB4EE30"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22CB0CA5" w14:textId="77777777" w:rsidTr="00B46BFF">
        <w:trPr>
          <w:trHeight w:val="280"/>
        </w:trPr>
        <w:tc>
          <w:tcPr>
            <w:tcW w:w="6120" w:type="dxa"/>
            <w:hideMark/>
          </w:tcPr>
          <w:p w14:paraId="5DCEC691"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Réseau / équipement de télécommunication</w:t>
            </w:r>
          </w:p>
        </w:tc>
        <w:tc>
          <w:tcPr>
            <w:tcW w:w="2520" w:type="dxa"/>
            <w:hideMark/>
          </w:tcPr>
          <w:p w14:paraId="60A4868F"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0F936664" w14:textId="77777777" w:rsidTr="00B46BFF">
        <w:trPr>
          <w:trHeight w:val="280"/>
        </w:trPr>
        <w:tc>
          <w:tcPr>
            <w:tcW w:w="6120" w:type="dxa"/>
            <w:hideMark/>
          </w:tcPr>
          <w:p w14:paraId="62B0D09C"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Imprimantes</w:t>
            </w:r>
          </w:p>
        </w:tc>
        <w:tc>
          <w:tcPr>
            <w:tcW w:w="2520" w:type="dxa"/>
            <w:hideMark/>
          </w:tcPr>
          <w:p w14:paraId="343FD321"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4</w:t>
            </w:r>
          </w:p>
        </w:tc>
      </w:tr>
      <w:tr w:rsidR="00455E24" w:rsidRPr="00455E24" w14:paraId="47041815" w14:textId="77777777" w:rsidTr="00B46BFF">
        <w:trPr>
          <w:trHeight w:val="280"/>
        </w:trPr>
        <w:tc>
          <w:tcPr>
            <w:tcW w:w="6120" w:type="dxa"/>
            <w:hideMark/>
          </w:tcPr>
          <w:p w14:paraId="24CBD628"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Équipement de vidéoconférence</w:t>
            </w:r>
          </w:p>
        </w:tc>
        <w:tc>
          <w:tcPr>
            <w:tcW w:w="2520" w:type="dxa"/>
            <w:hideMark/>
          </w:tcPr>
          <w:p w14:paraId="3AE38F7A"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4</w:t>
            </w:r>
          </w:p>
        </w:tc>
      </w:tr>
      <w:tr w:rsidR="00455E24" w:rsidRPr="00455E24" w14:paraId="4734E550" w14:textId="77777777" w:rsidTr="00B46BFF">
        <w:trPr>
          <w:trHeight w:val="280"/>
        </w:trPr>
        <w:tc>
          <w:tcPr>
            <w:tcW w:w="6120" w:type="dxa"/>
            <w:hideMark/>
          </w:tcPr>
          <w:p w14:paraId="031CB287"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Autre équipement (avec une valeur d’achat de &gt;= 50 000 dollars É.-U.</w:t>
            </w:r>
          </w:p>
        </w:tc>
        <w:tc>
          <w:tcPr>
            <w:tcW w:w="2520" w:type="dxa"/>
            <w:hideMark/>
          </w:tcPr>
          <w:p w14:paraId="7EF990CC"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10</w:t>
            </w:r>
          </w:p>
        </w:tc>
      </w:tr>
      <w:tr w:rsidR="00455E24" w:rsidRPr="00455E24" w14:paraId="1551ABB6" w14:textId="77777777" w:rsidTr="00B46BFF">
        <w:trPr>
          <w:trHeight w:val="280"/>
        </w:trPr>
        <w:tc>
          <w:tcPr>
            <w:tcW w:w="6120" w:type="dxa"/>
            <w:hideMark/>
          </w:tcPr>
          <w:p w14:paraId="534DFA90"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b/>
                <w:bCs/>
                <w:color w:val="000000"/>
                <w:kern w:val="0"/>
                <w:sz w:val="22"/>
                <w:szCs w:val="22"/>
                <w:lang w:val="fr-FR" w:eastAsia="en-GB"/>
                <w14:ligatures w14:val="none"/>
              </w:rPr>
              <w:t>Le matériel informatique et de communications comprend :</w:t>
            </w:r>
          </w:p>
        </w:tc>
        <w:tc>
          <w:tcPr>
            <w:tcW w:w="2520" w:type="dxa"/>
            <w:hideMark/>
          </w:tcPr>
          <w:p w14:paraId="7192519B"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p>
        </w:tc>
      </w:tr>
      <w:tr w:rsidR="00455E24" w:rsidRPr="00455E24" w14:paraId="6794CE8D" w14:textId="77777777" w:rsidTr="00B46BFF">
        <w:trPr>
          <w:trHeight w:val="320"/>
        </w:trPr>
        <w:tc>
          <w:tcPr>
            <w:tcW w:w="6120" w:type="dxa"/>
            <w:hideMark/>
          </w:tcPr>
          <w:p w14:paraId="79351717"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 Équipement de stockage automatisé de fichiers</w:t>
            </w:r>
          </w:p>
        </w:tc>
        <w:tc>
          <w:tcPr>
            <w:tcW w:w="2520" w:type="dxa"/>
            <w:hideMark/>
          </w:tcPr>
          <w:p w14:paraId="04C3D37B"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3F7EC000" w14:textId="77777777" w:rsidTr="00B46BFF">
        <w:trPr>
          <w:trHeight w:val="320"/>
        </w:trPr>
        <w:tc>
          <w:tcPr>
            <w:tcW w:w="6120" w:type="dxa"/>
            <w:hideMark/>
          </w:tcPr>
          <w:p w14:paraId="52C4F241" w14:textId="77777777" w:rsidR="00455E24" w:rsidRPr="00455E24" w:rsidRDefault="00455E24" w:rsidP="00455E24">
            <w:pPr>
              <w:spacing w:after="24" w:line="254" w:lineRule="auto"/>
              <w:ind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B. Matériel de production, de stockage et de visualisation des microformes</w:t>
            </w:r>
          </w:p>
        </w:tc>
        <w:tc>
          <w:tcPr>
            <w:tcW w:w="2520" w:type="dxa"/>
            <w:hideMark/>
          </w:tcPr>
          <w:p w14:paraId="688E8B31"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78EF0884" w14:textId="77777777" w:rsidTr="00B46BFF">
        <w:trPr>
          <w:trHeight w:val="305"/>
        </w:trPr>
        <w:tc>
          <w:tcPr>
            <w:tcW w:w="6120" w:type="dxa"/>
            <w:hideMark/>
          </w:tcPr>
          <w:p w14:paraId="7C989ABC" w14:textId="77777777" w:rsidR="00455E24" w:rsidRPr="00455E24" w:rsidRDefault="00455E24" w:rsidP="00455E24">
            <w:pPr>
              <w:spacing w:after="24" w:line="254" w:lineRule="auto"/>
              <w:ind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C. Matériel de traitement des documents, comme des photocopieurs, des équipements de traitement du courrier, de traitement des chèques et des déchiqueteuses</w:t>
            </w:r>
          </w:p>
        </w:tc>
        <w:tc>
          <w:tcPr>
            <w:tcW w:w="2520" w:type="dxa"/>
            <w:hideMark/>
          </w:tcPr>
          <w:p w14:paraId="05751D3B"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5A27C812" w14:textId="77777777" w:rsidTr="00B46BFF">
        <w:trPr>
          <w:trHeight w:val="320"/>
        </w:trPr>
        <w:tc>
          <w:tcPr>
            <w:tcW w:w="6120" w:type="dxa"/>
            <w:hideMark/>
          </w:tcPr>
          <w:p w14:paraId="0526B6FA"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D. Studio de télévision, caméras et autres appareils photographiques</w:t>
            </w:r>
          </w:p>
        </w:tc>
        <w:tc>
          <w:tcPr>
            <w:tcW w:w="2520" w:type="dxa"/>
            <w:hideMark/>
          </w:tcPr>
          <w:p w14:paraId="39465496"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3855E143" w14:textId="77777777" w:rsidTr="00B46BFF">
        <w:trPr>
          <w:trHeight w:val="320"/>
        </w:trPr>
        <w:tc>
          <w:tcPr>
            <w:tcW w:w="6120" w:type="dxa"/>
            <w:hideMark/>
          </w:tcPr>
          <w:p w14:paraId="4333429D"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E. Matériel d’impression et de reliure</w:t>
            </w:r>
          </w:p>
        </w:tc>
        <w:tc>
          <w:tcPr>
            <w:tcW w:w="2520" w:type="dxa"/>
            <w:hideMark/>
          </w:tcPr>
          <w:p w14:paraId="208F6657"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250E5708" w14:textId="77777777" w:rsidTr="00B46BFF">
        <w:trPr>
          <w:trHeight w:val="320"/>
        </w:trPr>
        <w:tc>
          <w:tcPr>
            <w:tcW w:w="6120" w:type="dxa"/>
            <w:hideMark/>
          </w:tcPr>
          <w:p w14:paraId="51AF9005" w14:textId="77777777" w:rsidR="00455E24" w:rsidRPr="00455E24" w:rsidRDefault="00455E24" w:rsidP="00455E24">
            <w:pPr>
              <w:spacing w:after="24" w:line="254" w:lineRule="auto"/>
              <w:ind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F. Matériel de bureau, appareils et machines autres que les équipements informatiques</w:t>
            </w:r>
          </w:p>
        </w:tc>
        <w:tc>
          <w:tcPr>
            <w:tcW w:w="2520" w:type="dxa"/>
            <w:hideMark/>
          </w:tcPr>
          <w:p w14:paraId="5734F0FF"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6F1C1B03" w14:textId="77777777" w:rsidTr="00B46BFF">
        <w:trPr>
          <w:trHeight w:val="320"/>
        </w:trPr>
        <w:tc>
          <w:tcPr>
            <w:tcW w:w="6120" w:type="dxa"/>
            <w:hideMark/>
          </w:tcPr>
          <w:p w14:paraId="322D9311"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G. Alimentations sans interruption (ASI)</w:t>
            </w:r>
          </w:p>
        </w:tc>
        <w:tc>
          <w:tcPr>
            <w:tcW w:w="2520" w:type="dxa"/>
            <w:hideMark/>
          </w:tcPr>
          <w:p w14:paraId="196FBFC1"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7</w:t>
            </w:r>
          </w:p>
        </w:tc>
      </w:tr>
      <w:tr w:rsidR="00455E24" w:rsidRPr="00455E24" w14:paraId="78ACE024" w14:textId="77777777" w:rsidTr="00B46BFF">
        <w:tc>
          <w:tcPr>
            <w:tcW w:w="6120" w:type="dxa"/>
            <w:hideMark/>
          </w:tcPr>
          <w:p w14:paraId="79784C0A" w14:textId="77777777" w:rsidR="00455E24" w:rsidRPr="00455E24" w:rsidRDefault="00455E24" w:rsidP="0008317E">
            <w:pPr>
              <w:spacing w:after="24" w:line="254" w:lineRule="auto"/>
              <w:ind w:left="-18" w:right="38" w:hanging="10"/>
              <w:jc w:val="both"/>
              <w:textAlignment w:val="top"/>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b/>
                <w:bCs/>
                <w:color w:val="000000"/>
                <w:kern w:val="0"/>
                <w:sz w:val="22"/>
                <w:szCs w:val="22"/>
                <w:lang w:val="fr-FR" w:eastAsia="en-GB"/>
                <w14:ligatures w14:val="none"/>
              </w:rPr>
              <w:t>Autres classes d’actifs</w:t>
            </w:r>
          </w:p>
        </w:tc>
        <w:tc>
          <w:tcPr>
            <w:tcW w:w="2520" w:type="dxa"/>
            <w:hideMark/>
          </w:tcPr>
          <w:p w14:paraId="170A13F8" w14:textId="77777777" w:rsidR="00455E24" w:rsidRPr="00455E24" w:rsidRDefault="00455E24" w:rsidP="0008317E">
            <w:pPr>
              <w:spacing w:after="24" w:line="254" w:lineRule="auto"/>
              <w:ind w:left="730" w:right="38" w:hanging="10"/>
              <w:jc w:val="both"/>
              <w:textAlignment w:val="top"/>
              <w:rPr>
                <w:rFonts w:ascii="Calibri" w:eastAsia="Times New Roman" w:hAnsi="Calibri" w:cs="Arial"/>
                <w:color w:val="000000"/>
                <w:kern w:val="0"/>
                <w:sz w:val="22"/>
                <w:szCs w:val="22"/>
                <w:lang w:val="fr-FR" w:eastAsia="en-GB"/>
                <w14:ligatures w14:val="none"/>
              </w:rPr>
            </w:pPr>
          </w:p>
        </w:tc>
      </w:tr>
      <w:tr w:rsidR="00455E24" w:rsidRPr="00455E24" w14:paraId="452E2CD0" w14:textId="77777777" w:rsidTr="00B46BFF">
        <w:tc>
          <w:tcPr>
            <w:tcW w:w="6120" w:type="dxa"/>
            <w:hideMark/>
          </w:tcPr>
          <w:p w14:paraId="1B1FB71F" w14:textId="77777777" w:rsidR="00455E24" w:rsidRPr="00455E24" w:rsidRDefault="00455E24" w:rsidP="0008317E">
            <w:pPr>
              <w:spacing w:after="24" w:line="254" w:lineRule="auto"/>
              <w:ind w:left="-18" w:right="38" w:hanging="10"/>
              <w:jc w:val="both"/>
              <w:textAlignment w:val="top"/>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Équipements lourds et autres matériels</w:t>
            </w:r>
          </w:p>
        </w:tc>
        <w:tc>
          <w:tcPr>
            <w:tcW w:w="2520" w:type="dxa"/>
            <w:hideMark/>
          </w:tcPr>
          <w:p w14:paraId="2AC0E56C" w14:textId="77777777" w:rsidR="00455E24" w:rsidRPr="00455E24" w:rsidRDefault="00455E24" w:rsidP="0008317E">
            <w:pPr>
              <w:spacing w:after="24" w:line="254" w:lineRule="auto"/>
              <w:ind w:left="72" w:right="38" w:hanging="10"/>
              <w:jc w:val="both"/>
              <w:textAlignment w:val="top"/>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10</w:t>
            </w:r>
          </w:p>
        </w:tc>
      </w:tr>
      <w:tr w:rsidR="00455E24" w:rsidRPr="00455E24" w14:paraId="4758C215" w14:textId="77777777" w:rsidTr="00B46BFF">
        <w:tc>
          <w:tcPr>
            <w:tcW w:w="6120" w:type="dxa"/>
            <w:hideMark/>
          </w:tcPr>
          <w:p w14:paraId="1779F378" w14:textId="77777777" w:rsidR="00455E24" w:rsidRPr="00455E24" w:rsidRDefault="00455E24" w:rsidP="0008317E">
            <w:pPr>
              <w:spacing w:after="24" w:line="254" w:lineRule="auto"/>
              <w:ind w:left="-18" w:right="38" w:hanging="10"/>
              <w:jc w:val="both"/>
              <w:textAlignment w:val="top"/>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Véhicules</w:t>
            </w:r>
          </w:p>
        </w:tc>
        <w:tc>
          <w:tcPr>
            <w:tcW w:w="2520" w:type="dxa"/>
            <w:hideMark/>
          </w:tcPr>
          <w:p w14:paraId="3C7DF625" w14:textId="77777777" w:rsidR="00455E24" w:rsidRPr="00455E24" w:rsidRDefault="00455E24" w:rsidP="0008317E">
            <w:pPr>
              <w:spacing w:after="24" w:line="254" w:lineRule="auto"/>
              <w:ind w:left="72" w:right="38" w:hanging="10"/>
              <w:jc w:val="both"/>
              <w:textAlignment w:val="top"/>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5</w:t>
            </w:r>
          </w:p>
        </w:tc>
      </w:tr>
      <w:tr w:rsidR="00455E24" w:rsidRPr="00455E24" w14:paraId="330C48C3" w14:textId="77777777" w:rsidTr="00B46BFF">
        <w:tc>
          <w:tcPr>
            <w:tcW w:w="6120" w:type="dxa"/>
            <w:hideMark/>
          </w:tcPr>
          <w:p w14:paraId="331A74E6" w14:textId="77777777" w:rsidR="00455E24" w:rsidRPr="00455E24" w:rsidRDefault="00455E24" w:rsidP="0008317E">
            <w:pPr>
              <w:spacing w:after="24" w:line="254" w:lineRule="auto"/>
              <w:ind w:left="-18" w:right="38" w:hanging="10"/>
              <w:jc w:val="both"/>
              <w:textAlignment w:val="top"/>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Mobilier et accessoires</w:t>
            </w:r>
          </w:p>
        </w:tc>
        <w:tc>
          <w:tcPr>
            <w:tcW w:w="2520" w:type="dxa"/>
            <w:hideMark/>
          </w:tcPr>
          <w:p w14:paraId="19036A28" w14:textId="77777777" w:rsidR="00455E24" w:rsidRPr="00455E24" w:rsidRDefault="00455E24" w:rsidP="0008317E">
            <w:pPr>
              <w:spacing w:after="24" w:line="254" w:lineRule="auto"/>
              <w:ind w:left="72" w:right="38" w:hanging="10"/>
              <w:jc w:val="both"/>
              <w:textAlignment w:val="top"/>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8</w:t>
            </w:r>
          </w:p>
        </w:tc>
      </w:tr>
    </w:tbl>
    <w:p w14:paraId="2445425E" w14:textId="77777777" w:rsidR="00455E24" w:rsidRPr="00455E24" w:rsidRDefault="00455E24" w:rsidP="00455E24">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fr-FR" w:eastAsia="en-GB"/>
          <w14:ligatures w14:val="none"/>
        </w:rPr>
      </w:pPr>
    </w:p>
    <w:p w14:paraId="0D4C9D05"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4F3088F4"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Valeur résiduelle</w:t>
      </w:r>
    </w:p>
    <w:p w14:paraId="1402E511"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4E1A6A48" w14:textId="77777777" w:rsidR="00455E24" w:rsidRPr="00455E24" w:rsidRDefault="00455E24" w:rsidP="00455E24">
      <w:pPr>
        <w:spacing w:after="0" w:line="254" w:lineRule="auto"/>
        <w:ind w:left="1080"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19.</w:t>
      </w:r>
      <w:r w:rsidRPr="00455E24">
        <w:rPr>
          <w:rFonts w:ascii="Arial" w:eastAsia="Calibri" w:hAnsi="Arial" w:cs="Calibri"/>
          <w:color w:val="000000"/>
          <w:kern w:val="0"/>
          <w:sz w:val="22"/>
          <w:szCs w:val="22"/>
          <w:lang w:val="fr-FR" w:eastAsia="en-GB"/>
          <w14:ligatures w14:val="none"/>
        </w:rPr>
        <w:t xml:space="preserve"> </w:t>
      </w:r>
      <w:r w:rsidRPr="00455E24">
        <w:rPr>
          <w:rFonts w:ascii="Calibri" w:eastAsia="Calibri" w:hAnsi="Calibri" w:cs="Calibri"/>
          <w:color w:val="000000"/>
          <w:kern w:val="0"/>
          <w:sz w:val="22"/>
          <w:szCs w:val="22"/>
          <w:lang w:val="fr-FR" w:eastAsia="en-GB"/>
          <w14:ligatures w14:val="none"/>
        </w:rPr>
        <w:t>Le PNUD a déterminé que, compte tenu du profil d’utilisation attendu, il n’y a pas de valeur résiduelle pour les immobilisations corporelles après amortissement total. La valeur résiduelle de l’ensemble du mobilier et du matériel du PNUD sera nulle après amortissement. Tous les actifs qui restent en service avec une valeur comptable nette nulle seront présentés dans les états financiers à la fin de chaque exercice.</w:t>
      </w:r>
    </w:p>
    <w:p w14:paraId="666C3355" w14:textId="77777777" w:rsidR="00455E24" w:rsidRPr="00455E24" w:rsidRDefault="00455E24" w:rsidP="00455E24">
      <w:pPr>
        <w:spacing w:after="0" w:line="259" w:lineRule="auto"/>
        <w:ind w:left="730" w:hanging="10"/>
        <w:rPr>
          <w:rFonts w:ascii="Calibri" w:eastAsia="Calibri" w:hAnsi="Calibri" w:cs="Calibri"/>
          <w:color w:val="000000"/>
          <w:kern w:val="0"/>
          <w:sz w:val="22"/>
          <w:szCs w:val="22"/>
          <w:lang w:val="fr-FR" w:eastAsia="en-GB"/>
          <w14:ligatures w14:val="none"/>
        </w:rPr>
      </w:pPr>
    </w:p>
    <w:p w14:paraId="5FFA2249"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Rapprochement</w:t>
      </w:r>
    </w:p>
    <w:p w14:paraId="1A0245A1"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6435F5AC" w14:textId="77777777" w:rsidR="00455E24" w:rsidRPr="00455E24" w:rsidRDefault="00455E24" w:rsidP="00455E24">
      <w:pPr>
        <w:spacing w:after="0" w:line="254" w:lineRule="auto"/>
        <w:ind w:left="1080"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20.</w:t>
      </w:r>
      <w:r w:rsidRPr="00455E24">
        <w:rPr>
          <w:rFonts w:ascii="Arial" w:eastAsia="Calibri" w:hAnsi="Arial" w:cs="Calibri"/>
          <w:color w:val="000000"/>
          <w:kern w:val="0"/>
          <w:sz w:val="22"/>
          <w:szCs w:val="22"/>
          <w:lang w:val="fr-FR" w:eastAsia="en-GB"/>
          <w14:ligatures w14:val="none"/>
        </w:rPr>
        <w:t xml:space="preserve"> </w:t>
      </w:r>
      <w:r w:rsidRPr="00455E24">
        <w:rPr>
          <w:rFonts w:ascii="Calibri" w:eastAsia="Calibri" w:hAnsi="Calibri" w:cs="Calibri"/>
          <w:color w:val="000000"/>
          <w:kern w:val="0"/>
          <w:sz w:val="22"/>
          <w:szCs w:val="22"/>
          <w:lang w:val="fr-FR" w:eastAsia="en-GB"/>
          <w14:ligatures w14:val="none"/>
        </w:rPr>
        <w:t>Les bilans de rapprochement suivants seront effectués par les sections ou divisions concernées. La majorité sera préparée par le système Quantum.</w:t>
      </w:r>
    </w:p>
    <w:p w14:paraId="051EAC91" w14:textId="77777777" w:rsidR="00455E24" w:rsidRPr="00455E24" w:rsidRDefault="00455E24" w:rsidP="00455E24">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fr-FR" w:eastAsia="en-GB"/>
          <w14:ligatures w14:val="none"/>
        </w:rPr>
      </w:pPr>
    </w:p>
    <w:tbl>
      <w:tblPr>
        <w:tblW w:w="8550" w:type="dxa"/>
        <w:tblInd w:w="828" w:type="dxa"/>
        <w:tblLayout w:type="fixed"/>
        <w:tblCellMar>
          <w:left w:w="0" w:type="dxa"/>
          <w:right w:w="0" w:type="dxa"/>
        </w:tblCellMar>
        <w:tblLook w:val="04A0" w:firstRow="1" w:lastRow="0" w:firstColumn="1" w:lastColumn="0" w:noHBand="0" w:noVBand="1"/>
      </w:tblPr>
      <w:tblGrid>
        <w:gridCol w:w="4320"/>
        <w:gridCol w:w="1410"/>
        <w:gridCol w:w="2820"/>
      </w:tblGrid>
      <w:tr w:rsidR="00455E24" w:rsidRPr="00455E24" w14:paraId="1F5C99D0" w14:textId="77777777" w:rsidTr="00455E24">
        <w:trPr>
          <w:tblHeader/>
        </w:trPr>
        <w:tc>
          <w:tcPr>
            <w:tcW w:w="4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4CEEB6E"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b/>
                <w:bCs/>
                <w:i/>
                <w:iCs/>
                <w:color w:val="000000"/>
                <w:kern w:val="0"/>
                <w:sz w:val="22"/>
                <w:szCs w:val="22"/>
                <w:lang w:val="fr-FR" w:eastAsia="en-GB"/>
                <w14:ligatures w14:val="none"/>
              </w:rPr>
              <w:lastRenderedPageBreak/>
              <w:t>Examen des rapprochements</w:t>
            </w:r>
          </w:p>
        </w:tc>
        <w:tc>
          <w:tcPr>
            <w:tcW w:w="141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12A89A5"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b/>
                <w:bCs/>
                <w:i/>
                <w:iCs/>
                <w:color w:val="000000"/>
                <w:kern w:val="0"/>
                <w:sz w:val="22"/>
                <w:szCs w:val="22"/>
                <w:lang w:val="fr-FR" w:eastAsia="en-GB"/>
                <w14:ligatures w14:val="none"/>
              </w:rPr>
              <w:t>Périodicité</w:t>
            </w:r>
          </w:p>
        </w:tc>
        <w:tc>
          <w:tcPr>
            <w:tcW w:w="282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7EF38A3"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b/>
                <w:bCs/>
                <w:i/>
                <w:iCs/>
                <w:color w:val="000000"/>
                <w:kern w:val="0"/>
                <w:sz w:val="22"/>
                <w:szCs w:val="22"/>
                <w:lang w:val="fr-FR" w:eastAsia="en-GB"/>
                <w14:ligatures w14:val="none"/>
              </w:rPr>
              <w:t>Unité responsable</w:t>
            </w:r>
          </w:p>
        </w:tc>
      </w:tr>
      <w:tr w:rsidR="00455E24" w:rsidRPr="00455E24" w14:paraId="67B5E74C" w14:textId="77777777" w:rsidTr="00455E24">
        <w:trPr>
          <w:trHeight w:val="422"/>
        </w:trPr>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8576D0" w14:textId="77777777" w:rsidR="00455E24" w:rsidRPr="00455E24" w:rsidRDefault="00455E24" w:rsidP="00455E24">
            <w:pPr>
              <w:tabs>
                <w:tab w:val="left" w:pos="-18"/>
              </w:tabs>
              <w:spacing w:after="24" w:line="254" w:lineRule="auto"/>
              <w:ind w:left="-10" w:right="38"/>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1. Module des actifs du système Quantum et comptes des actifs du grand livre</w:t>
            </w:r>
          </w:p>
        </w:tc>
        <w:tc>
          <w:tcPr>
            <w:tcW w:w="1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2BD086"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Trimestrielle</w:t>
            </w:r>
          </w:p>
        </w:tc>
        <w:tc>
          <w:tcPr>
            <w:tcW w:w="28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EB58AF" w14:textId="77777777" w:rsidR="00455E24" w:rsidRPr="00455E24" w:rsidRDefault="00455E24" w:rsidP="00455E24">
            <w:pPr>
              <w:spacing w:after="24" w:line="254" w:lineRule="auto"/>
              <w:ind w:left="72"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Opérations générales / BMS</w:t>
            </w:r>
          </w:p>
        </w:tc>
      </w:tr>
      <w:tr w:rsidR="00455E24" w:rsidRPr="00455E24" w14:paraId="21F5C662" w14:textId="77777777" w:rsidTr="00455E24">
        <w:trPr>
          <w:trHeight w:val="431"/>
        </w:trPr>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773184" w14:textId="77777777" w:rsidR="00455E24" w:rsidRPr="00455E24" w:rsidRDefault="00455E24" w:rsidP="00455E24">
            <w:pPr>
              <w:tabs>
                <w:tab w:val="left" w:pos="-18"/>
              </w:tabs>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2. Éléments d’actif achetés (P2P) et module des actifs du système Quantum </w:t>
            </w:r>
          </w:p>
        </w:tc>
        <w:tc>
          <w:tcPr>
            <w:tcW w:w="1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B365CE"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Mensuelle</w:t>
            </w:r>
          </w:p>
        </w:tc>
        <w:tc>
          <w:tcPr>
            <w:tcW w:w="28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5542F0" w14:textId="77777777" w:rsidR="00455E24" w:rsidRPr="00455E24" w:rsidRDefault="00455E24" w:rsidP="00455E24">
            <w:pPr>
              <w:spacing w:after="24" w:line="254" w:lineRule="auto"/>
              <w:ind w:left="72"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Opérations générales / BMS</w:t>
            </w:r>
          </w:p>
        </w:tc>
      </w:tr>
      <w:tr w:rsidR="00455E24" w:rsidRPr="00455E24" w14:paraId="301D9768" w14:textId="77777777" w:rsidTr="00455E24">
        <w:trPr>
          <w:trHeight w:val="719"/>
        </w:trPr>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CC8653B" w14:textId="77777777" w:rsidR="00455E24" w:rsidRPr="00455E24" w:rsidRDefault="00455E24" w:rsidP="00455E24">
            <w:pPr>
              <w:tabs>
                <w:tab w:val="left" w:pos="-18"/>
              </w:tabs>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3. Opérations du compte de compensation et actifs enregistrés dans le module des actifs du système Quantum</w:t>
            </w:r>
          </w:p>
        </w:tc>
        <w:tc>
          <w:tcPr>
            <w:tcW w:w="1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E07B26"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Mensuelle</w:t>
            </w:r>
          </w:p>
        </w:tc>
        <w:tc>
          <w:tcPr>
            <w:tcW w:w="28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4E13E3D"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Division de la comptabilité</w:t>
            </w:r>
          </w:p>
        </w:tc>
      </w:tr>
      <w:tr w:rsidR="00455E24" w:rsidRPr="00455E24" w14:paraId="789B1248" w14:textId="77777777" w:rsidTr="00455E24">
        <w:trPr>
          <w:trHeight w:val="1781"/>
        </w:trPr>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A46442C" w14:textId="77777777" w:rsidR="00455E24" w:rsidRPr="00455E24" w:rsidRDefault="00455E24" w:rsidP="00455E24">
            <w:pPr>
              <w:tabs>
                <w:tab w:val="left" w:pos="-18"/>
              </w:tabs>
              <w:spacing w:after="24" w:line="254" w:lineRule="auto"/>
              <w:ind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4. Rapprochement du calendrier des mouvements d’actifs</w:t>
            </w:r>
          </w:p>
          <w:p w14:paraId="74B2528D" w14:textId="77777777" w:rsidR="00455E24" w:rsidRPr="00455E24" w:rsidRDefault="00455E24" w:rsidP="00455E24">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Solde de début d’exercice</w:t>
            </w:r>
          </w:p>
          <w:p w14:paraId="7815F41D" w14:textId="77777777" w:rsidR="00455E24" w:rsidRPr="00455E24" w:rsidRDefault="00455E24" w:rsidP="00455E24">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Acquisitions</w:t>
            </w:r>
          </w:p>
          <w:p w14:paraId="7D42F757" w14:textId="77777777" w:rsidR="00455E24" w:rsidRPr="00455E24" w:rsidRDefault="00455E24" w:rsidP="00455E24">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Ajustements</w:t>
            </w:r>
          </w:p>
          <w:p w14:paraId="0D17B9B9" w14:textId="77777777" w:rsidR="00455E24" w:rsidRPr="00455E24" w:rsidRDefault="00455E24" w:rsidP="00455E24">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Liquidations</w:t>
            </w:r>
          </w:p>
          <w:p w14:paraId="623C9E16" w14:textId="77777777" w:rsidR="00455E24" w:rsidRPr="00455E24" w:rsidRDefault="00455E24" w:rsidP="00455E24">
            <w:pPr>
              <w:numPr>
                <w:ilvl w:val="0"/>
                <w:numId w:val="12"/>
              </w:numPr>
              <w:tabs>
                <w:tab w:val="left" w:pos="-18"/>
              </w:tabs>
              <w:spacing w:after="0" w:line="240" w:lineRule="auto"/>
              <w:ind w:right="38"/>
              <w:contextualSpacing/>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Solde de fin d’exercice</w:t>
            </w:r>
          </w:p>
        </w:tc>
        <w:tc>
          <w:tcPr>
            <w:tcW w:w="1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898E74"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Trimestrielle</w:t>
            </w:r>
          </w:p>
        </w:tc>
        <w:tc>
          <w:tcPr>
            <w:tcW w:w="28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A2AD787" w14:textId="77777777" w:rsidR="00455E24" w:rsidRPr="00455E24" w:rsidRDefault="00455E24" w:rsidP="00455E24">
            <w:pPr>
              <w:spacing w:after="24" w:line="254" w:lineRule="auto"/>
              <w:ind w:left="72"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Opérations générales / BMS</w:t>
            </w:r>
          </w:p>
        </w:tc>
      </w:tr>
      <w:tr w:rsidR="00455E24" w:rsidRPr="00455E24" w14:paraId="2596BF48" w14:textId="77777777" w:rsidTr="00455E24">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01955DB" w14:textId="77777777" w:rsidR="00455E24" w:rsidRPr="00455E24" w:rsidRDefault="00455E24" w:rsidP="00455E24">
            <w:pPr>
              <w:tabs>
                <w:tab w:val="left" w:pos="-18"/>
              </w:tabs>
              <w:spacing w:after="24" w:line="254" w:lineRule="auto"/>
              <w:ind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5. Résultats de l’inventaire physique et rapports de gestion d’actifs Quantum </w:t>
            </w:r>
          </w:p>
        </w:tc>
        <w:tc>
          <w:tcPr>
            <w:tcW w:w="1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FF9C96"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Semestrielle</w:t>
            </w:r>
          </w:p>
        </w:tc>
        <w:tc>
          <w:tcPr>
            <w:tcW w:w="28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26DADD" w14:textId="77777777" w:rsidR="00455E24" w:rsidRPr="00455E24" w:rsidRDefault="00455E24" w:rsidP="00455E24">
            <w:pPr>
              <w:spacing w:after="24" w:line="254" w:lineRule="auto"/>
              <w:ind w:left="72"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Toutes les unités administratives - siège et bureaux de pays</w:t>
            </w:r>
          </w:p>
          <w:p w14:paraId="58A74F36" w14:textId="77777777" w:rsidR="00455E24" w:rsidRPr="00455E24" w:rsidRDefault="00455E24" w:rsidP="00455E24">
            <w:pPr>
              <w:spacing w:after="24" w:line="254" w:lineRule="auto"/>
              <w:ind w:left="72" w:right="38" w:hanging="10"/>
              <w:jc w:val="both"/>
              <w:rPr>
                <w:rFonts w:ascii="Calibri" w:eastAsia="Times New Roman" w:hAnsi="Calibri" w:cs="Arial"/>
                <w:color w:val="000000"/>
                <w:kern w:val="0"/>
                <w:sz w:val="22"/>
                <w:szCs w:val="22"/>
                <w:lang w:val="fr-FR" w:eastAsia="en-GB"/>
                <w14:ligatures w14:val="none"/>
              </w:rPr>
            </w:pPr>
          </w:p>
        </w:tc>
      </w:tr>
      <w:tr w:rsidR="00455E24" w:rsidRPr="00455E24" w14:paraId="7288D351" w14:textId="77777777" w:rsidTr="00455E24">
        <w:tc>
          <w:tcPr>
            <w:tcW w:w="43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34FFE1" w14:textId="77777777" w:rsidR="00455E24" w:rsidRPr="00455E24" w:rsidRDefault="00455E24" w:rsidP="00455E24">
            <w:pPr>
              <w:tabs>
                <w:tab w:val="left" w:pos="-18"/>
              </w:tabs>
              <w:spacing w:after="24" w:line="254" w:lineRule="auto"/>
              <w:ind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6. Charges d’amortissement - rapprochement général</w:t>
            </w:r>
          </w:p>
        </w:tc>
        <w:tc>
          <w:tcPr>
            <w:tcW w:w="141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3492298" w14:textId="77777777" w:rsidR="00455E24" w:rsidRPr="00455E24" w:rsidRDefault="00455E24" w:rsidP="00455E24">
            <w:pPr>
              <w:spacing w:after="24" w:line="254" w:lineRule="auto"/>
              <w:ind w:right="38" w:hanging="10"/>
              <w:jc w:val="both"/>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Trimestrielle</w:t>
            </w:r>
          </w:p>
        </w:tc>
        <w:tc>
          <w:tcPr>
            <w:tcW w:w="28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C10279" w14:textId="77777777" w:rsidR="00455E24" w:rsidRPr="00455E24" w:rsidRDefault="00455E24" w:rsidP="00455E24">
            <w:pPr>
              <w:spacing w:after="24" w:line="254" w:lineRule="auto"/>
              <w:ind w:left="72" w:right="38" w:hanging="10"/>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Service des opérations générales et bureau des services de gestion, et division de la comptabilité, siège de New York</w:t>
            </w:r>
          </w:p>
        </w:tc>
      </w:tr>
    </w:tbl>
    <w:p w14:paraId="061FB1D5" w14:textId="77777777" w:rsidR="00455E24" w:rsidRPr="00455E24" w:rsidRDefault="00455E24" w:rsidP="00455E24">
      <w:pPr>
        <w:shd w:val="clear" w:color="auto" w:fill="FFFFFF"/>
        <w:spacing w:after="24" w:line="254" w:lineRule="auto"/>
        <w:ind w:left="730" w:right="38" w:hanging="10"/>
        <w:jc w:val="both"/>
        <w:textAlignment w:val="top"/>
        <w:rPr>
          <w:rFonts w:ascii="Calibri" w:eastAsia="Times New Roman" w:hAnsi="Calibri" w:cs="Arial"/>
          <w:color w:val="000000"/>
          <w:kern w:val="0"/>
          <w:sz w:val="22"/>
          <w:szCs w:val="22"/>
          <w:lang w:val="fr-FR" w:eastAsia="en-GB"/>
          <w14:ligatures w14:val="none"/>
        </w:rPr>
      </w:pPr>
    </w:p>
    <w:p w14:paraId="08F5DEF8" w14:textId="77777777" w:rsidR="00455E24" w:rsidRPr="00455E24" w:rsidRDefault="00455E24" w:rsidP="00455E24">
      <w:pPr>
        <w:shd w:val="clear" w:color="auto" w:fill="FFFFFF"/>
        <w:spacing w:after="24" w:line="254" w:lineRule="auto"/>
        <w:ind w:left="730" w:right="38" w:hanging="10"/>
        <w:jc w:val="both"/>
        <w:textAlignment w:val="top"/>
        <w:outlineLvl w:val="1"/>
        <w:rPr>
          <w:rFonts w:ascii="Calibri" w:eastAsia="Times New Roman" w:hAnsi="Calibri" w:cs="Arial"/>
          <w:color w:val="000000"/>
          <w:kern w:val="0"/>
          <w:sz w:val="22"/>
          <w:szCs w:val="22"/>
          <w:lang w:val="fr-FR" w:eastAsia="en-GB"/>
          <w14:ligatures w14:val="none"/>
        </w:rPr>
      </w:pPr>
      <w:r w:rsidRPr="00455E24">
        <w:rPr>
          <w:rFonts w:ascii="Calibri" w:eastAsia="Calibri" w:hAnsi="Calibri" w:cs="Calibri"/>
          <w:b/>
          <w:bCs/>
          <w:color w:val="000000"/>
          <w:kern w:val="0"/>
          <w:sz w:val="22"/>
          <w:szCs w:val="22"/>
          <w:lang w:val="fr-FR" w:eastAsia="en-GB"/>
          <w14:ligatures w14:val="none"/>
        </w:rPr>
        <w:t>Rapports</w:t>
      </w:r>
    </w:p>
    <w:p w14:paraId="5B779879" w14:textId="77777777" w:rsidR="00455E24" w:rsidRPr="00455E24" w:rsidRDefault="00455E24" w:rsidP="00455E24">
      <w:pPr>
        <w:spacing w:after="0" w:line="254" w:lineRule="auto"/>
        <w:ind w:left="370" w:right="28" w:hanging="10"/>
        <w:jc w:val="both"/>
        <w:rPr>
          <w:rFonts w:ascii="Calibri" w:eastAsia="Calibri" w:hAnsi="Calibri" w:cs="Calibri"/>
          <w:color w:val="000000"/>
          <w:kern w:val="0"/>
          <w:sz w:val="20"/>
          <w:szCs w:val="20"/>
          <w:lang w:val="fr-FR" w:eastAsia="en-GB"/>
          <w14:ligatures w14:val="none"/>
        </w:rPr>
      </w:pPr>
    </w:p>
    <w:p w14:paraId="162145A2" w14:textId="77777777" w:rsidR="00455E24" w:rsidRPr="00455E24" w:rsidRDefault="00455E24" w:rsidP="00455E24">
      <w:pPr>
        <w:spacing w:after="0" w:line="254" w:lineRule="auto"/>
        <w:ind w:left="370" w:right="28" w:hanging="1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Les rapports suivants pourront être utilisés à des fins de gestion et d’exploitation :</w:t>
      </w:r>
    </w:p>
    <w:p w14:paraId="15790C01" w14:textId="77777777" w:rsidR="00455E24" w:rsidRPr="00455E24" w:rsidRDefault="00455E24" w:rsidP="00455E24">
      <w:pPr>
        <w:spacing w:after="0" w:line="259" w:lineRule="auto"/>
        <w:ind w:left="360"/>
        <w:rPr>
          <w:rFonts w:ascii="Calibri" w:eastAsia="Calibri" w:hAnsi="Calibri" w:cs="Calibri"/>
          <w:color w:val="000000"/>
          <w:kern w:val="0"/>
          <w:sz w:val="20"/>
          <w:szCs w:val="20"/>
          <w:lang w:val="fr-FR" w:eastAsia="en-GB"/>
          <w14:ligatures w14:val="none"/>
        </w:rPr>
      </w:pPr>
    </w:p>
    <w:p w14:paraId="5FCE4606" w14:textId="77777777" w:rsidR="00455E24" w:rsidRPr="00455E24" w:rsidRDefault="00455E24" w:rsidP="00455E24">
      <w:pPr>
        <w:spacing w:after="0" w:line="259" w:lineRule="auto"/>
        <w:ind w:left="730" w:hanging="10"/>
        <w:rPr>
          <w:rFonts w:ascii="Calibri" w:eastAsia="Calibri" w:hAnsi="Calibri" w:cs="Calibri"/>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Rapports de gestion :</w:t>
      </w:r>
    </w:p>
    <w:p w14:paraId="07612ED9" w14:textId="77777777" w:rsidR="00455E24" w:rsidRPr="00455E24" w:rsidRDefault="00455E24" w:rsidP="00455E24">
      <w:pPr>
        <w:numPr>
          <w:ilvl w:val="0"/>
          <w:numId w:val="4"/>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Rapport AM détaillé - Rapport de service</w:t>
      </w:r>
    </w:p>
    <w:p w14:paraId="364EE611" w14:textId="77777777" w:rsidR="00455E24" w:rsidRPr="00455E24" w:rsidRDefault="00455E24" w:rsidP="00455E24">
      <w:pPr>
        <w:numPr>
          <w:ilvl w:val="0"/>
          <w:numId w:val="4"/>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Rapports AM détaillés sur les opérations (acquisitions, ajustements, transferts et liquidations)</w:t>
      </w:r>
    </w:p>
    <w:p w14:paraId="0BDCEC9A" w14:textId="77777777" w:rsidR="00455E24" w:rsidRPr="00455E24" w:rsidRDefault="00455E24" w:rsidP="00455E24">
      <w:pPr>
        <w:numPr>
          <w:ilvl w:val="0"/>
          <w:numId w:val="4"/>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Rapport AM résumé</w:t>
      </w:r>
    </w:p>
    <w:p w14:paraId="356D7BEE" w14:textId="77777777" w:rsidR="00455E24" w:rsidRPr="00455E24" w:rsidRDefault="00455E24" w:rsidP="00455E24">
      <w:pPr>
        <w:numPr>
          <w:ilvl w:val="0"/>
          <w:numId w:val="4"/>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Tableau de bord AM</w:t>
      </w:r>
    </w:p>
    <w:p w14:paraId="443824D7" w14:textId="77777777" w:rsidR="00455E24" w:rsidRPr="00455E24" w:rsidRDefault="00455E24" w:rsidP="00455E24">
      <w:pPr>
        <w:spacing w:after="0" w:line="259" w:lineRule="auto"/>
        <w:rPr>
          <w:rFonts w:ascii="Calibri" w:eastAsia="Calibri" w:hAnsi="Calibri" w:cs="Calibri"/>
          <w:color w:val="000000"/>
          <w:kern w:val="0"/>
          <w:sz w:val="20"/>
          <w:szCs w:val="20"/>
          <w:lang w:val="fr-FR" w:eastAsia="en-GB"/>
          <w14:ligatures w14:val="none"/>
        </w:rPr>
      </w:pPr>
    </w:p>
    <w:p w14:paraId="38EA1B9B" w14:textId="77777777" w:rsidR="00455E24" w:rsidRPr="00455E24" w:rsidRDefault="00455E24" w:rsidP="00455E24">
      <w:pPr>
        <w:spacing w:after="0" w:line="259" w:lineRule="auto"/>
        <w:ind w:left="730" w:hanging="10"/>
        <w:rPr>
          <w:rFonts w:ascii="Calibri" w:eastAsia="Calibri" w:hAnsi="Calibri" w:cs="Calibri"/>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Rapports opérationnels :</w:t>
      </w:r>
    </w:p>
    <w:p w14:paraId="0831D870" w14:textId="77777777" w:rsidR="00455E24" w:rsidRPr="00455E24" w:rsidRDefault="00455E24" w:rsidP="00455E24">
      <w:pPr>
        <w:numPr>
          <w:ilvl w:val="0"/>
          <w:numId w:val="5"/>
        </w:numPr>
        <w:spacing w:after="0" w:line="254" w:lineRule="auto"/>
        <w:ind w:right="28" w:hanging="360"/>
        <w:jc w:val="both"/>
        <w:rPr>
          <w:rFonts w:ascii="Calibri" w:eastAsia="Calibri" w:hAnsi="Calibri" w:cs="Calibri"/>
          <w:color w:val="000000"/>
          <w:kern w:val="0"/>
          <w:sz w:val="22"/>
          <w:szCs w:val="22"/>
          <w:lang w:val="fr-FR" w:eastAsia="en-GB"/>
          <w14:ligatures w14:val="none"/>
        </w:rPr>
      </w:pPr>
      <w:proofErr w:type="spellStart"/>
      <w:r w:rsidRPr="00455E24">
        <w:rPr>
          <w:rFonts w:ascii="Calibri" w:eastAsia="Calibri" w:hAnsi="Calibri" w:cs="Calibri"/>
          <w:color w:val="000000"/>
          <w:kern w:val="0"/>
          <w:sz w:val="22"/>
          <w:szCs w:val="22"/>
          <w:lang w:val="fr-FR" w:eastAsia="en-GB"/>
          <w14:ligatures w14:val="none"/>
        </w:rPr>
        <w:t>Re-catégorisation</w:t>
      </w:r>
      <w:proofErr w:type="spellEnd"/>
    </w:p>
    <w:p w14:paraId="7B48ECF8" w14:textId="77777777" w:rsidR="00455E24" w:rsidRPr="00455E24" w:rsidRDefault="00455E24" w:rsidP="00455E24">
      <w:pPr>
        <w:numPr>
          <w:ilvl w:val="0"/>
          <w:numId w:val="5"/>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Rapport du Département de la sûreté et de la sécurité (DSS) des Nations Unies</w:t>
      </w:r>
    </w:p>
    <w:p w14:paraId="37B7CD59" w14:textId="77777777" w:rsidR="00455E24" w:rsidRPr="00455E24" w:rsidRDefault="00455E24" w:rsidP="00455E24">
      <w:pPr>
        <w:numPr>
          <w:ilvl w:val="0"/>
          <w:numId w:val="5"/>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Amortissement par période</w:t>
      </w:r>
    </w:p>
    <w:p w14:paraId="214D8E80" w14:textId="77777777" w:rsidR="00455E24" w:rsidRPr="00455E24" w:rsidRDefault="00455E24" w:rsidP="00455E24">
      <w:pPr>
        <w:numPr>
          <w:ilvl w:val="0"/>
          <w:numId w:val="5"/>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Rapport sur la valeur comptable nette - par ID d’actif, BU, </w:t>
      </w:r>
      <w:proofErr w:type="gramStart"/>
      <w:r w:rsidRPr="00455E24">
        <w:rPr>
          <w:rFonts w:ascii="Calibri" w:eastAsia="Calibri" w:hAnsi="Calibri" w:cs="Calibri"/>
          <w:color w:val="000000"/>
          <w:kern w:val="0"/>
          <w:sz w:val="22"/>
          <w:szCs w:val="22"/>
          <w:lang w:val="fr-FR" w:eastAsia="en-GB"/>
          <w14:ligatures w14:val="none"/>
        </w:rPr>
        <w:t>OU</w:t>
      </w:r>
      <w:proofErr w:type="gramEnd"/>
      <w:r w:rsidRPr="00455E24">
        <w:rPr>
          <w:rFonts w:ascii="Calibri" w:eastAsia="Calibri" w:hAnsi="Calibri" w:cs="Calibri"/>
          <w:color w:val="000000"/>
          <w:kern w:val="0"/>
          <w:sz w:val="22"/>
          <w:szCs w:val="22"/>
          <w:lang w:val="fr-FR" w:eastAsia="en-GB"/>
          <w14:ligatures w14:val="none"/>
        </w:rPr>
        <w:t>.</w:t>
      </w:r>
    </w:p>
    <w:p w14:paraId="37607CB2" w14:textId="77777777" w:rsidR="00455E24" w:rsidRPr="00455E24" w:rsidRDefault="00455E24" w:rsidP="00455E24">
      <w:pPr>
        <w:numPr>
          <w:ilvl w:val="0"/>
          <w:numId w:val="5"/>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Reclassements d’actifs</w:t>
      </w:r>
    </w:p>
    <w:p w14:paraId="0B9C9B59" w14:textId="77777777" w:rsidR="00455E24" w:rsidRPr="00455E24" w:rsidRDefault="00455E24" w:rsidP="00455E24">
      <w:pPr>
        <w:spacing w:after="0" w:line="259" w:lineRule="auto"/>
        <w:rPr>
          <w:rFonts w:ascii="Calibri" w:eastAsia="Calibri" w:hAnsi="Calibri" w:cs="Calibri"/>
          <w:color w:val="000000"/>
          <w:kern w:val="0"/>
          <w:sz w:val="20"/>
          <w:szCs w:val="20"/>
          <w:lang w:val="fr-FR" w:eastAsia="en-GB"/>
          <w14:ligatures w14:val="none"/>
        </w:rPr>
      </w:pPr>
    </w:p>
    <w:p w14:paraId="12006147" w14:textId="77777777" w:rsidR="00455E24" w:rsidRPr="00455E24" w:rsidRDefault="00455E24" w:rsidP="00455E24">
      <w:pPr>
        <w:spacing w:after="0" w:line="259" w:lineRule="auto"/>
        <w:ind w:left="10" w:hanging="10"/>
        <w:rPr>
          <w:rFonts w:ascii="Calibri" w:eastAsia="Calibri" w:hAnsi="Calibri" w:cs="Calibri"/>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lastRenderedPageBreak/>
        <w:t>Fonctions centralisées</w:t>
      </w:r>
    </w:p>
    <w:p w14:paraId="33A0A042" w14:textId="77777777" w:rsidR="00455E24" w:rsidRPr="00455E24" w:rsidRDefault="00455E24" w:rsidP="00455E24">
      <w:pPr>
        <w:spacing w:after="0" w:line="259" w:lineRule="auto"/>
        <w:ind w:left="360"/>
        <w:rPr>
          <w:rFonts w:ascii="Calibri" w:eastAsia="Calibri" w:hAnsi="Calibri" w:cs="Calibri"/>
          <w:color w:val="000000"/>
          <w:kern w:val="0"/>
          <w:sz w:val="20"/>
          <w:szCs w:val="20"/>
          <w:lang w:val="fr-FR" w:eastAsia="en-GB"/>
          <w14:ligatures w14:val="none"/>
        </w:rPr>
      </w:pPr>
    </w:p>
    <w:p w14:paraId="3430D80C" w14:textId="77777777" w:rsidR="00455E24" w:rsidRPr="00455E24" w:rsidRDefault="00455E24" w:rsidP="00455E24">
      <w:pPr>
        <w:spacing w:after="0" w:line="254" w:lineRule="auto"/>
        <w:ind w:left="370" w:right="28" w:hanging="1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Les fonctions suivantes seront exécutées par le GSSC et le service des opérations générales ou le bureau des services de gestion :</w:t>
      </w:r>
    </w:p>
    <w:p w14:paraId="50DD168E" w14:textId="77777777" w:rsidR="00455E24" w:rsidRPr="00455E24" w:rsidRDefault="00455E24" w:rsidP="00455E24">
      <w:pPr>
        <w:spacing w:after="0" w:line="259" w:lineRule="auto"/>
        <w:ind w:left="360"/>
        <w:rPr>
          <w:rFonts w:ascii="Calibri" w:eastAsia="Calibri" w:hAnsi="Calibri" w:cs="Calibri"/>
          <w:color w:val="000000"/>
          <w:kern w:val="0"/>
          <w:sz w:val="20"/>
          <w:szCs w:val="20"/>
          <w:lang w:val="fr-FR" w:eastAsia="en-GB"/>
          <w14:ligatures w14:val="none"/>
        </w:rPr>
      </w:pPr>
    </w:p>
    <w:p w14:paraId="4CB72964"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t>Centre mondial de services partagés du PNUD (GSSC)</w:t>
      </w:r>
    </w:p>
    <w:p w14:paraId="29BBB912" w14:textId="77777777" w:rsidR="00455E24" w:rsidRPr="00455E24" w:rsidRDefault="00455E24" w:rsidP="00455E24">
      <w:pPr>
        <w:spacing w:after="24" w:line="254" w:lineRule="auto"/>
        <w:ind w:left="730" w:right="38" w:hanging="10"/>
        <w:jc w:val="both"/>
        <w:rPr>
          <w:rFonts w:ascii="Calibri" w:eastAsia="Calibri" w:hAnsi="Calibri" w:cs="Calibri"/>
          <w:color w:val="000000"/>
          <w:kern w:val="0"/>
          <w:sz w:val="22"/>
          <w:szCs w:val="22"/>
          <w:lang w:val="fr-FR" w:eastAsia="en-GB"/>
          <w14:ligatures w14:val="none"/>
        </w:rPr>
      </w:pPr>
    </w:p>
    <w:p w14:paraId="21B7B5EB"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Traiter toutes les opérations de gestion d’actifs et les écritures de journal au grand livre correspondantes relatives aux ajouts de base, aux liquidations, aux transferts d’actifs et aux dépréciations d’actifs.</w:t>
      </w:r>
    </w:p>
    <w:p w14:paraId="1FCAABB3" w14:textId="77777777" w:rsidR="00455E24" w:rsidRPr="00455E24" w:rsidRDefault="00455E24" w:rsidP="00455E24">
      <w:pPr>
        <w:numPr>
          <w:ilvl w:val="0"/>
          <w:numId w:val="6"/>
        </w:numPr>
        <w:spacing w:after="0" w:line="254" w:lineRule="auto"/>
        <w:ind w:left="1810"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Actualiser le statut vers « en service » pour les biens qui ont été mis en service et qui figuraient dans les catégories franco à bord, coût et fret, système de renseignements douaniers, ou en attente d’allocation.</w:t>
      </w:r>
    </w:p>
    <w:p w14:paraId="3D29B5C3"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Immobiliser les actifs d’UNDSS expédiés directement au bureau de pays par le UNDSS.</w:t>
      </w:r>
    </w:p>
    <w:p w14:paraId="042EDB7A"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Comptabilisation de la part du PNUD des actifs communs par l’intermédiaire de l’accord sur les services communs.</w:t>
      </w:r>
    </w:p>
    <w:p w14:paraId="14A67E70"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Examiner et classer les contrats de location et enregistrer les contrats de location-financement identifiés.</w:t>
      </w:r>
    </w:p>
    <w:p w14:paraId="524D3B1F"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Aider les bureaux de pays dans la mise en œuvre des principaux processus relatifs aux normes IPSAS qui présentent un risque an matière d’audit.</w:t>
      </w:r>
    </w:p>
    <w:p w14:paraId="77E1E315"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Examiner et traiter les demandes exceptionnelles comme l’ajustement des coûts et le reclassement des actifs.</w:t>
      </w:r>
    </w:p>
    <w:p w14:paraId="2FD1A021"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Au moment de l’immobilisation ou du transfert, le GSSC examinera les combinaisons de plan comptable pour s’assurer que les actifs sont comptabilisés conformément à des champs valides.</w:t>
      </w:r>
    </w:p>
    <w:p w14:paraId="17F8E370"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Traiter les demandes de changement de catégorie d’actifs dans le plan comptable et créer des écritures de journal dans le grand livre pour ajustement.</w:t>
      </w:r>
    </w:p>
    <w:p w14:paraId="423A042C"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Informer le service des opérations générales, bureau des services de gestion et le bureau des systèmes informatiques et des technologies de l’information de toute limitation du système dans le traitement des opérations de gestion des actifs dans Quantum en vue d’une reconfiguration.</w:t>
      </w:r>
    </w:p>
    <w:p w14:paraId="46BEE693" w14:textId="6A198105"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En tant que gérants de la soumission d'actifs </w:t>
      </w:r>
      <w:proofErr w:type="spellStart"/>
      <w:r w:rsidRPr="00455E24">
        <w:rPr>
          <w:rFonts w:ascii="Calibri" w:eastAsia="Calibri" w:hAnsi="Calibri" w:cs="Calibri"/>
          <w:color w:val="000000"/>
          <w:kern w:val="0"/>
          <w:sz w:val="22"/>
          <w:szCs w:val="22"/>
          <w:lang w:val="fr-FR" w:eastAsia="en-GB"/>
          <w14:ligatures w14:val="none"/>
        </w:rPr>
        <w:t>UNall</w:t>
      </w:r>
      <w:proofErr w:type="spellEnd"/>
      <w:r w:rsidRPr="00455E24">
        <w:rPr>
          <w:rFonts w:ascii="Calibri" w:eastAsia="Calibri" w:hAnsi="Calibri" w:cs="Calibri"/>
          <w:color w:val="000000"/>
          <w:kern w:val="0"/>
          <w:sz w:val="22"/>
          <w:szCs w:val="22"/>
          <w:lang w:val="fr-FR" w:eastAsia="en-GB"/>
          <w14:ligatures w14:val="none"/>
        </w:rPr>
        <w:t xml:space="preserve">, veiller à ce que les cas soient régulièrement examiné pour vérifier la cohérence, l’intégrité, la facilité d’utilisation et les mises à jour. </w:t>
      </w:r>
    </w:p>
    <w:p w14:paraId="24A06008"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Communiquer aux unités administratives toute mise à jour de </w:t>
      </w:r>
      <w:proofErr w:type="spellStart"/>
      <w:r w:rsidRPr="00455E24">
        <w:rPr>
          <w:rFonts w:ascii="Calibri" w:eastAsia="Calibri" w:hAnsi="Calibri" w:cs="Calibri"/>
          <w:color w:val="000000"/>
          <w:kern w:val="0"/>
          <w:sz w:val="22"/>
          <w:szCs w:val="22"/>
          <w:lang w:val="fr-FR" w:eastAsia="en-GB"/>
          <w14:ligatures w14:val="none"/>
        </w:rPr>
        <w:t>UNall</w:t>
      </w:r>
      <w:proofErr w:type="spellEnd"/>
      <w:r w:rsidRPr="00455E24">
        <w:rPr>
          <w:rFonts w:ascii="Calibri" w:eastAsia="Calibri" w:hAnsi="Calibri" w:cs="Calibri"/>
          <w:color w:val="000000"/>
          <w:kern w:val="0"/>
          <w:sz w:val="22"/>
          <w:szCs w:val="22"/>
          <w:lang w:val="fr-FR" w:eastAsia="en-GB"/>
          <w14:ligatures w14:val="none"/>
        </w:rPr>
        <w:t>, offrir des formations et des webinaires et assurer la conformité aux exigences du DMS en tant que référentiel documentaire.</w:t>
      </w:r>
    </w:p>
    <w:p w14:paraId="3790E973"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Traiter les demandes de dépréciation d’actifs approuvées.</w:t>
      </w:r>
    </w:p>
    <w:p w14:paraId="4D58B2C0" w14:textId="77777777" w:rsidR="00455E24" w:rsidRPr="00455E24" w:rsidRDefault="00455E24" w:rsidP="00455E24">
      <w:pPr>
        <w:numPr>
          <w:ilvl w:val="0"/>
          <w:numId w:val="6"/>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Revoir régulièrement les combinaisons du plan comptable pour s’assurer que les actifs sont enregistrés conformément à des champs valides.</w:t>
      </w:r>
    </w:p>
    <w:p w14:paraId="5ECE3EA6" w14:textId="77777777" w:rsidR="00455E24" w:rsidRPr="00455E24" w:rsidRDefault="00455E24" w:rsidP="00455E24">
      <w:pPr>
        <w:spacing w:after="0" w:line="259" w:lineRule="auto"/>
        <w:rPr>
          <w:rFonts w:ascii="Calibri" w:eastAsia="Calibri" w:hAnsi="Calibri" w:cs="Calibri"/>
          <w:color w:val="000000"/>
          <w:kern w:val="0"/>
          <w:sz w:val="22"/>
          <w:szCs w:val="22"/>
          <w:lang w:val="fr-FR" w:eastAsia="en-GB"/>
          <w14:ligatures w14:val="none"/>
        </w:rPr>
      </w:pPr>
    </w:p>
    <w:p w14:paraId="29464A69" w14:textId="77777777" w:rsidR="00455E24" w:rsidRPr="00455E24" w:rsidRDefault="00455E24" w:rsidP="00455E24">
      <w:pPr>
        <w:keepNext/>
        <w:keepLines/>
        <w:spacing w:after="0" w:line="259" w:lineRule="auto"/>
        <w:ind w:left="341" w:hanging="10"/>
        <w:outlineLvl w:val="0"/>
        <w:rPr>
          <w:rFonts w:ascii="Calibri" w:eastAsia="Calibri" w:hAnsi="Calibri" w:cs="Calibri"/>
          <w:b/>
          <w:color w:val="000000"/>
          <w:kern w:val="0"/>
          <w:sz w:val="22"/>
          <w:szCs w:val="22"/>
          <w:lang w:val="fr-FR" w:eastAsia="en-GB"/>
          <w14:ligatures w14:val="none"/>
        </w:rPr>
      </w:pPr>
      <w:r w:rsidRPr="00455E24">
        <w:rPr>
          <w:rFonts w:ascii="Calibri" w:eastAsia="Calibri" w:hAnsi="Calibri" w:cs="Calibri"/>
          <w:b/>
          <w:color w:val="000000"/>
          <w:kern w:val="0"/>
          <w:sz w:val="22"/>
          <w:szCs w:val="22"/>
          <w:lang w:val="fr-FR" w:eastAsia="en-GB"/>
          <w14:ligatures w14:val="none"/>
        </w:rPr>
        <w:lastRenderedPageBreak/>
        <w:t>Siège</w:t>
      </w:r>
    </w:p>
    <w:p w14:paraId="08A16B66"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33A1E5F2" w14:textId="77777777" w:rsidR="00455E24" w:rsidRPr="00455E24" w:rsidRDefault="00455E24" w:rsidP="00455E24">
      <w:pPr>
        <w:spacing w:after="0" w:line="259" w:lineRule="auto"/>
        <w:ind w:left="1080"/>
        <w:rPr>
          <w:rFonts w:ascii="Calibri" w:eastAsia="Calibri" w:hAnsi="Calibri" w:cs="Calibri"/>
          <w:color w:val="000000"/>
          <w:kern w:val="0"/>
          <w:sz w:val="22"/>
          <w:szCs w:val="22"/>
          <w:lang w:val="fr-FR" w:eastAsia="en-GB"/>
          <w14:ligatures w14:val="none"/>
        </w:rPr>
      </w:pPr>
      <w:r w:rsidRPr="00455E24">
        <w:rPr>
          <w:rFonts w:ascii="Calibri" w:eastAsia="Calibri" w:hAnsi="Calibri" w:cs="Calibri"/>
          <w:b/>
          <w:i/>
          <w:color w:val="000000"/>
          <w:kern w:val="0"/>
          <w:sz w:val="22"/>
          <w:szCs w:val="22"/>
          <w:lang w:val="fr-FR" w:eastAsia="en-GB"/>
          <w14:ligatures w14:val="none"/>
        </w:rPr>
        <w:t>Service des opérations générales, bureau des services de gestion</w:t>
      </w:r>
    </w:p>
    <w:p w14:paraId="64FF501A"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31B0D175" w14:textId="77777777" w:rsidR="00455E24" w:rsidRPr="00455E24" w:rsidRDefault="00455E24" w:rsidP="00455E24">
      <w:pPr>
        <w:keepNext/>
        <w:keepLines/>
        <w:spacing w:after="0" w:line="259" w:lineRule="auto"/>
        <w:ind w:left="1061" w:hanging="10"/>
        <w:outlineLvl w:val="1"/>
        <w:rPr>
          <w:rFonts w:ascii="Calibri" w:eastAsia="Calibri" w:hAnsi="Calibri" w:cs="Calibri"/>
          <w:i/>
          <w:color w:val="000000"/>
          <w:kern w:val="0"/>
          <w:sz w:val="22"/>
          <w:szCs w:val="22"/>
          <w:u w:val="single" w:color="000000"/>
          <w:lang w:val="fr-FR" w:eastAsia="en-GB"/>
          <w14:ligatures w14:val="none"/>
        </w:rPr>
      </w:pPr>
      <w:r w:rsidRPr="00455E24">
        <w:rPr>
          <w:rFonts w:ascii="Calibri" w:eastAsia="Calibri" w:hAnsi="Calibri" w:cs="Calibri"/>
          <w:i/>
          <w:color w:val="000000"/>
          <w:kern w:val="0"/>
          <w:sz w:val="22"/>
          <w:szCs w:val="22"/>
          <w:u w:val="single" w:color="000000"/>
          <w:lang w:val="fr-FR" w:eastAsia="en-GB"/>
          <w14:ligatures w14:val="none"/>
        </w:rPr>
        <w:t>Suivi</w:t>
      </w:r>
    </w:p>
    <w:p w14:paraId="67605170" w14:textId="77777777" w:rsidR="00455E24" w:rsidRPr="00455E24" w:rsidRDefault="00455E24" w:rsidP="00455E24">
      <w:pPr>
        <w:numPr>
          <w:ilvl w:val="0"/>
          <w:numId w:val="7"/>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Surveiller les tableaux de bord.</w:t>
      </w:r>
    </w:p>
    <w:p w14:paraId="75213104" w14:textId="77777777" w:rsidR="00455E24" w:rsidRPr="00455E24" w:rsidRDefault="00455E24" w:rsidP="00455E24">
      <w:pPr>
        <w:numPr>
          <w:ilvl w:val="0"/>
          <w:numId w:val="7"/>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Faire un suivi avec le GSSC et les bureaux de pays ou les entités du siège sur les erreurs ou les corrections.</w:t>
      </w:r>
    </w:p>
    <w:p w14:paraId="156265E9" w14:textId="77777777" w:rsidR="00455E24" w:rsidRPr="00455E24" w:rsidRDefault="00455E24" w:rsidP="00455E24">
      <w:pPr>
        <w:numPr>
          <w:ilvl w:val="0"/>
          <w:numId w:val="7"/>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 xml:space="preserve">Rapprochement </w:t>
      </w:r>
      <w:proofErr w:type="spellStart"/>
      <w:r w:rsidRPr="00455E24">
        <w:rPr>
          <w:rFonts w:ascii="Calibri" w:eastAsia="Calibri" w:hAnsi="Calibri" w:cs="Calibri"/>
          <w:color w:val="000000"/>
          <w:kern w:val="0"/>
          <w:sz w:val="22"/>
          <w:szCs w:val="22"/>
          <w:lang w:val="fr-FR" w:eastAsia="en-GB"/>
          <w14:ligatures w14:val="none"/>
        </w:rPr>
        <w:t>inter-module</w:t>
      </w:r>
      <w:proofErr w:type="spellEnd"/>
      <w:r w:rsidRPr="00455E24">
        <w:rPr>
          <w:rFonts w:ascii="Calibri" w:eastAsia="Calibri" w:hAnsi="Calibri" w:cs="Calibri"/>
          <w:color w:val="000000"/>
          <w:kern w:val="0"/>
          <w:sz w:val="22"/>
          <w:szCs w:val="22"/>
          <w:lang w:val="fr-FR" w:eastAsia="en-GB"/>
          <w14:ligatures w14:val="none"/>
        </w:rPr>
        <w:t>.</w:t>
      </w:r>
    </w:p>
    <w:p w14:paraId="7AEC4E11" w14:textId="77777777" w:rsidR="00455E24" w:rsidRPr="00455E24" w:rsidRDefault="00455E24" w:rsidP="00455E24">
      <w:pPr>
        <w:numPr>
          <w:ilvl w:val="0"/>
          <w:numId w:val="7"/>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Traiter et vérifier l’exactitude des charges d’amortissement.</w:t>
      </w:r>
    </w:p>
    <w:p w14:paraId="567BEBBE"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6B0FC4BE" w14:textId="77777777" w:rsidR="00455E24" w:rsidRPr="00455E24" w:rsidRDefault="00455E24" w:rsidP="00455E24">
      <w:pPr>
        <w:keepNext/>
        <w:keepLines/>
        <w:spacing w:after="0" w:line="259" w:lineRule="auto"/>
        <w:ind w:left="1061" w:hanging="10"/>
        <w:outlineLvl w:val="1"/>
        <w:rPr>
          <w:rFonts w:ascii="Calibri" w:eastAsia="Calibri" w:hAnsi="Calibri" w:cs="Calibri"/>
          <w:i/>
          <w:color w:val="000000"/>
          <w:kern w:val="0"/>
          <w:sz w:val="22"/>
          <w:szCs w:val="22"/>
          <w:u w:val="single" w:color="000000"/>
          <w:lang w:val="fr-FR" w:eastAsia="en-GB"/>
          <w14:ligatures w14:val="none"/>
        </w:rPr>
      </w:pPr>
      <w:r w:rsidRPr="00455E24">
        <w:rPr>
          <w:rFonts w:ascii="Calibri" w:eastAsia="Calibri" w:hAnsi="Calibri" w:cs="Calibri"/>
          <w:i/>
          <w:color w:val="000000"/>
          <w:kern w:val="0"/>
          <w:sz w:val="22"/>
          <w:szCs w:val="22"/>
          <w:u w:val="single" w:color="000000"/>
          <w:lang w:val="fr-FR" w:eastAsia="en-GB"/>
          <w14:ligatures w14:val="none"/>
        </w:rPr>
        <w:t>Orientation</w:t>
      </w:r>
    </w:p>
    <w:p w14:paraId="56FB9C5E" w14:textId="77777777" w:rsidR="00455E24" w:rsidRPr="00455E24" w:rsidRDefault="00455E24" w:rsidP="00455E24">
      <w:pPr>
        <w:numPr>
          <w:ilvl w:val="0"/>
          <w:numId w:val="8"/>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Fournir des orientations de politiques générales au GSSC ainsi qu’aux bureaux de pays et aux entités du siège.</w:t>
      </w:r>
    </w:p>
    <w:p w14:paraId="0DAA98FE" w14:textId="77777777" w:rsidR="00455E24" w:rsidRPr="00455E24" w:rsidRDefault="00455E24" w:rsidP="00455E24">
      <w:pPr>
        <w:numPr>
          <w:ilvl w:val="0"/>
          <w:numId w:val="8"/>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Examiner les problèmes opérationnels qui doivent être traités au moyen de politiques.</w:t>
      </w:r>
    </w:p>
    <w:p w14:paraId="64BC0FC1"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1DB543E5" w14:textId="77777777" w:rsidR="00455E24" w:rsidRPr="00455E24" w:rsidRDefault="00455E24" w:rsidP="00455E24">
      <w:pPr>
        <w:keepNext/>
        <w:keepLines/>
        <w:spacing w:after="0" w:line="259" w:lineRule="auto"/>
        <w:ind w:left="1061" w:hanging="10"/>
        <w:outlineLvl w:val="1"/>
        <w:rPr>
          <w:rFonts w:ascii="Calibri" w:eastAsia="Calibri" w:hAnsi="Calibri" w:cs="Calibri"/>
          <w:i/>
          <w:color w:val="000000"/>
          <w:kern w:val="0"/>
          <w:sz w:val="22"/>
          <w:szCs w:val="22"/>
          <w:u w:val="single" w:color="000000"/>
          <w:lang w:val="fr-FR" w:eastAsia="en-GB"/>
          <w14:ligatures w14:val="none"/>
        </w:rPr>
      </w:pPr>
      <w:r w:rsidRPr="00455E24">
        <w:rPr>
          <w:rFonts w:ascii="Calibri" w:eastAsia="Calibri" w:hAnsi="Calibri" w:cs="Calibri"/>
          <w:i/>
          <w:color w:val="000000"/>
          <w:kern w:val="0"/>
          <w:sz w:val="22"/>
          <w:szCs w:val="22"/>
          <w:u w:val="single" w:color="000000"/>
          <w:lang w:val="fr-FR" w:eastAsia="en-GB"/>
          <w14:ligatures w14:val="none"/>
        </w:rPr>
        <w:t>Opérations</w:t>
      </w:r>
    </w:p>
    <w:p w14:paraId="4DFA676E" w14:textId="77777777" w:rsidR="00455E24" w:rsidRPr="00455E24" w:rsidRDefault="00455E24" w:rsidP="00455E24">
      <w:pPr>
        <w:numPr>
          <w:ilvl w:val="0"/>
          <w:numId w:val="9"/>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Examiner ou approuver les demandes de comptabilisation en pertes.</w:t>
      </w:r>
    </w:p>
    <w:p w14:paraId="1A5ECC7E" w14:textId="77777777" w:rsidR="00455E24" w:rsidRPr="00455E24" w:rsidRDefault="00455E24" w:rsidP="00455E24">
      <w:pPr>
        <w:numPr>
          <w:ilvl w:val="0"/>
          <w:numId w:val="9"/>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Examiner régulièrement les registres d’actifs et le tableau de bord pour les éléments exceptionnels en cours de liquidation.</w:t>
      </w:r>
    </w:p>
    <w:p w14:paraId="41D7B5F8" w14:textId="77777777" w:rsidR="00455E24" w:rsidRPr="00455E24" w:rsidRDefault="00455E24" w:rsidP="00455E24">
      <w:pPr>
        <w:numPr>
          <w:ilvl w:val="0"/>
          <w:numId w:val="9"/>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Développer des programmes de formation à l’intention du GSSC.</w:t>
      </w:r>
    </w:p>
    <w:p w14:paraId="0B6CCDC7" w14:textId="77777777" w:rsidR="00455E24" w:rsidRPr="00455E24" w:rsidRDefault="00455E24" w:rsidP="00455E24">
      <w:pPr>
        <w:numPr>
          <w:ilvl w:val="0"/>
          <w:numId w:val="9"/>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Examiner l’amortissement par le biais de tableaux de bord.</w:t>
      </w:r>
    </w:p>
    <w:p w14:paraId="681F073C" w14:textId="77777777" w:rsidR="00455E24" w:rsidRPr="00455E24" w:rsidRDefault="00455E24" w:rsidP="00455E24">
      <w:pPr>
        <w:numPr>
          <w:ilvl w:val="0"/>
          <w:numId w:val="9"/>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Rapprochement du module des actifs.</w:t>
      </w:r>
    </w:p>
    <w:p w14:paraId="09656EA1" w14:textId="77777777" w:rsidR="00455E24" w:rsidRPr="00455E24" w:rsidRDefault="00455E24" w:rsidP="00455E24">
      <w:pPr>
        <w:spacing w:after="0" w:line="254" w:lineRule="auto"/>
        <w:ind w:left="1771" w:right="28"/>
        <w:jc w:val="both"/>
        <w:rPr>
          <w:rFonts w:ascii="Calibri" w:eastAsia="Calibri" w:hAnsi="Calibri" w:cs="Calibri"/>
          <w:color w:val="000000"/>
          <w:kern w:val="0"/>
          <w:sz w:val="22"/>
          <w:szCs w:val="22"/>
          <w:lang w:val="fr-FR" w:eastAsia="en-GB"/>
          <w14:ligatures w14:val="none"/>
        </w:rPr>
      </w:pPr>
    </w:p>
    <w:p w14:paraId="1351C433" w14:textId="77777777" w:rsidR="00455E24" w:rsidRPr="00455E24" w:rsidRDefault="00455E24" w:rsidP="00455E24">
      <w:pPr>
        <w:spacing w:after="0" w:line="259" w:lineRule="auto"/>
        <w:ind w:left="1061" w:hanging="10"/>
        <w:rPr>
          <w:rFonts w:ascii="Calibri" w:eastAsia="Calibri" w:hAnsi="Calibri" w:cs="Calibri"/>
          <w:color w:val="000000"/>
          <w:kern w:val="0"/>
          <w:sz w:val="22"/>
          <w:szCs w:val="22"/>
          <w:lang w:val="fr-FR" w:eastAsia="en-GB"/>
          <w14:ligatures w14:val="none"/>
        </w:rPr>
      </w:pPr>
      <w:r w:rsidRPr="00455E24">
        <w:rPr>
          <w:rFonts w:ascii="Calibri" w:eastAsia="Calibri" w:hAnsi="Calibri" w:cs="Calibri"/>
          <w:i/>
          <w:color w:val="000000"/>
          <w:kern w:val="0"/>
          <w:sz w:val="22"/>
          <w:szCs w:val="22"/>
          <w:u w:val="single" w:color="000000"/>
          <w:lang w:val="fr-FR" w:eastAsia="en-GB"/>
          <w14:ligatures w14:val="none"/>
        </w:rPr>
        <w:t>Publication de l’information</w:t>
      </w:r>
    </w:p>
    <w:p w14:paraId="42E0845C" w14:textId="77777777" w:rsidR="00455E24" w:rsidRPr="00455E24" w:rsidRDefault="00455E24" w:rsidP="00455E24">
      <w:pPr>
        <w:spacing w:after="0" w:line="254" w:lineRule="auto"/>
        <w:ind w:left="1728" w:right="29" w:hanging="288"/>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a)</w:t>
      </w:r>
      <w:r w:rsidRPr="00455E24">
        <w:rPr>
          <w:rFonts w:ascii="Calibri" w:eastAsia="Calibri" w:hAnsi="Calibri" w:cs="Calibri"/>
          <w:color w:val="000000"/>
          <w:kern w:val="0"/>
          <w:sz w:val="22"/>
          <w:szCs w:val="22"/>
          <w:lang w:val="fr-FR" w:eastAsia="en-GB"/>
          <w14:ligatures w14:val="none"/>
        </w:rPr>
        <w:tab/>
        <w:t>Élaborer des rapports à l’usage des bureaux et du siège à des fins de surveillance et d’exploitation.</w:t>
      </w:r>
    </w:p>
    <w:p w14:paraId="3A42A13A"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293005D0" w14:textId="77777777" w:rsidR="00455E24" w:rsidRPr="00455E24" w:rsidRDefault="00455E24" w:rsidP="00455E24">
      <w:pPr>
        <w:keepNext/>
        <w:keepLines/>
        <w:spacing w:after="0" w:line="259" w:lineRule="auto"/>
        <w:ind w:left="1061" w:hanging="10"/>
        <w:outlineLvl w:val="1"/>
        <w:rPr>
          <w:rFonts w:ascii="Calibri" w:eastAsia="Calibri" w:hAnsi="Calibri" w:cs="Calibri"/>
          <w:i/>
          <w:color w:val="000000"/>
          <w:kern w:val="0"/>
          <w:sz w:val="22"/>
          <w:szCs w:val="22"/>
          <w:u w:val="single" w:color="000000"/>
          <w:lang w:val="fr-FR" w:eastAsia="en-GB"/>
          <w14:ligatures w14:val="none"/>
        </w:rPr>
      </w:pPr>
      <w:r w:rsidRPr="00455E24">
        <w:rPr>
          <w:rFonts w:ascii="Calibri" w:eastAsia="Calibri" w:hAnsi="Calibri" w:cs="Calibri"/>
          <w:i/>
          <w:color w:val="000000"/>
          <w:kern w:val="0"/>
          <w:sz w:val="22"/>
          <w:szCs w:val="22"/>
          <w:u w:val="single" w:color="000000"/>
          <w:lang w:val="fr-FR" w:eastAsia="en-GB"/>
          <w14:ligatures w14:val="none"/>
        </w:rPr>
        <w:t>Comptes</w:t>
      </w:r>
    </w:p>
    <w:p w14:paraId="325BCAF0" w14:textId="77777777" w:rsidR="00455E24" w:rsidRPr="00455E24" w:rsidRDefault="00455E24" w:rsidP="00455E24">
      <w:pPr>
        <w:numPr>
          <w:ilvl w:val="0"/>
          <w:numId w:val="10"/>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Faire des entrées d’ajustement au niveau du grand livre.</w:t>
      </w:r>
    </w:p>
    <w:p w14:paraId="068532E1" w14:textId="77777777" w:rsidR="00455E24" w:rsidRPr="00455E24" w:rsidRDefault="00455E24" w:rsidP="00455E24">
      <w:pPr>
        <w:numPr>
          <w:ilvl w:val="0"/>
          <w:numId w:val="10"/>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Examiner l’amortissement au niveau du grand livre.</w:t>
      </w:r>
    </w:p>
    <w:p w14:paraId="3EFDA579" w14:textId="77777777" w:rsidR="00455E24" w:rsidRPr="00455E24" w:rsidRDefault="00455E24" w:rsidP="00455E24">
      <w:pPr>
        <w:numPr>
          <w:ilvl w:val="0"/>
          <w:numId w:val="10"/>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Présentation de l’information financière sur les actifs dans les états financiers et les informations appropriées.</w:t>
      </w:r>
    </w:p>
    <w:p w14:paraId="23C1F497"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62D11254" w14:textId="77777777" w:rsidR="00455E24" w:rsidRPr="00455E24" w:rsidRDefault="00455E24" w:rsidP="00455E24">
      <w:pPr>
        <w:keepNext/>
        <w:keepLines/>
        <w:spacing w:after="0" w:line="259" w:lineRule="auto"/>
        <w:ind w:left="1061" w:hanging="10"/>
        <w:outlineLvl w:val="1"/>
        <w:rPr>
          <w:rFonts w:ascii="Calibri" w:eastAsia="Calibri" w:hAnsi="Calibri" w:cs="Calibri"/>
          <w:i/>
          <w:color w:val="000000"/>
          <w:kern w:val="0"/>
          <w:sz w:val="22"/>
          <w:szCs w:val="22"/>
          <w:u w:val="single" w:color="000000"/>
          <w:lang w:val="fr-FR" w:eastAsia="en-GB"/>
          <w14:ligatures w14:val="none"/>
        </w:rPr>
      </w:pPr>
      <w:r w:rsidRPr="00455E24">
        <w:rPr>
          <w:rFonts w:ascii="Calibri" w:eastAsia="Calibri" w:hAnsi="Calibri" w:cs="Calibri"/>
          <w:i/>
          <w:color w:val="000000"/>
          <w:kern w:val="0"/>
          <w:sz w:val="22"/>
          <w:szCs w:val="22"/>
          <w:u w:val="single" w:color="000000"/>
          <w:lang w:val="fr-FR" w:eastAsia="en-GB"/>
          <w14:ligatures w14:val="none"/>
        </w:rPr>
        <w:t>OIMT</w:t>
      </w:r>
    </w:p>
    <w:p w14:paraId="09B919AE" w14:textId="77777777" w:rsidR="00455E24" w:rsidRPr="00455E24" w:rsidRDefault="00455E24" w:rsidP="00455E24">
      <w:pPr>
        <w:numPr>
          <w:ilvl w:val="0"/>
          <w:numId w:val="1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Réaliser mensuellement des processus d’amortissement, de génération des écritures comptables et de comptabilisation.</w:t>
      </w:r>
    </w:p>
    <w:p w14:paraId="1D1AD0AD" w14:textId="77777777" w:rsidR="00455E24" w:rsidRPr="00455E24" w:rsidRDefault="00455E24" w:rsidP="00455E24">
      <w:pPr>
        <w:numPr>
          <w:ilvl w:val="0"/>
          <w:numId w:val="1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Interfacer les actifs du compte créditeur vers l’AM.</w:t>
      </w:r>
    </w:p>
    <w:p w14:paraId="28C4339F" w14:textId="77777777" w:rsidR="00455E24" w:rsidRPr="00455E24" w:rsidRDefault="00455E24" w:rsidP="00455E24">
      <w:pPr>
        <w:numPr>
          <w:ilvl w:val="0"/>
          <w:numId w:val="1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Élaborer des rapports.</w:t>
      </w:r>
    </w:p>
    <w:p w14:paraId="09FD2C23" w14:textId="77777777" w:rsidR="00455E24" w:rsidRPr="00455E24" w:rsidRDefault="00455E24" w:rsidP="00455E24">
      <w:pPr>
        <w:numPr>
          <w:ilvl w:val="0"/>
          <w:numId w:val="11"/>
        </w:numPr>
        <w:spacing w:after="0" w:line="254" w:lineRule="auto"/>
        <w:ind w:right="28" w:hanging="360"/>
        <w:jc w:val="both"/>
        <w:rPr>
          <w:rFonts w:ascii="Calibri" w:eastAsia="Calibri" w:hAnsi="Calibri" w:cs="Calibri"/>
          <w:color w:val="000000"/>
          <w:kern w:val="0"/>
          <w:sz w:val="22"/>
          <w:szCs w:val="22"/>
          <w:lang w:val="fr-FR" w:eastAsia="en-GB"/>
          <w14:ligatures w14:val="none"/>
        </w:rPr>
      </w:pPr>
      <w:r w:rsidRPr="00455E24">
        <w:rPr>
          <w:rFonts w:ascii="Calibri" w:eastAsia="Calibri" w:hAnsi="Calibri" w:cs="Calibri"/>
          <w:color w:val="000000"/>
          <w:kern w:val="0"/>
          <w:sz w:val="22"/>
          <w:szCs w:val="22"/>
          <w:lang w:val="fr-FR" w:eastAsia="en-GB"/>
          <w14:ligatures w14:val="none"/>
        </w:rPr>
        <w:t>Traiter les demandes de modification du système.</w:t>
      </w:r>
    </w:p>
    <w:p w14:paraId="5092F83B"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3149CE25" w14:textId="77777777" w:rsidR="00455E24" w:rsidRPr="00455E24" w:rsidRDefault="00455E24" w:rsidP="00455E24">
      <w:pPr>
        <w:spacing w:after="0" w:line="259" w:lineRule="auto"/>
        <w:ind w:left="360"/>
        <w:rPr>
          <w:rFonts w:ascii="Calibri" w:eastAsia="Calibri" w:hAnsi="Calibri" w:cs="Calibri"/>
          <w:color w:val="000000"/>
          <w:kern w:val="0"/>
          <w:sz w:val="22"/>
          <w:szCs w:val="22"/>
          <w:lang w:val="fr-FR" w:eastAsia="en-GB"/>
          <w14:ligatures w14:val="none"/>
        </w:rPr>
      </w:pPr>
    </w:p>
    <w:p w14:paraId="1460BF8A" w14:textId="77777777" w:rsidR="00455E24" w:rsidRPr="00A20DFF" w:rsidRDefault="00455E24" w:rsidP="00455E24">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lastRenderedPageBreak/>
        <w:t>Avertissement</w:t>
      </w:r>
      <w:r>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5EA0D611" w14:textId="77777777" w:rsidR="00455E24" w:rsidRPr="00A20DFF" w:rsidRDefault="00455E24" w:rsidP="00455E24">
      <w:pPr>
        <w:shd w:val="clear" w:color="auto" w:fill="FFFFFF"/>
        <w:spacing w:after="0" w:line="240" w:lineRule="auto"/>
        <w:rPr>
          <w:rFonts w:ascii="Calibri" w:eastAsia="Times New Roman" w:hAnsi="Calibri" w:cs="Times New Roman"/>
          <w:i/>
          <w:color w:val="000000"/>
          <w:kern w:val="0"/>
          <w:lang w:val="fr-FR"/>
          <w14:ligatures w14:val="none"/>
        </w:rPr>
      </w:pPr>
    </w:p>
    <w:p w14:paraId="18293993" w14:textId="3335A13B" w:rsidR="00455E24" w:rsidRPr="00455E24" w:rsidRDefault="00455E24" w:rsidP="00B46BFF">
      <w:pPr>
        <w:spacing w:after="0" w:line="259" w:lineRule="auto"/>
        <w:rPr>
          <w:rFonts w:ascii="Calibri" w:eastAsia="Calibri" w:hAnsi="Calibri" w:cs="Calibri"/>
          <w:color w:val="000000"/>
          <w:kern w:val="0"/>
          <w:sz w:val="22"/>
          <w:szCs w:val="22"/>
          <w:lang w:eastAsia="en-GB"/>
          <w14:ligatures w14:val="none"/>
        </w:rPr>
      </w:pPr>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3CF80F0C" w14:textId="77777777" w:rsidR="00DA504D" w:rsidRDefault="00DA504D"/>
    <w:sectPr w:rsidR="00DA504D" w:rsidSect="00455E24">
      <w:headerReference w:type="default" r:id="rId8"/>
      <w:footerReference w:type="even" r:id="rId9"/>
      <w:footerReference w:type="default" r:id="rId10"/>
      <w:footerReference w:type="first" r:id="rId11"/>
      <w:pgSz w:w="12240" w:h="15840"/>
      <w:pgMar w:top="1427" w:right="1390" w:bottom="1692" w:left="1080"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35135" w14:textId="77777777" w:rsidR="00E20C0A" w:rsidRDefault="00E20C0A" w:rsidP="00455E24">
      <w:pPr>
        <w:spacing w:after="0" w:line="240" w:lineRule="auto"/>
      </w:pPr>
      <w:r>
        <w:separator/>
      </w:r>
    </w:p>
  </w:endnote>
  <w:endnote w:type="continuationSeparator" w:id="0">
    <w:p w14:paraId="3A4A4B64" w14:textId="77777777" w:rsidR="00E20C0A" w:rsidRDefault="00E20C0A" w:rsidP="0045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3A10" w14:textId="77777777" w:rsidR="00455E24" w:rsidRDefault="00455E24">
    <w:pPr>
      <w:spacing w:after="0" w:line="259" w:lineRule="auto"/>
      <w:ind w:left="314"/>
      <w:jc w:val="center"/>
    </w:pPr>
    <w:r>
      <w:fldChar w:fldCharType="begin"/>
    </w:r>
    <w:r>
      <w:instrText xml:space="preserve"> PAGE\* MERGEFORMAT </w:instrText>
    </w:r>
    <w:r>
      <w:fldChar w:fldCharType="separate"/>
    </w:r>
    <w:r>
      <w:rPr>
        <w:noProof/>
      </w:rPr>
      <w:t>97</w:t>
    </w:r>
    <w:r>
      <w:fldChar w:fldCharType="end"/>
    </w:r>
  </w:p>
  <w:p w14:paraId="333B68CE" w14:textId="77777777" w:rsidR="00455E24" w:rsidRDefault="00455E24">
    <w:pPr>
      <w:spacing w:after="0" w:line="259" w:lineRule="auto"/>
      <w:ind w:lef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C436" w14:textId="61825657" w:rsidR="00455E24" w:rsidRPr="00B46BFF" w:rsidRDefault="00455E24">
    <w:pPr>
      <w:spacing w:after="0" w:line="259" w:lineRule="auto"/>
      <w:ind w:left="360"/>
      <w:rPr>
        <w:rFonts w:ascii="Calibri" w:hAnsi="Calibri" w:cs="Calibri"/>
        <w:sz w:val="22"/>
        <w:szCs w:val="22"/>
      </w:rPr>
    </w:pPr>
    <w:r w:rsidRPr="00B46BFF">
      <w:rPr>
        <w:rFonts w:ascii="Calibri" w:hAnsi="Calibri" w:cs="Calibri"/>
        <w:sz w:val="22"/>
        <w:szCs w:val="22"/>
      </w:rPr>
      <w:t xml:space="preserve">Page </w:t>
    </w:r>
    <w:r w:rsidRPr="00B46BFF">
      <w:rPr>
        <w:rFonts w:ascii="Calibri" w:hAnsi="Calibri" w:cs="Calibri"/>
        <w:b/>
        <w:sz w:val="22"/>
        <w:szCs w:val="22"/>
      </w:rPr>
      <w:fldChar w:fldCharType="begin"/>
    </w:r>
    <w:r w:rsidRPr="00B46BFF">
      <w:rPr>
        <w:rFonts w:ascii="Calibri" w:hAnsi="Calibri" w:cs="Calibri"/>
        <w:b/>
        <w:sz w:val="22"/>
        <w:szCs w:val="22"/>
      </w:rPr>
      <w:instrText xml:space="preserve"> PAGE  \* Arabic  \* MERGEFORMAT </w:instrText>
    </w:r>
    <w:r w:rsidRPr="00B46BFF">
      <w:rPr>
        <w:rFonts w:ascii="Calibri" w:hAnsi="Calibri" w:cs="Calibri"/>
        <w:b/>
        <w:sz w:val="22"/>
        <w:szCs w:val="22"/>
      </w:rPr>
      <w:fldChar w:fldCharType="separate"/>
    </w:r>
    <w:r w:rsidRPr="00B46BFF">
      <w:rPr>
        <w:rFonts w:ascii="Calibri" w:hAnsi="Calibri" w:cs="Calibri"/>
        <w:b/>
        <w:noProof/>
        <w:sz w:val="22"/>
        <w:szCs w:val="22"/>
      </w:rPr>
      <w:t>1</w:t>
    </w:r>
    <w:r w:rsidRPr="00B46BFF">
      <w:rPr>
        <w:rFonts w:ascii="Calibri" w:hAnsi="Calibri" w:cs="Calibri"/>
        <w:b/>
        <w:sz w:val="22"/>
        <w:szCs w:val="22"/>
      </w:rPr>
      <w:fldChar w:fldCharType="end"/>
    </w:r>
    <w:r w:rsidRPr="00B46BFF">
      <w:rPr>
        <w:rFonts w:ascii="Calibri" w:hAnsi="Calibri" w:cs="Calibri"/>
        <w:sz w:val="22"/>
        <w:szCs w:val="22"/>
      </w:rPr>
      <w:t xml:space="preserve"> de </w:t>
    </w:r>
    <w:r w:rsidRPr="00B46BFF">
      <w:rPr>
        <w:rFonts w:ascii="Calibri" w:hAnsi="Calibri" w:cs="Calibri"/>
        <w:sz w:val="22"/>
        <w:szCs w:val="22"/>
      </w:rPr>
      <w:fldChar w:fldCharType="begin"/>
    </w:r>
    <w:r w:rsidRPr="00B46BFF">
      <w:rPr>
        <w:rFonts w:ascii="Calibri" w:hAnsi="Calibri" w:cs="Calibri"/>
        <w:sz w:val="22"/>
        <w:szCs w:val="22"/>
      </w:rPr>
      <w:instrText xml:space="preserve"> NUMPAGES  \* Arabic  \* MERGEFORMAT </w:instrText>
    </w:r>
    <w:r w:rsidRPr="00B46BFF">
      <w:rPr>
        <w:rFonts w:ascii="Calibri" w:hAnsi="Calibri" w:cs="Calibri"/>
        <w:sz w:val="22"/>
        <w:szCs w:val="22"/>
      </w:rPr>
      <w:fldChar w:fldCharType="separate"/>
    </w:r>
    <w:r w:rsidRPr="00B46BFF">
      <w:rPr>
        <w:rFonts w:ascii="Calibri" w:hAnsi="Calibri" w:cs="Calibri"/>
        <w:b/>
        <w:noProof/>
        <w:sz w:val="22"/>
        <w:szCs w:val="22"/>
      </w:rPr>
      <w:t>10</w:t>
    </w:r>
    <w:r w:rsidRPr="00B46BFF">
      <w:rPr>
        <w:rFonts w:ascii="Calibri" w:hAnsi="Calibri" w:cs="Calibri"/>
        <w:b/>
        <w:noProof/>
        <w:sz w:val="22"/>
        <w:szCs w:val="22"/>
      </w:rPr>
      <w:fldChar w:fldCharType="end"/>
    </w:r>
    <w:r w:rsidRPr="00B46BFF">
      <w:rPr>
        <w:rFonts w:ascii="Calibri" w:hAnsi="Calibri" w:cs="Calibri"/>
        <w:sz w:val="22"/>
        <w:szCs w:val="22"/>
      </w:rPr>
      <w:ptab w:relativeTo="margin" w:alignment="center" w:leader="none"/>
    </w:r>
    <w:r w:rsidRPr="00B46BFF">
      <w:rPr>
        <w:rFonts w:ascii="Calibri" w:hAnsi="Calibri" w:cs="Calibri"/>
        <w:sz w:val="22"/>
        <w:szCs w:val="22"/>
      </w:rPr>
      <w:t xml:space="preserve">Date </w:t>
    </w:r>
    <w:proofErr w:type="spellStart"/>
    <w:r w:rsidRPr="00B46BFF">
      <w:rPr>
        <w:rFonts w:ascii="Calibri" w:hAnsi="Calibri" w:cs="Calibri"/>
        <w:sz w:val="22"/>
        <w:szCs w:val="22"/>
      </w:rPr>
      <w:t>d’entrée</w:t>
    </w:r>
    <w:proofErr w:type="spellEnd"/>
    <w:r w:rsidRPr="00B46BFF">
      <w:rPr>
        <w:rFonts w:ascii="Calibri" w:hAnsi="Calibri" w:cs="Calibri"/>
        <w:sz w:val="22"/>
        <w:szCs w:val="22"/>
      </w:rPr>
      <w:t xml:space="preserve"> </w:t>
    </w:r>
    <w:proofErr w:type="spellStart"/>
    <w:r w:rsidRPr="00B46BFF">
      <w:rPr>
        <w:rFonts w:ascii="Calibri" w:hAnsi="Calibri" w:cs="Calibri"/>
        <w:sz w:val="22"/>
        <w:szCs w:val="22"/>
      </w:rPr>
      <w:t>en</w:t>
    </w:r>
    <w:proofErr w:type="spellEnd"/>
    <w:r w:rsidRPr="00B46BFF">
      <w:rPr>
        <w:rFonts w:ascii="Calibri" w:hAnsi="Calibri" w:cs="Calibri"/>
        <w:sz w:val="22"/>
        <w:szCs w:val="22"/>
      </w:rPr>
      <w:t xml:space="preserve"> </w:t>
    </w:r>
    <w:proofErr w:type="spellStart"/>
    <w:proofErr w:type="gramStart"/>
    <w:r w:rsidRPr="00B46BFF">
      <w:rPr>
        <w:rFonts w:ascii="Calibri" w:hAnsi="Calibri" w:cs="Calibri"/>
        <w:sz w:val="22"/>
        <w:szCs w:val="22"/>
      </w:rPr>
      <w:t>vigueur</w:t>
    </w:r>
    <w:proofErr w:type="spellEnd"/>
    <w:r>
      <w:rPr>
        <w:rFonts w:ascii="Calibri" w:hAnsi="Calibri" w:cs="Calibri"/>
        <w:sz w:val="22"/>
        <w:szCs w:val="22"/>
      </w:rPr>
      <w:t xml:space="preserve"> :</w:t>
    </w:r>
    <w:proofErr w:type="gramEnd"/>
    <w:r w:rsidRPr="00B46BFF">
      <w:rPr>
        <w:rFonts w:ascii="Calibri" w:hAnsi="Calibri" w:cs="Calibri"/>
        <w:sz w:val="22"/>
        <w:szCs w:val="22"/>
      </w:rPr>
      <w:t xml:space="preserve"> </w:t>
    </w:r>
    <w:sdt>
      <w:sdtPr>
        <w:rPr>
          <w:rFonts w:ascii="Calibri" w:hAnsi="Calibri" w:cs="Calibri"/>
          <w:color w:val="444444"/>
          <w:sz w:val="22"/>
          <w:szCs w:val="22"/>
        </w:rPr>
        <w:alias w:val="Date d’entrée en vigueur"/>
        <w:tag w:val="UNDP_POPP_EFFECTIVEDATE"/>
        <w:id w:val="5807271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6C46C37-79EE-4343-BE20-CFC7ABD0BB5F}"/>
        <w:date w:fullDate="2016-07-25T00:00:00Z">
          <w:dateFormat w:val="dd/MM/yyyy"/>
          <w:lid w:val="fr-FR"/>
          <w:storeMappedDataAs w:val="dateTime"/>
          <w:calendar w:val="gregorian"/>
        </w:date>
      </w:sdtPr>
      <w:sdtContent>
        <w:r w:rsidRPr="00B46BFF">
          <w:rPr>
            <w:rFonts w:ascii="Calibri" w:hAnsi="Calibri" w:cs="Calibri"/>
            <w:color w:val="444444"/>
            <w:sz w:val="22"/>
            <w:szCs w:val="22"/>
          </w:rPr>
          <w:t>25/07/2016</w:t>
        </w:r>
      </w:sdtContent>
    </w:sdt>
    <w:r w:rsidRPr="00B46BFF">
      <w:rPr>
        <w:rFonts w:ascii="Calibri" w:hAnsi="Calibri" w:cs="Calibri"/>
        <w:sz w:val="22"/>
        <w:szCs w:val="22"/>
      </w:rPr>
      <w:ptab w:relativeTo="margin" w:alignment="right" w:leader="none"/>
    </w:r>
    <w:r w:rsidRPr="00B46BFF">
      <w:rPr>
        <w:rFonts w:ascii="Calibri" w:hAnsi="Calibri" w:cs="Calibri"/>
        <w:sz w:val="22"/>
        <w:szCs w:val="22"/>
      </w:rPr>
      <w:t>Version</w:t>
    </w:r>
    <w:r>
      <w:rPr>
        <w:rFonts w:ascii="Calibri" w:hAnsi="Calibri" w:cs="Calibri"/>
        <w:sz w:val="22"/>
        <w:szCs w:val="22"/>
        <w:vertAlign w:val="superscript"/>
      </w:rPr>
      <w:t xml:space="preserve"> </w:t>
    </w:r>
    <w:proofErr w:type="gramStart"/>
    <w:r>
      <w:rPr>
        <w:rFonts w:ascii="Calibri" w:hAnsi="Calibri" w:cs="Calibri"/>
        <w:sz w:val="22"/>
        <w:szCs w:val="22"/>
      </w:rPr>
      <w:t>#</w:t>
    </w:r>
    <w:r w:rsidRPr="00B46BFF">
      <w:rPr>
        <w:rFonts w:ascii="Calibri" w:hAnsi="Calibri" w:cs="Calibri"/>
        <w:sz w:val="22"/>
        <w:szCs w:val="22"/>
      </w:rPr>
      <w:t> :</w:t>
    </w:r>
    <w:proofErr w:type="gramEnd"/>
    <w:r w:rsidRPr="00B46BFF">
      <w:rPr>
        <w:rFonts w:ascii="Calibri" w:hAnsi="Calibri" w:cs="Calibri"/>
        <w:sz w:val="22"/>
        <w:szCs w:val="22"/>
      </w:rPr>
      <w:t xml:space="preserve"> </w:t>
    </w:r>
    <w:sdt>
      <w:sdtPr>
        <w:rPr>
          <w:rFonts w:ascii="Calibri" w:hAnsi="Calibri" w:cs="Calibri"/>
          <w:sz w:val="22"/>
          <w:szCs w:val="22"/>
        </w:rPr>
        <w:alias w:val="POPPRefItemVersion"/>
        <w:tag w:val="UNDP_POPP_REFITEM_VERSION"/>
        <w:id w:val="-210625051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C46C37-79EE-4343-BE20-CFC7ABD0BB5F}"/>
        <w:text/>
      </w:sdtPr>
      <w:sdtContent>
        <w:r>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A148" w14:textId="77777777" w:rsidR="00455E24" w:rsidRDefault="00455E24">
    <w:pPr>
      <w:spacing w:after="0" w:line="259" w:lineRule="auto"/>
      <w:ind w:left="314"/>
      <w:jc w:val="center"/>
    </w:pPr>
    <w:r>
      <w:fldChar w:fldCharType="begin"/>
    </w:r>
    <w:r>
      <w:instrText xml:space="preserve"> PAGE   \* MERGEFORMAT </w:instrText>
    </w:r>
    <w:r>
      <w:fldChar w:fldCharType="separate"/>
    </w:r>
    <w:r>
      <w:rPr>
        <w:noProof/>
      </w:rPr>
      <w:t>19920068</w:t>
    </w:r>
    <w:r>
      <w:fldChar w:fldCharType="end"/>
    </w:r>
  </w:p>
  <w:p w14:paraId="086C395A" w14:textId="77777777" w:rsidR="00455E24" w:rsidRDefault="00455E24">
    <w:pPr>
      <w:spacing w:after="0" w:line="259" w:lineRule="auto"/>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74A43" w14:textId="77777777" w:rsidR="00E20C0A" w:rsidRDefault="00E20C0A" w:rsidP="00455E24">
      <w:pPr>
        <w:spacing w:after="0" w:line="240" w:lineRule="auto"/>
      </w:pPr>
      <w:r>
        <w:separator/>
      </w:r>
    </w:p>
  </w:footnote>
  <w:footnote w:type="continuationSeparator" w:id="0">
    <w:p w14:paraId="7193C780" w14:textId="77777777" w:rsidR="00E20C0A" w:rsidRDefault="00E20C0A" w:rsidP="0045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B4AB" w14:textId="2B77201D" w:rsidR="00455E24" w:rsidRDefault="00455E24" w:rsidP="00810EDB">
    <w:pPr>
      <w:pStyle w:val="Header"/>
      <w:jc w:val="right"/>
    </w:pPr>
    <w:r>
      <w:rPr>
        <w:noProof/>
      </w:rPr>
      <w:drawing>
        <wp:inline distT="0" distB="0" distL="0" distR="0" wp14:anchorId="51339CA0" wp14:editId="440C7A0B">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0023BE17" w14:textId="77777777" w:rsidR="00455E24" w:rsidRDefault="00455E24" w:rsidP="00810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0151"/>
    <w:multiLevelType w:val="hybridMultilevel"/>
    <w:tmpl w:val="6BEA5D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243C34"/>
    <w:multiLevelType w:val="hybridMultilevel"/>
    <w:tmpl w:val="BF86FC68"/>
    <w:lvl w:ilvl="0" w:tplc="BB264722">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7CFDD4">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C4940E">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A84018">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60C5F4">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CA6DB6">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92F436">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6CDD7E">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4CCFFA4">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591B96"/>
    <w:multiLevelType w:val="hybridMultilevel"/>
    <w:tmpl w:val="FAF04F90"/>
    <w:lvl w:ilvl="0" w:tplc="BF12AE28">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A67E4A">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BE65E4">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BA02D2">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32D4F4">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5837A0">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A6E4FC">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DE2C58">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C2B2EC">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88C3675"/>
    <w:multiLevelType w:val="hybridMultilevel"/>
    <w:tmpl w:val="D876B634"/>
    <w:lvl w:ilvl="0" w:tplc="60B46ADE">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464F40">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2A30BE">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BE2DE0">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D4782E">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7AEAA6">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668364">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266F5E">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F6CB4E">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53DFD"/>
    <w:multiLevelType w:val="hybridMultilevel"/>
    <w:tmpl w:val="92126686"/>
    <w:lvl w:ilvl="0" w:tplc="B93E02AC">
      <w:start w:val="16"/>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E49776">
      <w:start w:val="1"/>
      <w:numFmt w:val="lowerLetter"/>
      <w:lvlText w:val="%2)"/>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F0A7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42C90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667B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16ED3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EE411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1A2E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62E48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7A4A54"/>
    <w:multiLevelType w:val="hybridMultilevel"/>
    <w:tmpl w:val="6A7E04EC"/>
    <w:lvl w:ilvl="0" w:tplc="3C48EF50">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B0098C">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C0AE96">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E8339E">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823040">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7AAFFE">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6C0936">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60D6A6">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5C6F1C">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79D029C"/>
    <w:multiLevelType w:val="hybridMultilevel"/>
    <w:tmpl w:val="AEBCEDEC"/>
    <w:lvl w:ilvl="0" w:tplc="24FE82F4">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60BCD6">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D02774">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12E562">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26F836">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50BF80">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AEE95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44DE1C">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1E4AE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DD4401"/>
    <w:multiLevelType w:val="hybridMultilevel"/>
    <w:tmpl w:val="255CC538"/>
    <w:lvl w:ilvl="0" w:tplc="85A20CC4">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D84CCE">
      <w:start w:val="1"/>
      <w:numFmt w:val="lowerLetter"/>
      <w:lvlText w:val="%2"/>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985C8E">
      <w:start w:val="1"/>
      <w:numFmt w:val="lowerRoman"/>
      <w:lvlText w:val="%3"/>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F43154">
      <w:start w:val="1"/>
      <w:numFmt w:val="decimal"/>
      <w:lvlText w:val="%4"/>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A42508">
      <w:start w:val="1"/>
      <w:numFmt w:val="lowerLetter"/>
      <w:lvlText w:val="%5"/>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A6BE86">
      <w:start w:val="1"/>
      <w:numFmt w:val="lowerRoman"/>
      <w:lvlText w:val="%6"/>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5A1DF4">
      <w:start w:val="1"/>
      <w:numFmt w:val="decimal"/>
      <w:lvlText w:val="%7"/>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AE4760">
      <w:start w:val="1"/>
      <w:numFmt w:val="lowerLetter"/>
      <w:lvlText w:val="%8"/>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FCB012">
      <w:start w:val="1"/>
      <w:numFmt w:val="lowerRoman"/>
      <w:lvlText w:val="%9"/>
      <w:lvlJc w:val="left"/>
      <w:pPr>
        <w:ind w:left="7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FC602C6"/>
    <w:multiLevelType w:val="hybridMultilevel"/>
    <w:tmpl w:val="347830FC"/>
    <w:lvl w:ilvl="0" w:tplc="9E84D61C">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62FFC8">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78C078">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C4159C">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BE87B4">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3E2ECC">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0211F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48DAA6">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6E5D3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8A25DA6"/>
    <w:multiLevelType w:val="hybridMultilevel"/>
    <w:tmpl w:val="FE3043EA"/>
    <w:lvl w:ilvl="0" w:tplc="B628A81C">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32EB3C">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76667C">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30B5AC">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CA7FE0">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469372">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CE0A0C">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FE329A">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B8CDDA">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EC2682D"/>
    <w:multiLevelType w:val="hybridMultilevel"/>
    <w:tmpl w:val="BE707342"/>
    <w:lvl w:ilvl="0" w:tplc="42F41DBE">
      <w:start w:val="10"/>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C4FDD0">
      <w:start w:val="1"/>
      <w:numFmt w:val="lowerLetter"/>
      <w:lvlText w:val="%2)"/>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E4EFB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B4271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4523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D0AF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5A1E6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C060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AC6F2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27C6140"/>
    <w:multiLevelType w:val="hybridMultilevel"/>
    <w:tmpl w:val="2BB2D80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1970AC"/>
    <w:multiLevelType w:val="hybridMultilevel"/>
    <w:tmpl w:val="66F8B5B6"/>
    <w:lvl w:ilvl="0" w:tplc="A7027862">
      <w:start w:val="1"/>
      <w:numFmt w:val="lowerLetter"/>
      <w:lvlText w:val="%1)"/>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E2AC74">
      <w:start w:val="1"/>
      <w:numFmt w:val="lowerLetter"/>
      <w:lvlText w:val="%2"/>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4ED50C">
      <w:start w:val="1"/>
      <w:numFmt w:val="lowerRoman"/>
      <w:lvlText w:val="%3"/>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1A45CC">
      <w:start w:val="1"/>
      <w:numFmt w:val="decimal"/>
      <w:lvlText w:val="%4"/>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F89594">
      <w:start w:val="1"/>
      <w:numFmt w:val="lowerLetter"/>
      <w:lvlText w:val="%5"/>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F4EE10">
      <w:start w:val="1"/>
      <w:numFmt w:val="lowerRoman"/>
      <w:lvlText w:val="%6"/>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04F354">
      <w:start w:val="1"/>
      <w:numFmt w:val="decimal"/>
      <w:lvlText w:val="%7"/>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2848F6">
      <w:start w:val="1"/>
      <w:numFmt w:val="lowerLetter"/>
      <w:lvlText w:val="%8"/>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00F24E">
      <w:start w:val="1"/>
      <w:numFmt w:val="lowerRoman"/>
      <w:lvlText w:val="%9"/>
      <w:lvlJc w:val="left"/>
      <w:pPr>
        <w:ind w:left="7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408704">
    <w:abstractNumId w:val="5"/>
  </w:num>
  <w:num w:numId="2" w16cid:durableId="1450928400">
    <w:abstractNumId w:val="10"/>
  </w:num>
  <w:num w:numId="3" w16cid:durableId="1741098250">
    <w:abstractNumId w:val="4"/>
  </w:num>
  <w:num w:numId="4" w16cid:durableId="1070611769">
    <w:abstractNumId w:val="9"/>
  </w:num>
  <w:num w:numId="5" w16cid:durableId="277837969">
    <w:abstractNumId w:val="8"/>
  </w:num>
  <w:num w:numId="6" w16cid:durableId="1307079636">
    <w:abstractNumId w:val="6"/>
  </w:num>
  <w:num w:numId="7" w16cid:durableId="1166435530">
    <w:abstractNumId w:val="1"/>
  </w:num>
  <w:num w:numId="8" w16cid:durableId="1170170410">
    <w:abstractNumId w:val="12"/>
  </w:num>
  <w:num w:numId="9" w16cid:durableId="1298604184">
    <w:abstractNumId w:val="2"/>
  </w:num>
  <w:num w:numId="10" w16cid:durableId="1836454704">
    <w:abstractNumId w:val="7"/>
  </w:num>
  <w:num w:numId="11" w16cid:durableId="933048395">
    <w:abstractNumId w:val="3"/>
  </w:num>
  <w:num w:numId="12" w16cid:durableId="1530952815">
    <w:abstractNumId w:val="11"/>
  </w:num>
  <w:num w:numId="13" w16cid:durableId="5848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E24"/>
    <w:rsid w:val="00455E24"/>
    <w:rsid w:val="007E335F"/>
    <w:rsid w:val="008D2324"/>
    <w:rsid w:val="00B46BFF"/>
    <w:rsid w:val="00C61B9D"/>
    <w:rsid w:val="00DA504D"/>
    <w:rsid w:val="00E20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2DED"/>
  <w15:chartTrackingRefBased/>
  <w15:docId w15:val="{C3EBB35D-92A9-4966-AD1B-B10E2CF7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E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E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E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E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E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E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E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E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E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E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E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E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E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E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E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E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E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E24"/>
    <w:rPr>
      <w:rFonts w:eastAsiaTheme="majorEastAsia" w:cstheme="majorBidi"/>
      <w:color w:val="272727" w:themeColor="text1" w:themeTint="D8"/>
    </w:rPr>
  </w:style>
  <w:style w:type="paragraph" w:styleId="Title">
    <w:name w:val="Title"/>
    <w:basedOn w:val="Normal"/>
    <w:next w:val="Normal"/>
    <w:link w:val="TitleChar"/>
    <w:uiPriority w:val="10"/>
    <w:qFormat/>
    <w:rsid w:val="00455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E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E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E24"/>
    <w:pPr>
      <w:spacing w:before="160"/>
      <w:jc w:val="center"/>
    </w:pPr>
    <w:rPr>
      <w:i/>
      <w:iCs/>
      <w:color w:val="404040" w:themeColor="text1" w:themeTint="BF"/>
    </w:rPr>
  </w:style>
  <w:style w:type="character" w:customStyle="1" w:styleId="QuoteChar">
    <w:name w:val="Quote Char"/>
    <w:basedOn w:val="DefaultParagraphFont"/>
    <w:link w:val="Quote"/>
    <w:uiPriority w:val="29"/>
    <w:rsid w:val="00455E24"/>
    <w:rPr>
      <w:i/>
      <w:iCs/>
      <w:color w:val="404040" w:themeColor="text1" w:themeTint="BF"/>
    </w:rPr>
  </w:style>
  <w:style w:type="paragraph" w:styleId="ListParagraph">
    <w:name w:val="List Paragraph"/>
    <w:basedOn w:val="Normal"/>
    <w:uiPriority w:val="34"/>
    <w:qFormat/>
    <w:rsid w:val="00455E24"/>
    <w:pPr>
      <w:ind w:left="720"/>
      <w:contextualSpacing/>
    </w:pPr>
  </w:style>
  <w:style w:type="character" w:styleId="IntenseEmphasis">
    <w:name w:val="Intense Emphasis"/>
    <w:basedOn w:val="DefaultParagraphFont"/>
    <w:uiPriority w:val="21"/>
    <w:qFormat/>
    <w:rsid w:val="00455E24"/>
    <w:rPr>
      <w:i/>
      <w:iCs/>
      <w:color w:val="0F4761" w:themeColor="accent1" w:themeShade="BF"/>
    </w:rPr>
  </w:style>
  <w:style w:type="paragraph" w:styleId="IntenseQuote">
    <w:name w:val="Intense Quote"/>
    <w:basedOn w:val="Normal"/>
    <w:next w:val="Normal"/>
    <w:link w:val="IntenseQuoteChar"/>
    <w:uiPriority w:val="30"/>
    <w:qFormat/>
    <w:rsid w:val="00455E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E24"/>
    <w:rPr>
      <w:i/>
      <w:iCs/>
      <w:color w:val="0F4761" w:themeColor="accent1" w:themeShade="BF"/>
    </w:rPr>
  </w:style>
  <w:style w:type="character" w:styleId="IntenseReference">
    <w:name w:val="Intense Reference"/>
    <w:basedOn w:val="DefaultParagraphFont"/>
    <w:uiPriority w:val="32"/>
    <w:qFormat/>
    <w:rsid w:val="00455E24"/>
    <w:rPr>
      <w:b/>
      <w:bCs/>
      <w:smallCaps/>
      <w:color w:val="0F4761" w:themeColor="accent1" w:themeShade="BF"/>
      <w:spacing w:val="5"/>
    </w:rPr>
  </w:style>
  <w:style w:type="paragraph" w:styleId="Header">
    <w:name w:val="header"/>
    <w:basedOn w:val="Normal"/>
    <w:link w:val="HeaderChar"/>
    <w:uiPriority w:val="99"/>
    <w:unhideWhenUsed/>
    <w:rsid w:val="00455E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E24"/>
  </w:style>
  <w:style w:type="paragraph" w:styleId="Revision">
    <w:name w:val="Revision"/>
    <w:hidden/>
    <w:uiPriority w:val="99"/>
    <w:semiHidden/>
    <w:rsid w:val="00455E24"/>
    <w:pPr>
      <w:spacing w:after="0" w:line="240" w:lineRule="auto"/>
    </w:pPr>
  </w:style>
  <w:style w:type="table" w:styleId="TableGrid">
    <w:name w:val="Table Grid"/>
    <w:basedOn w:val="TableNormal"/>
    <w:uiPriority w:val="39"/>
    <w:rsid w:val="0045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373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2689</Words>
  <Characters>15331</Characters>
  <Application>Microsoft Office Word</Application>
  <DocSecurity>0</DocSecurity>
  <Lines>127</Lines>
  <Paragraphs>35</Paragraphs>
  <ScaleCrop>false</ScaleCrop>
  <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2026-04-29T10:25:00Z</dcterms:created>
  <dcterms:modified xsi:type="dcterms:W3CDTF">2026-04-29T10:36:00Z</dcterms:modified>
</cp:coreProperties>
</file>