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46883" w14:textId="77777777" w:rsidR="00945F2B" w:rsidRPr="00945F2B" w:rsidRDefault="00945F2B" w:rsidP="00945F2B">
      <w:pPr>
        <w:spacing w:after="0" w:line="240"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bCs/>
          <w:color w:val="000000"/>
          <w:kern w:val="0"/>
          <w:sz w:val="28"/>
          <w:szCs w:val="28"/>
          <w:lang w:val="es-ES" w:eastAsia="es-ES" w:bidi="es-ES"/>
          <w14:ligatures w14:val="none"/>
        </w:rPr>
        <w:t xml:space="preserve">Mobiliario y Equipo: Depreciación, Informes de Conciliación y Funciones Centralizadas  </w:t>
      </w:r>
      <w:r w:rsidRPr="00945F2B">
        <w:rPr>
          <w:rFonts w:ascii="Calibri" w:eastAsia="Calibri" w:hAnsi="Calibri" w:cs="Calibri"/>
          <w:color w:val="000000"/>
          <w:kern w:val="0"/>
          <w:sz w:val="22"/>
          <w:szCs w:val="22"/>
          <w:lang w:val="es-ES" w:eastAsia="es-ES" w:bidi="es-ES"/>
          <w14:ligatures w14:val="none"/>
        </w:rPr>
        <w:t xml:space="preserve"> </w:t>
      </w:r>
    </w:p>
    <w:p w14:paraId="48EA4108"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 xml:space="preserve">  </w:t>
      </w:r>
    </w:p>
    <w:p w14:paraId="5DCDA8C5"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Depreciación</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35D077BE"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198E7643" w14:textId="77777777" w:rsidR="00945F2B" w:rsidRPr="00945F2B" w:rsidRDefault="00945F2B" w:rsidP="00945F2B">
      <w:pPr>
        <w:numPr>
          <w:ilvl w:val="0"/>
          <w:numId w:val="2"/>
        </w:numPr>
        <w:spacing w:after="0" w:line="254" w:lineRule="auto"/>
        <w:ind w:right="29"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Cs/>
          <w:color w:val="000000"/>
          <w:kern w:val="0"/>
          <w:sz w:val="22"/>
          <w:szCs w:val="22"/>
          <w:lang w:val="es-ES" w:eastAsia="es-ES" w:bidi="es-ES"/>
          <w14:ligatures w14:val="none"/>
        </w:rPr>
        <w:t>La depreciación</w:t>
      </w:r>
      <w:r w:rsidRPr="00945F2B">
        <w:rPr>
          <w:rFonts w:ascii="Calibri" w:eastAsia="Calibri" w:hAnsi="Calibri" w:cs="Calibri"/>
          <w:color w:val="000000"/>
          <w:kern w:val="0"/>
          <w:sz w:val="22"/>
          <w:szCs w:val="22"/>
          <w:lang w:val="es-ES" w:eastAsia="es-ES" w:bidi="es-ES"/>
          <w14:ligatures w14:val="none"/>
        </w:rPr>
        <w:t xml:space="preserve"> es la medida del desgaste, el consumo u otra pérdida de valor de un activo fijo a lo largo de su vida útil. Se conoce también como «gasto de depreciación», que se gasta a lo largo de la vida del activo en lugar de cuando se paga el activo.  </w:t>
      </w:r>
    </w:p>
    <w:p w14:paraId="095BB1B3" w14:textId="77777777" w:rsidR="00945F2B" w:rsidRPr="00945F2B" w:rsidRDefault="00945F2B" w:rsidP="00945F2B">
      <w:pPr>
        <w:spacing w:after="0" w:line="259" w:lineRule="auto"/>
        <w:ind w:left="406"/>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1DBCCCD6" w14:textId="77777777" w:rsidR="00945F2B" w:rsidRPr="00945F2B" w:rsidRDefault="00945F2B" w:rsidP="00945F2B">
      <w:pPr>
        <w:numPr>
          <w:ilvl w:val="0"/>
          <w:numId w:val="2"/>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El monto depreciable es el costo de un activo, u otro monto que sustituya al costo, menos su valor residual. El valor residual de un activo es el monto estimado que se obtendría actualmente de la enajenación del activo, después de deducir los costos estimados de enajenación, si el activo tuviese ya la antigüedad y estuviese en las condiciones esperadas al final de su vida útil. En el PNUD (Programa de las Naciones Unidas para el Desarrollo), el valor residual se establece en «0».</w:t>
      </w:r>
    </w:p>
    <w:p w14:paraId="6F0AF90B" w14:textId="77777777" w:rsidR="00945F2B" w:rsidRPr="00945F2B" w:rsidRDefault="00945F2B" w:rsidP="00945F2B">
      <w:pPr>
        <w:spacing w:after="0" w:line="254" w:lineRule="auto"/>
        <w:ind w:left="730" w:right="28" w:hanging="10"/>
        <w:jc w:val="both"/>
        <w:rPr>
          <w:rFonts w:ascii="Calibri" w:eastAsia="Calibri" w:hAnsi="Calibri" w:cs="Calibri"/>
          <w:color w:val="000000"/>
          <w:kern w:val="0"/>
          <w:sz w:val="22"/>
          <w:szCs w:val="22"/>
          <w:lang w:val="es-ES" w:eastAsia="es-ES" w:bidi="es-ES"/>
          <w14:ligatures w14:val="none"/>
        </w:rPr>
      </w:pPr>
    </w:p>
    <w:p w14:paraId="130109E5" w14:textId="77777777" w:rsidR="00945F2B" w:rsidRPr="00945F2B" w:rsidRDefault="00945F2B" w:rsidP="00945F2B">
      <w:pPr>
        <w:numPr>
          <w:ilvl w:val="0"/>
          <w:numId w:val="2"/>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depreciación comenzará cuando el activo esté disponible para el uso, es decir, cuando esté en la ubicación y en las condiciones necesarias para que sea capaz de funcionar de la manera prevista por la administración hasta que el activo complete toda su vida útil establecida o sea transferido, vendido o donado. En la desafectación del activo, la depreciación se realizará hasta su penúltimo mes (mes anterior al mes de enajenación), es decir, no se depreciará en el mes final. Tenga en cuenta que la depreciación no se verifica con el presupuesto y no tiene ningún impacto en los recursos. El costo total del activo afecta los recursos en el momento de la compra. La depreciación posterior tiene el propósito de asignar este costo a lo largo de la vida útil del activo. La depreciación es un proceso automatizado a nivel de la Sede.  </w:t>
      </w:r>
    </w:p>
    <w:p w14:paraId="29E54313" w14:textId="77777777" w:rsidR="00945F2B" w:rsidRPr="00945F2B" w:rsidRDefault="00945F2B" w:rsidP="00945F2B">
      <w:pPr>
        <w:spacing w:after="24" w:line="254" w:lineRule="auto"/>
        <w:ind w:left="720" w:right="38" w:hanging="10"/>
        <w:contextualSpacing/>
        <w:jc w:val="both"/>
        <w:rPr>
          <w:rFonts w:ascii="Calibri" w:eastAsia="Calibri" w:hAnsi="Calibri" w:cs="Calibri"/>
          <w:color w:val="000000"/>
          <w:kern w:val="0"/>
          <w:sz w:val="22"/>
          <w:szCs w:val="22"/>
          <w:lang w:val="es-ES" w:eastAsia="es-ES" w:bidi="es-ES"/>
          <w14:ligatures w14:val="none"/>
        </w:rPr>
      </w:pPr>
    </w:p>
    <w:p w14:paraId="5B4B022C" w14:textId="77777777" w:rsidR="00945F2B" w:rsidRPr="00945F2B" w:rsidRDefault="00945F2B" w:rsidP="00945F2B">
      <w:pPr>
        <w:numPr>
          <w:ilvl w:val="0"/>
          <w:numId w:val="2"/>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vida útil se define como el plazo durante el cual se espera que un activo esté disponible para el uso. En el PNUD, las vidas útiles para las diferentes categorías se han establecido de acuerdo con las prácticas del PNUD de retener activos en uso con la intención de obtener una </w:t>
      </w:r>
      <w:r w:rsidRPr="00945F2B">
        <w:rPr>
          <w:rFonts w:ascii="Calibri" w:eastAsia="Calibri" w:hAnsi="Calibri" w:cs="Calibri"/>
          <w:b/>
          <w:bCs/>
          <w:color w:val="000000"/>
          <w:kern w:val="0"/>
          <w:sz w:val="22"/>
          <w:szCs w:val="22"/>
          <w:lang w:val="es-ES" w:eastAsia="es-ES" w:bidi="es-ES"/>
          <w14:ligatures w14:val="none"/>
        </w:rPr>
        <w:t>vida útil promedio razonable</w:t>
      </w:r>
      <w:r w:rsidRPr="00945F2B">
        <w:rPr>
          <w:rFonts w:ascii="Calibri" w:eastAsia="Calibri" w:hAnsi="Calibri" w:cs="Calibri"/>
          <w:color w:val="000000"/>
          <w:kern w:val="0"/>
          <w:sz w:val="22"/>
          <w:szCs w:val="22"/>
          <w:lang w:val="es-ES" w:eastAsia="es-ES" w:bidi="es-ES"/>
          <w14:ligatures w14:val="none"/>
        </w:rPr>
        <w:t xml:space="preserve"> en toda la población de activos similares dentro del PNUD. Por lo tanto, algunos activos pueden enajenarse antes de alcanzar su vida útil, luego de una revisión de su utilidad en su vida de reposición recomendada. De igual manera, otros activos pueden conservarse en servicio por períodos más prolongados que sus vidas útiles, por motivos operativos. La cantidad y el costo original de los activos retenidos después de sus vidas útiles se revelarán en los estados financieros del PNUD.   </w:t>
      </w:r>
    </w:p>
    <w:p w14:paraId="679F3CC1" w14:textId="77777777" w:rsidR="00945F2B" w:rsidRPr="00945F2B" w:rsidRDefault="00945F2B" w:rsidP="00945F2B">
      <w:pPr>
        <w:spacing w:after="0" w:line="259" w:lineRule="auto"/>
        <w:ind w:left="406"/>
        <w:rPr>
          <w:rFonts w:ascii="Calibri" w:eastAsia="Calibri" w:hAnsi="Calibri" w:cs="Calibri"/>
          <w:color w:val="000000"/>
          <w:kern w:val="0"/>
          <w:sz w:val="22"/>
          <w:szCs w:val="22"/>
          <w:lang w:val="es-ES" w:eastAsia="es-ES" w:bidi="es-ES"/>
          <w14:ligatures w14:val="none"/>
        </w:rPr>
      </w:pPr>
    </w:p>
    <w:p w14:paraId="62EAB218" w14:textId="77777777" w:rsidR="00945F2B" w:rsidRPr="00945F2B" w:rsidRDefault="00945F2B" w:rsidP="00945F2B">
      <w:pPr>
        <w:numPr>
          <w:ilvl w:val="0"/>
          <w:numId w:val="2"/>
        </w:numPr>
        <w:spacing w:after="0" w:line="254" w:lineRule="auto"/>
        <w:ind w:right="29"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Las vidas útiles de los activos del PNUD deberán revisarse en cada fecha de presentación del informe anual y, si las expectativas difieren de las estimaciones previas, los cambios deberán contabilizarse como un cambio previsto en la estimación contable incluyéndolo en el superávit o el déficit en el período del cambio, si el cambio afecta solo al período o en el período de cambio y períodos futuros, si el cambio afecta a ambos.</w:t>
      </w:r>
      <w:r w:rsidRPr="00945F2B">
        <w:rPr>
          <w:rFonts w:ascii="Calibri" w:eastAsia="Calibri" w:hAnsi="Calibri" w:cs="Calibri"/>
          <w:b/>
          <w:bCs/>
          <w:color w:val="000000"/>
          <w:kern w:val="0"/>
          <w:sz w:val="22"/>
          <w:szCs w:val="22"/>
          <w:lang w:val="es-ES" w:eastAsia="es-ES" w:bidi="es-ES"/>
          <w14:ligatures w14:val="none"/>
        </w:rPr>
        <w:t xml:space="preserve">  </w:t>
      </w:r>
      <w:r w:rsidRPr="00945F2B">
        <w:rPr>
          <w:rFonts w:ascii="Calibri" w:eastAsia="Calibri" w:hAnsi="Calibri" w:cs="Calibri"/>
          <w:color w:val="000000"/>
          <w:kern w:val="0"/>
          <w:sz w:val="22"/>
          <w:szCs w:val="22"/>
          <w:lang w:val="es-ES" w:eastAsia="es-ES" w:bidi="es-ES"/>
          <w14:ligatures w14:val="none"/>
        </w:rPr>
        <w:t xml:space="preserve">  </w:t>
      </w:r>
    </w:p>
    <w:p w14:paraId="60BF37D4" w14:textId="77777777" w:rsidR="00945F2B" w:rsidRDefault="00945F2B" w:rsidP="00945F2B">
      <w:pPr>
        <w:spacing w:after="24" w:line="254" w:lineRule="auto"/>
        <w:ind w:left="730" w:right="38" w:hanging="10"/>
        <w:jc w:val="both"/>
        <w:rPr>
          <w:rFonts w:ascii="Calibri" w:eastAsia="Calibri" w:hAnsi="Calibri" w:cs="Calibri"/>
          <w:color w:val="000000"/>
          <w:kern w:val="0"/>
          <w:sz w:val="22"/>
          <w:szCs w:val="22"/>
          <w:lang w:val="es-ES" w:eastAsia="es-ES" w:bidi="es-ES"/>
          <w14:ligatures w14:val="none"/>
        </w:rPr>
      </w:pPr>
    </w:p>
    <w:p w14:paraId="6E31C298" w14:textId="77777777" w:rsidR="00945F2B" w:rsidRPr="00945F2B" w:rsidRDefault="00945F2B" w:rsidP="00945F2B">
      <w:pPr>
        <w:spacing w:after="24" w:line="254" w:lineRule="auto"/>
        <w:ind w:left="730" w:right="38" w:hanging="10"/>
        <w:jc w:val="both"/>
        <w:rPr>
          <w:rFonts w:ascii="Calibri" w:eastAsia="Calibri" w:hAnsi="Calibri" w:cs="Calibri"/>
          <w:color w:val="000000"/>
          <w:kern w:val="0"/>
          <w:sz w:val="22"/>
          <w:szCs w:val="22"/>
          <w:lang w:val="es-ES" w:eastAsia="es-ES" w:bidi="es-ES"/>
          <w14:ligatures w14:val="none"/>
        </w:rPr>
      </w:pPr>
    </w:p>
    <w:p w14:paraId="22CDBC8C" w14:textId="77777777" w:rsidR="00945F2B" w:rsidRPr="00945F2B" w:rsidRDefault="00945F2B" w:rsidP="00945F2B">
      <w:pPr>
        <w:keepNext/>
        <w:keepLines/>
        <w:spacing w:after="0" w:line="259" w:lineRule="auto"/>
        <w:ind w:left="345" w:hanging="14"/>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lastRenderedPageBreak/>
        <w:t xml:space="preserve">Conciliación </w:t>
      </w:r>
    </w:p>
    <w:p w14:paraId="49C71C5A" w14:textId="77777777" w:rsidR="00945F2B" w:rsidRPr="00945F2B" w:rsidRDefault="00945F2B" w:rsidP="00945F2B">
      <w:pPr>
        <w:spacing w:after="24" w:line="254" w:lineRule="auto"/>
        <w:ind w:left="730" w:right="38" w:hanging="10"/>
        <w:jc w:val="both"/>
        <w:rPr>
          <w:rFonts w:ascii="Calibri" w:eastAsia="Calibri" w:hAnsi="Calibri" w:cs="Calibri"/>
          <w:color w:val="000000"/>
          <w:kern w:val="0"/>
          <w:sz w:val="22"/>
          <w:szCs w:val="22"/>
          <w:lang w:val="es-ES" w:eastAsia="es-ES" w:bidi="es-ES"/>
          <w14:ligatures w14:val="none"/>
        </w:rPr>
      </w:pPr>
    </w:p>
    <w:p w14:paraId="76978C32" w14:textId="77777777" w:rsidR="00945F2B" w:rsidRPr="00945F2B" w:rsidRDefault="00945F2B" w:rsidP="00945F2B">
      <w:pPr>
        <w:numPr>
          <w:ilvl w:val="0"/>
          <w:numId w:val="2"/>
        </w:numPr>
        <w:spacing w:after="0" w:line="259" w:lineRule="auto"/>
        <w:ind w:right="38" w:hanging="360"/>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conciliación es un proceso contable que se utiliza para comparar dos conjuntos de registros con el fin de garantizar que las cifras coincidan y sean precisas.  Dado que los datos sobre el mobiliario y el equipo se iniciarán en un módulo y se registrarán finalmente en el módulo de activos de Quantum, así como en la cuenta del libro mayor, será necesario conciliar mensualmente los datos y la información de los tres módulos de Quantum. Además de las conciliaciones de los datos contables, también será necesario conciliar los resultados del ejercicio de verificación física con los registros de mobiliario y equipo. La conciliación entre módulos será llevada a cabo en la Sede por el Servicio de Operaciones Generales (GO/BMS), mientras que la conciliación de la verificación física con los registros de activos será llevada a cabo por cada unidad de la oficina del país o de la Sede.  </w:t>
      </w:r>
    </w:p>
    <w:p w14:paraId="2EEA62C2" w14:textId="77777777" w:rsidR="00945F2B" w:rsidRPr="00945F2B" w:rsidRDefault="00945F2B" w:rsidP="00945F2B">
      <w:pPr>
        <w:spacing w:after="0" w:line="259" w:lineRule="auto"/>
        <w:ind w:left="691"/>
        <w:contextualSpacing/>
        <w:jc w:val="both"/>
        <w:rPr>
          <w:rFonts w:ascii="Calibri" w:eastAsia="Calibri" w:hAnsi="Calibri" w:cs="Calibri"/>
          <w:color w:val="000000"/>
          <w:kern w:val="0"/>
          <w:sz w:val="22"/>
          <w:szCs w:val="22"/>
          <w:lang w:val="es-ES" w:eastAsia="es-ES" w:bidi="es-ES"/>
          <w14:ligatures w14:val="none"/>
        </w:rPr>
      </w:pPr>
    </w:p>
    <w:p w14:paraId="70DB8B68" w14:textId="77777777" w:rsidR="00945F2B" w:rsidRPr="00945F2B" w:rsidRDefault="00945F2B" w:rsidP="00945F2B">
      <w:pPr>
        <w:numPr>
          <w:ilvl w:val="0"/>
          <w:numId w:val="2"/>
        </w:numPr>
        <w:spacing w:after="0" w:line="259" w:lineRule="auto"/>
        <w:ind w:right="38" w:hanging="360"/>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Debido a la necesidad de verificar la precisión de los registros a través de reconciliaciones y </w:t>
      </w:r>
    </w:p>
    <w:p w14:paraId="31801A4E" w14:textId="77777777" w:rsidR="00945F2B" w:rsidRPr="00945F2B" w:rsidRDefault="00945F2B" w:rsidP="00945F2B">
      <w:pPr>
        <w:spacing w:after="0" w:line="254" w:lineRule="auto"/>
        <w:ind w:left="730" w:hanging="1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con el propósito de preparar información precisa de los activos para la información financiera, existen varios informes diseñados para ayudar a los usuarios a realizar las funciones de conciliación y revisión de los registros de activos. Para obtener más detalles sobre los tipos de informes, consulte la subsección de Informes.</w:t>
      </w:r>
    </w:p>
    <w:p w14:paraId="1A7DF030" w14:textId="77777777" w:rsidR="00945F2B" w:rsidRPr="00945F2B" w:rsidRDefault="00945F2B" w:rsidP="00945F2B">
      <w:pPr>
        <w:spacing w:after="0" w:line="254" w:lineRule="auto"/>
        <w:ind w:left="730" w:hanging="10"/>
        <w:jc w:val="both"/>
        <w:rPr>
          <w:rFonts w:ascii="Calibri" w:eastAsia="Calibri" w:hAnsi="Calibri" w:cs="Calibri"/>
          <w:color w:val="000000"/>
          <w:kern w:val="0"/>
          <w:sz w:val="22"/>
          <w:szCs w:val="22"/>
          <w:lang w:val="es-ES" w:eastAsia="es-ES" w:bidi="es-ES"/>
          <w14:ligatures w14:val="none"/>
        </w:rPr>
      </w:pPr>
    </w:p>
    <w:p w14:paraId="6C7430B6"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Funciones Centralizadas</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407D96B3" w14:textId="77777777" w:rsidR="00945F2B" w:rsidRPr="00945F2B" w:rsidRDefault="00945F2B" w:rsidP="00945F2B">
      <w:pPr>
        <w:spacing w:after="0" w:line="254" w:lineRule="auto"/>
        <w:ind w:left="730" w:hanging="10"/>
        <w:jc w:val="both"/>
        <w:rPr>
          <w:rFonts w:ascii="Calibri" w:eastAsia="Calibri" w:hAnsi="Calibri" w:cs="Calibri"/>
          <w:color w:val="000000"/>
          <w:kern w:val="0"/>
          <w:sz w:val="22"/>
          <w:szCs w:val="22"/>
          <w:lang w:val="es-ES" w:eastAsia="es-ES" w:bidi="es-ES"/>
          <w14:ligatures w14:val="none"/>
        </w:rPr>
      </w:pPr>
    </w:p>
    <w:p w14:paraId="2D0B301D" w14:textId="77777777" w:rsidR="00945F2B" w:rsidRPr="00945F2B" w:rsidRDefault="00945F2B" w:rsidP="00945F2B">
      <w:pPr>
        <w:numPr>
          <w:ilvl w:val="0"/>
          <w:numId w:val="2"/>
        </w:numPr>
        <w:spacing w:after="0" w:line="259" w:lineRule="auto"/>
        <w:ind w:right="38" w:hanging="360"/>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Las funciones centralizadas son las funciones desempeñadas solamente por el CGSC (Centro </w:t>
      </w:r>
    </w:p>
    <w:p w14:paraId="21418F45" w14:textId="77777777" w:rsidR="00945F2B" w:rsidRPr="00945F2B" w:rsidRDefault="00945F2B" w:rsidP="00945F2B">
      <w:pPr>
        <w:spacing w:after="0" w:line="254" w:lineRule="auto"/>
        <w:ind w:left="691" w:right="29"/>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Global de Servicios Compartidos) y la Sede de Nueva York (NYHQ) del PNUD a través de la División de Cuentas, la OIMT o la división de Operaciones Generales, como se detalla a continuación.   </w:t>
      </w:r>
    </w:p>
    <w:p w14:paraId="6B220F86" w14:textId="77777777" w:rsidR="00945F2B" w:rsidRPr="00945F2B" w:rsidRDefault="00945F2B" w:rsidP="00945F2B">
      <w:pPr>
        <w:spacing w:after="0" w:line="254" w:lineRule="auto"/>
        <w:ind w:left="10" w:hanging="10"/>
        <w:jc w:val="both"/>
        <w:rPr>
          <w:rFonts w:ascii="Calibri" w:eastAsia="Calibri" w:hAnsi="Calibri" w:cs="Calibri"/>
          <w:color w:val="000000"/>
          <w:kern w:val="0"/>
          <w:sz w:val="22"/>
          <w:szCs w:val="22"/>
          <w:lang w:val="es-ES" w:eastAsia="es-ES" w:bidi="es-ES"/>
          <w14:ligatures w14:val="none"/>
        </w:rPr>
      </w:pPr>
    </w:p>
    <w:p w14:paraId="14BA7022"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 xml:space="preserve">Flujograma   </w:t>
      </w:r>
    </w:p>
    <w:p w14:paraId="4F6C83EB"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bCs/>
          <w:color w:val="000000"/>
          <w:kern w:val="0"/>
          <w:sz w:val="22"/>
          <w:szCs w:val="22"/>
          <w:lang w:val="es-ES" w:eastAsia="es-ES" w:bidi="es-ES"/>
          <w14:ligatures w14:val="none"/>
        </w:rPr>
        <w:t xml:space="preserve"> </w:t>
      </w:r>
      <w:r w:rsidRPr="00945F2B">
        <w:rPr>
          <w:rFonts w:ascii="Calibri" w:eastAsia="Calibri" w:hAnsi="Calibri" w:cs="Calibri"/>
          <w:color w:val="000000"/>
          <w:kern w:val="0"/>
          <w:sz w:val="22"/>
          <w:szCs w:val="22"/>
          <w:lang w:val="es-ES" w:eastAsia="es-ES" w:bidi="es-ES"/>
          <w14:ligatures w14:val="none"/>
        </w:rPr>
        <w:t xml:space="preserve"> </w:t>
      </w:r>
    </w:p>
    <w:p w14:paraId="110DB7B9" w14:textId="5FE9EA9F"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hyperlink r:id="rId7" w:history="1">
        <w:r w:rsidRPr="00945F2B">
          <w:rPr>
            <w:rFonts w:ascii="Calibri" w:eastAsia="Calibri" w:hAnsi="Calibri" w:cs="Calibri"/>
            <w:color w:val="0000FF"/>
            <w:kern w:val="0"/>
            <w:sz w:val="22"/>
            <w:szCs w:val="22"/>
            <w:u w:val="single"/>
            <w:lang w:val="es-ES" w:eastAsia="es-ES" w:bidi="es-ES"/>
            <w14:ligatures w14:val="none"/>
          </w:rPr>
          <w:t xml:space="preserve">Proceso de Final del Mes según IPSAS incluida la Depreciación </w:t>
        </w:r>
      </w:hyperlink>
      <w:r>
        <w:rPr>
          <w:rFonts w:ascii="Calibri" w:eastAsia="Calibri" w:hAnsi="Calibri" w:cs="Calibri"/>
          <w:color w:val="000000"/>
          <w:kern w:val="0"/>
          <w:sz w:val="22"/>
          <w:szCs w:val="22"/>
          <w:lang w:val="es-ES" w:eastAsia="es-ES" w:bidi="es-ES"/>
          <w14:ligatures w14:val="none"/>
        </w:rPr>
        <w:t>(</w:t>
      </w:r>
      <w:r w:rsidRPr="00F51058">
        <w:rPr>
          <w:rFonts w:ascii="Calibri" w:eastAsia="Times New Roman" w:hAnsi="Calibri" w:cs="Times New Roman"/>
          <w:color w:val="000000"/>
          <w:kern w:val="0"/>
          <w:sz w:val="22"/>
          <w:szCs w:val="22"/>
          <w:bdr w:val="none" w:sz="0" w:space="0" w:color="auto" w:frame="1"/>
          <w:shd w:val="clear" w:color="auto" w:fill="FFFFFF"/>
          <w:lang w:val="es-UY"/>
          <w14:ligatures w14:val="none"/>
        </w:rPr>
        <w:t>en inglés</w:t>
      </w:r>
      <w:r>
        <w:rPr>
          <w:rFonts w:ascii="Calibri" w:eastAsia="Calibri" w:hAnsi="Calibri" w:cs="Calibri"/>
          <w:color w:val="000000"/>
          <w:kern w:val="0"/>
          <w:sz w:val="22"/>
          <w:szCs w:val="22"/>
          <w:lang w:val="es-ES" w:eastAsia="es-ES" w:bidi="es-ES"/>
          <w14:ligatures w14:val="none"/>
        </w:rPr>
        <w:t>)</w:t>
      </w:r>
    </w:p>
    <w:p w14:paraId="564DF684"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p>
    <w:p w14:paraId="07F71CA5"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 xml:space="preserve">Método de Depreciación  </w:t>
      </w:r>
    </w:p>
    <w:p w14:paraId="2E128EA1"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18F6822B" w14:textId="77777777" w:rsidR="00945F2B" w:rsidRPr="00945F2B" w:rsidRDefault="00945F2B" w:rsidP="00945F2B">
      <w:pPr>
        <w:spacing w:after="0" w:line="254" w:lineRule="auto"/>
        <w:ind w:left="341" w:right="29"/>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9.</w:t>
      </w:r>
      <w:r w:rsidRPr="00945F2B">
        <w:rPr>
          <w:rFonts w:ascii="Calibri" w:eastAsia="Calibri" w:hAnsi="Calibri" w:cs="Calibri"/>
          <w:color w:val="000000"/>
          <w:kern w:val="0"/>
          <w:sz w:val="22"/>
          <w:szCs w:val="22"/>
          <w:lang w:val="es-ES" w:eastAsia="es-ES" w:bidi="es-ES"/>
          <w14:ligatures w14:val="none"/>
        </w:rPr>
        <w:tab/>
        <w:t xml:space="preserve">Cada artículo de Mobiliario y Equipo deberá depreciarse cuando esté disponible para el uso (es decir,    </w:t>
      </w:r>
    </w:p>
    <w:p w14:paraId="43EC70A1" w14:textId="77777777" w:rsidR="00945F2B" w:rsidRPr="00945F2B" w:rsidRDefault="00945F2B" w:rsidP="00945F2B">
      <w:pPr>
        <w:spacing w:after="0" w:line="254" w:lineRule="auto"/>
        <w:ind w:left="720" w:right="29"/>
        <w:contextualSpacing/>
        <w:jc w:val="both"/>
        <w:rPr>
          <w:rFonts w:ascii="Calibri" w:eastAsia="MS Mincho"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etiquetado como en servicio dentro del Módulo Activos), utilizando el método de amortización lineal o prorrateo equitativo/deducción constante a lo largo de su vida útil, en forma mensual, utilizando la convención de mes corriente. Los cálculos y las deducciones por depreciación serán realizados en Quantum y los asientos de gastos necesarios se contabilizarán en el plan de cuentas (COA) asociado con el activo. Por este motivo, es fundamental que los COA asociados con los activos sean precisos y válidos.  </w:t>
      </w:r>
    </w:p>
    <w:p w14:paraId="60A9B57D"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p>
    <w:p w14:paraId="69A476EA"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Vida útil contable</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6572EE89"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0535DD75" w14:textId="77777777" w:rsidR="00945F2B" w:rsidRPr="00945F2B" w:rsidRDefault="00945F2B" w:rsidP="00945F2B">
      <w:pPr>
        <w:numPr>
          <w:ilvl w:val="0"/>
          <w:numId w:val="13"/>
        </w:numPr>
        <w:spacing w:after="0" w:line="254" w:lineRule="auto"/>
        <w:ind w:right="29"/>
        <w:contextualSpacing/>
        <w:jc w:val="both"/>
        <w:rPr>
          <w:rFonts w:ascii="Calibri" w:eastAsia="MS Mincho"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vida útil se define como el plazo durante el cual se espera que un activo esté disponible para el </w:t>
      </w:r>
    </w:p>
    <w:p w14:paraId="7E7D8341" w14:textId="77777777" w:rsidR="00945F2B" w:rsidRPr="00945F2B" w:rsidRDefault="00945F2B" w:rsidP="00945F2B">
      <w:pPr>
        <w:spacing w:after="0" w:line="254" w:lineRule="auto"/>
        <w:ind w:left="720" w:right="29"/>
        <w:jc w:val="both"/>
        <w:rPr>
          <w:rFonts w:ascii="Calibri" w:eastAsia="MS Mincho"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lastRenderedPageBreak/>
        <w:t xml:space="preserve">uso. En el PNUD, las vidas útiles para las diferentes categorías se han establecido de acuerdo con las prácticas del PNUD de retener activos en uso con la intención de obtener una vida útil promedio razonable en toda la población de activos similares dentro del PNUD. Al determinar la vida útil de varios artículos de Mobiliario y Equipo, se tuvieron en cuenta los siguientes factores:   </w:t>
      </w:r>
    </w:p>
    <w:p w14:paraId="302145D5" w14:textId="77777777" w:rsidR="00945F2B" w:rsidRPr="00945F2B" w:rsidRDefault="00945F2B" w:rsidP="00945F2B">
      <w:pPr>
        <w:spacing w:after="0" w:line="259" w:lineRule="auto"/>
        <w:ind w:left="108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0780C18B" w14:textId="77777777" w:rsidR="00945F2B" w:rsidRPr="00945F2B" w:rsidRDefault="00945F2B" w:rsidP="00F51058">
      <w:pPr>
        <w:numPr>
          <w:ilvl w:val="1"/>
          <w:numId w:val="3"/>
        </w:numPr>
        <w:spacing w:after="0" w:line="254" w:lineRule="auto"/>
        <w:ind w:left="2160" w:right="28" w:hanging="389"/>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El uso esperado del activo por la entidad;   </w:t>
      </w:r>
    </w:p>
    <w:p w14:paraId="718D97B5" w14:textId="77777777" w:rsidR="00945F2B" w:rsidRPr="00945F2B" w:rsidRDefault="00945F2B" w:rsidP="00F51058">
      <w:pPr>
        <w:numPr>
          <w:ilvl w:val="1"/>
          <w:numId w:val="3"/>
        </w:numPr>
        <w:spacing w:after="0" w:line="254" w:lineRule="auto"/>
        <w:ind w:left="2160" w:right="28" w:hanging="389"/>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El desgaste físico esperado del activo;   </w:t>
      </w:r>
    </w:p>
    <w:p w14:paraId="6001ED05" w14:textId="77777777" w:rsidR="00945F2B" w:rsidRPr="00945F2B" w:rsidRDefault="00945F2B" w:rsidP="00F51058">
      <w:pPr>
        <w:numPr>
          <w:ilvl w:val="1"/>
          <w:numId w:val="3"/>
        </w:numPr>
        <w:spacing w:after="0" w:line="254" w:lineRule="auto"/>
        <w:ind w:left="2160" w:right="28" w:hanging="389"/>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obsolescencia técnica;  </w:t>
      </w:r>
    </w:p>
    <w:p w14:paraId="44EEB2CE" w14:textId="77777777" w:rsidR="00945F2B" w:rsidRPr="00945F2B" w:rsidRDefault="00945F2B" w:rsidP="00F51058">
      <w:pPr>
        <w:numPr>
          <w:ilvl w:val="1"/>
          <w:numId w:val="3"/>
        </w:numPr>
        <w:spacing w:after="0" w:line="254" w:lineRule="auto"/>
        <w:ind w:left="2160" w:right="28" w:hanging="389"/>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Límites legales o similares en el uso del activo, como el vencimiento de arrendamientos relacionados.  </w:t>
      </w:r>
    </w:p>
    <w:p w14:paraId="144E6873" w14:textId="77777777" w:rsidR="00945F2B" w:rsidRPr="00945F2B" w:rsidRDefault="00945F2B" w:rsidP="00945F2B">
      <w:pPr>
        <w:spacing w:after="0" w:line="254" w:lineRule="auto"/>
        <w:ind w:left="10" w:hanging="10"/>
        <w:jc w:val="both"/>
        <w:rPr>
          <w:rFonts w:ascii="Calibri" w:eastAsia="Calibri" w:hAnsi="Calibri" w:cs="Calibri"/>
          <w:color w:val="000000"/>
          <w:kern w:val="0"/>
          <w:sz w:val="22"/>
          <w:szCs w:val="22"/>
          <w:lang w:val="es-ES" w:eastAsia="es-ES" w:bidi="es-ES"/>
          <w14:ligatures w14:val="none"/>
        </w:rPr>
      </w:pPr>
    </w:p>
    <w:p w14:paraId="1F09AE90" w14:textId="77777777" w:rsidR="00945F2B" w:rsidRPr="00945F2B" w:rsidRDefault="00945F2B" w:rsidP="00945F2B">
      <w:pPr>
        <w:numPr>
          <w:ilvl w:val="0"/>
          <w:numId w:val="3"/>
        </w:numPr>
        <w:spacing w:after="0" w:line="254" w:lineRule="auto"/>
        <w:ind w:right="28"/>
        <w:contextualSpacing/>
        <w:jc w:val="both"/>
        <w:rPr>
          <w:rFonts w:ascii="Calibri" w:eastAsia="MS Mincho"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Las siguientes son las vidas útiles de varias clases de Mobiliario y Equipo:  </w:t>
      </w:r>
    </w:p>
    <w:p w14:paraId="517A9949" w14:textId="77777777" w:rsidR="00945F2B" w:rsidRPr="00945F2B" w:rsidRDefault="00945F2B" w:rsidP="00945F2B">
      <w:pPr>
        <w:spacing w:after="0" w:line="259" w:lineRule="auto"/>
        <w:ind w:left="36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tbl>
      <w:tblPr>
        <w:tblW w:w="6655" w:type="dxa"/>
        <w:tblInd w:w="1548" w:type="dxa"/>
        <w:tblCellMar>
          <w:left w:w="0" w:type="dxa"/>
          <w:right w:w="0" w:type="dxa"/>
        </w:tblCellMar>
        <w:tblLook w:val="04A0" w:firstRow="1" w:lastRow="0" w:firstColumn="1" w:lastColumn="0" w:noHBand="0" w:noVBand="1"/>
      </w:tblPr>
      <w:tblGrid>
        <w:gridCol w:w="4590"/>
        <w:gridCol w:w="2065"/>
      </w:tblGrid>
      <w:tr w:rsidR="00945F2B" w:rsidRPr="00945F2B" w14:paraId="7FBC7AF5" w14:textId="77777777" w:rsidTr="000325C7">
        <w:trPr>
          <w:trHeight w:val="398"/>
          <w:tblHeader/>
        </w:trPr>
        <w:tc>
          <w:tcPr>
            <w:tcW w:w="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577097" w14:textId="77777777" w:rsidR="00945F2B" w:rsidRPr="00945F2B" w:rsidRDefault="00945F2B" w:rsidP="00945F2B">
            <w:pPr>
              <w:spacing w:after="24" w:line="254" w:lineRule="auto"/>
              <w:ind w:left="16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i/>
                <w:color w:val="000000"/>
                <w:kern w:val="0"/>
                <w:sz w:val="22"/>
                <w:szCs w:val="22"/>
                <w:lang w:val="es-ES" w:eastAsia="es-ES" w:bidi="es-ES"/>
                <w14:ligatures w14:val="none"/>
              </w:rPr>
              <w:t>Clase</w:t>
            </w:r>
          </w:p>
        </w:tc>
        <w:tc>
          <w:tcPr>
            <w:tcW w:w="20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87405A" w14:textId="77777777" w:rsidR="00945F2B" w:rsidRPr="00945F2B" w:rsidRDefault="00945F2B" w:rsidP="00945F2B">
            <w:pPr>
              <w:spacing w:after="24" w:line="254" w:lineRule="auto"/>
              <w:ind w:left="25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i/>
                <w:color w:val="000000"/>
                <w:kern w:val="0"/>
                <w:sz w:val="22"/>
                <w:szCs w:val="22"/>
                <w:lang w:val="es-ES" w:eastAsia="es-ES" w:bidi="es-ES"/>
                <w14:ligatures w14:val="none"/>
              </w:rPr>
              <w:t>Vida depreciable</w:t>
            </w:r>
          </w:p>
        </w:tc>
      </w:tr>
      <w:tr w:rsidR="00945F2B" w:rsidRPr="00945F2B" w14:paraId="6BB4A979" w14:textId="77777777" w:rsidTr="000325C7">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60708" w14:textId="77777777" w:rsidR="00945F2B" w:rsidRPr="00945F2B" w:rsidRDefault="00945F2B" w:rsidP="00945F2B">
            <w:pPr>
              <w:spacing w:after="24" w:line="254" w:lineRule="auto"/>
              <w:ind w:left="16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Equipo de TI y Comunicación</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5408ABD3" w14:textId="77777777" w:rsidR="00945F2B" w:rsidRPr="00945F2B" w:rsidRDefault="00945F2B" w:rsidP="00945F2B">
            <w:pPr>
              <w:spacing w:after="24" w:line="254" w:lineRule="auto"/>
              <w:ind w:left="25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De 8 a 20 años</w:t>
            </w:r>
          </w:p>
        </w:tc>
      </w:tr>
      <w:tr w:rsidR="00945F2B" w:rsidRPr="00945F2B" w14:paraId="63799177" w14:textId="77777777" w:rsidTr="000325C7">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66F69" w14:textId="77777777" w:rsidR="00945F2B" w:rsidRPr="00945F2B" w:rsidRDefault="00945F2B" w:rsidP="00945F2B">
            <w:pPr>
              <w:spacing w:after="24" w:line="254" w:lineRule="auto"/>
              <w:ind w:left="16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Maquinaria Pesada y otros equipos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197CCAB7" w14:textId="77777777" w:rsidR="00945F2B" w:rsidRPr="00945F2B" w:rsidRDefault="00945F2B" w:rsidP="00945F2B">
            <w:pPr>
              <w:spacing w:after="24" w:line="254" w:lineRule="auto"/>
              <w:ind w:left="25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20 años</w:t>
            </w:r>
          </w:p>
        </w:tc>
      </w:tr>
      <w:tr w:rsidR="00945F2B" w:rsidRPr="00945F2B" w14:paraId="78B8075B" w14:textId="77777777" w:rsidTr="000325C7">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E6AE8" w14:textId="77777777" w:rsidR="00945F2B" w:rsidRPr="00945F2B" w:rsidRDefault="00945F2B" w:rsidP="00945F2B">
            <w:pPr>
              <w:spacing w:after="24" w:line="254" w:lineRule="auto"/>
              <w:ind w:left="16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Vehículos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0EE8169C" w14:textId="77777777" w:rsidR="00945F2B" w:rsidRPr="00945F2B" w:rsidRDefault="00945F2B" w:rsidP="00945F2B">
            <w:pPr>
              <w:spacing w:after="24" w:line="254" w:lineRule="auto"/>
              <w:ind w:left="25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12 años</w:t>
            </w:r>
          </w:p>
        </w:tc>
      </w:tr>
      <w:tr w:rsidR="00945F2B" w:rsidRPr="00945F2B" w14:paraId="625DE8E2" w14:textId="77777777" w:rsidTr="000325C7">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F2019" w14:textId="77777777" w:rsidR="00945F2B" w:rsidRPr="00945F2B" w:rsidRDefault="00945F2B" w:rsidP="00945F2B">
            <w:pPr>
              <w:spacing w:after="24" w:line="254" w:lineRule="auto"/>
              <w:ind w:left="16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Mobiliario y Artículos Accesorios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447F4A9B" w14:textId="77777777" w:rsidR="00945F2B" w:rsidRPr="00945F2B" w:rsidRDefault="00945F2B" w:rsidP="00945F2B">
            <w:pPr>
              <w:spacing w:after="24" w:line="254" w:lineRule="auto"/>
              <w:ind w:right="38"/>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15 años</w:t>
            </w:r>
          </w:p>
        </w:tc>
      </w:tr>
    </w:tbl>
    <w:p w14:paraId="47BC185E" w14:textId="77777777" w:rsidR="00945F2B" w:rsidRPr="00945F2B" w:rsidRDefault="00945F2B" w:rsidP="00945F2B">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w:t>
      </w:r>
    </w:p>
    <w:p w14:paraId="15FFA811" w14:textId="77777777" w:rsidR="00945F2B" w:rsidRPr="00945F2B" w:rsidRDefault="00945F2B" w:rsidP="00945F2B">
      <w:pPr>
        <w:numPr>
          <w:ilvl w:val="0"/>
          <w:numId w:val="3"/>
        </w:numPr>
        <w:spacing w:after="0" w:line="254" w:lineRule="auto"/>
        <w:ind w:right="28"/>
        <w:contextualSpacing/>
        <w:jc w:val="both"/>
        <w:rPr>
          <w:rFonts w:ascii="Calibri" w:eastAsia="MS Mincho"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convención del mes corriente requiere que, si un activo se pusiera en servicio el 28 de enero de </w:t>
      </w:r>
    </w:p>
    <w:p w14:paraId="0BDF4675" w14:textId="77777777" w:rsidR="00945F2B" w:rsidRPr="00945F2B" w:rsidRDefault="00945F2B" w:rsidP="00945F2B">
      <w:pPr>
        <w:spacing w:after="0" w:line="254" w:lineRule="auto"/>
        <w:ind w:left="720"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2010, la deducción por depreciación sería por un mes completo de enero y no solo por tres días. Por lo tanto, la depreciación se deducirá por completo durante el mes en el que activo esté disponible para el uso. </w:t>
      </w:r>
      <w:r w:rsidRPr="00945F2B">
        <w:rPr>
          <w:rFonts w:ascii="Calibri" w:eastAsia="Calibri" w:hAnsi="Calibri" w:cs="Calibri"/>
          <w:i/>
          <w:iCs/>
          <w:color w:val="000000"/>
          <w:kern w:val="0"/>
          <w:sz w:val="22"/>
          <w:szCs w:val="22"/>
          <w:lang w:val="es-ES" w:eastAsia="es-ES" w:bidi="es-ES"/>
          <w14:ligatures w14:val="none"/>
        </w:rPr>
        <w:t>No</w:t>
      </w:r>
      <w:r w:rsidRPr="00945F2B">
        <w:rPr>
          <w:rFonts w:ascii="Calibri" w:eastAsia="Calibri" w:hAnsi="Calibri" w:cs="Calibri"/>
          <w:color w:val="000000"/>
          <w:kern w:val="0"/>
          <w:sz w:val="22"/>
          <w:szCs w:val="22"/>
          <w:lang w:val="es-ES" w:eastAsia="es-ES" w:bidi="es-ES"/>
          <w14:ligatures w14:val="none"/>
        </w:rPr>
        <w:t xml:space="preserve"> se deducirá depreciación alguna en el mes de enajenación, independientemente de la fecha de enajenación.</w:t>
      </w:r>
    </w:p>
    <w:p w14:paraId="0F9EA56A" w14:textId="77777777" w:rsidR="00945F2B" w:rsidRPr="00945F2B" w:rsidRDefault="00945F2B" w:rsidP="00945F2B">
      <w:pPr>
        <w:spacing w:after="0" w:line="254" w:lineRule="auto"/>
        <w:ind w:left="730" w:right="28" w:hanging="10"/>
        <w:jc w:val="both"/>
        <w:rPr>
          <w:rFonts w:ascii="Calibri" w:eastAsia="Calibri" w:hAnsi="Calibri" w:cs="Calibri"/>
          <w:color w:val="000000"/>
          <w:kern w:val="0"/>
          <w:sz w:val="22"/>
          <w:szCs w:val="22"/>
          <w:lang w:val="es-ES" w:eastAsia="es-ES" w:bidi="es-ES"/>
          <w14:ligatures w14:val="none"/>
        </w:rPr>
      </w:pPr>
    </w:p>
    <w:p w14:paraId="543C7BBE" w14:textId="77777777" w:rsidR="00945F2B" w:rsidRPr="00945F2B" w:rsidRDefault="00945F2B" w:rsidP="00945F2B">
      <w:pPr>
        <w:numPr>
          <w:ilvl w:val="0"/>
          <w:numId w:val="3"/>
        </w:numPr>
        <w:spacing w:after="0" w:line="254" w:lineRule="auto"/>
        <w:ind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vida útil se define como el plazo durante el cual se espera que un activo esté disponible para el uso. </w:t>
      </w:r>
    </w:p>
    <w:p w14:paraId="2F64169E" w14:textId="77777777" w:rsidR="00945F2B" w:rsidRPr="00945F2B" w:rsidRDefault="00945F2B" w:rsidP="00945F2B">
      <w:pPr>
        <w:spacing w:after="0" w:line="254" w:lineRule="auto"/>
        <w:ind w:left="720"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En el PNUD, las vidas útiles para las diferentes categorías se han establecido de acuerdo con las prácticas del PNUD de retener activos en uso con la intención de obtener una</w:t>
      </w:r>
      <w:r w:rsidRPr="00945F2B">
        <w:rPr>
          <w:rFonts w:ascii="Calibri" w:eastAsia="Calibri" w:hAnsi="Calibri" w:cs="Calibri"/>
          <w:b/>
          <w:bCs/>
          <w:color w:val="000000"/>
          <w:kern w:val="0"/>
          <w:sz w:val="22"/>
          <w:szCs w:val="22"/>
          <w:lang w:val="es-ES" w:eastAsia="es-ES" w:bidi="es-ES"/>
          <w14:ligatures w14:val="none"/>
        </w:rPr>
        <w:t xml:space="preserve"> vida útil promedio razonable</w:t>
      </w:r>
      <w:r w:rsidRPr="00945F2B">
        <w:rPr>
          <w:rFonts w:ascii="Calibri" w:eastAsia="Calibri" w:hAnsi="Calibri" w:cs="Calibri"/>
          <w:color w:val="000000"/>
          <w:kern w:val="0"/>
          <w:sz w:val="22"/>
          <w:szCs w:val="22"/>
          <w:lang w:val="es-ES" w:eastAsia="es-ES" w:bidi="es-ES"/>
          <w14:ligatures w14:val="none"/>
        </w:rPr>
        <w:t xml:space="preserve"> en toda la población de activos similares dentro del PNUD. Por lo tanto, algunos activos pueden enajenarse antes de alcanzar su vida útil, luego de una revisión de su utilidad en su vida de reposición recomendada. De igual manera, otros activos pueden conservarse en servicio por períodos más prolongados que sus vidas útiles, por motivos operativos. La cantidad y el costo original de los activos retenidos después de sus vidas útiles se revelarán en los estados financieros del PNUD.</w:t>
      </w:r>
    </w:p>
    <w:p w14:paraId="2DC48923" w14:textId="77777777" w:rsidR="00945F2B" w:rsidRPr="00945F2B" w:rsidRDefault="00945F2B" w:rsidP="00945F2B">
      <w:pPr>
        <w:spacing w:after="0" w:line="254" w:lineRule="auto"/>
        <w:ind w:left="1080" w:right="28"/>
        <w:contextualSpacing/>
        <w:jc w:val="both"/>
        <w:rPr>
          <w:rFonts w:ascii="Calibri" w:eastAsia="MS Mincho" w:hAnsi="Calibri" w:cs="Arial"/>
          <w:color w:val="000000"/>
          <w:kern w:val="0"/>
          <w:sz w:val="22"/>
          <w:szCs w:val="22"/>
          <w:lang w:val="es-ES" w:eastAsia="es-ES" w:bidi="es-ES"/>
          <w14:ligatures w14:val="none"/>
        </w:rPr>
      </w:pPr>
    </w:p>
    <w:p w14:paraId="67CDC01B" w14:textId="77777777" w:rsidR="00945F2B" w:rsidRPr="00945F2B" w:rsidRDefault="00945F2B" w:rsidP="00945F2B">
      <w:pPr>
        <w:numPr>
          <w:ilvl w:val="0"/>
          <w:numId w:val="3"/>
        </w:numPr>
        <w:spacing w:after="0" w:line="254" w:lineRule="auto"/>
        <w:ind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Las vidas útiles de los activos del PNUD deberán revisarse en cada fecha de presentación del informe </w:t>
      </w:r>
    </w:p>
    <w:p w14:paraId="5B4FB515" w14:textId="77777777" w:rsidR="00945F2B" w:rsidRPr="00945F2B" w:rsidRDefault="00945F2B" w:rsidP="00945F2B">
      <w:pPr>
        <w:spacing w:after="0" w:line="254" w:lineRule="auto"/>
        <w:ind w:left="720"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anual y, si las expectativas difieren de las estimaciones previas, los cambios deberán contabilizarse como un cambio previsto en la estimación contable incluyéndolo en el superávit o el déficit en el período del cambio, si el cambio afecta solo al período o en el período de cambio y períodos futuros, si el cambio afecta a ambos.</w:t>
      </w:r>
    </w:p>
    <w:p w14:paraId="1BE2C857" w14:textId="77777777" w:rsidR="00945F2B" w:rsidRPr="00945F2B" w:rsidRDefault="00945F2B" w:rsidP="00945F2B">
      <w:pPr>
        <w:spacing w:after="0" w:line="254" w:lineRule="auto"/>
        <w:ind w:left="720" w:right="28"/>
        <w:contextualSpacing/>
        <w:jc w:val="both"/>
        <w:rPr>
          <w:rFonts w:ascii="Calibri" w:eastAsia="Calibri" w:hAnsi="Calibri" w:cs="Calibri"/>
          <w:color w:val="000000"/>
          <w:kern w:val="0"/>
          <w:sz w:val="22"/>
          <w:szCs w:val="22"/>
          <w:lang w:val="es-ES" w:eastAsia="es-ES" w:bidi="es-ES"/>
          <w14:ligatures w14:val="none"/>
        </w:rPr>
      </w:pPr>
    </w:p>
    <w:p w14:paraId="662C5FAF" w14:textId="77777777" w:rsidR="00945F2B" w:rsidRPr="00945F2B" w:rsidRDefault="00945F2B" w:rsidP="00945F2B">
      <w:pPr>
        <w:numPr>
          <w:ilvl w:val="0"/>
          <w:numId w:val="3"/>
        </w:numPr>
        <w:spacing w:after="0" w:line="254" w:lineRule="auto"/>
        <w:ind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cantidad y el costo original de los activos retenidos después de sus vidas útiles se revelarán en los    </w:t>
      </w:r>
    </w:p>
    <w:p w14:paraId="4F5FB19D" w14:textId="77777777" w:rsidR="00945F2B" w:rsidRPr="00945F2B" w:rsidRDefault="00945F2B" w:rsidP="00945F2B">
      <w:pPr>
        <w:spacing w:after="0" w:line="254" w:lineRule="auto"/>
        <w:ind w:left="360" w:right="28" w:firstLine="360"/>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lastRenderedPageBreak/>
        <w:t xml:space="preserve">estados financieros del PNUD (activos totalmente depreciados).  </w:t>
      </w:r>
    </w:p>
    <w:p w14:paraId="252DA33C" w14:textId="77777777" w:rsidR="00945F2B" w:rsidRPr="00945F2B" w:rsidRDefault="00945F2B" w:rsidP="00945F2B">
      <w:pPr>
        <w:spacing w:after="24" w:line="254" w:lineRule="auto"/>
        <w:ind w:left="720" w:right="38" w:hanging="10"/>
        <w:contextualSpacing/>
        <w:jc w:val="both"/>
        <w:rPr>
          <w:rFonts w:ascii="Calibri" w:eastAsia="Calibri" w:hAnsi="Calibri" w:cs="Calibri"/>
          <w:color w:val="000000"/>
          <w:kern w:val="0"/>
          <w:sz w:val="22"/>
          <w:szCs w:val="22"/>
          <w:lang w:val="es-ES" w:eastAsia="es-ES" w:bidi="es-ES"/>
          <w14:ligatures w14:val="none"/>
        </w:rPr>
      </w:pPr>
    </w:p>
    <w:p w14:paraId="62DC0E69"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Vida de Reposición Recomendada</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2F21B547" w14:textId="77777777" w:rsidR="00945F2B" w:rsidRPr="00945F2B" w:rsidRDefault="00945F2B" w:rsidP="00945F2B">
      <w:pPr>
        <w:spacing w:after="0" w:line="259" w:lineRule="auto"/>
        <w:ind w:left="360"/>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3B34242F" w14:textId="77777777" w:rsidR="00945F2B" w:rsidRPr="00945F2B" w:rsidRDefault="00945F2B" w:rsidP="00945F2B">
      <w:pPr>
        <w:numPr>
          <w:ilvl w:val="0"/>
          <w:numId w:val="1"/>
        </w:numPr>
        <w:spacing w:after="0" w:line="254" w:lineRule="auto"/>
        <w:ind w:right="28"/>
        <w:contextualSpacing/>
        <w:jc w:val="both"/>
        <w:rPr>
          <w:rFonts w:ascii="Calibri" w:eastAsia="MS Mincho"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Por motivos operativos y para garantizar los estándares de seguridad, el PNUD tiene una serie de vidas de reposición recomendadas para los activos que deben utilizarse para iniciar la revisión del estado de los activos y para su enajenación si se determina que están listos para la enajenación.    </w:t>
      </w:r>
    </w:p>
    <w:p w14:paraId="5A5CEC2D" w14:textId="77777777" w:rsidR="00945F2B" w:rsidRPr="00945F2B" w:rsidRDefault="00945F2B" w:rsidP="00945F2B">
      <w:pPr>
        <w:spacing w:after="0" w:line="259" w:lineRule="auto"/>
        <w:ind w:left="406"/>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39DD50AA" w14:textId="77777777" w:rsidR="00945F2B" w:rsidRPr="00945F2B" w:rsidRDefault="00945F2B" w:rsidP="00945F2B">
      <w:pPr>
        <w:numPr>
          <w:ilvl w:val="0"/>
          <w:numId w:val="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Al determinar si un activo debe permanecer o no en uso o si debe enajenarse, tenga en cuenta que es posible que los activos de TIC (como computadoras de escritorio, computadoras portátiles, servidores, impresoras, equipos de videoconferencia, etc.) deban reemplazarse cuando se cumplan una o más de las siguientes condiciones:  </w:t>
      </w:r>
    </w:p>
    <w:p w14:paraId="7A6C6D2F" w14:textId="77777777" w:rsidR="00945F2B" w:rsidRPr="00945F2B" w:rsidRDefault="00945F2B" w:rsidP="00945F2B">
      <w:pPr>
        <w:spacing w:after="0" w:line="259" w:lineRule="auto"/>
        <w:ind w:left="1080"/>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2CA5A5B4" w14:textId="77777777" w:rsidR="00945F2B" w:rsidRPr="00945F2B" w:rsidRDefault="00945F2B" w:rsidP="00945F2B">
      <w:pPr>
        <w:numPr>
          <w:ilvl w:val="1"/>
          <w:numId w:val="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vida de un activo de TIC llega al Final del Soporte ofrecido por el fabricante, y/o  </w:t>
      </w:r>
    </w:p>
    <w:p w14:paraId="69D2A728" w14:textId="77777777" w:rsidR="00945F2B" w:rsidRPr="00945F2B" w:rsidRDefault="00945F2B" w:rsidP="00945F2B">
      <w:pPr>
        <w:numPr>
          <w:ilvl w:val="1"/>
          <w:numId w:val="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garantía extendida de un fabricante se vence, y/o  </w:t>
      </w:r>
    </w:p>
    <w:p w14:paraId="51638F48" w14:textId="77777777" w:rsidR="00945F2B" w:rsidRPr="00945F2B" w:rsidRDefault="00945F2B" w:rsidP="00945F2B">
      <w:pPr>
        <w:numPr>
          <w:ilvl w:val="1"/>
          <w:numId w:val="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El costo de la garantía extendida anual para un activo de TIC excede el valor neto contable (NBV), y/o  </w:t>
      </w:r>
    </w:p>
    <w:p w14:paraId="737CB09E" w14:textId="77777777" w:rsidR="00945F2B" w:rsidRPr="00945F2B" w:rsidRDefault="00945F2B" w:rsidP="00945F2B">
      <w:pPr>
        <w:numPr>
          <w:ilvl w:val="1"/>
          <w:numId w:val="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Un activo de TIC deja de ser compatible con el sistema operativo estándar del PNUD, las herramientas de productividad personal (procesamiento de texto, hojas de cálculo, presentaciones, etc.) y las aplicaciones institucionales del PNUD como los sistemas de Planificación de los Recursos Institucionales (PRI), Correo Electrónico y Comunicaciones Unificadas de Quantum, y/o   </w:t>
      </w:r>
    </w:p>
    <w:p w14:paraId="11909A15" w14:textId="77777777" w:rsidR="00945F2B" w:rsidRPr="00945F2B" w:rsidRDefault="00945F2B" w:rsidP="00945F2B">
      <w:pPr>
        <w:numPr>
          <w:ilvl w:val="1"/>
          <w:numId w:val="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Los costos de afrontar/evitar el riesgo de seguridad o de reparación de un activo de TIC exceden su valor.   </w:t>
      </w:r>
    </w:p>
    <w:p w14:paraId="7373D4B1" w14:textId="77777777" w:rsidR="00945F2B" w:rsidRPr="00945F2B" w:rsidRDefault="00945F2B" w:rsidP="00945F2B">
      <w:pPr>
        <w:spacing w:after="0" w:line="259" w:lineRule="auto"/>
        <w:ind w:left="360"/>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3DB38BED" w14:textId="77777777" w:rsidR="00945F2B" w:rsidRPr="00945F2B" w:rsidRDefault="00945F2B" w:rsidP="00945F2B">
      <w:pPr>
        <w:numPr>
          <w:ilvl w:val="0"/>
          <w:numId w:val="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 siguiente tabla refleja las vidas de reposición recomendadas que deben utilizarse para evaluar si un activo debe o no permanecer en uso o si debe enajenarse. Dado que estas vidas de reposición recomendadas son diferentes de las vidas útiles contables utilizadas para la depreciación, habrá casos en los que las oficinas del PNUD enajenen activos que aún tienen NBV dentro de los registros. El proyecto absorberá el NBV restante menos cualquier efectivo de la venta del activo como un gasto. Las vidas de reposición recomendadas son las siguientes:   </w:t>
      </w:r>
    </w:p>
    <w:p w14:paraId="2C0BE63B" w14:textId="77777777" w:rsidR="00945F2B" w:rsidRPr="00945F2B" w:rsidRDefault="00945F2B" w:rsidP="00945F2B">
      <w:pPr>
        <w:spacing w:after="0" w:line="254" w:lineRule="auto"/>
        <w:ind w:left="1080" w:right="28"/>
        <w:jc w:val="both"/>
        <w:rPr>
          <w:rFonts w:ascii="Calibri" w:eastAsia="Calibri" w:hAnsi="Calibri" w:cs="Calibri"/>
          <w:color w:val="000000"/>
          <w:kern w:val="0"/>
          <w:sz w:val="22"/>
          <w:szCs w:val="22"/>
          <w:lang w:val="es-ES" w:eastAsia="es-ES" w:bidi="es-ES"/>
          <w14:ligatures w14:val="none"/>
        </w:rPr>
      </w:pPr>
    </w:p>
    <w:tbl>
      <w:tblPr>
        <w:tblW w:w="8072" w:type="dxa"/>
        <w:tblInd w:w="828" w:type="dxa"/>
        <w:tblCellMar>
          <w:left w:w="0" w:type="dxa"/>
          <w:right w:w="0" w:type="dxa"/>
        </w:tblCellMar>
        <w:tblLook w:val="04A0" w:firstRow="1" w:lastRow="0" w:firstColumn="1" w:lastColumn="0" w:noHBand="0" w:noVBand="1"/>
      </w:tblPr>
      <w:tblGrid>
        <w:gridCol w:w="3932"/>
        <w:gridCol w:w="4140"/>
      </w:tblGrid>
      <w:tr w:rsidR="00945F2B" w:rsidRPr="00945F2B" w14:paraId="69CAE56E" w14:textId="77777777" w:rsidTr="000325C7">
        <w:trPr>
          <w:trHeight w:val="668"/>
          <w:tblHeader/>
        </w:trPr>
        <w:tc>
          <w:tcPr>
            <w:tcW w:w="3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C24D2"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Clasificación de los Activos de TIC</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6D7FC2"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Vida de Reposición Recomendada (Años)</w:t>
            </w:r>
          </w:p>
        </w:tc>
      </w:tr>
      <w:tr w:rsidR="00945F2B" w:rsidRPr="00945F2B" w14:paraId="433BAED6" w14:textId="77777777" w:rsidTr="000325C7">
        <w:trPr>
          <w:trHeight w:val="30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09065"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Computadoras de escritorio</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07402798"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4</w:t>
            </w:r>
          </w:p>
        </w:tc>
      </w:tr>
      <w:tr w:rsidR="00945F2B" w:rsidRPr="00945F2B" w14:paraId="3BDEC0D1" w14:textId="77777777" w:rsidTr="000325C7">
        <w:trPr>
          <w:trHeight w:val="28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F1F8E"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Computadoras portátiles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505A864B"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4</w:t>
            </w:r>
          </w:p>
        </w:tc>
      </w:tr>
      <w:tr w:rsidR="00945F2B" w:rsidRPr="00945F2B" w14:paraId="48A46979" w14:textId="77777777" w:rsidTr="000325C7">
        <w:trPr>
          <w:trHeight w:val="28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7D609"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Servidores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3AFAF561"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09855E98" w14:textId="77777777" w:rsidTr="000325C7">
        <w:trPr>
          <w:trHeight w:val="28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6F1BA0"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Equipos de Redes/Telecomunicaciones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F83ACB4"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616B1951" w14:textId="77777777" w:rsidTr="000325C7">
        <w:trPr>
          <w:trHeight w:val="28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AA198"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Impresoras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D661CC9"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4</w:t>
            </w:r>
          </w:p>
        </w:tc>
      </w:tr>
      <w:tr w:rsidR="00945F2B" w:rsidRPr="00945F2B" w14:paraId="277C94AC" w14:textId="77777777" w:rsidTr="000325C7">
        <w:trPr>
          <w:trHeight w:val="28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73182"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Equipos de Videoconferencias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62F33672"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4</w:t>
            </w:r>
          </w:p>
        </w:tc>
      </w:tr>
      <w:tr w:rsidR="00945F2B" w:rsidRPr="00945F2B" w14:paraId="290CC9F2" w14:textId="77777777" w:rsidTr="000325C7">
        <w:trPr>
          <w:trHeight w:val="28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05B7B"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lastRenderedPageBreak/>
              <w:t>Otros Equipos (con un valor de compra de &gt;= USD 50 000)</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18A26516"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10</w:t>
            </w:r>
          </w:p>
        </w:tc>
      </w:tr>
      <w:tr w:rsidR="00945F2B" w:rsidRPr="00945F2B" w14:paraId="018CF2E3" w14:textId="77777777" w:rsidTr="000325C7">
        <w:trPr>
          <w:trHeight w:val="28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C114B"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Los Equipos de Comunicaciones y Otros Equipos incluyen:</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662055EB"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p>
        </w:tc>
      </w:tr>
      <w:tr w:rsidR="00945F2B" w:rsidRPr="00945F2B" w14:paraId="435903FB" w14:textId="77777777" w:rsidTr="000325C7">
        <w:trPr>
          <w:trHeight w:val="32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EB221"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A. Equipos de almacenamiento automatizado de ficheros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114504A"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7A909CFA" w14:textId="77777777" w:rsidTr="000325C7">
        <w:trPr>
          <w:trHeight w:val="32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FA954A"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B. Equipos para producción, almacenamiento y visualización de microfilm.</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503E214E"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6A74125A" w14:textId="77777777" w:rsidTr="000325C7">
        <w:trPr>
          <w:trHeight w:val="305"/>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31563"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C. Equipos de procesamiento de documentos como fotocopiadoras, equipos de gestión del correo, equipos de manejo de cheques, y trituradoras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5AB84676"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175D0FF6" w14:textId="77777777" w:rsidTr="000325C7">
        <w:trPr>
          <w:trHeight w:val="32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0FFB5"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D. Estudios de televisión, cámaras y otros equipos fotográficos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158E83A5"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58FC2559" w14:textId="77777777" w:rsidTr="000325C7">
        <w:trPr>
          <w:trHeight w:val="32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A11A1"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E. Equipos de impresión y encuadernación</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16C32F59"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74343AC1" w14:textId="77777777" w:rsidTr="000325C7">
        <w:trPr>
          <w:trHeight w:val="32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1B420"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F. Equipos, dispositivos y máquinas de oficina que no sean equipos de TI</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79D825EF"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4B324DB8" w14:textId="77777777" w:rsidTr="000325C7">
        <w:trPr>
          <w:trHeight w:val="320"/>
        </w:trPr>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F04EA" w14:textId="77777777" w:rsidR="00945F2B" w:rsidRPr="00945F2B" w:rsidRDefault="00945F2B" w:rsidP="00F51058">
            <w:pPr>
              <w:spacing w:after="24" w:line="254" w:lineRule="auto"/>
              <w:ind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G. Suministro de energía ininterrumpido (UPS)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52C2FCB"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7</w:t>
            </w:r>
          </w:p>
        </w:tc>
      </w:tr>
      <w:tr w:rsidR="00945F2B" w:rsidRPr="00945F2B" w14:paraId="50C6B921" w14:textId="77777777" w:rsidTr="000325C7">
        <w:tc>
          <w:tcPr>
            <w:tcW w:w="3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DC76EA" w14:textId="77777777" w:rsidR="00945F2B" w:rsidRPr="00945F2B" w:rsidRDefault="00945F2B" w:rsidP="00F51058">
            <w:pPr>
              <w:spacing w:after="24" w:line="254" w:lineRule="auto"/>
              <w:ind w:left="-18" w:right="38" w:hanging="10"/>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w:t>
            </w:r>
            <w:r w:rsidRPr="00945F2B">
              <w:rPr>
                <w:rFonts w:ascii="Calibri" w:eastAsia="Calibri" w:hAnsi="Calibri" w:cs="Calibri"/>
                <w:b/>
                <w:color w:val="000000"/>
                <w:kern w:val="0"/>
                <w:sz w:val="22"/>
                <w:szCs w:val="22"/>
                <w:lang w:val="es-ES" w:eastAsia="es-ES" w:bidi="es-ES"/>
                <w14:ligatures w14:val="none"/>
              </w:rPr>
              <w:t>Otras clases de activos</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CADE81" w14:textId="77777777" w:rsidR="00945F2B" w:rsidRPr="00945F2B" w:rsidRDefault="00945F2B" w:rsidP="00945F2B">
            <w:pPr>
              <w:spacing w:after="24" w:line="254" w:lineRule="auto"/>
              <w:ind w:left="730" w:right="38" w:hanging="10"/>
              <w:jc w:val="both"/>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w:t>
            </w:r>
          </w:p>
        </w:tc>
      </w:tr>
      <w:tr w:rsidR="00945F2B" w:rsidRPr="00945F2B" w14:paraId="42E4B893" w14:textId="77777777" w:rsidTr="000325C7">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8FEA7" w14:textId="77777777" w:rsidR="00945F2B" w:rsidRPr="00945F2B" w:rsidRDefault="00945F2B" w:rsidP="00F51058">
            <w:pPr>
              <w:spacing w:after="24" w:line="254" w:lineRule="auto"/>
              <w:ind w:left="-18" w:right="38" w:hanging="10"/>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Maquinaria Pesada y otros equipos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3E0E3A70" w14:textId="77777777" w:rsidR="00945F2B" w:rsidRPr="00945F2B" w:rsidRDefault="00945F2B" w:rsidP="00945F2B">
            <w:pPr>
              <w:spacing w:after="24" w:line="254" w:lineRule="auto"/>
              <w:ind w:left="72" w:right="38" w:hanging="10"/>
              <w:jc w:val="both"/>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10</w:t>
            </w:r>
          </w:p>
        </w:tc>
      </w:tr>
      <w:tr w:rsidR="00945F2B" w:rsidRPr="00945F2B" w14:paraId="230C2530" w14:textId="77777777" w:rsidTr="000325C7">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9A9BB" w14:textId="77777777" w:rsidR="00945F2B" w:rsidRPr="00945F2B" w:rsidRDefault="00945F2B" w:rsidP="00F51058">
            <w:pPr>
              <w:spacing w:after="24" w:line="254" w:lineRule="auto"/>
              <w:ind w:left="-18" w:right="38" w:hanging="10"/>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Vehículos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B414BF7" w14:textId="77777777" w:rsidR="00945F2B" w:rsidRPr="00945F2B" w:rsidRDefault="00945F2B" w:rsidP="00945F2B">
            <w:pPr>
              <w:spacing w:after="24" w:line="254" w:lineRule="auto"/>
              <w:ind w:left="72" w:right="38" w:hanging="10"/>
              <w:jc w:val="both"/>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5</w:t>
            </w:r>
          </w:p>
        </w:tc>
      </w:tr>
      <w:tr w:rsidR="00945F2B" w:rsidRPr="00945F2B" w14:paraId="5B59E1C5" w14:textId="77777777" w:rsidTr="000325C7">
        <w:tc>
          <w:tcPr>
            <w:tcW w:w="3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B6FD7" w14:textId="77777777" w:rsidR="00945F2B" w:rsidRPr="00945F2B" w:rsidRDefault="00945F2B" w:rsidP="00F51058">
            <w:pPr>
              <w:spacing w:after="24" w:line="254" w:lineRule="auto"/>
              <w:ind w:left="-18" w:right="38" w:hanging="10"/>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Mobiliario y Artículos Accesorios</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7FFE56EE" w14:textId="77777777" w:rsidR="00945F2B" w:rsidRPr="00945F2B" w:rsidRDefault="00945F2B" w:rsidP="00945F2B">
            <w:pPr>
              <w:spacing w:after="24" w:line="254" w:lineRule="auto"/>
              <w:ind w:left="72" w:right="38" w:hanging="10"/>
              <w:jc w:val="both"/>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8</w:t>
            </w:r>
          </w:p>
        </w:tc>
      </w:tr>
    </w:tbl>
    <w:p w14:paraId="22371F68" w14:textId="77777777" w:rsidR="00945F2B" w:rsidRPr="00945F2B" w:rsidRDefault="00945F2B" w:rsidP="00945F2B">
      <w:pPr>
        <w:spacing w:after="0" w:line="259" w:lineRule="auto"/>
        <w:rPr>
          <w:rFonts w:ascii="Calibri" w:eastAsia="Calibri" w:hAnsi="Calibri" w:cs="Calibri"/>
          <w:b/>
          <w:bCs/>
          <w:color w:val="000000"/>
          <w:kern w:val="0"/>
          <w:sz w:val="18"/>
          <w:szCs w:val="18"/>
          <w:lang w:val="es-ES" w:eastAsia="es-ES" w:bidi="es-ES"/>
          <w14:ligatures w14:val="none"/>
        </w:rPr>
      </w:pPr>
    </w:p>
    <w:p w14:paraId="37BC8E48" w14:textId="77777777" w:rsidR="00945F2B" w:rsidRP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57AB2E28"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 xml:space="preserve">Valor Residual </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5D1691BE"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45E1FE5D" w14:textId="77777777" w:rsidR="00945F2B" w:rsidRPr="00945F2B" w:rsidRDefault="00945F2B" w:rsidP="00945F2B">
      <w:pPr>
        <w:numPr>
          <w:ilvl w:val="0"/>
          <w:numId w:val="1"/>
        </w:numPr>
        <w:spacing w:after="0" w:line="254" w:lineRule="auto"/>
        <w:ind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El PNUD determinó que, dado el patrón de uso esperado, no hay valores residuales para ninguno de los activos fijos luego de la depreciación total. El valor residual de todo el Mobiliario y Equipo del PNUD será de cero después de la depreciación. Todos los activos que permanezcan en uso con valor neto contable de cero se informarán en los estados financieros al final de cada ejercicio económico.  </w:t>
      </w:r>
    </w:p>
    <w:p w14:paraId="09E8158C" w14:textId="77777777" w:rsidR="00945F2B" w:rsidRPr="00945F2B" w:rsidRDefault="00945F2B" w:rsidP="00945F2B">
      <w:pPr>
        <w:spacing w:after="0" w:line="254" w:lineRule="auto"/>
        <w:ind w:left="730" w:right="28" w:hanging="10"/>
        <w:jc w:val="both"/>
        <w:rPr>
          <w:rFonts w:ascii="Calibri" w:eastAsia="Calibri" w:hAnsi="Calibri" w:cs="Calibri"/>
          <w:color w:val="000000"/>
          <w:kern w:val="0"/>
          <w:sz w:val="22"/>
          <w:szCs w:val="22"/>
          <w:lang w:val="es-ES" w:eastAsia="es-ES" w:bidi="es-ES"/>
          <w14:ligatures w14:val="none"/>
        </w:rPr>
      </w:pPr>
    </w:p>
    <w:p w14:paraId="278F5495"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Conciliación</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40AC9EDD"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395749BF" w14:textId="77777777" w:rsidR="00945F2B" w:rsidRPr="00945F2B" w:rsidRDefault="00945F2B" w:rsidP="00945F2B">
      <w:pPr>
        <w:numPr>
          <w:ilvl w:val="0"/>
          <w:numId w:val="1"/>
        </w:numPr>
        <w:spacing w:after="0" w:line="254" w:lineRule="auto"/>
        <w:ind w:right="28"/>
        <w:contextualSpacing/>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Las siguientes revisiones de conciliación serán llevadas a cabo por las secciones o las divisiones relevantes. La mayoría son preparadas por el sistema Quantum.  </w:t>
      </w:r>
    </w:p>
    <w:p w14:paraId="64B4E679" w14:textId="77777777" w:rsidR="00945F2B" w:rsidRPr="00945F2B" w:rsidRDefault="00945F2B" w:rsidP="00945F2B">
      <w:pPr>
        <w:spacing w:after="0" w:line="254" w:lineRule="auto"/>
        <w:ind w:left="730" w:right="28" w:hanging="10"/>
        <w:jc w:val="both"/>
        <w:rPr>
          <w:rFonts w:ascii="Calibri" w:eastAsia="Calibri" w:hAnsi="Calibri" w:cs="Calibri"/>
          <w:color w:val="000000"/>
          <w:kern w:val="0"/>
          <w:sz w:val="22"/>
          <w:szCs w:val="22"/>
          <w:lang w:val="es-ES" w:eastAsia="es-ES" w:bidi="es-ES"/>
          <w14:ligatures w14:val="none"/>
        </w:rPr>
      </w:pPr>
    </w:p>
    <w:tbl>
      <w:tblPr>
        <w:tblW w:w="0" w:type="auto"/>
        <w:tblInd w:w="828" w:type="dxa"/>
        <w:tblLayout w:type="fixed"/>
        <w:tblCellMar>
          <w:left w:w="0" w:type="dxa"/>
          <w:right w:w="0" w:type="dxa"/>
        </w:tblCellMar>
        <w:tblLook w:val="04A0" w:firstRow="1" w:lastRow="0" w:firstColumn="1" w:lastColumn="0" w:noHBand="0" w:noVBand="1"/>
      </w:tblPr>
      <w:tblGrid>
        <w:gridCol w:w="4320"/>
        <w:gridCol w:w="1260"/>
        <w:gridCol w:w="2970"/>
      </w:tblGrid>
      <w:tr w:rsidR="00945F2B" w:rsidRPr="00945F2B" w14:paraId="49768214" w14:textId="77777777" w:rsidTr="000325C7">
        <w:trPr>
          <w:tblHeader/>
        </w:trPr>
        <w:tc>
          <w:tcPr>
            <w:tcW w:w="4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FA91BE"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b/>
                <w:i/>
                <w:color w:val="000000"/>
                <w:kern w:val="0"/>
                <w:sz w:val="22"/>
                <w:szCs w:val="22"/>
                <w:lang w:val="es-ES" w:eastAsia="es-ES" w:bidi="es-ES"/>
                <w14:ligatures w14:val="none"/>
              </w:rPr>
              <w:t>Revisión de Conciliación</w:t>
            </w:r>
          </w:p>
        </w:tc>
        <w:tc>
          <w:tcPr>
            <w:tcW w:w="12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9B5DB13"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b/>
                <w:i/>
                <w:color w:val="000000"/>
                <w:kern w:val="0"/>
                <w:sz w:val="22"/>
                <w:szCs w:val="22"/>
                <w:lang w:val="es-ES" w:eastAsia="es-ES" w:bidi="es-ES"/>
                <w14:ligatures w14:val="none"/>
              </w:rPr>
              <w:t>Periodicidad</w:t>
            </w:r>
          </w:p>
        </w:tc>
        <w:tc>
          <w:tcPr>
            <w:tcW w:w="297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0A23274" w14:textId="77777777" w:rsidR="00945F2B" w:rsidRPr="00945F2B" w:rsidRDefault="00945F2B" w:rsidP="00945F2B">
            <w:pPr>
              <w:spacing w:after="24" w:line="254" w:lineRule="auto"/>
              <w:ind w:left="72"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b/>
                <w:i/>
                <w:color w:val="000000"/>
                <w:kern w:val="0"/>
                <w:sz w:val="22"/>
                <w:szCs w:val="22"/>
                <w:lang w:val="es-ES" w:eastAsia="es-ES" w:bidi="es-ES"/>
                <w14:ligatures w14:val="none"/>
              </w:rPr>
              <w:t>Dependencia Responsable</w:t>
            </w:r>
          </w:p>
        </w:tc>
      </w:tr>
      <w:tr w:rsidR="00945F2B" w:rsidRPr="00945F2B" w14:paraId="37810911" w14:textId="77777777" w:rsidTr="000325C7">
        <w:trPr>
          <w:trHeight w:val="422"/>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690F5B" w14:textId="3EDC0585" w:rsidR="00945F2B" w:rsidRPr="00945F2B" w:rsidRDefault="00945F2B" w:rsidP="00D30CC0">
            <w:pPr>
              <w:tabs>
                <w:tab w:val="left" w:pos="312"/>
              </w:tabs>
              <w:spacing w:after="24" w:line="254" w:lineRule="auto"/>
              <w:ind w:right="38"/>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1. Módulo Activos de Quantum con las Cuentas de Activos del Libro Mayor</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7F0AF2"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Trimestralmente</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D3CD8A" w14:textId="77777777" w:rsidR="00945F2B" w:rsidRPr="00945F2B" w:rsidRDefault="00945F2B" w:rsidP="00F51058">
            <w:pPr>
              <w:spacing w:after="24" w:line="254" w:lineRule="auto"/>
              <w:ind w:left="72"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Operaciones Generales/BMS</w:t>
            </w:r>
          </w:p>
        </w:tc>
      </w:tr>
      <w:tr w:rsidR="00945F2B" w:rsidRPr="00945F2B" w14:paraId="1AD734C8" w14:textId="77777777" w:rsidTr="000325C7">
        <w:trPr>
          <w:trHeight w:val="431"/>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C45943C" w14:textId="26BBC6BB" w:rsidR="00945F2B" w:rsidRPr="00945F2B" w:rsidRDefault="00945F2B" w:rsidP="00D30CC0">
            <w:pPr>
              <w:tabs>
                <w:tab w:val="left" w:pos="312"/>
              </w:tabs>
              <w:spacing w:after="24" w:line="254" w:lineRule="auto"/>
              <w:ind w:right="38"/>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2. Partidas de activos adquiridos (P2P) con el Módulo Activos de Quantum </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54B171"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Mensualmente</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280868" w14:textId="77777777" w:rsidR="00945F2B" w:rsidRPr="00945F2B" w:rsidRDefault="00945F2B" w:rsidP="00F51058">
            <w:pPr>
              <w:spacing w:after="24" w:line="254" w:lineRule="auto"/>
              <w:ind w:left="72"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Operaciones Generales/BMS</w:t>
            </w:r>
          </w:p>
        </w:tc>
      </w:tr>
      <w:tr w:rsidR="00945F2B" w:rsidRPr="00945F2B" w14:paraId="046C08EF" w14:textId="77777777" w:rsidTr="000325C7">
        <w:trPr>
          <w:trHeight w:val="719"/>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109C92" w14:textId="3BDBBFE2" w:rsidR="00945F2B" w:rsidRPr="00945F2B" w:rsidRDefault="00945F2B" w:rsidP="00D30CC0">
            <w:pPr>
              <w:tabs>
                <w:tab w:val="left" w:pos="312"/>
              </w:tabs>
              <w:spacing w:after="24" w:line="254" w:lineRule="auto"/>
              <w:ind w:right="38"/>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3. Transacciones de la Cuenta de Compensación con los Activos Registrados en el Módulo Activos de Quantum</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5372F2"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Mensualmente</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6D6297" w14:textId="77777777" w:rsidR="00945F2B" w:rsidRPr="00945F2B" w:rsidRDefault="00945F2B" w:rsidP="00F51058">
            <w:pPr>
              <w:spacing w:after="24" w:line="254" w:lineRule="auto"/>
              <w:ind w:left="72"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División de Cuentas</w:t>
            </w:r>
          </w:p>
        </w:tc>
      </w:tr>
      <w:tr w:rsidR="00945F2B" w:rsidRPr="00945F2B" w14:paraId="1087B8F4" w14:textId="77777777" w:rsidTr="000325C7">
        <w:trPr>
          <w:trHeight w:val="1781"/>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9F76A4" w14:textId="2A5C8E4F" w:rsidR="00945F2B" w:rsidRPr="00945F2B" w:rsidRDefault="00945F2B" w:rsidP="00D30CC0">
            <w:pPr>
              <w:tabs>
                <w:tab w:val="left" w:pos="312"/>
              </w:tabs>
              <w:spacing w:after="24" w:line="254" w:lineRule="auto"/>
              <w:ind w:right="38"/>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4. Conciliación del Calendario de Movimiento de Activos</w:t>
            </w:r>
          </w:p>
          <w:p w14:paraId="639745CC" w14:textId="77777777" w:rsidR="00945F2B" w:rsidRPr="00945F2B" w:rsidRDefault="00945F2B" w:rsidP="00D30CC0">
            <w:pPr>
              <w:numPr>
                <w:ilvl w:val="0"/>
                <w:numId w:val="12"/>
              </w:numPr>
              <w:tabs>
                <w:tab w:val="left" w:pos="312"/>
              </w:tabs>
              <w:spacing w:after="0" w:line="240" w:lineRule="auto"/>
              <w:ind w:right="38" w:firstLine="132"/>
              <w:contextualSpacing/>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Saldo Inicial</w:t>
            </w:r>
          </w:p>
          <w:p w14:paraId="3D5D833E" w14:textId="77777777" w:rsidR="00945F2B" w:rsidRPr="00945F2B" w:rsidRDefault="00945F2B" w:rsidP="00D30CC0">
            <w:pPr>
              <w:numPr>
                <w:ilvl w:val="0"/>
                <w:numId w:val="12"/>
              </w:numPr>
              <w:tabs>
                <w:tab w:val="left" w:pos="312"/>
              </w:tabs>
              <w:spacing w:after="0" w:line="240" w:lineRule="auto"/>
              <w:ind w:right="38" w:firstLine="132"/>
              <w:contextualSpacing/>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Adquisiciones</w:t>
            </w:r>
          </w:p>
          <w:p w14:paraId="4780BD16" w14:textId="77777777" w:rsidR="00945F2B" w:rsidRPr="00945F2B" w:rsidRDefault="00945F2B" w:rsidP="00D30CC0">
            <w:pPr>
              <w:numPr>
                <w:ilvl w:val="0"/>
                <w:numId w:val="12"/>
              </w:numPr>
              <w:tabs>
                <w:tab w:val="left" w:pos="312"/>
              </w:tabs>
              <w:spacing w:after="0" w:line="240" w:lineRule="auto"/>
              <w:ind w:right="38" w:firstLine="132"/>
              <w:contextualSpacing/>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Ajustes</w:t>
            </w:r>
          </w:p>
          <w:p w14:paraId="30E2CD7C" w14:textId="77777777" w:rsidR="00945F2B" w:rsidRPr="00945F2B" w:rsidRDefault="00945F2B" w:rsidP="00D30CC0">
            <w:pPr>
              <w:numPr>
                <w:ilvl w:val="0"/>
                <w:numId w:val="12"/>
              </w:numPr>
              <w:tabs>
                <w:tab w:val="left" w:pos="312"/>
              </w:tabs>
              <w:spacing w:after="0" w:line="240" w:lineRule="auto"/>
              <w:ind w:right="38" w:firstLine="132"/>
              <w:contextualSpacing/>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Enajenaciones</w:t>
            </w:r>
          </w:p>
          <w:p w14:paraId="07F1D562" w14:textId="77777777" w:rsidR="00945F2B" w:rsidRPr="00945F2B" w:rsidRDefault="00945F2B" w:rsidP="00D30CC0">
            <w:pPr>
              <w:numPr>
                <w:ilvl w:val="0"/>
                <w:numId w:val="12"/>
              </w:numPr>
              <w:tabs>
                <w:tab w:val="left" w:pos="312"/>
              </w:tabs>
              <w:spacing w:after="0" w:line="240" w:lineRule="auto"/>
              <w:ind w:right="38" w:firstLine="132"/>
              <w:contextualSpacing/>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Saldo Final</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93C114"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Trimestralmente</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630A1D" w14:textId="77777777" w:rsidR="00945F2B" w:rsidRPr="00945F2B" w:rsidRDefault="00945F2B" w:rsidP="00F51058">
            <w:pPr>
              <w:spacing w:after="24" w:line="254" w:lineRule="auto"/>
              <w:ind w:left="72"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Operaciones Generales/BMS</w:t>
            </w:r>
          </w:p>
        </w:tc>
      </w:tr>
      <w:tr w:rsidR="00945F2B" w:rsidRPr="00945F2B" w14:paraId="221E6A20" w14:textId="77777777" w:rsidTr="000325C7">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CF27E1" w14:textId="6800DCB7" w:rsidR="00945F2B" w:rsidRPr="00945F2B" w:rsidRDefault="00945F2B" w:rsidP="00D30CC0">
            <w:pPr>
              <w:tabs>
                <w:tab w:val="left" w:pos="312"/>
              </w:tabs>
              <w:spacing w:after="24" w:line="254" w:lineRule="auto"/>
              <w:ind w:right="38"/>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5.</w:t>
            </w:r>
            <w:r w:rsidR="00D30CC0">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color w:val="000000"/>
                <w:kern w:val="0"/>
                <w:sz w:val="22"/>
                <w:szCs w:val="22"/>
                <w:lang w:val="es-ES" w:eastAsia="es-ES" w:bidi="es-ES"/>
                <w14:ligatures w14:val="none"/>
              </w:rPr>
              <w:t xml:space="preserve"> Resultados de la Verificación Física con los Informes de Gestión de Activos de Quantum </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339C844" w14:textId="77777777"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Semestral</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AC4B744" w14:textId="77777777" w:rsidR="00945F2B" w:rsidRPr="00945F2B" w:rsidRDefault="00945F2B" w:rsidP="00F51058">
            <w:pPr>
              <w:spacing w:after="24" w:line="254" w:lineRule="auto"/>
              <w:ind w:left="72"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Todas las Dependencias Comerciales, Sede y Oficinas en el País</w:t>
            </w:r>
          </w:p>
          <w:p w14:paraId="07B76806" w14:textId="77777777" w:rsidR="00945F2B" w:rsidRPr="00945F2B" w:rsidRDefault="00945F2B" w:rsidP="00F51058">
            <w:pPr>
              <w:spacing w:after="24" w:line="254" w:lineRule="auto"/>
              <w:ind w:left="72"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w:t>
            </w:r>
          </w:p>
        </w:tc>
      </w:tr>
      <w:tr w:rsidR="00945F2B" w:rsidRPr="00945F2B" w14:paraId="6A6BB18C" w14:textId="77777777" w:rsidTr="000325C7">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3DA0D18" w14:textId="069010F5" w:rsidR="00945F2B" w:rsidRPr="00945F2B" w:rsidRDefault="00945F2B" w:rsidP="00D30CC0">
            <w:pPr>
              <w:tabs>
                <w:tab w:val="left" w:pos="312"/>
              </w:tabs>
              <w:spacing w:after="24" w:line="254" w:lineRule="auto"/>
              <w:ind w:right="38"/>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6. Deducción por Depreciación - Conciliación Global</w:t>
            </w:r>
          </w:p>
        </w:tc>
        <w:tc>
          <w:tcPr>
            <w:tcW w:w="1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34FF6C" w14:textId="2BDAC5C8" w:rsidR="00945F2B" w:rsidRPr="00945F2B" w:rsidRDefault="00945F2B" w:rsidP="00945F2B">
            <w:pPr>
              <w:spacing w:after="24" w:line="254" w:lineRule="auto"/>
              <w:ind w:right="38" w:hanging="10"/>
              <w:jc w:val="both"/>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Trimestralmente</w:t>
            </w:r>
          </w:p>
        </w:tc>
        <w:tc>
          <w:tcPr>
            <w:tcW w:w="29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37CACC" w14:textId="77777777" w:rsidR="00945F2B" w:rsidRPr="00945F2B" w:rsidRDefault="00945F2B" w:rsidP="00F51058">
            <w:pPr>
              <w:spacing w:after="24" w:line="254" w:lineRule="auto"/>
              <w:ind w:left="72" w:right="38" w:hanging="1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Operaciones Generales/BMS y División de Cuentas, Sede de Nueva York</w:t>
            </w:r>
          </w:p>
        </w:tc>
      </w:tr>
    </w:tbl>
    <w:p w14:paraId="408745F7" w14:textId="77777777" w:rsidR="00945F2B" w:rsidRP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2093E31C" w14:textId="77777777" w:rsidR="00945F2B" w:rsidRP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647C5C7F" w14:textId="77777777" w:rsidR="00945F2B" w:rsidRPr="00945F2B" w:rsidRDefault="00945F2B" w:rsidP="00945F2B">
      <w:pPr>
        <w:shd w:val="clear" w:color="auto" w:fill="FFFFFF"/>
        <w:spacing w:after="24" w:line="254" w:lineRule="auto"/>
        <w:ind w:left="730" w:right="38" w:hanging="10"/>
        <w:jc w:val="both"/>
        <w:textAlignment w:val="top"/>
        <w:outlineLvl w:val="1"/>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Informes</w:t>
      </w:r>
    </w:p>
    <w:p w14:paraId="11F55E3D" w14:textId="77777777" w:rsidR="00945F2B" w:rsidRPr="00945F2B" w:rsidRDefault="00945F2B" w:rsidP="00945F2B">
      <w:pPr>
        <w:spacing w:after="0" w:line="254" w:lineRule="auto"/>
        <w:ind w:right="28" w:firstLine="720"/>
        <w:jc w:val="both"/>
        <w:rPr>
          <w:rFonts w:ascii="Calibri" w:eastAsia="Times New Roman" w:hAnsi="Calibri" w:cs="Arial"/>
          <w:color w:val="000000"/>
          <w:kern w:val="0"/>
          <w:sz w:val="22"/>
          <w:szCs w:val="22"/>
          <w:lang w:val="es-ES" w:eastAsia="es-ES" w:bidi="es-ES"/>
          <w14:ligatures w14:val="none"/>
        </w:rPr>
      </w:pPr>
    </w:p>
    <w:p w14:paraId="0D2D056F" w14:textId="77777777" w:rsidR="00945F2B" w:rsidRPr="00945F2B" w:rsidRDefault="00945F2B" w:rsidP="00945F2B">
      <w:pPr>
        <w:spacing w:after="0" w:line="254" w:lineRule="auto"/>
        <w:ind w:right="28" w:firstLine="72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Los siguientes informes estarán disponibles para uso operativo y de gestión:  </w:t>
      </w:r>
    </w:p>
    <w:p w14:paraId="13361A71" w14:textId="77777777" w:rsidR="00945F2B" w:rsidRPr="00945F2B" w:rsidRDefault="00945F2B" w:rsidP="00945F2B">
      <w:pPr>
        <w:spacing w:after="0" w:line="259" w:lineRule="auto"/>
        <w:ind w:left="360"/>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1DA10D7C" w14:textId="77777777" w:rsidR="00945F2B" w:rsidRPr="00945F2B" w:rsidRDefault="00945F2B" w:rsidP="00945F2B">
      <w:pPr>
        <w:spacing w:after="0" w:line="259" w:lineRule="auto"/>
        <w:ind w:left="730" w:hanging="1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Informes de gestión:</w:t>
      </w:r>
      <w:r w:rsidRPr="00945F2B">
        <w:rPr>
          <w:rFonts w:ascii="Calibri" w:eastAsia="Calibri" w:hAnsi="Calibri" w:cs="Calibri"/>
          <w:color w:val="000000"/>
          <w:kern w:val="0"/>
          <w:sz w:val="22"/>
          <w:szCs w:val="22"/>
          <w:lang w:val="es-ES" w:eastAsia="es-ES" w:bidi="es-ES"/>
          <w14:ligatures w14:val="none"/>
        </w:rPr>
        <w:t xml:space="preserve">  </w:t>
      </w:r>
    </w:p>
    <w:p w14:paraId="468F1CDF" w14:textId="77777777" w:rsidR="00945F2B" w:rsidRPr="00945F2B" w:rsidRDefault="00945F2B" w:rsidP="00D30CC0">
      <w:pPr>
        <w:numPr>
          <w:ilvl w:val="0"/>
          <w:numId w:val="4"/>
        </w:numPr>
        <w:spacing w:after="0" w:line="254" w:lineRule="auto"/>
        <w:ind w:right="28" w:hanging="33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Informe de Detalle del Módulo Activos (AM): Informe en Servicio  </w:t>
      </w:r>
    </w:p>
    <w:p w14:paraId="7B537425" w14:textId="77777777" w:rsidR="00945F2B" w:rsidRPr="00945F2B" w:rsidRDefault="00945F2B" w:rsidP="00D30CC0">
      <w:pPr>
        <w:numPr>
          <w:ilvl w:val="0"/>
          <w:numId w:val="4"/>
        </w:numPr>
        <w:spacing w:after="0" w:line="254" w:lineRule="auto"/>
        <w:ind w:right="28" w:hanging="33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Informes de Detalles de Transacciones de AM (Adquisiciones, Ajustes, Transferencias y Enajenaciones)  </w:t>
      </w:r>
    </w:p>
    <w:p w14:paraId="4B9BA72D" w14:textId="77777777" w:rsidR="00945F2B" w:rsidRPr="00945F2B" w:rsidRDefault="00945F2B" w:rsidP="00D30CC0">
      <w:pPr>
        <w:numPr>
          <w:ilvl w:val="0"/>
          <w:numId w:val="4"/>
        </w:numPr>
        <w:spacing w:after="0" w:line="254" w:lineRule="auto"/>
        <w:ind w:right="28" w:hanging="33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Informe Resumido de AM  </w:t>
      </w:r>
    </w:p>
    <w:p w14:paraId="2D694D61" w14:textId="77777777" w:rsidR="00945F2B" w:rsidRPr="00945F2B" w:rsidRDefault="00945F2B" w:rsidP="00945F2B">
      <w:pPr>
        <w:spacing w:after="0" w:line="259" w:lineRule="auto"/>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3BCA4886" w14:textId="77777777" w:rsidR="00945F2B" w:rsidRPr="00945F2B" w:rsidRDefault="00945F2B" w:rsidP="00945F2B">
      <w:pPr>
        <w:spacing w:after="0" w:line="259" w:lineRule="auto"/>
        <w:ind w:left="730" w:hanging="1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Informes operativos:</w:t>
      </w:r>
      <w:r w:rsidRPr="00945F2B">
        <w:rPr>
          <w:rFonts w:ascii="Calibri" w:eastAsia="Calibri" w:hAnsi="Calibri" w:cs="Calibri"/>
          <w:color w:val="000000"/>
          <w:kern w:val="0"/>
          <w:sz w:val="22"/>
          <w:szCs w:val="22"/>
          <w:lang w:val="es-ES" w:eastAsia="es-ES" w:bidi="es-ES"/>
          <w14:ligatures w14:val="none"/>
        </w:rPr>
        <w:t xml:space="preserve">  </w:t>
      </w:r>
    </w:p>
    <w:p w14:paraId="5A4CFEB1" w14:textId="77777777" w:rsidR="00945F2B" w:rsidRPr="00945F2B" w:rsidRDefault="00945F2B" w:rsidP="00945F2B">
      <w:pPr>
        <w:numPr>
          <w:ilvl w:val="0"/>
          <w:numId w:val="5"/>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Recategorización  </w:t>
      </w:r>
    </w:p>
    <w:p w14:paraId="56D3A71D" w14:textId="77777777" w:rsidR="00945F2B" w:rsidRPr="00945F2B" w:rsidRDefault="00945F2B" w:rsidP="00945F2B">
      <w:pPr>
        <w:numPr>
          <w:ilvl w:val="0"/>
          <w:numId w:val="5"/>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Informe del UNDSS (Departamento de Protección y Seguridad de las Naciones Unidas)  </w:t>
      </w:r>
    </w:p>
    <w:p w14:paraId="10BEE312" w14:textId="77777777" w:rsidR="00945F2B" w:rsidRPr="00945F2B" w:rsidRDefault="00945F2B" w:rsidP="00945F2B">
      <w:pPr>
        <w:numPr>
          <w:ilvl w:val="0"/>
          <w:numId w:val="5"/>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Depreciación por Período  </w:t>
      </w:r>
    </w:p>
    <w:p w14:paraId="0619F3B9" w14:textId="77777777" w:rsidR="00945F2B" w:rsidRPr="00945F2B" w:rsidRDefault="00945F2B" w:rsidP="00945F2B">
      <w:pPr>
        <w:numPr>
          <w:ilvl w:val="0"/>
          <w:numId w:val="5"/>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Informe de Valor Neto Contable, por Id. de activo, dependencia comercial o dependencia operacional.  </w:t>
      </w:r>
    </w:p>
    <w:p w14:paraId="2CA7ACF1" w14:textId="77777777" w:rsidR="00945F2B" w:rsidRPr="00945F2B" w:rsidRDefault="00945F2B" w:rsidP="00945F2B">
      <w:pPr>
        <w:numPr>
          <w:ilvl w:val="0"/>
          <w:numId w:val="5"/>
        </w:numPr>
        <w:spacing w:after="0" w:line="254" w:lineRule="auto"/>
        <w:ind w:right="28" w:hanging="36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lastRenderedPageBreak/>
        <w:t xml:space="preserve">Reclasificaciones de Activos  </w:t>
      </w:r>
    </w:p>
    <w:p w14:paraId="37A25DE3" w14:textId="77777777" w:rsidR="00945F2B" w:rsidRP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6AF89A1D" w14:textId="77777777" w:rsidR="00945F2B" w:rsidRPr="00945F2B" w:rsidRDefault="00945F2B" w:rsidP="00945F2B">
      <w:pPr>
        <w:spacing w:after="0" w:line="259" w:lineRule="auto"/>
        <w:ind w:left="10" w:hanging="1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Funciones Centralizadas</w:t>
      </w:r>
      <w:r w:rsidRPr="00945F2B">
        <w:rPr>
          <w:rFonts w:ascii="Calibri" w:eastAsia="Calibri" w:hAnsi="Calibri" w:cs="Calibri"/>
          <w:color w:val="000000"/>
          <w:kern w:val="0"/>
          <w:sz w:val="22"/>
          <w:szCs w:val="22"/>
          <w:lang w:val="es-ES" w:eastAsia="es-ES" w:bidi="es-ES"/>
          <w14:ligatures w14:val="none"/>
        </w:rPr>
        <w:t xml:space="preserve">  </w:t>
      </w:r>
    </w:p>
    <w:p w14:paraId="5E3D43C5" w14:textId="77777777" w:rsidR="00945F2B" w:rsidRPr="00945F2B" w:rsidRDefault="00945F2B" w:rsidP="00945F2B">
      <w:pPr>
        <w:spacing w:after="0" w:line="259" w:lineRule="auto"/>
        <w:ind w:left="360"/>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6F5DB282" w14:textId="77777777" w:rsidR="00945F2B" w:rsidRPr="00945F2B" w:rsidRDefault="00945F2B" w:rsidP="00945F2B">
      <w:pPr>
        <w:spacing w:after="0" w:line="254" w:lineRule="auto"/>
        <w:ind w:left="370" w:right="28" w:hanging="1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Las siguientes funciones serán llevadas a cabo por el CGSC y por la división de Operaciones Generales de la BMS:  </w:t>
      </w:r>
    </w:p>
    <w:p w14:paraId="78960C2D" w14:textId="77777777" w:rsidR="00945F2B" w:rsidRPr="00945F2B" w:rsidRDefault="00945F2B" w:rsidP="00945F2B">
      <w:pPr>
        <w:spacing w:after="0" w:line="259" w:lineRule="auto"/>
        <w:ind w:left="360"/>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2F5E0A5E"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Centro Global de Servicios Compartidos (CGSC)</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45C080E7" w14:textId="77777777" w:rsidR="00945F2B" w:rsidRPr="00945F2B" w:rsidRDefault="00945F2B" w:rsidP="00945F2B">
      <w:pPr>
        <w:spacing w:after="24" w:line="254" w:lineRule="auto"/>
        <w:ind w:left="730" w:right="38" w:hanging="10"/>
        <w:jc w:val="both"/>
        <w:rPr>
          <w:rFonts w:ascii="Calibri" w:eastAsia="Calibri" w:hAnsi="Calibri" w:cs="Calibri"/>
          <w:color w:val="000000"/>
          <w:kern w:val="0"/>
          <w:sz w:val="22"/>
          <w:szCs w:val="22"/>
          <w:lang w:val="es-ES" w:eastAsia="es-ES" w:bidi="es-ES"/>
          <w14:ligatures w14:val="none"/>
        </w:rPr>
      </w:pPr>
    </w:p>
    <w:p w14:paraId="051E0612"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Procesar todas las transacciones de Gestión de Activos y los asientos del libro mayor (GLJE) correspondientes en relación con adiciones básicas, enajenaciones, transferencias de activos y deterioro de activos  </w:t>
      </w:r>
    </w:p>
    <w:p w14:paraId="6BDBA672"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Actualizar el estado a «en servicio» para los activos que se pusieron en servicio y que habían estado FOB (franco a bordo), CFR (costo y flete), CIS (sistema de información aduanera) o en espera de asignación  </w:t>
      </w:r>
    </w:p>
    <w:p w14:paraId="648D4F4F"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Capitalizar los activos del UNDSS enviados directamente a la CO por el UNDSS  </w:t>
      </w:r>
    </w:p>
    <w:p w14:paraId="1C28791F"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Registrar la participación de activos comunes del PNUD mediante un acuerdo de servicios comunes (CSA)  </w:t>
      </w:r>
    </w:p>
    <w:p w14:paraId="57BB518F"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 y clasificar los arrendamientos y registrar los Arrendamientos Financieros identificados  </w:t>
      </w:r>
    </w:p>
    <w:p w14:paraId="4834B6BC"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Asistir a las Oficinas en el País en la ejecución de procesos clave de IPSAS relacionados que representan un riesgo de auditoría  </w:t>
      </w:r>
    </w:p>
    <w:p w14:paraId="295337B2"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 y procesar solicitudes excepcionales como ajustes de costos y recategorización de activos  </w:t>
      </w:r>
    </w:p>
    <w:p w14:paraId="788C62A1"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En el momento de la capitalización y/o la transferencia, el CGSC revisará las combinaciones del plan de cuentas para asegurar que los activos se registren en relación con los campos válidos del plan  </w:t>
      </w:r>
    </w:p>
    <w:p w14:paraId="3CB0B8D1"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Procesar las solicitudes de cambio del COA de los activos y crear GLJE de ajuste   </w:t>
      </w:r>
    </w:p>
    <w:p w14:paraId="62AF0D5B"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Notificar a Operaciones Generales/BMS y a la OIST sobre cualquier limitación de sistema en el procesamiento de transacciones de gestión de activos en Quantum para su reconfiguración</w:t>
      </w:r>
    </w:p>
    <w:p w14:paraId="70A03752"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Como custodios de las presentaciones de activos en</w:t>
      </w:r>
      <w:hyperlink r:id="rId8" w:history="1"/>
      <w:r w:rsidRPr="00945F2B">
        <w:rPr>
          <w:rFonts w:ascii="Calibri" w:eastAsia="Calibri" w:hAnsi="Calibri" w:cs="Calibri"/>
          <w:color w:val="0000FF"/>
          <w:kern w:val="0"/>
          <w:sz w:val="22"/>
          <w:szCs w:val="22"/>
          <w:u w:val="single"/>
          <w:lang w:val="es-ES" w:eastAsia="es-ES" w:bidi="es-ES"/>
          <w14:ligatures w14:val="none"/>
        </w:rPr>
        <w:t xml:space="preserve"> </w:t>
      </w:r>
      <w:proofErr w:type="spellStart"/>
      <w:proofErr w:type="gramStart"/>
      <w:r w:rsidRPr="00945F2B">
        <w:rPr>
          <w:rFonts w:ascii="Calibri" w:eastAsia="Calibri" w:hAnsi="Calibri" w:cs="Calibri"/>
          <w:color w:val="000000"/>
          <w:kern w:val="0"/>
          <w:sz w:val="22"/>
          <w:szCs w:val="22"/>
          <w:lang w:val="es-ES" w:eastAsia="es-ES" w:bidi="es-ES"/>
          <w14:ligatures w14:val="none"/>
        </w:rPr>
        <w:t>UNall</w:t>
      </w:r>
      <w:proofErr w:type="spellEnd"/>
      <w:r w:rsidRPr="00945F2B">
        <w:rPr>
          <w:rFonts w:ascii="Calibri" w:eastAsia="Calibri" w:hAnsi="Calibri" w:cs="Calibri"/>
          <w:color w:val="000000"/>
          <w:kern w:val="0"/>
          <w:sz w:val="22"/>
          <w:szCs w:val="22"/>
          <w:lang w:val="es-ES" w:eastAsia="es-ES" w:bidi="es-ES"/>
          <w14:ligatures w14:val="none"/>
        </w:rPr>
        <w:t xml:space="preserve"> ,</w:t>
      </w:r>
      <w:proofErr w:type="gramEnd"/>
      <w:r w:rsidRPr="00945F2B">
        <w:rPr>
          <w:rFonts w:ascii="Calibri" w:eastAsia="Calibri" w:hAnsi="Calibri" w:cs="Calibri"/>
          <w:color w:val="000000"/>
          <w:kern w:val="0"/>
          <w:sz w:val="22"/>
          <w:szCs w:val="22"/>
          <w:lang w:val="es-ES" w:eastAsia="es-ES" w:bidi="es-ES"/>
          <w14:ligatures w14:val="none"/>
        </w:rPr>
        <w:t xml:space="preserve"> asegurar la revisión regular del portal de solicitud de servicio del PNUD para garantizar la coherencia, la integridad, la facilidad de uso y la actualización. </w:t>
      </w:r>
    </w:p>
    <w:p w14:paraId="4D7727C5"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Comunicar a las dependencias comerciales cualquier actualización del </w:t>
      </w:r>
      <w:proofErr w:type="spellStart"/>
      <w:r w:rsidRPr="00945F2B">
        <w:rPr>
          <w:rFonts w:ascii="Calibri" w:eastAsia="Calibri" w:hAnsi="Calibri" w:cs="Calibri"/>
          <w:color w:val="000000"/>
          <w:kern w:val="0"/>
          <w:sz w:val="22"/>
          <w:szCs w:val="22"/>
          <w:lang w:val="es-ES" w:eastAsia="es-ES" w:bidi="es-ES"/>
          <w14:ligatures w14:val="none"/>
        </w:rPr>
        <w:t>UNall</w:t>
      </w:r>
      <w:proofErr w:type="spellEnd"/>
      <w:r w:rsidRPr="00945F2B">
        <w:rPr>
          <w:rFonts w:ascii="Calibri" w:eastAsia="Calibri" w:hAnsi="Calibri" w:cs="Calibri"/>
          <w:color w:val="000000"/>
          <w:kern w:val="0"/>
          <w:sz w:val="22"/>
          <w:szCs w:val="22"/>
          <w:lang w:val="es-ES" w:eastAsia="es-ES" w:bidi="es-ES"/>
          <w14:ligatures w14:val="none"/>
        </w:rPr>
        <w:t xml:space="preserve">, ofrecer capacitaciones y seminarios web, y asegurar el cumplimiento con los requisitos del portal de solicitud de servicio del PNUD como depósito de documentos  </w:t>
      </w:r>
    </w:p>
    <w:p w14:paraId="6F3D8874"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Procesar las solicitudes aprobadas de deterioro de activos  </w:t>
      </w:r>
    </w:p>
    <w:p w14:paraId="26A8CCD1" w14:textId="77777777" w:rsidR="00945F2B" w:rsidRPr="00945F2B" w:rsidRDefault="00945F2B" w:rsidP="00F51058">
      <w:pPr>
        <w:numPr>
          <w:ilvl w:val="0"/>
          <w:numId w:val="6"/>
        </w:numPr>
        <w:spacing w:after="0" w:line="254" w:lineRule="auto"/>
        <w:ind w:left="1260" w:right="28" w:hanging="511"/>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 con regularidad las combinaciones del plan de cuentas para asegurar que los activos se registren en relación con los campos válidos del plan.   </w:t>
      </w:r>
    </w:p>
    <w:p w14:paraId="34C63F60" w14:textId="77777777" w:rsid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780BE947" w14:textId="77777777" w:rsid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1A1EBA34" w14:textId="77777777" w:rsid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7F8A1944" w14:textId="77777777" w:rsidR="00945F2B" w:rsidRP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347A0A5C" w14:textId="77777777" w:rsidR="00945F2B" w:rsidRPr="00945F2B" w:rsidRDefault="00945F2B" w:rsidP="00945F2B">
      <w:pPr>
        <w:keepNext/>
        <w:keepLines/>
        <w:spacing w:after="0" w:line="259" w:lineRule="auto"/>
        <w:ind w:left="341" w:hanging="10"/>
        <w:outlineLvl w:val="0"/>
        <w:rPr>
          <w:rFonts w:ascii="Calibri" w:eastAsia="Calibri" w:hAnsi="Calibri" w:cs="Calibri"/>
          <w:b/>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lastRenderedPageBreak/>
        <w:t>Sede</w:t>
      </w: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b/>
          <w:color w:val="000000"/>
          <w:kern w:val="0"/>
          <w:sz w:val="22"/>
          <w:szCs w:val="22"/>
          <w:lang w:val="es-ES" w:eastAsia="es-ES" w:bidi="es-ES"/>
          <w14:ligatures w14:val="none"/>
        </w:rPr>
        <w:t xml:space="preserve"> </w:t>
      </w:r>
    </w:p>
    <w:p w14:paraId="48EC4603" w14:textId="77777777" w:rsidR="00945F2B" w:rsidRPr="00945F2B" w:rsidRDefault="00945F2B" w:rsidP="00945F2B">
      <w:pPr>
        <w:spacing w:after="24" w:line="254" w:lineRule="auto"/>
        <w:ind w:left="730" w:right="38" w:hanging="10"/>
        <w:jc w:val="both"/>
        <w:rPr>
          <w:rFonts w:ascii="Calibri" w:eastAsia="Calibri" w:hAnsi="Calibri" w:cs="Calibri"/>
          <w:color w:val="000000"/>
          <w:kern w:val="0"/>
          <w:sz w:val="22"/>
          <w:szCs w:val="22"/>
          <w:lang w:val="es-ES" w:eastAsia="es-ES" w:bidi="es-ES"/>
          <w14:ligatures w14:val="none"/>
        </w:rPr>
      </w:pPr>
    </w:p>
    <w:p w14:paraId="2B46ABB8" w14:textId="77777777" w:rsidR="00945F2B" w:rsidRPr="00945F2B" w:rsidRDefault="00945F2B" w:rsidP="00945F2B">
      <w:pPr>
        <w:spacing w:after="0" w:line="259" w:lineRule="auto"/>
        <w:ind w:left="108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i/>
          <w:color w:val="000000"/>
          <w:kern w:val="0"/>
          <w:sz w:val="22"/>
          <w:szCs w:val="22"/>
          <w:lang w:val="es-ES" w:eastAsia="es-ES" w:bidi="es-ES"/>
          <w14:ligatures w14:val="none"/>
        </w:rPr>
        <w:t xml:space="preserve">Operaciones Generales/Dirección de Servicios de Gestión  </w:t>
      </w:r>
      <w:r w:rsidRPr="00945F2B">
        <w:rPr>
          <w:rFonts w:ascii="Calibri" w:eastAsia="Calibri" w:hAnsi="Calibri" w:cs="Calibri"/>
          <w:color w:val="000000"/>
          <w:kern w:val="0"/>
          <w:sz w:val="22"/>
          <w:szCs w:val="22"/>
          <w:lang w:val="es-ES" w:eastAsia="es-ES" w:bidi="es-ES"/>
          <w14:ligatures w14:val="none"/>
        </w:rPr>
        <w:t xml:space="preserve">  </w:t>
      </w:r>
    </w:p>
    <w:p w14:paraId="51368863"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341B0FF0" w14:textId="77777777" w:rsidR="00945F2B" w:rsidRPr="00945F2B" w:rsidRDefault="00945F2B" w:rsidP="00945F2B">
      <w:pPr>
        <w:keepNext/>
        <w:keepLines/>
        <w:spacing w:after="0" w:line="259" w:lineRule="auto"/>
        <w:ind w:left="1061" w:hanging="10"/>
        <w:outlineLvl w:val="1"/>
        <w:rPr>
          <w:rFonts w:ascii="Calibri" w:eastAsia="Calibri" w:hAnsi="Calibri" w:cs="Calibri"/>
          <w:i/>
          <w:color w:val="000000"/>
          <w:kern w:val="0"/>
          <w:sz w:val="22"/>
          <w:szCs w:val="22"/>
          <w:u w:val="single" w:color="000000"/>
          <w:lang w:val="es-ES" w:eastAsia="es-ES" w:bidi="es-ES"/>
          <w14:ligatures w14:val="none"/>
        </w:rPr>
      </w:pPr>
      <w:r w:rsidRPr="00945F2B">
        <w:rPr>
          <w:rFonts w:ascii="Calibri" w:eastAsia="Calibri" w:hAnsi="Calibri" w:cs="Calibri"/>
          <w:i/>
          <w:color w:val="000000"/>
          <w:kern w:val="0"/>
          <w:sz w:val="22"/>
          <w:szCs w:val="22"/>
          <w:u w:val="single" w:color="000000"/>
          <w:lang w:val="es-ES" w:eastAsia="es-ES" w:bidi="es-ES"/>
          <w14:ligatures w14:val="none"/>
        </w:rPr>
        <w:t>Supervisión</w:t>
      </w:r>
      <w:r w:rsidRPr="00945F2B">
        <w:rPr>
          <w:rFonts w:ascii="Calibri" w:eastAsia="Calibri" w:hAnsi="Calibri" w:cs="Calibri"/>
          <w:color w:val="000000"/>
          <w:kern w:val="0"/>
          <w:sz w:val="22"/>
          <w:szCs w:val="22"/>
          <w:u w:color="000000"/>
          <w:lang w:val="es-ES" w:eastAsia="es-ES" w:bidi="es-ES"/>
          <w14:ligatures w14:val="none"/>
        </w:rPr>
        <w:t xml:space="preserve"> </w:t>
      </w:r>
      <w:r w:rsidRPr="00945F2B">
        <w:rPr>
          <w:rFonts w:ascii="Calibri" w:eastAsia="Calibri" w:hAnsi="Calibri" w:cs="Calibri"/>
          <w:i/>
          <w:color w:val="000000"/>
          <w:kern w:val="0"/>
          <w:sz w:val="22"/>
          <w:szCs w:val="22"/>
          <w:u w:color="000000"/>
          <w:lang w:val="es-ES" w:eastAsia="es-ES" w:bidi="es-ES"/>
          <w14:ligatures w14:val="none"/>
        </w:rPr>
        <w:t xml:space="preserve"> </w:t>
      </w:r>
    </w:p>
    <w:p w14:paraId="0D3F3917" w14:textId="77777777" w:rsidR="00945F2B" w:rsidRPr="00945F2B" w:rsidRDefault="00945F2B" w:rsidP="00945F2B">
      <w:pPr>
        <w:numPr>
          <w:ilvl w:val="0"/>
          <w:numId w:val="7"/>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Supervisar los tableros de seguimiento  </w:t>
      </w:r>
    </w:p>
    <w:p w14:paraId="4D7DE519" w14:textId="77777777" w:rsidR="00945F2B" w:rsidRPr="00945F2B" w:rsidRDefault="00945F2B" w:rsidP="00945F2B">
      <w:pPr>
        <w:numPr>
          <w:ilvl w:val="0"/>
          <w:numId w:val="7"/>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Realizar el seguimiento de los errores o las correcciones con el CGSC y las oficinas en el país o las dependencias de la Sede  </w:t>
      </w:r>
    </w:p>
    <w:p w14:paraId="71CABD55" w14:textId="77777777" w:rsidR="00945F2B" w:rsidRPr="00945F2B" w:rsidRDefault="00945F2B" w:rsidP="00945F2B">
      <w:pPr>
        <w:numPr>
          <w:ilvl w:val="0"/>
          <w:numId w:val="7"/>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Realizar la conciliación entre módulos  </w:t>
      </w:r>
    </w:p>
    <w:p w14:paraId="09CE4A23" w14:textId="77777777" w:rsidR="00945F2B" w:rsidRPr="00945F2B" w:rsidRDefault="00945F2B" w:rsidP="00945F2B">
      <w:pPr>
        <w:numPr>
          <w:ilvl w:val="0"/>
          <w:numId w:val="7"/>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Procesar y revisar la precisión de la deducción por depreciación  </w:t>
      </w:r>
    </w:p>
    <w:p w14:paraId="49FED5B0"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5058AAE3" w14:textId="77777777" w:rsidR="00945F2B" w:rsidRPr="00945F2B" w:rsidRDefault="00945F2B" w:rsidP="00945F2B">
      <w:pPr>
        <w:keepNext/>
        <w:keepLines/>
        <w:spacing w:after="0" w:line="259" w:lineRule="auto"/>
        <w:ind w:left="1061" w:hanging="10"/>
        <w:outlineLvl w:val="1"/>
        <w:rPr>
          <w:rFonts w:ascii="Calibri" w:eastAsia="Calibri" w:hAnsi="Calibri" w:cs="Calibri"/>
          <w:i/>
          <w:color w:val="000000"/>
          <w:kern w:val="0"/>
          <w:sz w:val="22"/>
          <w:szCs w:val="22"/>
          <w:u w:val="single" w:color="000000"/>
          <w:lang w:val="es-ES" w:eastAsia="es-ES" w:bidi="es-ES"/>
          <w14:ligatures w14:val="none"/>
        </w:rPr>
      </w:pPr>
      <w:r w:rsidRPr="00945F2B">
        <w:rPr>
          <w:rFonts w:ascii="Calibri" w:eastAsia="Calibri" w:hAnsi="Calibri" w:cs="Calibri"/>
          <w:i/>
          <w:color w:val="000000"/>
          <w:kern w:val="0"/>
          <w:sz w:val="22"/>
          <w:szCs w:val="22"/>
          <w:u w:val="single" w:color="000000"/>
          <w:lang w:val="es-ES" w:eastAsia="es-ES" w:bidi="es-ES"/>
          <w14:ligatures w14:val="none"/>
        </w:rPr>
        <w:t>Orientación</w:t>
      </w:r>
      <w:r w:rsidRPr="00945F2B">
        <w:rPr>
          <w:rFonts w:ascii="Calibri" w:eastAsia="Calibri" w:hAnsi="Calibri" w:cs="Calibri"/>
          <w:i/>
          <w:color w:val="000000"/>
          <w:kern w:val="0"/>
          <w:sz w:val="22"/>
          <w:szCs w:val="22"/>
          <w:u w:color="000000"/>
          <w:lang w:val="es-ES" w:eastAsia="es-ES" w:bidi="es-ES"/>
          <w14:ligatures w14:val="none"/>
        </w:rPr>
        <w:t xml:space="preserve">  </w:t>
      </w:r>
    </w:p>
    <w:p w14:paraId="74A09A28" w14:textId="77777777" w:rsidR="00945F2B" w:rsidRPr="00945F2B" w:rsidRDefault="00945F2B" w:rsidP="00945F2B">
      <w:pPr>
        <w:numPr>
          <w:ilvl w:val="0"/>
          <w:numId w:val="8"/>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Brindar orientación general sobre políticas al CGSC y a las oficinas en el país o dependencias de la Sede  </w:t>
      </w:r>
    </w:p>
    <w:p w14:paraId="5046EC9D" w14:textId="77777777" w:rsidR="00945F2B" w:rsidRPr="00945F2B" w:rsidRDefault="00945F2B" w:rsidP="00945F2B">
      <w:pPr>
        <w:numPr>
          <w:ilvl w:val="0"/>
          <w:numId w:val="8"/>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 los asuntos operativos que deben ser abordados a través de políticas  </w:t>
      </w:r>
    </w:p>
    <w:p w14:paraId="4BF01515"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54659C7F" w14:textId="77777777" w:rsidR="00945F2B" w:rsidRPr="00945F2B" w:rsidRDefault="00945F2B" w:rsidP="00945F2B">
      <w:pPr>
        <w:keepNext/>
        <w:keepLines/>
        <w:spacing w:after="0" w:line="259" w:lineRule="auto"/>
        <w:ind w:left="1061" w:hanging="10"/>
        <w:outlineLvl w:val="1"/>
        <w:rPr>
          <w:rFonts w:ascii="Calibri" w:eastAsia="Calibri" w:hAnsi="Calibri" w:cs="Calibri"/>
          <w:i/>
          <w:color w:val="000000"/>
          <w:kern w:val="0"/>
          <w:sz w:val="22"/>
          <w:szCs w:val="22"/>
          <w:u w:val="single" w:color="000000"/>
          <w:lang w:val="es-ES" w:eastAsia="es-ES" w:bidi="es-ES"/>
          <w14:ligatures w14:val="none"/>
        </w:rPr>
      </w:pPr>
      <w:r w:rsidRPr="00945F2B">
        <w:rPr>
          <w:rFonts w:ascii="Calibri" w:eastAsia="Calibri" w:hAnsi="Calibri" w:cs="Calibri"/>
          <w:i/>
          <w:color w:val="000000"/>
          <w:kern w:val="0"/>
          <w:sz w:val="22"/>
          <w:szCs w:val="22"/>
          <w:u w:val="single" w:color="000000"/>
          <w:lang w:val="es-ES" w:eastAsia="es-ES" w:bidi="es-ES"/>
          <w14:ligatures w14:val="none"/>
        </w:rPr>
        <w:t>Transacciones</w:t>
      </w:r>
      <w:r w:rsidRPr="00945F2B">
        <w:rPr>
          <w:rFonts w:ascii="Calibri" w:eastAsia="Calibri" w:hAnsi="Calibri" w:cs="Calibri"/>
          <w:i/>
          <w:color w:val="000000"/>
          <w:kern w:val="0"/>
          <w:sz w:val="22"/>
          <w:szCs w:val="22"/>
          <w:u w:color="000000"/>
          <w:lang w:val="es-ES" w:eastAsia="es-ES" w:bidi="es-ES"/>
          <w14:ligatures w14:val="none"/>
        </w:rPr>
        <w:t xml:space="preserve">  </w:t>
      </w:r>
    </w:p>
    <w:p w14:paraId="5931941E" w14:textId="77777777" w:rsidR="00945F2B" w:rsidRPr="00945F2B" w:rsidRDefault="00945F2B" w:rsidP="00945F2B">
      <w:pPr>
        <w:numPr>
          <w:ilvl w:val="0"/>
          <w:numId w:val="9"/>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Revisar/aprobar solicitudes de amortización total  </w:t>
      </w:r>
    </w:p>
    <w:p w14:paraId="5E0C36E3" w14:textId="77777777" w:rsidR="00945F2B" w:rsidRPr="00945F2B" w:rsidRDefault="00945F2B" w:rsidP="00945F2B">
      <w:pPr>
        <w:numPr>
          <w:ilvl w:val="0"/>
          <w:numId w:val="9"/>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 con regularidad las partidas extraordinarias en enajenaciones en los Registros de Activos y el Tablero de Seguimiento    </w:t>
      </w:r>
    </w:p>
    <w:p w14:paraId="15A28333" w14:textId="77777777" w:rsidR="00945F2B" w:rsidRPr="00945F2B" w:rsidRDefault="00945F2B" w:rsidP="00945F2B">
      <w:pPr>
        <w:numPr>
          <w:ilvl w:val="0"/>
          <w:numId w:val="9"/>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Desarrollar paquetes de capacitación para que sean utilizados por el CGSC  </w:t>
      </w:r>
    </w:p>
    <w:p w14:paraId="1690021D" w14:textId="77777777" w:rsidR="00945F2B" w:rsidRPr="00945F2B" w:rsidRDefault="00945F2B" w:rsidP="00945F2B">
      <w:pPr>
        <w:numPr>
          <w:ilvl w:val="0"/>
          <w:numId w:val="9"/>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 la depreciación a través de los tableros de seguimiento  </w:t>
      </w:r>
    </w:p>
    <w:p w14:paraId="2DADCA0F" w14:textId="77777777" w:rsidR="00945F2B" w:rsidRPr="00945F2B" w:rsidRDefault="00945F2B" w:rsidP="00945F2B">
      <w:pPr>
        <w:numPr>
          <w:ilvl w:val="0"/>
          <w:numId w:val="9"/>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Realizar la conciliación del módulo AM  </w:t>
      </w:r>
    </w:p>
    <w:p w14:paraId="7F2D6BC6" w14:textId="77777777" w:rsidR="00945F2B" w:rsidRPr="00945F2B" w:rsidRDefault="00945F2B" w:rsidP="00945F2B">
      <w:pPr>
        <w:spacing w:after="0" w:line="254" w:lineRule="auto"/>
        <w:ind w:left="1771" w:right="28"/>
        <w:jc w:val="both"/>
        <w:rPr>
          <w:rFonts w:ascii="Calibri" w:eastAsia="Calibri" w:hAnsi="Calibri" w:cs="Calibri"/>
          <w:color w:val="000000"/>
          <w:kern w:val="0"/>
          <w:sz w:val="22"/>
          <w:szCs w:val="22"/>
          <w:lang w:val="es-ES" w:eastAsia="es-ES" w:bidi="es-ES"/>
          <w14:ligatures w14:val="none"/>
        </w:rPr>
      </w:pPr>
    </w:p>
    <w:p w14:paraId="0C8C9254" w14:textId="77777777" w:rsidR="00945F2B" w:rsidRPr="00945F2B" w:rsidRDefault="00945F2B" w:rsidP="00945F2B">
      <w:pPr>
        <w:spacing w:after="0" w:line="259" w:lineRule="auto"/>
        <w:ind w:left="1061" w:hanging="1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i/>
          <w:color w:val="000000"/>
          <w:kern w:val="0"/>
          <w:sz w:val="22"/>
          <w:szCs w:val="22"/>
          <w:u w:val="single" w:color="000000"/>
          <w:lang w:val="es-ES" w:eastAsia="es-ES" w:bidi="es-ES"/>
          <w14:ligatures w14:val="none"/>
        </w:rPr>
        <w:t>Presentación de Informes</w:t>
      </w:r>
      <w:r w:rsidRPr="00945F2B">
        <w:rPr>
          <w:rFonts w:ascii="Calibri" w:eastAsia="Calibri" w:hAnsi="Calibri" w:cs="Calibri"/>
          <w:i/>
          <w:color w:val="000000"/>
          <w:kern w:val="0"/>
          <w:sz w:val="22"/>
          <w:szCs w:val="22"/>
          <w:lang w:val="es-ES" w:eastAsia="es-ES" w:bidi="es-ES"/>
          <w14:ligatures w14:val="none"/>
        </w:rPr>
        <w:t xml:space="preserve"> </w:t>
      </w:r>
      <w:r w:rsidRPr="00945F2B">
        <w:rPr>
          <w:rFonts w:ascii="Calibri" w:eastAsia="Calibri" w:hAnsi="Calibri" w:cs="Calibri"/>
          <w:color w:val="000000"/>
          <w:kern w:val="0"/>
          <w:sz w:val="22"/>
          <w:szCs w:val="22"/>
          <w:lang w:val="es-ES" w:eastAsia="es-ES" w:bidi="es-ES"/>
          <w14:ligatures w14:val="none"/>
        </w:rPr>
        <w:t xml:space="preserve"> </w:t>
      </w:r>
    </w:p>
    <w:p w14:paraId="07D65CB0" w14:textId="77777777" w:rsidR="00945F2B" w:rsidRPr="00945F2B" w:rsidRDefault="00945F2B" w:rsidP="00945F2B">
      <w:pPr>
        <w:spacing w:after="0" w:line="254" w:lineRule="auto"/>
        <w:ind w:left="1421" w:right="28" w:hanging="10"/>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a)</w:t>
      </w:r>
      <w:r w:rsidRPr="00945F2B">
        <w:rPr>
          <w:rFonts w:ascii="Arial" w:eastAsia="Calibri" w:hAnsi="Arial" w:cs="Calibri"/>
          <w:color w:val="000000"/>
          <w:kern w:val="0"/>
          <w:sz w:val="22"/>
          <w:szCs w:val="22"/>
          <w:lang w:val="es-ES" w:eastAsia="es-ES" w:bidi="es-ES"/>
          <w14:ligatures w14:val="none"/>
        </w:rPr>
        <w:t xml:space="preserve"> </w:t>
      </w:r>
      <w:r w:rsidRPr="00945F2B">
        <w:rPr>
          <w:rFonts w:ascii="Calibri" w:eastAsia="Calibri" w:hAnsi="Calibri" w:cs="Calibri"/>
          <w:color w:val="000000"/>
          <w:kern w:val="0"/>
          <w:sz w:val="22"/>
          <w:szCs w:val="22"/>
          <w:lang w:val="es-ES" w:eastAsia="es-ES" w:bidi="es-ES"/>
          <w14:ligatures w14:val="none"/>
        </w:rPr>
        <w:t xml:space="preserve">Desarrollar informes para que sean utilizados por las oficinas y la Sede para fines de supervisión y operativos.  </w:t>
      </w:r>
    </w:p>
    <w:p w14:paraId="45AE79F2"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b/>
          <w:color w:val="000000"/>
          <w:kern w:val="0"/>
          <w:sz w:val="22"/>
          <w:szCs w:val="22"/>
          <w:lang w:val="es-ES" w:eastAsia="es-ES" w:bidi="es-ES"/>
          <w14:ligatures w14:val="none"/>
        </w:rPr>
        <w:t xml:space="preserve"> </w:t>
      </w:r>
      <w:r w:rsidRPr="00945F2B">
        <w:rPr>
          <w:rFonts w:ascii="Calibri" w:eastAsia="Calibri" w:hAnsi="Calibri" w:cs="Calibri"/>
          <w:color w:val="000000"/>
          <w:kern w:val="0"/>
          <w:sz w:val="22"/>
          <w:szCs w:val="22"/>
          <w:lang w:val="es-ES" w:eastAsia="es-ES" w:bidi="es-ES"/>
          <w14:ligatures w14:val="none"/>
        </w:rPr>
        <w:t xml:space="preserve">  </w:t>
      </w:r>
    </w:p>
    <w:p w14:paraId="5189009F" w14:textId="77777777" w:rsidR="00945F2B" w:rsidRPr="00945F2B" w:rsidRDefault="00945F2B" w:rsidP="00945F2B">
      <w:pPr>
        <w:keepNext/>
        <w:keepLines/>
        <w:spacing w:after="0" w:line="259" w:lineRule="auto"/>
        <w:ind w:left="1061" w:hanging="10"/>
        <w:outlineLvl w:val="1"/>
        <w:rPr>
          <w:rFonts w:ascii="Calibri" w:eastAsia="Calibri" w:hAnsi="Calibri" w:cs="Calibri"/>
          <w:i/>
          <w:color w:val="000000"/>
          <w:kern w:val="0"/>
          <w:sz w:val="22"/>
          <w:szCs w:val="22"/>
          <w:u w:val="single" w:color="000000"/>
          <w:lang w:val="es-ES" w:eastAsia="es-ES" w:bidi="es-ES"/>
          <w14:ligatures w14:val="none"/>
        </w:rPr>
      </w:pPr>
      <w:r w:rsidRPr="00945F2B">
        <w:rPr>
          <w:rFonts w:ascii="Calibri" w:eastAsia="Calibri" w:hAnsi="Calibri" w:cs="Calibri"/>
          <w:i/>
          <w:color w:val="000000"/>
          <w:kern w:val="0"/>
          <w:sz w:val="22"/>
          <w:szCs w:val="22"/>
          <w:u w:val="single" w:color="000000"/>
          <w:lang w:val="es-ES" w:eastAsia="es-ES" w:bidi="es-ES"/>
          <w14:ligatures w14:val="none"/>
        </w:rPr>
        <w:t>Cuentas</w:t>
      </w:r>
      <w:r w:rsidRPr="00945F2B">
        <w:rPr>
          <w:rFonts w:ascii="Calibri" w:eastAsia="Calibri" w:hAnsi="Calibri" w:cs="Calibri"/>
          <w:i/>
          <w:color w:val="000000"/>
          <w:kern w:val="0"/>
          <w:sz w:val="22"/>
          <w:szCs w:val="22"/>
          <w:u w:color="000000"/>
          <w:lang w:val="es-ES" w:eastAsia="es-ES" w:bidi="es-ES"/>
          <w14:ligatures w14:val="none"/>
        </w:rPr>
        <w:t xml:space="preserve">   </w:t>
      </w:r>
    </w:p>
    <w:p w14:paraId="0FE9A716" w14:textId="77777777" w:rsidR="00945F2B" w:rsidRPr="00945F2B" w:rsidRDefault="00945F2B" w:rsidP="00945F2B">
      <w:pPr>
        <w:numPr>
          <w:ilvl w:val="0"/>
          <w:numId w:val="10"/>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Realizar asientos de ajuste a nivel del libro mayor  </w:t>
      </w:r>
    </w:p>
    <w:p w14:paraId="11BBA9DF" w14:textId="77777777" w:rsidR="00945F2B" w:rsidRPr="00945F2B" w:rsidRDefault="00945F2B" w:rsidP="00945F2B">
      <w:pPr>
        <w:numPr>
          <w:ilvl w:val="0"/>
          <w:numId w:val="10"/>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Revisar la depreciación a nivel del libro mayor  </w:t>
      </w:r>
    </w:p>
    <w:p w14:paraId="6770904C" w14:textId="77777777" w:rsidR="00945F2B" w:rsidRPr="00945F2B" w:rsidRDefault="00945F2B" w:rsidP="00945F2B">
      <w:pPr>
        <w:numPr>
          <w:ilvl w:val="0"/>
          <w:numId w:val="10"/>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Presentar información financiera sobre los activos en los estados financieros y las divulgaciones apropiadas  </w:t>
      </w:r>
    </w:p>
    <w:p w14:paraId="645CADF7"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528ACE52" w14:textId="77777777" w:rsidR="00945F2B" w:rsidRPr="00945F2B" w:rsidRDefault="00945F2B" w:rsidP="00945F2B">
      <w:pPr>
        <w:keepNext/>
        <w:keepLines/>
        <w:spacing w:after="0" w:line="259" w:lineRule="auto"/>
        <w:ind w:left="1061" w:hanging="10"/>
        <w:outlineLvl w:val="1"/>
        <w:rPr>
          <w:rFonts w:ascii="Calibri" w:eastAsia="Calibri" w:hAnsi="Calibri" w:cs="Calibri"/>
          <w:i/>
          <w:color w:val="000000"/>
          <w:kern w:val="0"/>
          <w:sz w:val="22"/>
          <w:szCs w:val="22"/>
          <w:u w:val="single" w:color="000000"/>
          <w:lang w:val="es-ES" w:eastAsia="es-ES" w:bidi="es-ES"/>
          <w14:ligatures w14:val="none"/>
        </w:rPr>
      </w:pPr>
      <w:r w:rsidRPr="00945F2B">
        <w:rPr>
          <w:rFonts w:ascii="Calibri" w:eastAsia="Calibri" w:hAnsi="Calibri" w:cs="Calibri"/>
          <w:i/>
          <w:color w:val="000000"/>
          <w:kern w:val="0"/>
          <w:sz w:val="22"/>
          <w:szCs w:val="22"/>
          <w:u w:val="single" w:color="000000"/>
          <w:lang w:val="es-ES" w:eastAsia="es-ES" w:bidi="es-ES"/>
          <w14:ligatures w14:val="none"/>
        </w:rPr>
        <w:t>OIMT</w:t>
      </w:r>
      <w:r w:rsidRPr="00945F2B">
        <w:rPr>
          <w:rFonts w:ascii="Calibri" w:eastAsia="Calibri" w:hAnsi="Calibri" w:cs="Calibri"/>
          <w:color w:val="000000"/>
          <w:kern w:val="0"/>
          <w:sz w:val="22"/>
          <w:szCs w:val="22"/>
          <w:u w:color="000000"/>
          <w:lang w:val="es-ES" w:eastAsia="es-ES" w:bidi="es-ES"/>
          <w14:ligatures w14:val="none"/>
        </w:rPr>
        <w:t xml:space="preserve">  </w:t>
      </w:r>
      <w:r w:rsidRPr="00945F2B">
        <w:rPr>
          <w:rFonts w:ascii="Calibri" w:eastAsia="Calibri" w:hAnsi="Calibri" w:cs="Calibri"/>
          <w:i/>
          <w:color w:val="000000"/>
          <w:kern w:val="0"/>
          <w:sz w:val="22"/>
          <w:szCs w:val="22"/>
          <w:u w:color="000000"/>
          <w:lang w:val="es-ES" w:eastAsia="es-ES" w:bidi="es-ES"/>
          <w14:ligatures w14:val="none"/>
        </w:rPr>
        <w:t xml:space="preserve"> </w:t>
      </w:r>
    </w:p>
    <w:p w14:paraId="321A07B7" w14:textId="77777777" w:rsidR="00945F2B" w:rsidRPr="00945F2B" w:rsidRDefault="00945F2B" w:rsidP="00945F2B">
      <w:pPr>
        <w:numPr>
          <w:ilvl w:val="0"/>
          <w:numId w:val="1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Ejecutar la depreciación mensual, la generación de asientos contables y los procesos de contabilización  </w:t>
      </w:r>
    </w:p>
    <w:p w14:paraId="2BA6CED9" w14:textId="77777777" w:rsidR="00945F2B" w:rsidRPr="00945F2B" w:rsidRDefault="00945F2B" w:rsidP="00945F2B">
      <w:pPr>
        <w:numPr>
          <w:ilvl w:val="0"/>
          <w:numId w:val="1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Interconectar activos de AP a AM  </w:t>
      </w:r>
    </w:p>
    <w:p w14:paraId="395A2CBB" w14:textId="77777777" w:rsidR="00945F2B" w:rsidRPr="00945F2B" w:rsidRDefault="00945F2B" w:rsidP="00945F2B">
      <w:pPr>
        <w:numPr>
          <w:ilvl w:val="0"/>
          <w:numId w:val="1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Desarrollar informes  </w:t>
      </w:r>
    </w:p>
    <w:p w14:paraId="5372C9DD" w14:textId="77777777" w:rsidR="00945F2B" w:rsidRPr="00945F2B" w:rsidRDefault="00945F2B" w:rsidP="00945F2B">
      <w:pPr>
        <w:numPr>
          <w:ilvl w:val="0"/>
          <w:numId w:val="11"/>
        </w:numPr>
        <w:spacing w:after="0" w:line="254" w:lineRule="auto"/>
        <w:ind w:right="28"/>
        <w:jc w:val="both"/>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Procesar las solicitudes de cambio de sistemas  </w:t>
      </w:r>
    </w:p>
    <w:p w14:paraId="75B70B82" w14:textId="77777777" w:rsidR="00945F2B" w:rsidRPr="00945F2B" w:rsidRDefault="00945F2B" w:rsidP="00945F2B">
      <w:pPr>
        <w:spacing w:after="0" w:line="259" w:lineRule="auto"/>
        <w:rPr>
          <w:rFonts w:ascii="Calibri" w:eastAsia="Calibri" w:hAnsi="Calibri" w:cs="Calibri"/>
          <w:color w:val="000000"/>
          <w:kern w:val="0"/>
          <w:sz w:val="18"/>
          <w:szCs w:val="18"/>
          <w:lang w:val="es-ES" w:eastAsia="es-ES" w:bidi="es-ES"/>
          <w14:ligatures w14:val="none"/>
        </w:rPr>
      </w:pPr>
    </w:p>
    <w:p w14:paraId="0A416D78" w14:textId="77777777" w:rsidR="00945F2B" w:rsidRPr="00945F2B" w:rsidRDefault="00945F2B" w:rsidP="00945F2B">
      <w:pPr>
        <w:spacing w:after="0" w:line="259" w:lineRule="auto"/>
        <w:ind w:left="360"/>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0F9B720D" w14:textId="77777777" w:rsidR="00945F2B" w:rsidRPr="00A23672" w:rsidRDefault="00945F2B" w:rsidP="00945F2B">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lastRenderedPageBreak/>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59732806" w14:textId="77777777" w:rsidR="00945F2B" w:rsidRPr="00493B09" w:rsidRDefault="00945F2B" w:rsidP="00945F2B">
      <w:pPr>
        <w:shd w:val="clear" w:color="auto" w:fill="FFFFFF"/>
        <w:spacing w:after="0" w:line="240" w:lineRule="auto"/>
        <w:rPr>
          <w:rFonts w:ascii="Calibri" w:eastAsia="Times New Roman" w:hAnsi="Calibri" w:cs="Calibri"/>
          <w:color w:val="201F1E"/>
          <w:kern w:val="0"/>
          <w:sz w:val="23"/>
          <w:szCs w:val="23"/>
          <w:lang w:val="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w:t>
      </w:r>
    </w:p>
    <w:p w14:paraId="38B29A13" w14:textId="77777777" w:rsidR="00945F2B" w:rsidRPr="00945F2B" w:rsidRDefault="00945F2B" w:rsidP="00945F2B">
      <w:pPr>
        <w:shd w:val="clear" w:color="auto" w:fill="FFFFFF"/>
        <w:spacing w:after="24" w:line="254" w:lineRule="auto"/>
        <w:ind w:left="730" w:right="38" w:hanging="10"/>
        <w:jc w:val="both"/>
        <w:textAlignment w:val="top"/>
        <w:rPr>
          <w:rFonts w:ascii="Calibri" w:eastAsia="Times New Roman" w:hAnsi="Calibri" w:cs="Arial"/>
          <w:color w:val="000000"/>
          <w:kern w:val="0"/>
          <w:sz w:val="20"/>
          <w:szCs w:val="20"/>
          <w:lang w:val="es-ES" w:eastAsia="es-ES" w:bidi="es-ES"/>
          <w14:ligatures w14:val="none"/>
        </w:rPr>
      </w:pPr>
    </w:p>
    <w:p w14:paraId="36CD8CC4"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p>
    <w:p w14:paraId="069E0815" w14:textId="77777777" w:rsidR="00945F2B" w:rsidRPr="00945F2B" w:rsidRDefault="00945F2B" w:rsidP="00945F2B">
      <w:pPr>
        <w:spacing w:after="0" w:line="259" w:lineRule="auto"/>
        <w:ind w:left="360"/>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p>
    <w:p w14:paraId="77A8CF0A" w14:textId="77777777" w:rsidR="00945F2B" w:rsidRPr="00945F2B" w:rsidRDefault="00945F2B" w:rsidP="00945F2B">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es-ES" w:eastAsia="es-ES" w:bidi="es-ES"/>
          <w14:ligatures w14:val="none"/>
        </w:rPr>
      </w:pPr>
    </w:p>
    <w:p w14:paraId="221BA26E" w14:textId="77777777" w:rsidR="00945F2B" w:rsidRPr="00945F2B" w:rsidRDefault="00945F2B" w:rsidP="00945F2B">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w:t>
      </w:r>
    </w:p>
    <w:p w14:paraId="193309BD" w14:textId="77777777" w:rsidR="00945F2B" w:rsidRPr="00945F2B" w:rsidRDefault="00945F2B" w:rsidP="00945F2B">
      <w:pPr>
        <w:spacing w:after="0" w:line="259" w:lineRule="auto"/>
        <w:rPr>
          <w:rFonts w:ascii="Calibri" w:eastAsia="Calibri" w:hAnsi="Calibri" w:cs="Calibri"/>
          <w:color w:val="000000"/>
          <w:kern w:val="0"/>
          <w:sz w:val="20"/>
          <w:szCs w:val="20"/>
          <w:lang w:val="es-ES" w:eastAsia="es-ES" w:bidi="es-ES"/>
          <w14:ligatures w14:val="none"/>
        </w:rPr>
      </w:pPr>
      <w:r w:rsidRPr="00945F2B">
        <w:rPr>
          <w:rFonts w:ascii="Calibri" w:eastAsia="Calibri" w:hAnsi="Calibri" w:cs="Calibri"/>
          <w:color w:val="000000"/>
          <w:kern w:val="0"/>
          <w:sz w:val="20"/>
          <w:szCs w:val="22"/>
          <w:lang w:val="es-ES" w:eastAsia="es-ES" w:bidi="es-ES"/>
          <w14:ligatures w14:val="none"/>
        </w:rPr>
        <w:t xml:space="preserve">  </w:t>
      </w:r>
    </w:p>
    <w:p w14:paraId="56095ED7" w14:textId="77777777" w:rsidR="00945F2B" w:rsidRPr="00945F2B" w:rsidRDefault="00945F2B" w:rsidP="00945F2B">
      <w:pPr>
        <w:spacing w:after="0" w:line="259" w:lineRule="auto"/>
        <w:rPr>
          <w:rFonts w:ascii="Calibri" w:eastAsia="Calibri" w:hAnsi="Calibri" w:cs="Calibri"/>
          <w:color w:val="000000"/>
          <w:kern w:val="0"/>
          <w:sz w:val="22"/>
          <w:szCs w:val="22"/>
          <w:lang w:val="es-ES" w:eastAsia="es-ES" w:bidi="es-ES"/>
          <w14:ligatures w14:val="none"/>
        </w:rPr>
      </w:pPr>
      <w:r w:rsidRPr="00945F2B">
        <w:rPr>
          <w:rFonts w:ascii="Calibri" w:eastAsia="Calibri" w:hAnsi="Calibri" w:cs="Calibri"/>
          <w:color w:val="000000"/>
          <w:kern w:val="0"/>
          <w:sz w:val="22"/>
          <w:szCs w:val="22"/>
          <w:lang w:val="es-ES" w:eastAsia="es-ES" w:bidi="es-ES"/>
          <w14:ligatures w14:val="none"/>
        </w:rPr>
        <w:t xml:space="preserve">   </w:t>
      </w:r>
      <w:r w:rsidRPr="00945F2B">
        <w:rPr>
          <w:rFonts w:ascii="Calibri" w:eastAsia="Calibri" w:hAnsi="Calibri" w:cs="Calibri"/>
          <w:color w:val="000000"/>
          <w:kern w:val="0"/>
          <w:sz w:val="22"/>
          <w:szCs w:val="22"/>
          <w:lang w:val="es-ES" w:eastAsia="es-ES" w:bidi="es-ES"/>
          <w14:ligatures w14:val="none"/>
        </w:rPr>
        <w:tab/>
        <w:t xml:space="preserve">  </w:t>
      </w:r>
    </w:p>
    <w:p w14:paraId="1FE37650" w14:textId="77777777" w:rsidR="00DA504D" w:rsidRDefault="00DA504D"/>
    <w:sectPr w:rsidR="00DA504D" w:rsidSect="00945F2B">
      <w:headerReference w:type="default" r:id="rId9"/>
      <w:footerReference w:type="even" r:id="rId10"/>
      <w:footerReference w:type="default" r:id="rId11"/>
      <w:footerReference w:type="first" r:id="rId12"/>
      <w:pgSz w:w="12240" w:h="15840"/>
      <w:pgMar w:top="1427" w:right="1390" w:bottom="1692" w:left="1080"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AEB4" w14:textId="77777777" w:rsidR="00BF788B" w:rsidRDefault="00BF788B" w:rsidP="00945F2B">
      <w:pPr>
        <w:spacing w:after="0" w:line="240" w:lineRule="auto"/>
      </w:pPr>
      <w:r>
        <w:separator/>
      </w:r>
    </w:p>
  </w:endnote>
  <w:endnote w:type="continuationSeparator" w:id="0">
    <w:p w14:paraId="73EBBF52" w14:textId="77777777" w:rsidR="00BF788B" w:rsidRDefault="00BF788B" w:rsidP="0094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A257" w14:textId="77777777" w:rsidR="00945F2B" w:rsidRDefault="00945F2B">
    <w:pPr>
      <w:spacing w:after="0" w:line="259" w:lineRule="auto"/>
      <w:ind w:left="314"/>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6BD7BDAB" w14:textId="77777777" w:rsidR="00945F2B" w:rsidRDefault="00945F2B">
    <w:pPr>
      <w:spacing w:after="0" w:line="259" w:lineRule="auto"/>
      <w:ind w:lef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B321" w14:textId="76FA7ECE" w:rsidR="00945F2B" w:rsidRPr="00F51058" w:rsidRDefault="00945F2B" w:rsidP="00945F2B">
    <w:pPr>
      <w:rPr>
        <w:rFonts w:ascii="Calibri" w:hAnsi="Calibri" w:cs="Calibri"/>
        <w:sz w:val="22"/>
        <w:szCs w:val="22"/>
      </w:rPr>
    </w:pPr>
    <w:r w:rsidRPr="00F51058">
      <w:rPr>
        <w:rFonts w:ascii="Calibri" w:hAnsi="Calibri" w:cs="Calibri"/>
        <w:sz w:val="22"/>
        <w:szCs w:val="22"/>
      </w:rPr>
      <w:t xml:space="preserve">Página </w:t>
    </w:r>
    <w:r w:rsidRPr="00F51058">
      <w:rPr>
        <w:rFonts w:ascii="Calibri" w:hAnsi="Calibri" w:cs="Calibri"/>
        <w:sz w:val="22"/>
        <w:szCs w:val="22"/>
      </w:rPr>
      <w:fldChar w:fldCharType="begin"/>
    </w:r>
    <w:r w:rsidRPr="00F51058">
      <w:rPr>
        <w:rFonts w:ascii="Calibri" w:hAnsi="Calibri" w:cs="Calibri"/>
        <w:sz w:val="22"/>
        <w:szCs w:val="22"/>
      </w:rPr>
      <w:instrText xml:space="preserve"> PAGE  \* Arabic  \* MERGEFORMAT </w:instrText>
    </w:r>
    <w:r w:rsidRPr="00F51058">
      <w:rPr>
        <w:rFonts w:ascii="Calibri" w:hAnsi="Calibri" w:cs="Calibri"/>
        <w:sz w:val="22"/>
        <w:szCs w:val="22"/>
      </w:rPr>
      <w:fldChar w:fldCharType="separate"/>
    </w:r>
    <w:r w:rsidRPr="00F51058">
      <w:rPr>
        <w:rFonts w:ascii="Calibri" w:hAnsi="Calibri" w:cs="Calibri"/>
        <w:sz w:val="22"/>
        <w:szCs w:val="22"/>
      </w:rPr>
      <w:t>1</w:t>
    </w:r>
    <w:r w:rsidRPr="00F51058">
      <w:rPr>
        <w:rFonts w:ascii="Calibri" w:hAnsi="Calibri" w:cs="Calibri"/>
        <w:sz w:val="22"/>
        <w:szCs w:val="22"/>
      </w:rPr>
      <w:fldChar w:fldCharType="end"/>
    </w:r>
    <w:r w:rsidRPr="00F51058">
      <w:rPr>
        <w:rFonts w:ascii="Calibri" w:hAnsi="Calibri" w:cs="Calibri"/>
        <w:sz w:val="22"/>
        <w:szCs w:val="22"/>
      </w:rPr>
      <w:t xml:space="preserve"> de </w:t>
    </w:r>
    <w:r w:rsidRPr="00F51058">
      <w:rPr>
        <w:rFonts w:ascii="Calibri" w:hAnsi="Calibri" w:cs="Calibri"/>
        <w:sz w:val="22"/>
        <w:szCs w:val="22"/>
      </w:rPr>
      <w:fldChar w:fldCharType="begin"/>
    </w:r>
    <w:r w:rsidRPr="00F51058">
      <w:rPr>
        <w:rFonts w:ascii="Calibri" w:hAnsi="Calibri" w:cs="Calibri"/>
        <w:sz w:val="22"/>
        <w:szCs w:val="22"/>
      </w:rPr>
      <w:instrText xml:space="preserve"> NUMPAGES  \* Arabic  \* MERGEFORMAT </w:instrText>
    </w:r>
    <w:r w:rsidRPr="00F51058">
      <w:rPr>
        <w:rFonts w:ascii="Calibri" w:hAnsi="Calibri" w:cs="Calibri"/>
        <w:sz w:val="22"/>
        <w:szCs w:val="22"/>
      </w:rPr>
      <w:fldChar w:fldCharType="separate"/>
    </w:r>
    <w:r w:rsidRPr="00F51058">
      <w:rPr>
        <w:rFonts w:ascii="Calibri" w:hAnsi="Calibri" w:cs="Calibri"/>
        <w:sz w:val="22"/>
        <w:szCs w:val="22"/>
      </w:rPr>
      <w:t>9</w:t>
    </w:r>
    <w:r w:rsidRPr="00F51058">
      <w:rPr>
        <w:rFonts w:ascii="Calibri" w:hAnsi="Calibri" w:cs="Calibri"/>
        <w:sz w:val="22"/>
        <w:szCs w:val="22"/>
      </w:rPr>
      <w:fldChar w:fldCharType="end"/>
    </w:r>
    <w:r w:rsidRPr="00F51058">
      <w:rPr>
        <w:rFonts w:ascii="Calibri" w:hAnsi="Calibri" w:cs="Calibri"/>
        <w:sz w:val="22"/>
        <w:szCs w:val="22"/>
      </w:rPr>
      <w:ptab w:relativeTo="margin" w:alignment="center" w:leader="none"/>
    </w:r>
    <w:proofErr w:type="spellStart"/>
    <w:r w:rsidRPr="00F51058">
      <w:rPr>
        <w:rFonts w:ascii="Calibri" w:hAnsi="Calibri" w:cs="Calibri"/>
        <w:sz w:val="22"/>
        <w:szCs w:val="22"/>
      </w:rPr>
      <w:t>Fecha</w:t>
    </w:r>
    <w:proofErr w:type="spellEnd"/>
    <w:r w:rsidRPr="00F51058">
      <w:rPr>
        <w:rFonts w:ascii="Calibri" w:hAnsi="Calibri" w:cs="Calibri"/>
        <w:sz w:val="22"/>
        <w:szCs w:val="22"/>
      </w:rPr>
      <w:t xml:space="preserve"> de entrada </w:t>
    </w:r>
    <w:proofErr w:type="spellStart"/>
    <w:r w:rsidRPr="00F51058">
      <w:rPr>
        <w:rFonts w:ascii="Calibri" w:hAnsi="Calibri" w:cs="Calibri"/>
        <w:sz w:val="22"/>
        <w:szCs w:val="22"/>
      </w:rPr>
      <w:t>en</w:t>
    </w:r>
    <w:proofErr w:type="spellEnd"/>
    <w:r w:rsidRPr="00F51058">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5807271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6C46C37-79EE-4343-BE20-CFC7ABD0BB5F}"/>
        <w:date w:fullDate="2016-07-25T00:00:00Z">
          <w:dateFormat w:val="dd/MM/yyyy"/>
          <w:lid w:val="en-US"/>
          <w:storeMappedDataAs w:val="dateTime"/>
          <w:calendar w:val="gregorian"/>
        </w:date>
      </w:sdtPr>
      <w:sdtContent>
        <w:r w:rsidRPr="00F51058">
          <w:rPr>
            <w:rFonts w:ascii="Calibri" w:hAnsi="Calibri" w:cs="Calibri"/>
            <w:sz w:val="22"/>
            <w:szCs w:val="22"/>
          </w:rPr>
          <w:t>2</w:t>
        </w:r>
        <w:r w:rsidR="00F51058">
          <w:rPr>
            <w:rFonts w:ascii="Calibri" w:hAnsi="Calibri" w:cs="Calibri"/>
            <w:sz w:val="22"/>
            <w:szCs w:val="22"/>
          </w:rPr>
          <w:t>5</w:t>
        </w:r>
        <w:r w:rsidRPr="00F51058">
          <w:rPr>
            <w:rFonts w:ascii="Calibri" w:hAnsi="Calibri" w:cs="Calibri"/>
            <w:sz w:val="22"/>
            <w:szCs w:val="22"/>
          </w:rPr>
          <w:t>/07/2016</w:t>
        </w:r>
      </w:sdtContent>
    </w:sdt>
    <w:r w:rsidRPr="00F51058">
      <w:rPr>
        <w:rFonts w:ascii="Calibri" w:hAnsi="Calibri" w:cs="Calibri"/>
        <w:sz w:val="22"/>
        <w:szCs w:val="22"/>
      </w:rPr>
      <w:ptab w:relativeTo="margin" w:alignment="right" w:leader="none"/>
    </w:r>
    <w:proofErr w:type="spellStart"/>
    <w:r w:rsidRPr="00F51058">
      <w:rPr>
        <w:rFonts w:ascii="Calibri" w:hAnsi="Calibri" w:cs="Calibri"/>
        <w:sz w:val="22"/>
        <w:szCs w:val="22"/>
      </w:rPr>
      <w:t>Versión</w:t>
    </w:r>
    <w:proofErr w:type="spellEnd"/>
    <w:r w:rsidRPr="00F51058">
      <w:rPr>
        <w:rFonts w:ascii="Calibri" w:hAnsi="Calibri" w:cs="Calibri"/>
        <w:sz w:val="22"/>
        <w:szCs w:val="22"/>
      </w:rPr>
      <w:t xml:space="preserve"> #: </w:t>
    </w:r>
    <w:sdt>
      <w:sdtPr>
        <w:rPr>
          <w:rFonts w:ascii="Calibri" w:hAnsi="Calibri" w:cs="Calibri"/>
          <w:sz w:val="22"/>
          <w:szCs w:val="22"/>
        </w:rPr>
        <w:alias w:val="POPPRefItemVersion"/>
        <w:tag w:val="UNDP_POPP_REFITEM_VERSION"/>
        <w:id w:val="-210625051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C46C37-79EE-4343-BE20-CFC7ABD0BB5F}"/>
        <w:text/>
      </w:sdtPr>
      <w:sdtContent>
        <w:r w:rsidRPr="00F51058">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4036" w14:textId="77777777" w:rsidR="00945F2B" w:rsidRDefault="00945F2B">
    <w:pPr>
      <w:spacing w:after="0" w:line="259" w:lineRule="auto"/>
      <w:ind w:left="314"/>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6AAE2F6E" w14:textId="77777777" w:rsidR="00945F2B" w:rsidRDefault="00945F2B">
    <w:pPr>
      <w:spacing w:after="0" w:line="259" w:lineRule="auto"/>
      <w:ind w:lef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5271" w14:textId="77777777" w:rsidR="00BF788B" w:rsidRDefault="00BF788B" w:rsidP="00945F2B">
      <w:pPr>
        <w:spacing w:after="0" w:line="240" w:lineRule="auto"/>
      </w:pPr>
      <w:r>
        <w:separator/>
      </w:r>
    </w:p>
  </w:footnote>
  <w:footnote w:type="continuationSeparator" w:id="0">
    <w:p w14:paraId="3FCE0DBE" w14:textId="77777777" w:rsidR="00BF788B" w:rsidRDefault="00BF788B" w:rsidP="00945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709D" w14:textId="75E66AD5" w:rsidR="00945F2B" w:rsidRDefault="00945F2B" w:rsidP="00810EDB">
    <w:pPr>
      <w:pStyle w:val="Header"/>
      <w:jc w:val="right"/>
    </w:pPr>
    <w:r>
      <w:rPr>
        <w:noProof/>
      </w:rPr>
      <w:drawing>
        <wp:inline distT="0" distB="0" distL="0" distR="0" wp14:anchorId="239D651E" wp14:editId="683CED90">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842FD52" w14:textId="77777777" w:rsidR="00945F2B" w:rsidRDefault="00945F2B" w:rsidP="00810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3C34"/>
    <w:multiLevelType w:val="hybridMultilevel"/>
    <w:tmpl w:val="BF86FC68"/>
    <w:lvl w:ilvl="0" w:tplc="BB264722">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7CFDD4">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C4940E">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A84018">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60C5F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CA6DB6">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92F436">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6CDD7E">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CCFFA4">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591B96"/>
    <w:multiLevelType w:val="hybridMultilevel"/>
    <w:tmpl w:val="FAF04F90"/>
    <w:lvl w:ilvl="0" w:tplc="BF12AE28">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A67E4A">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BE65E4">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BA02D2">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32D4F4">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5837A0">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A6E4FC">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DE2C58">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C2B2EC">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8132E1"/>
    <w:multiLevelType w:val="hybridMultilevel"/>
    <w:tmpl w:val="F1AE557C"/>
    <w:lvl w:ilvl="0" w:tplc="F96EBC36">
      <w:start w:val="10"/>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C3675"/>
    <w:multiLevelType w:val="hybridMultilevel"/>
    <w:tmpl w:val="D876B634"/>
    <w:lvl w:ilvl="0" w:tplc="60B46ADE">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464F40">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2A30BE">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BE2DE0">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D4782E">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7AEAA6">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668364">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266F5E">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F6CB4E">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7A4A54"/>
    <w:multiLevelType w:val="hybridMultilevel"/>
    <w:tmpl w:val="8D3E1B86"/>
    <w:lvl w:ilvl="0" w:tplc="7E447068">
      <w:start w:val="1"/>
      <w:numFmt w:val="decimal"/>
      <w:lvlText w:val="%1."/>
      <w:lvlJc w:val="left"/>
      <w:pPr>
        <w:ind w:left="691"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98B0098C">
      <w:start w:val="1"/>
      <w:numFmt w:val="lowerLetter"/>
      <w:lvlText w:val="%2"/>
      <w:lvlJc w:val="left"/>
      <w:pPr>
        <w:ind w:left="2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C0AE96">
      <w:start w:val="1"/>
      <w:numFmt w:val="lowerRoman"/>
      <w:lvlText w:val="%3"/>
      <w:lvlJc w:val="left"/>
      <w:pPr>
        <w:ind w:left="3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E8339E">
      <w:start w:val="1"/>
      <w:numFmt w:val="decimal"/>
      <w:lvlText w:val="%4"/>
      <w:lvlJc w:val="left"/>
      <w:pPr>
        <w:ind w:left="4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823040">
      <w:start w:val="1"/>
      <w:numFmt w:val="lowerLetter"/>
      <w:lvlText w:val="%5"/>
      <w:lvlJc w:val="left"/>
      <w:pPr>
        <w:ind w:left="4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7AAFFE">
      <w:start w:val="1"/>
      <w:numFmt w:val="lowerRoman"/>
      <w:lvlText w:val="%6"/>
      <w:lvlJc w:val="left"/>
      <w:pPr>
        <w:ind w:left="5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6C0936">
      <w:start w:val="1"/>
      <w:numFmt w:val="decimal"/>
      <w:lvlText w:val="%7"/>
      <w:lvlJc w:val="left"/>
      <w:pPr>
        <w:ind w:left="6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60D6A6">
      <w:start w:val="1"/>
      <w:numFmt w:val="lowerLetter"/>
      <w:lvlText w:val="%8"/>
      <w:lvlJc w:val="left"/>
      <w:pPr>
        <w:ind w:left="7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5C6F1C">
      <w:start w:val="1"/>
      <w:numFmt w:val="lowerRoman"/>
      <w:lvlText w:val="%9"/>
      <w:lvlJc w:val="left"/>
      <w:pPr>
        <w:ind w:left="7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77950E6"/>
    <w:multiLevelType w:val="multilevel"/>
    <w:tmpl w:val="771862D6"/>
    <w:lvl w:ilvl="0">
      <w:start w:val="16"/>
      <w:numFmt w:val="decimal"/>
      <w:lvlText w:val="%1."/>
      <w:lvlJc w:val="left"/>
      <w:pPr>
        <w:ind w:left="701" w:hanging="360"/>
      </w:pPr>
      <w:rPr>
        <w:rFonts w:hint="default"/>
      </w:rPr>
    </w:lvl>
    <w:lvl w:ilvl="1">
      <w:start w:val="1"/>
      <w:numFmt w:val="lowerLetter"/>
      <w:lvlText w:val="%2."/>
      <w:lvlJc w:val="left"/>
      <w:pPr>
        <w:ind w:left="1392" w:hanging="360"/>
      </w:pPr>
      <w:rPr>
        <w:rFonts w:hint="default"/>
      </w:rPr>
    </w:lvl>
    <w:lvl w:ilvl="2">
      <w:start w:val="1"/>
      <w:numFmt w:val="lowerRoman"/>
      <w:lvlText w:val="%3."/>
      <w:lvlJc w:val="right"/>
      <w:pPr>
        <w:ind w:left="1781" w:hanging="180"/>
      </w:pPr>
      <w:rPr>
        <w:rFonts w:hint="default"/>
      </w:rPr>
    </w:lvl>
    <w:lvl w:ilvl="3">
      <w:start w:val="1"/>
      <w:numFmt w:val="decimal"/>
      <w:lvlText w:val="%4."/>
      <w:lvlJc w:val="left"/>
      <w:pPr>
        <w:ind w:left="2501" w:hanging="360"/>
      </w:pPr>
      <w:rPr>
        <w:rFonts w:hint="default"/>
      </w:rPr>
    </w:lvl>
    <w:lvl w:ilvl="4">
      <w:start w:val="1"/>
      <w:numFmt w:val="lowerLetter"/>
      <w:lvlText w:val="%5."/>
      <w:lvlJc w:val="left"/>
      <w:pPr>
        <w:ind w:left="3221" w:hanging="360"/>
      </w:pPr>
      <w:rPr>
        <w:rFonts w:hint="default"/>
      </w:rPr>
    </w:lvl>
    <w:lvl w:ilvl="5">
      <w:start w:val="1"/>
      <w:numFmt w:val="lowerRoman"/>
      <w:lvlText w:val="%6."/>
      <w:lvlJc w:val="right"/>
      <w:pPr>
        <w:ind w:left="3941" w:hanging="180"/>
      </w:pPr>
      <w:rPr>
        <w:rFonts w:hint="default"/>
      </w:rPr>
    </w:lvl>
    <w:lvl w:ilvl="6">
      <w:start w:val="1"/>
      <w:numFmt w:val="decimal"/>
      <w:lvlText w:val="%7."/>
      <w:lvlJc w:val="left"/>
      <w:pPr>
        <w:ind w:left="4661" w:hanging="360"/>
      </w:pPr>
      <w:rPr>
        <w:rFonts w:hint="default"/>
      </w:rPr>
    </w:lvl>
    <w:lvl w:ilvl="7">
      <w:start w:val="1"/>
      <w:numFmt w:val="lowerLetter"/>
      <w:lvlText w:val="%8."/>
      <w:lvlJc w:val="left"/>
      <w:pPr>
        <w:ind w:left="5381" w:hanging="360"/>
      </w:pPr>
      <w:rPr>
        <w:rFonts w:hint="default"/>
      </w:rPr>
    </w:lvl>
    <w:lvl w:ilvl="8">
      <w:start w:val="1"/>
      <w:numFmt w:val="lowerRoman"/>
      <w:lvlText w:val="%9."/>
      <w:lvlJc w:val="right"/>
      <w:pPr>
        <w:ind w:left="6101" w:hanging="180"/>
      </w:pPr>
      <w:rPr>
        <w:rFonts w:hint="default"/>
      </w:rPr>
    </w:lvl>
  </w:abstractNum>
  <w:abstractNum w:abstractNumId="6" w15:restartNumberingAfterBreak="0">
    <w:nsid w:val="479D029C"/>
    <w:multiLevelType w:val="hybridMultilevel"/>
    <w:tmpl w:val="AEBCEDEC"/>
    <w:lvl w:ilvl="0" w:tplc="FFFFFFFF">
      <w:start w:val="1"/>
      <w:numFmt w:val="lowerLetter"/>
      <w:lvlText w:val="%1)"/>
      <w:lvlJc w:val="left"/>
      <w:pPr>
        <w:ind w:left="1771"/>
      </w:pPr>
      <w:rPr>
        <w:b w:val="0"/>
        <w:i w:val="0"/>
        <w:strike w:val="0"/>
        <w:dstrike w:val="0"/>
        <w:color w:val="000000"/>
        <w:sz w:val="22"/>
        <w:szCs w:val="22"/>
        <w:u w:val="none" w:color="000000"/>
        <w:bdr w:val="none" w:sz="0" w:space="0" w:color="auto"/>
        <w:shd w:val="clear" w:color="auto" w:fill="auto"/>
        <w:vertAlign w:val="baseline"/>
      </w:rPr>
    </w:lvl>
    <w:lvl w:ilvl="1" w:tplc="5860BCD6">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D02774">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12E562">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26F836">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50BF80">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AEE95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44DE1C">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1E4AE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DD4401"/>
    <w:multiLevelType w:val="hybridMultilevel"/>
    <w:tmpl w:val="255CC538"/>
    <w:lvl w:ilvl="0" w:tplc="85A20CC4">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D84CCE">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985C8E">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F43154">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A42508">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A6BE86">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5A1DF4">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AE4760">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FCB012">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FC602C6"/>
    <w:multiLevelType w:val="hybridMultilevel"/>
    <w:tmpl w:val="347830FC"/>
    <w:lvl w:ilvl="0" w:tplc="9E84D61C">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62FFC8">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78C078">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C4159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BE87B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3E2ECC">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0211F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48DAA6">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6E5D3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8A25DA6"/>
    <w:multiLevelType w:val="hybridMultilevel"/>
    <w:tmpl w:val="FE3043EA"/>
    <w:lvl w:ilvl="0" w:tplc="B628A81C">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32EB3C">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76667C">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30B5A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CA7FE0">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469372">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CE0A0C">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FE329A">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B8CDDA">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EC2682D"/>
    <w:multiLevelType w:val="hybridMultilevel"/>
    <w:tmpl w:val="BE707342"/>
    <w:lvl w:ilvl="0" w:tplc="42F41DBE">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C4FDD0">
      <w:start w:val="1"/>
      <w:numFmt w:val="lowerLetter"/>
      <w:lvlText w:val="%2)"/>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E4EFB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B4271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452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D0AF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5A1E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C060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AC6F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27C6140"/>
    <w:multiLevelType w:val="hybridMultilevel"/>
    <w:tmpl w:val="2BB2D80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1970AC"/>
    <w:multiLevelType w:val="hybridMultilevel"/>
    <w:tmpl w:val="66F8B5B6"/>
    <w:lvl w:ilvl="0" w:tplc="A7027862">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E2AC74">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4ED50C">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1A45C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F8959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F4EE10">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04F35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848F6">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00F24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33899397">
    <w:abstractNumId w:val="5"/>
  </w:num>
  <w:num w:numId="2" w16cid:durableId="2118479376">
    <w:abstractNumId w:val="4"/>
  </w:num>
  <w:num w:numId="3" w16cid:durableId="2049181265">
    <w:abstractNumId w:val="10"/>
  </w:num>
  <w:num w:numId="4" w16cid:durableId="2054117137">
    <w:abstractNumId w:val="9"/>
  </w:num>
  <w:num w:numId="5" w16cid:durableId="2107456191">
    <w:abstractNumId w:val="8"/>
  </w:num>
  <w:num w:numId="6" w16cid:durableId="707799986">
    <w:abstractNumId w:val="6"/>
  </w:num>
  <w:num w:numId="7" w16cid:durableId="1209994471">
    <w:abstractNumId w:val="0"/>
  </w:num>
  <w:num w:numId="8" w16cid:durableId="95251184">
    <w:abstractNumId w:val="12"/>
  </w:num>
  <w:num w:numId="9" w16cid:durableId="1796407675">
    <w:abstractNumId w:val="1"/>
  </w:num>
  <w:num w:numId="10" w16cid:durableId="1170872741">
    <w:abstractNumId w:val="7"/>
  </w:num>
  <w:num w:numId="11" w16cid:durableId="657265708">
    <w:abstractNumId w:val="3"/>
  </w:num>
  <w:num w:numId="12" w16cid:durableId="719131034">
    <w:abstractNumId w:val="11"/>
  </w:num>
  <w:num w:numId="13" w16cid:durableId="1223296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2B"/>
    <w:rsid w:val="00575D1D"/>
    <w:rsid w:val="00945F2B"/>
    <w:rsid w:val="00BF788B"/>
    <w:rsid w:val="00C61B9D"/>
    <w:rsid w:val="00C8263F"/>
    <w:rsid w:val="00D30CC0"/>
    <w:rsid w:val="00DA504D"/>
    <w:rsid w:val="00EA11FB"/>
    <w:rsid w:val="00F5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85E11"/>
  <w15:chartTrackingRefBased/>
  <w15:docId w15:val="{00A63B6A-1D18-419A-8474-393076E3A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5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5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5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5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5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F2B"/>
    <w:rPr>
      <w:rFonts w:eastAsiaTheme="majorEastAsia" w:cstheme="majorBidi"/>
      <w:color w:val="272727" w:themeColor="text1" w:themeTint="D8"/>
    </w:rPr>
  </w:style>
  <w:style w:type="paragraph" w:styleId="Title">
    <w:name w:val="Title"/>
    <w:basedOn w:val="Normal"/>
    <w:next w:val="Normal"/>
    <w:link w:val="TitleChar"/>
    <w:uiPriority w:val="10"/>
    <w:qFormat/>
    <w:rsid w:val="00945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F2B"/>
    <w:pPr>
      <w:spacing w:before="160"/>
      <w:jc w:val="center"/>
    </w:pPr>
    <w:rPr>
      <w:i/>
      <w:iCs/>
      <w:color w:val="404040" w:themeColor="text1" w:themeTint="BF"/>
    </w:rPr>
  </w:style>
  <w:style w:type="character" w:customStyle="1" w:styleId="QuoteChar">
    <w:name w:val="Quote Char"/>
    <w:basedOn w:val="DefaultParagraphFont"/>
    <w:link w:val="Quote"/>
    <w:uiPriority w:val="29"/>
    <w:rsid w:val="00945F2B"/>
    <w:rPr>
      <w:i/>
      <w:iCs/>
      <w:color w:val="404040" w:themeColor="text1" w:themeTint="BF"/>
    </w:rPr>
  </w:style>
  <w:style w:type="paragraph" w:styleId="ListParagraph">
    <w:name w:val="List Paragraph"/>
    <w:basedOn w:val="Normal"/>
    <w:uiPriority w:val="34"/>
    <w:qFormat/>
    <w:rsid w:val="00945F2B"/>
    <w:pPr>
      <w:ind w:left="720"/>
      <w:contextualSpacing/>
    </w:pPr>
  </w:style>
  <w:style w:type="character" w:styleId="IntenseEmphasis">
    <w:name w:val="Intense Emphasis"/>
    <w:basedOn w:val="DefaultParagraphFont"/>
    <w:uiPriority w:val="21"/>
    <w:qFormat/>
    <w:rsid w:val="00945F2B"/>
    <w:rPr>
      <w:i/>
      <w:iCs/>
      <w:color w:val="0F4761" w:themeColor="accent1" w:themeShade="BF"/>
    </w:rPr>
  </w:style>
  <w:style w:type="paragraph" w:styleId="IntenseQuote">
    <w:name w:val="Intense Quote"/>
    <w:basedOn w:val="Normal"/>
    <w:next w:val="Normal"/>
    <w:link w:val="IntenseQuoteChar"/>
    <w:uiPriority w:val="30"/>
    <w:qFormat/>
    <w:rsid w:val="00945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F2B"/>
    <w:rPr>
      <w:i/>
      <w:iCs/>
      <w:color w:val="0F4761" w:themeColor="accent1" w:themeShade="BF"/>
    </w:rPr>
  </w:style>
  <w:style w:type="character" w:styleId="IntenseReference">
    <w:name w:val="Intense Reference"/>
    <w:basedOn w:val="DefaultParagraphFont"/>
    <w:uiPriority w:val="32"/>
    <w:qFormat/>
    <w:rsid w:val="00945F2B"/>
    <w:rPr>
      <w:b/>
      <w:bCs/>
      <w:smallCaps/>
      <w:color w:val="0F4761" w:themeColor="accent1" w:themeShade="BF"/>
      <w:spacing w:val="5"/>
    </w:rPr>
  </w:style>
  <w:style w:type="paragraph" w:styleId="Header">
    <w:name w:val="header"/>
    <w:basedOn w:val="Normal"/>
    <w:link w:val="HeaderChar"/>
    <w:uiPriority w:val="99"/>
    <w:unhideWhenUsed/>
    <w:rsid w:val="00945F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F2B"/>
  </w:style>
  <w:style w:type="paragraph" w:styleId="Revision">
    <w:name w:val="Revision"/>
    <w:hidden/>
    <w:uiPriority w:val="99"/>
    <w:semiHidden/>
    <w:rsid w:val="00945F2B"/>
    <w:pPr>
      <w:spacing w:after="0" w:line="240" w:lineRule="auto"/>
    </w:pPr>
  </w:style>
  <w:style w:type="paragraph" w:styleId="NoSpacing">
    <w:name w:val="No Spacing"/>
    <w:uiPriority w:val="1"/>
    <w:qFormat/>
    <w:rsid w:val="00945F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custhelp.com/app/main/servi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3736"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2624</Words>
  <Characters>14963</Characters>
  <Application>Microsoft Office Word</Application>
  <DocSecurity>0</DocSecurity>
  <Lines>124</Lines>
  <Paragraphs>35</Paragraphs>
  <ScaleCrop>false</ScaleCrop>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2026-04-29T10:06:00Z</dcterms:created>
  <dcterms:modified xsi:type="dcterms:W3CDTF">2026-04-29T10:16:00Z</dcterms:modified>
</cp:coreProperties>
</file>