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356F"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r w:rsidRPr="00631F01">
        <w:rPr>
          <w:rFonts w:ascii="Calibri" w:eastAsia="Calibri" w:hAnsi="Calibri" w:cs="Calibri"/>
          <w:b/>
          <w:color w:val="000000"/>
          <w:kern w:val="0"/>
          <w:sz w:val="28"/>
          <w:szCs w:val="22"/>
          <w:lang w:val="fr-FR"/>
          <w14:ligatures w14:val="none"/>
        </w:rPr>
        <w:t>Installations et propriétés : Liquidation et comptabilisation en pertes</w:t>
      </w:r>
    </w:p>
    <w:p w14:paraId="52F387AA"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63A86244" w14:textId="77777777" w:rsidR="00631F01" w:rsidRPr="00631F01" w:rsidRDefault="00631F01" w:rsidP="00631F01">
      <w:pPr>
        <w:keepNext/>
        <w:keepLines/>
        <w:spacing w:after="5" w:line="249" w:lineRule="auto"/>
        <w:ind w:left="-5" w:right="136" w:hanging="10"/>
        <w:outlineLvl w:val="0"/>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Recours à un conseiller juridique</w:t>
      </w:r>
    </w:p>
    <w:p w14:paraId="4DCEBEEB" w14:textId="77777777" w:rsidR="00631F01" w:rsidRPr="00631F01" w:rsidRDefault="00631F01" w:rsidP="00631F01">
      <w:pPr>
        <w:spacing w:after="20" w:line="259" w:lineRule="auto"/>
        <w:rPr>
          <w:rFonts w:ascii="Calibri" w:eastAsia="Calibri" w:hAnsi="Calibri" w:cs="Calibri"/>
          <w:color w:val="000000"/>
          <w:kern w:val="0"/>
          <w:sz w:val="22"/>
          <w:szCs w:val="22"/>
          <w:lang w:val="fr-FR"/>
          <w14:ligatures w14:val="none"/>
        </w:rPr>
      </w:pPr>
    </w:p>
    <w:p w14:paraId="0F7F0CA6" w14:textId="77777777" w:rsidR="00631F01" w:rsidRPr="00631F01" w:rsidRDefault="00631F01" w:rsidP="00631F01">
      <w:pPr>
        <w:numPr>
          <w:ilvl w:val="0"/>
          <w:numId w:val="2"/>
        </w:numPr>
        <w:spacing w:after="0" w:line="240" w:lineRule="auto"/>
        <w:ind w:right="3"/>
        <w:contextualSpacing/>
        <w:jc w:val="both"/>
        <w:rPr>
          <w:rFonts w:ascii="Calibri" w:eastAsia="Times New Roman" w:hAnsi="Calibri" w:cs="Times New Roman"/>
          <w:kern w:val="0"/>
          <w:sz w:val="22"/>
          <w:szCs w:val="22"/>
          <w:lang w:val="fr-FR" w:eastAsia="ja-JP"/>
          <w14:ligatures w14:val="none"/>
        </w:rPr>
      </w:pPr>
      <w:r w:rsidRPr="00631F01">
        <w:rPr>
          <w:rFonts w:ascii="Calibri" w:eastAsia="Times New Roman" w:hAnsi="Calibri" w:cs="Times New Roman"/>
          <w:kern w:val="0"/>
          <w:sz w:val="22"/>
          <w:szCs w:val="22"/>
          <w:lang w:val="fr-FR" w:eastAsia="ja-JP"/>
          <w14:ligatures w14:val="none"/>
        </w:rPr>
        <w:t>Étant donné les complexités juridiques liées au transfert des titres de propriété pour les installations, terrains et bâtiments, la première étape du traitement de la liquidation d’installations, de terrains ou de bâtiments consiste à engager les services d’un conseiller juridique en consultation avec le bureau juridique (LO) du Bureau des services de gestion (BMS) pour obtenir les conseils nécessaires dans le processus de liquidation.</w:t>
      </w:r>
    </w:p>
    <w:p w14:paraId="1814F687"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774251B0" w14:textId="77777777" w:rsidR="00631F01" w:rsidRPr="00631F01" w:rsidRDefault="00631F01" w:rsidP="00631F01">
      <w:pPr>
        <w:keepNext/>
        <w:keepLines/>
        <w:spacing w:after="5" w:line="249" w:lineRule="auto"/>
        <w:ind w:left="-5" w:right="136" w:hanging="10"/>
        <w:outlineLvl w:val="0"/>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Vente et méthode de liquidation</w:t>
      </w:r>
    </w:p>
    <w:p w14:paraId="4644B311" w14:textId="77777777" w:rsidR="00631F01" w:rsidRPr="00631F01" w:rsidRDefault="00631F01" w:rsidP="00631F01">
      <w:pPr>
        <w:spacing w:after="20" w:line="259" w:lineRule="auto"/>
        <w:rPr>
          <w:rFonts w:ascii="Calibri" w:eastAsia="Calibri" w:hAnsi="Calibri" w:cs="Calibri"/>
          <w:color w:val="000000"/>
          <w:kern w:val="0"/>
          <w:sz w:val="22"/>
          <w:szCs w:val="22"/>
          <w:lang w:val="fr-FR"/>
          <w14:ligatures w14:val="none"/>
        </w:rPr>
      </w:pPr>
    </w:p>
    <w:p w14:paraId="54965CD4" w14:textId="77777777" w:rsidR="00631F01" w:rsidRPr="00631F01" w:rsidRDefault="00631F01" w:rsidP="00631F01">
      <w:pPr>
        <w:numPr>
          <w:ilvl w:val="0"/>
          <w:numId w:val="2"/>
        </w:numPr>
        <w:spacing w:after="0" w:line="240" w:lineRule="auto"/>
        <w:ind w:right="3"/>
        <w:contextualSpacing/>
        <w:jc w:val="both"/>
        <w:rPr>
          <w:rFonts w:ascii="Calibri" w:eastAsia="Times New Roman" w:hAnsi="Calibri" w:cs="Times New Roman"/>
          <w:kern w:val="0"/>
          <w:sz w:val="22"/>
          <w:szCs w:val="22"/>
          <w:lang w:val="fr-FR" w:eastAsia="ja-JP"/>
          <w14:ligatures w14:val="none"/>
        </w:rPr>
      </w:pPr>
      <w:r w:rsidRPr="00631F01">
        <w:rPr>
          <w:rFonts w:ascii="Calibri" w:eastAsia="Times New Roman" w:hAnsi="Calibri" w:cs="Times New Roman"/>
          <w:kern w:val="0"/>
          <w:sz w:val="22"/>
          <w:szCs w:val="22"/>
          <w:lang w:val="fr-FR" w:eastAsia="ja-JP"/>
          <w14:ligatures w14:val="none"/>
        </w:rPr>
        <w:t>Tous les fonds reçus en vue de la liquidation par la vente d’installations, de terrains et de bâtiments du Programme des Nations Unies pour le Développement (PNUD) doivent l’être par chèque bancaire ou par virement électronique de fonds, au plus tard au moment du transfert de propriété. Des exceptions écrites à cette règle, pour les articles au-dessus de la délégation de pouvoirs en matière d’approvisionnement (DPA), peuvent être autorisées par le CPO par l’intermédiaire du R/ACP lorsqu’il juge que c’est dans l’intérêt du PNUD.</w:t>
      </w:r>
    </w:p>
    <w:p w14:paraId="27742010"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2CFEC0A2" w14:textId="77777777" w:rsidR="00631F01" w:rsidRPr="00631F01" w:rsidRDefault="00631F01" w:rsidP="00631F01">
      <w:pPr>
        <w:keepNext/>
        <w:keepLines/>
        <w:spacing w:after="5" w:line="249" w:lineRule="auto"/>
        <w:ind w:left="-5" w:right="136" w:hanging="10"/>
        <w:outlineLvl w:val="0"/>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Procédure d’adjudication et méthode de liquidation</w:t>
      </w:r>
    </w:p>
    <w:p w14:paraId="4430D0E1" w14:textId="77777777" w:rsidR="00631F01" w:rsidRPr="00631F01" w:rsidRDefault="00631F01" w:rsidP="00631F01">
      <w:pPr>
        <w:spacing w:after="20" w:line="259" w:lineRule="auto"/>
        <w:rPr>
          <w:rFonts w:ascii="Calibri" w:eastAsia="Calibri" w:hAnsi="Calibri" w:cs="Calibri"/>
          <w:color w:val="000000"/>
          <w:kern w:val="0"/>
          <w:sz w:val="22"/>
          <w:szCs w:val="22"/>
          <w:lang w:val="fr-FR"/>
          <w14:ligatures w14:val="none"/>
        </w:rPr>
      </w:pPr>
    </w:p>
    <w:p w14:paraId="1FCA3343" w14:textId="77777777" w:rsidR="00631F01" w:rsidRPr="00631F01" w:rsidRDefault="00631F01" w:rsidP="00631F01">
      <w:pPr>
        <w:numPr>
          <w:ilvl w:val="0"/>
          <w:numId w:val="2"/>
        </w:numPr>
        <w:spacing w:after="0" w:line="240" w:lineRule="auto"/>
        <w:ind w:right="3"/>
        <w:contextualSpacing/>
        <w:jc w:val="both"/>
        <w:rPr>
          <w:rFonts w:ascii="Calibri" w:eastAsia="Times New Roman" w:hAnsi="Calibri" w:cs="Times New Roman"/>
          <w:kern w:val="0"/>
          <w:sz w:val="22"/>
          <w:szCs w:val="22"/>
          <w:lang w:val="fr-FR" w:eastAsia="ja-JP"/>
          <w14:ligatures w14:val="none"/>
        </w:rPr>
      </w:pPr>
      <w:r w:rsidRPr="00631F01">
        <w:rPr>
          <w:rFonts w:ascii="Calibri" w:eastAsia="Times New Roman" w:hAnsi="Calibri" w:cs="Times New Roman"/>
          <w:kern w:val="0"/>
          <w:sz w:val="22"/>
          <w:szCs w:val="22"/>
          <w:lang w:val="fr-FR" w:eastAsia="ja-JP"/>
          <w14:ligatures w14:val="none"/>
        </w:rPr>
        <w:t>Les installations, terrains ou bâtiments doivent être liquidés par une procédure d’adjudication ouverte. L’objectif principal de la procédure d’adjudication est de faire en sorte que le PNUD obtienne un bon rapport qualité-prix pour ses liquidations. Pour établir les prix de réserve pour les procédures d’adjudication, des évaluations indépendantes peuvent être demandées à des experts de réputation établie. Conformément aux procédures d’achat du PNUD, un acheteur potentiel qui participe à l’évaluation n’est pas autorisé à participer à la procédure d’adjudication ni à enchérir.</w:t>
      </w:r>
    </w:p>
    <w:p w14:paraId="2B1D5DEB"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20A8CC47" w14:textId="77777777" w:rsidR="00631F01" w:rsidRPr="00631F01" w:rsidRDefault="00631F01" w:rsidP="00631F01">
      <w:pPr>
        <w:keepNext/>
        <w:keepLines/>
        <w:spacing w:after="5" w:line="249" w:lineRule="auto"/>
        <w:ind w:left="-5" w:right="136" w:hanging="10"/>
        <w:outlineLvl w:val="0"/>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Pouvoir de liquider les actifs</w:t>
      </w:r>
    </w:p>
    <w:p w14:paraId="06B17359" w14:textId="77777777" w:rsidR="00631F01" w:rsidRPr="00631F01" w:rsidRDefault="00631F01" w:rsidP="00631F01">
      <w:pPr>
        <w:spacing w:after="22" w:line="259" w:lineRule="auto"/>
        <w:rPr>
          <w:rFonts w:ascii="Calibri" w:eastAsia="Calibri" w:hAnsi="Calibri" w:cs="Calibri"/>
          <w:color w:val="000000"/>
          <w:kern w:val="0"/>
          <w:sz w:val="22"/>
          <w:szCs w:val="22"/>
          <w:lang w:val="fr-FR"/>
          <w14:ligatures w14:val="none"/>
        </w:rPr>
      </w:pPr>
    </w:p>
    <w:p w14:paraId="60A2CF9B" w14:textId="77777777" w:rsidR="00631F01" w:rsidRPr="00631F01" w:rsidRDefault="00631F01" w:rsidP="00631F01">
      <w:pPr>
        <w:numPr>
          <w:ilvl w:val="0"/>
          <w:numId w:val="2"/>
        </w:numPr>
        <w:spacing w:after="0" w:line="240" w:lineRule="auto"/>
        <w:ind w:right="3"/>
        <w:contextualSpacing/>
        <w:jc w:val="both"/>
        <w:rPr>
          <w:rFonts w:ascii="Calibri" w:eastAsia="Times New Roman" w:hAnsi="Calibri" w:cs="Times New Roman"/>
          <w:kern w:val="0"/>
          <w:sz w:val="22"/>
          <w:szCs w:val="22"/>
          <w:lang w:val="fr-FR" w:eastAsia="ja-JP"/>
          <w14:ligatures w14:val="none"/>
        </w:rPr>
      </w:pPr>
      <w:r w:rsidRPr="00631F01">
        <w:rPr>
          <w:rFonts w:ascii="Calibri" w:eastAsia="Times New Roman" w:hAnsi="Calibri" w:cs="Times New Roman"/>
          <w:kern w:val="0"/>
          <w:sz w:val="22"/>
          <w:szCs w:val="22"/>
          <w:lang w:val="fr-FR" w:eastAsia="ja-JP"/>
          <w14:ligatures w14:val="none"/>
        </w:rPr>
        <w:t>Les Représentants Résidents, les chefs des entités du siège décentralisées et le chef du service des opérations générales, bureau des services de gestion, se sont vu déléguer le pouvoir de liquider directement tous les actifs excédentaires ou inutilisables en raison de l’obsolescence ou de l’usure normale. Un actif devient obsolète lorsqu’il est dépassé en raison d’une technologie plus avancée ou qu’il n’est plus utilisé. Dans tous les cas, pour la liquidation de tous les actifs, la juste valeur marchande (FMV) doit être déterminée. Cette valeur (et non la valeur comptable nette (VCN) ou la valeur à l’achat) déterminera le processus de liquidation et l’autorité d’approbation subséquents. La liquidation d’un actif dont la juste valeur marchande est supérieure à 5 000 dollars des États-Unis doit être examinée par le Comité des marchés, du matériel et des achats (CAP), le Comité consultatif régional pour les achats (RACP) ou le Comité consultatif pour les achats (ACP). Se référer à la liquidation et à la comptabilisation en pertes des actifs des politiques et procédures régissant les programmes et opérations (POPP).</w:t>
      </w:r>
    </w:p>
    <w:p w14:paraId="610368F0"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5ADDB426" w14:textId="77777777" w:rsidR="00631F01" w:rsidRPr="00631F01" w:rsidRDefault="00631F01" w:rsidP="00631F01">
      <w:pPr>
        <w:keepNext/>
        <w:keepLines/>
        <w:spacing w:after="5" w:line="249" w:lineRule="auto"/>
        <w:ind w:left="-5" w:right="136" w:hanging="10"/>
        <w:outlineLvl w:val="0"/>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lastRenderedPageBreak/>
        <w:t>Gain ou perte sur la liquidation des actifs</w:t>
      </w:r>
    </w:p>
    <w:p w14:paraId="06550467" w14:textId="77777777" w:rsidR="00631F01" w:rsidRPr="00631F01" w:rsidRDefault="00631F01" w:rsidP="00631F01">
      <w:pPr>
        <w:spacing w:after="18" w:line="259" w:lineRule="auto"/>
        <w:rPr>
          <w:rFonts w:ascii="Calibri" w:eastAsia="Calibri" w:hAnsi="Calibri" w:cs="Calibri"/>
          <w:color w:val="000000"/>
          <w:kern w:val="0"/>
          <w:sz w:val="22"/>
          <w:szCs w:val="22"/>
          <w:lang w:val="fr-FR"/>
          <w14:ligatures w14:val="none"/>
        </w:rPr>
      </w:pPr>
    </w:p>
    <w:p w14:paraId="06969ACB" w14:textId="77777777" w:rsidR="00631F01" w:rsidRPr="00631F01" w:rsidRDefault="00631F01" w:rsidP="00631F01">
      <w:pPr>
        <w:numPr>
          <w:ilvl w:val="0"/>
          <w:numId w:val="2"/>
        </w:numPr>
        <w:spacing w:after="0" w:line="240" w:lineRule="auto"/>
        <w:ind w:right="3"/>
        <w:contextualSpacing/>
        <w:jc w:val="both"/>
        <w:rPr>
          <w:rFonts w:ascii="Calibri" w:eastAsia="Times New Roman" w:hAnsi="Calibri" w:cs="Times New Roman"/>
          <w:kern w:val="0"/>
          <w:sz w:val="22"/>
          <w:szCs w:val="22"/>
          <w:lang w:val="fr-FR" w:eastAsia="ja-JP"/>
          <w14:ligatures w14:val="none"/>
        </w:rPr>
      </w:pPr>
      <w:r w:rsidRPr="00631F01">
        <w:rPr>
          <w:rFonts w:ascii="Calibri" w:eastAsia="Times New Roman" w:hAnsi="Calibri" w:cs="Times New Roman"/>
          <w:kern w:val="0"/>
          <w:sz w:val="22"/>
          <w:szCs w:val="22"/>
          <w:lang w:val="fr-FR" w:eastAsia="ja-JP"/>
          <w14:ligatures w14:val="none"/>
        </w:rPr>
        <w:t>Une fois les installations ou les bâtiments liquidés, le solde non amorti est déduit du coût pour déterminer la VCN. La différence entre le produit de la vente et la VCN est traitée comme un gain ou une perte sur la liquidation. Le système de gestion des actifs Quantum calcule automatiquement ce gain ou cette perte et impute ou crédite le gain ou la perte au compte gain/perte de liquidation du grand livre en utilisant le plan comptable associé à l’actif. Cela garantit que chaque projet ou donateur reçoive la pleine valeur de l’actif même à sa liquidation. Le bureau de pays ou l’unité administrative du siège doit déposer tous les documents de transactions définitifs relatifs à une liquidation ou à une comptabilisation en pertes, y compris les détails de la perte ou du gain final comptabilisé au projet.</w:t>
      </w:r>
    </w:p>
    <w:p w14:paraId="5ABD1A23"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23A099FE" w14:textId="77777777" w:rsidR="00631F01" w:rsidRPr="00631F01" w:rsidRDefault="00631F01" w:rsidP="00631F01">
      <w:pPr>
        <w:spacing w:after="60" w:line="250" w:lineRule="auto"/>
        <w:ind w:right="130" w:hanging="14"/>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Procédures détaillées sur les méthodes de liquidation, comptabilisation en pertes et seuils respectifs</w:t>
      </w:r>
    </w:p>
    <w:p w14:paraId="6340609D" w14:textId="77777777" w:rsidR="00631F01" w:rsidRPr="00631F01" w:rsidRDefault="00631F01" w:rsidP="00631F01">
      <w:pPr>
        <w:spacing w:after="5" w:line="249" w:lineRule="auto"/>
        <w:ind w:left="-5" w:right="136" w:firstLine="725"/>
        <w:rPr>
          <w:rFonts w:ascii="Calibri" w:eastAsia="Calibri" w:hAnsi="Calibri" w:cs="Calibri"/>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 xml:space="preserve">Consulter la section des POPP sur la </w:t>
      </w:r>
      <w:hyperlink r:id="rId7">
        <w:r w:rsidRPr="00631F01">
          <w:rPr>
            <w:rFonts w:ascii="Calibri" w:eastAsia="Calibri" w:hAnsi="Calibri" w:cs="Calibri"/>
            <w:color w:val="000000"/>
            <w:kern w:val="0"/>
            <w:sz w:val="22"/>
            <w:szCs w:val="22"/>
            <w:lang w:val="fr-FR"/>
            <w14:ligatures w14:val="none"/>
          </w:rPr>
          <w:t>liquidation d’actifs</w:t>
        </w:r>
      </w:hyperlink>
      <w:hyperlink r:id="rId8">
        <w:r w:rsidRPr="00631F01">
          <w:rPr>
            <w:rFonts w:ascii="Calibri" w:eastAsia="Calibri" w:hAnsi="Calibri" w:cs="Calibri"/>
            <w:color w:val="000000"/>
            <w:kern w:val="0"/>
            <w:sz w:val="22"/>
            <w:szCs w:val="22"/>
            <w:lang w:val="fr-FR"/>
            <w14:ligatures w14:val="none"/>
          </w:rPr>
          <w:t xml:space="preserve"> </w:t>
        </w:r>
      </w:hyperlink>
      <w:r w:rsidRPr="00631F01">
        <w:rPr>
          <w:rFonts w:ascii="Calibri" w:eastAsia="Calibri" w:hAnsi="Calibri" w:cs="Calibri"/>
          <w:color w:val="000000"/>
          <w:kern w:val="0"/>
          <w:sz w:val="22"/>
          <w:szCs w:val="22"/>
          <w:lang w:val="fr-FR"/>
          <w14:ligatures w14:val="none"/>
        </w:rPr>
        <w:t>et la</w:t>
      </w:r>
      <w:hyperlink r:id="rId9">
        <w:r w:rsidRPr="00631F01">
          <w:rPr>
            <w:rFonts w:ascii="Calibri" w:eastAsia="Calibri" w:hAnsi="Calibri" w:cs="Calibri"/>
            <w:color w:val="000000"/>
            <w:kern w:val="0"/>
            <w:sz w:val="22"/>
            <w:szCs w:val="22"/>
            <w:lang w:val="fr-FR"/>
            <w14:ligatures w14:val="none"/>
          </w:rPr>
          <w:t xml:space="preserve"> </w:t>
        </w:r>
      </w:hyperlink>
      <w:hyperlink r:id="rId10">
        <w:r w:rsidRPr="00631F01">
          <w:rPr>
            <w:rFonts w:ascii="Calibri" w:eastAsia="Calibri" w:hAnsi="Calibri" w:cs="Calibri"/>
            <w:color w:val="000000"/>
            <w:kern w:val="0"/>
            <w:sz w:val="22"/>
            <w:szCs w:val="22"/>
            <w:lang w:val="fr-FR"/>
            <w14:ligatures w14:val="none"/>
          </w:rPr>
          <w:t>comptabilisation en pertes</w:t>
        </w:r>
      </w:hyperlink>
      <w:r w:rsidRPr="00631F01">
        <w:rPr>
          <w:rFonts w:ascii="Calibri" w:eastAsia="Calibri" w:hAnsi="Calibri" w:cs="Calibri"/>
          <w:color w:val="000000"/>
          <w:kern w:val="0"/>
          <w:sz w:val="22"/>
          <w:szCs w:val="22"/>
          <w:lang w:val="fr-FR"/>
          <w14:ligatures w14:val="none"/>
        </w:rPr>
        <w:t>.</w:t>
      </w:r>
    </w:p>
    <w:p w14:paraId="37C761D8"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0C51DCA5" w14:textId="77777777" w:rsidR="00631F01" w:rsidRPr="00631F01" w:rsidRDefault="00631F01" w:rsidP="00DD65C7">
      <w:pPr>
        <w:spacing w:after="5" w:line="249" w:lineRule="auto"/>
        <w:ind w:right="3"/>
        <w:jc w:val="both"/>
        <w:rPr>
          <w:rFonts w:ascii="Calibri" w:eastAsia="Calibri" w:hAnsi="Calibri" w:cs="Calibri"/>
          <w:color w:val="000000"/>
          <w:kern w:val="0"/>
          <w:sz w:val="22"/>
          <w:szCs w:val="22"/>
          <w:lang w:val="fr-FR"/>
          <w14:ligatures w14:val="none"/>
        </w:rPr>
      </w:pPr>
    </w:p>
    <w:p w14:paraId="3B8A5945" w14:textId="77777777" w:rsidR="00631F01" w:rsidRPr="00631F01" w:rsidRDefault="00631F01" w:rsidP="00631F01">
      <w:pPr>
        <w:keepNext/>
        <w:keepLines/>
        <w:spacing w:after="5" w:line="249" w:lineRule="auto"/>
        <w:ind w:left="-5" w:right="136" w:hanging="10"/>
        <w:outlineLvl w:val="0"/>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Rôles et responsabilités</w:t>
      </w:r>
    </w:p>
    <w:p w14:paraId="458F6FCD" w14:textId="77777777" w:rsidR="00631F01" w:rsidRPr="00631F01" w:rsidRDefault="00631F01" w:rsidP="00631F01">
      <w:pPr>
        <w:spacing w:after="5" w:line="249" w:lineRule="auto"/>
        <w:ind w:left="370" w:right="3" w:hanging="10"/>
        <w:jc w:val="both"/>
        <w:rPr>
          <w:rFonts w:ascii="Calibri" w:eastAsia="Calibri" w:hAnsi="Calibri" w:cs="Calibri"/>
          <w:color w:val="000000"/>
          <w:kern w:val="0"/>
          <w:sz w:val="6"/>
          <w:szCs w:val="6"/>
          <w:lang w:val="fr-FR"/>
          <w14:ligatures w14:val="none"/>
        </w:rPr>
      </w:pPr>
    </w:p>
    <w:tbl>
      <w:tblPr>
        <w:tblW w:w="4815" w:type="pct"/>
        <w:tblInd w:w="-100" w:type="dxa"/>
        <w:tblCellMar>
          <w:left w:w="0" w:type="dxa"/>
          <w:right w:w="0" w:type="dxa"/>
        </w:tblCellMar>
        <w:tblLook w:val="04A0" w:firstRow="1" w:lastRow="0" w:firstColumn="1" w:lastColumn="0" w:noHBand="0" w:noVBand="1"/>
      </w:tblPr>
      <w:tblGrid>
        <w:gridCol w:w="1586"/>
        <w:gridCol w:w="7413"/>
      </w:tblGrid>
      <w:tr w:rsidR="00631F01" w:rsidRPr="00631F01" w14:paraId="43DFAD51" w14:textId="77777777" w:rsidTr="00DD65C7">
        <w:trPr>
          <w:trHeight w:val="591"/>
          <w:tblHeader/>
        </w:trPr>
        <w:tc>
          <w:tcPr>
            <w:tcW w:w="881"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AC0ED1B" w14:textId="77777777" w:rsidR="00631F01" w:rsidRPr="00631F01" w:rsidRDefault="00631F01" w:rsidP="00631F01">
            <w:pPr>
              <w:spacing w:after="5" w:line="249" w:lineRule="auto"/>
              <w:ind w:left="165" w:right="3" w:hanging="10"/>
              <w:jc w:val="both"/>
              <w:rPr>
                <w:rFonts w:ascii="Calibri" w:eastAsia="Times New Roman" w:hAnsi="Calibri" w:cs="Arial"/>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Partie responsable</w:t>
            </w:r>
          </w:p>
        </w:tc>
        <w:tc>
          <w:tcPr>
            <w:tcW w:w="411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54F249" w14:textId="77777777" w:rsidR="00631F01" w:rsidRPr="00631F01" w:rsidRDefault="00631F01" w:rsidP="00631F01">
            <w:pPr>
              <w:spacing w:after="5" w:line="249" w:lineRule="auto"/>
              <w:ind w:left="370" w:right="3" w:hanging="10"/>
              <w:jc w:val="both"/>
              <w:rPr>
                <w:rFonts w:ascii="Calibri" w:eastAsia="Times New Roman" w:hAnsi="Calibri" w:cs="Arial"/>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Responsabilités</w:t>
            </w:r>
          </w:p>
        </w:tc>
      </w:tr>
      <w:tr w:rsidR="00631F01" w:rsidRPr="00631F01" w14:paraId="54D4956B" w14:textId="77777777" w:rsidTr="00DD65C7">
        <w:trPr>
          <w:trHeight w:val="2052"/>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8CB3F"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 xml:space="preserve">Représentant Résident </w:t>
            </w:r>
          </w:p>
          <w:p w14:paraId="276A3363"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Chef de l’entité du siège</w:t>
            </w:r>
          </w:p>
          <w:p w14:paraId="30422E6A"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Chef des entités du siège décentralisées</w:t>
            </w:r>
          </w:p>
        </w:tc>
        <w:tc>
          <w:tcPr>
            <w:tcW w:w="4119" w:type="pct"/>
            <w:tcBorders>
              <w:top w:val="nil"/>
              <w:left w:val="nil"/>
              <w:bottom w:val="single" w:sz="8" w:space="0" w:color="auto"/>
              <w:right w:val="single" w:sz="8" w:space="0" w:color="auto"/>
            </w:tcBorders>
            <w:tcMar>
              <w:top w:w="0" w:type="dxa"/>
              <w:left w:w="108" w:type="dxa"/>
              <w:bottom w:w="0" w:type="dxa"/>
              <w:right w:w="108" w:type="dxa"/>
            </w:tcMar>
            <w:hideMark/>
          </w:tcPr>
          <w:p w14:paraId="75FB5CFD"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Tenir à jour des registres complets et précis des installations, terrains et bâtiments achetés par leurs bureaux</w:t>
            </w:r>
          </w:p>
          <w:p w14:paraId="472B56DD"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Consulter le CAP au sujet de la liquidation des actifs dont le coût est supérieur à 5 000 dollars des États-Unis et jusqu’à concurrence de la DPA, le RACP pour les actifs dont le coût est supérieur à la DPA et jusqu’à 1 million de dollars des États-Unis, et l’ACP pour les actifs dont le coût est supérieur à 1 million de dollars des États-Unis</w:t>
            </w:r>
          </w:p>
          <w:p w14:paraId="64B026FD"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Soumettre les documents des certifications des exercices d’inventaires physiques semestriels au service des opérations générales, bureau des services de gestion avant la date d’échéance</w:t>
            </w:r>
          </w:p>
        </w:tc>
      </w:tr>
      <w:tr w:rsidR="00631F01" w:rsidRPr="00631F01" w14:paraId="679915DC" w14:textId="77777777" w:rsidTr="00DD65C7">
        <w:trPr>
          <w:trHeight w:val="1521"/>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51E15"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Coordonnateur chargé des actifs directeur des opérations</w:t>
            </w:r>
          </w:p>
        </w:tc>
        <w:tc>
          <w:tcPr>
            <w:tcW w:w="4119" w:type="pct"/>
            <w:tcBorders>
              <w:top w:val="nil"/>
              <w:left w:val="nil"/>
              <w:bottom w:val="single" w:sz="8" w:space="0" w:color="auto"/>
              <w:right w:val="single" w:sz="8" w:space="0" w:color="auto"/>
            </w:tcBorders>
            <w:tcMar>
              <w:top w:w="0" w:type="dxa"/>
              <w:left w:w="108" w:type="dxa"/>
              <w:bottom w:w="0" w:type="dxa"/>
              <w:right w:w="108" w:type="dxa"/>
            </w:tcMar>
            <w:hideMark/>
          </w:tcPr>
          <w:p w14:paraId="7A100143"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 xml:space="preserve">Soumettre des demandes au </w:t>
            </w:r>
            <w:proofErr w:type="spellStart"/>
            <w:r w:rsidRPr="00631F01">
              <w:rPr>
                <w:rFonts w:ascii="Calibri" w:eastAsia="Times New Roman" w:hAnsi="Calibri" w:cs="Times New Roman"/>
                <w:color w:val="000000"/>
                <w:kern w:val="0"/>
                <w:sz w:val="22"/>
                <w:szCs w:val="22"/>
                <w:lang w:val="fr-FR" w:eastAsia="ja-JP"/>
                <w14:ligatures w14:val="none"/>
              </w:rPr>
              <w:t>UNall</w:t>
            </w:r>
            <w:proofErr w:type="spellEnd"/>
            <w:r w:rsidRPr="00631F01">
              <w:rPr>
                <w:rFonts w:ascii="Calibri" w:eastAsia="Times New Roman" w:hAnsi="Calibri" w:cs="Times New Roman"/>
                <w:color w:val="000000"/>
                <w:kern w:val="0"/>
                <w:sz w:val="22"/>
                <w:szCs w:val="22"/>
                <w:lang w:val="fr-FR" w:eastAsia="ja-JP"/>
                <w14:ligatures w14:val="none"/>
              </w:rPr>
              <w:t xml:space="preserve"> pour toutes les transactions d’actifs, sauf les changements de lieu et de garde et la saisie de renseignements sur les actifs</w:t>
            </w:r>
          </w:p>
          <w:p w14:paraId="530D6E6F"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Approbation de la transaction du DMS</w:t>
            </w:r>
          </w:p>
          <w:p w14:paraId="45528558"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S’assurer de l’exactitude des informations et des détails dans le module des actifs du système Quantum</w:t>
            </w:r>
          </w:p>
          <w:p w14:paraId="09D265D3"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Fournir des horaires et des informations pour l’exercice d’inventaire physique</w:t>
            </w:r>
          </w:p>
        </w:tc>
      </w:tr>
      <w:tr w:rsidR="00631F01" w:rsidRPr="00631F01" w14:paraId="5881408A" w14:textId="77777777" w:rsidTr="00DD65C7">
        <w:trPr>
          <w:trHeight w:val="2862"/>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87A53"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lastRenderedPageBreak/>
              <w:t xml:space="preserve"> Service des opérations générales, bureau des services de gestion</w:t>
            </w:r>
          </w:p>
        </w:tc>
        <w:tc>
          <w:tcPr>
            <w:tcW w:w="4119" w:type="pct"/>
            <w:tcBorders>
              <w:top w:val="nil"/>
              <w:left w:val="nil"/>
              <w:bottom w:val="single" w:sz="8" w:space="0" w:color="auto"/>
              <w:right w:val="single" w:sz="8" w:space="0" w:color="auto"/>
            </w:tcBorders>
            <w:tcMar>
              <w:top w:w="0" w:type="dxa"/>
              <w:left w:w="108" w:type="dxa"/>
              <w:bottom w:w="0" w:type="dxa"/>
              <w:right w:w="108" w:type="dxa"/>
            </w:tcMar>
            <w:hideMark/>
          </w:tcPr>
          <w:p w14:paraId="4FA9C773"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Consulter le CAP sur les liquidations d’éléments d’actifs d’un montant supérieur à 5 000 dollars des États-Unis et inférieur à la DPA, et l’ACP pour la liquidation d’actifs d’un montant supérieur à la DPA pour le siège</w:t>
            </w:r>
          </w:p>
          <w:p w14:paraId="3F556603"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Maintenir des registres précis et à jour des propriétés et installations du siège du PNUD</w:t>
            </w:r>
          </w:p>
          <w:p w14:paraId="4A3755C2"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Consolider les rapports sur les immobilisations corporelles du PNUD pour déterminer la valeur des biens durables dans les états financiers</w:t>
            </w:r>
          </w:p>
          <w:p w14:paraId="47E1D70E"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Coordonner l’exercice semestriel d’inventaire physique du siège à New York pour les biens durables</w:t>
            </w:r>
          </w:p>
          <w:p w14:paraId="3E041D49"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Examiner et consolider les certifications d’inventaires physiques semestriels du bureau de pays</w:t>
            </w:r>
          </w:p>
          <w:p w14:paraId="3EE45442"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Préparer les politiques et procédures pour la gestion d’actifs</w:t>
            </w:r>
          </w:p>
        </w:tc>
      </w:tr>
      <w:tr w:rsidR="00631F01" w:rsidRPr="00631F01" w14:paraId="5F50793C" w14:textId="77777777" w:rsidTr="00DD65C7">
        <w:trPr>
          <w:trHeight w:val="522"/>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E2CB"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CAP/RACP/ACP</w:t>
            </w:r>
          </w:p>
        </w:tc>
        <w:tc>
          <w:tcPr>
            <w:tcW w:w="4119" w:type="pct"/>
            <w:tcBorders>
              <w:top w:val="nil"/>
              <w:left w:val="nil"/>
              <w:bottom w:val="single" w:sz="8" w:space="0" w:color="auto"/>
              <w:right w:val="single" w:sz="8" w:space="0" w:color="auto"/>
            </w:tcBorders>
            <w:tcMar>
              <w:top w:w="0" w:type="dxa"/>
              <w:left w:w="108" w:type="dxa"/>
              <w:bottom w:w="0" w:type="dxa"/>
              <w:right w:w="108" w:type="dxa"/>
            </w:tcMar>
            <w:hideMark/>
          </w:tcPr>
          <w:p w14:paraId="1E2A7ED5"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Contrôler et recommander des mesures de liquidations d’immobilisations corporelles du PNUD</w:t>
            </w:r>
          </w:p>
        </w:tc>
      </w:tr>
      <w:tr w:rsidR="00631F01" w:rsidRPr="00631F01" w14:paraId="67208307" w14:textId="77777777" w:rsidTr="00DD65C7">
        <w:trPr>
          <w:trHeight w:val="972"/>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7D40E"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CPO</w:t>
            </w:r>
          </w:p>
        </w:tc>
        <w:tc>
          <w:tcPr>
            <w:tcW w:w="4119" w:type="pct"/>
            <w:tcBorders>
              <w:top w:val="nil"/>
              <w:left w:val="nil"/>
              <w:bottom w:val="single" w:sz="8" w:space="0" w:color="auto"/>
              <w:right w:val="single" w:sz="8" w:space="0" w:color="auto"/>
            </w:tcBorders>
            <w:tcMar>
              <w:top w:w="0" w:type="dxa"/>
              <w:left w:w="108" w:type="dxa"/>
              <w:bottom w:w="0" w:type="dxa"/>
              <w:right w:w="108" w:type="dxa"/>
            </w:tcMar>
            <w:hideMark/>
          </w:tcPr>
          <w:p w14:paraId="379EEE16"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Responsabilité globale pour les immobilisations corporelles du PNUD. Cette fonction est déléguée aux Représentants Résidents, aux chefs des entités du siège décentralisées et au chef du service des opérations générales et du bureau des services de gestion pour les entités du siège</w:t>
            </w:r>
          </w:p>
        </w:tc>
      </w:tr>
      <w:tr w:rsidR="00631F01" w:rsidRPr="00631F01" w14:paraId="3BCFC375" w14:textId="77777777" w:rsidTr="00DD65C7">
        <w:trPr>
          <w:trHeight w:val="1242"/>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F96DB" w14:textId="77777777" w:rsidR="00631F01" w:rsidRPr="00631F01" w:rsidRDefault="00631F01" w:rsidP="00DD65C7">
            <w:pPr>
              <w:spacing w:after="0" w:line="240" w:lineRule="auto"/>
              <w:rPr>
                <w:rFonts w:ascii="Calibri" w:eastAsia="Times New Roman" w:hAnsi="Calibri" w:cs="Arial"/>
                <w:color w:val="000000"/>
                <w:kern w:val="0"/>
                <w:sz w:val="22"/>
                <w:szCs w:val="22"/>
                <w:lang w:val="fr-FR"/>
                <w14:ligatures w14:val="none"/>
              </w:rPr>
            </w:pPr>
            <w:r w:rsidRPr="00631F01">
              <w:rPr>
                <w:rFonts w:ascii="Calibri" w:eastAsia="Calibri" w:hAnsi="Calibri" w:cs="Calibri"/>
                <w:color w:val="000000"/>
                <w:kern w:val="0"/>
                <w:sz w:val="22"/>
                <w:szCs w:val="22"/>
                <w:lang w:val="fr-FR"/>
                <w14:ligatures w14:val="none"/>
              </w:rPr>
              <w:t>GSSC</w:t>
            </w:r>
          </w:p>
        </w:tc>
        <w:tc>
          <w:tcPr>
            <w:tcW w:w="4119" w:type="pct"/>
            <w:tcBorders>
              <w:top w:val="nil"/>
              <w:left w:val="nil"/>
              <w:bottom w:val="single" w:sz="8" w:space="0" w:color="auto"/>
              <w:right w:val="single" w:sz="8" w:space="0" w:color="auto"/>
            </w:tcBorders>
            <w:tcMar>
              <w:top w:w="0" w:type="dxa"/>
              <w:left w:w="108" w:type="dxa"/>
              <w:bottom w:w="0" w:type="dxa"/>
              <w:right w:w="108" w:type="dxa"/>
            </w:tcMar>
            <w:hideMark/>
          </w:tcPr>
          <w:p w14:paraId="395B3E4E"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Se référer à la section des POPP sur l’amortissement, les rapprochements, les rapports et les fonctions centralisées de l’équipement pour les rôles détaillés du GSSC</w:t>
            </w:r>
          </w:p>
          <w:p w14:paraId="7C71FBA4" w14:textId="77777777" w:rsidR="00631F01" w:rsidRPr="00631F01" w:rsidRDefault="00631F01" w:rsidP="00631F01">
            <w:pPr>
              <w:numPr>
                <w:ilvl w:val="0"/>
                <w:numId w:val="1"/>
              </w:numPr>
              <w:spacing w:after="80" w:line="240" w:lineRule="auto"/>
              <w:ind w:left="274" w:right="3" w:hanging="274"/>
              <w:contextualSpacing/>
              <w:jc w:val="both"/>
              <w:rPr>
                <w:rFonts w:ascii="Calibri" w:eastAsia="Times New Roman" w:hAnsi="Calibri" w:cs="Arial"/>
                <w:color w:val="000000"/>
                <w:kern w:val="0"/>
                <w:sz w:val="22"/>
                <w:szCs w:val="22"/>
                <w:lang w:val="fr-FR" w:eastAsia="ja-JP"/>
                <w14:ligatures w14:val="none"/>
              </w:rPr>
            </w:pPr>
            <w:r w:rsidRPr="00631F01">
              <w:rPr>
                <w:rFonts w:ascii="Calibri" w:eastAsia="Times New Roman" w:hAnsi="Calibri" w:cs="Times New Roman"/>
                <w:color w:val="000000"/>
                <w:kern w:val="0"/>
                <w:sz w:val="22"/>
                <w:szCs w:val="22"/>
                <w:lang w:val="fr-FR" w:eastAsia="ja-JP"/>
                <w14:ligatures w14:val="none"/>
              </w:rPr>
              <w:t>Traiter les opérations d’ajout de base, d’ajustement, de dépréciation, de reclassement, de transfert, de liquidation et de comptabilisation en pertes dans Quantum</w:t>
            </w:r>
          </w:p>
        </w:tc>
      </w:tr>
    </w:tbl>
    <w:p w14:paraId="2C8A232A" w14:textId="77777777" w:rsidR="00631F01" w:rsidRPr="00631F01" w:rsidRDefault="00631F01" w:rsidP="00631F01">
      <w:pPr>
        <w:shd w:val="clear" w:color="auto" w:fill="FFFFFF"/>
        <w:spacing w:after="5" w:line="249" w:lineRule="auto"/>
        <w:ind w:left="370" w:right="3" w:hanging="10"/>
        <w:jc w:val="both"/>
        <w:textAlignment w:val="top"/>
        <w:rPr>
          <w:rFonts w:ascii="Calibri" w:eastAsia="Times New Roman" w:hAnsi="Calibri" w:cs="Arial"/>
          <w:color w:val="000000"/>
          <w:kern w:val="0"/>
          <w:sz w:val="22"/>
          <w:szCs w:val="22"/>
          <w:lang w:val="fr-FR"/>
          <w14:ligatures w14:val="none"/>
        </w:rPr>
      </w:pPr>
    </w:p>
    <w:p w14:paraId="4A73DCEC" w14:textId="77777777" w:rsidR="00631F01" w:rsidRPr="00631F01" w:rsidRDefault="00631F01" w:rsidP="00631F01">
      <w:pPr>
        <w:keepNext/>
        <w:keepLines/>
        <w:spacing w:after="5" w:line="249" w:lineRule="auto"/>
        <w:ind w:left="-5" w:right="136" w:hanging="10"/>
        <w:outlineLvl w:val="0"/>
        <w:rPr>
          <w:rFonts w:ascii="Calibri" w:eastAsia="Calibri" w:hAnsi="Calibri" w:cs="Calibri"/>
          <w:b/>
          <w:color w:val="000000"/>
          <w:kern w:val="0"/>
          <w:sz w:val="22"/>
          <w:szCs w:val="22"/>
          <w:lang w:val="fr-FR"/>
          <w14:ligatures w14:val="none"/>
        </w:rPr>
      </w:pPr>
      <w:r w:rsidRPr="00631F01">
        <w:rPr>
          <w:rFonts w:ascii="Calibri" w:eastAsia="Calibri" w:hAnsi="Calibri" w:cs="Calibri"/>
          <w:b/>
          <w:color w:val="000000"/>
          <w:kern w:val="0"/>
          <w:sz w:val="22"/>
          <w:szCs w:val="22"/>
          <w:lang w:val="fr-FR"/>
          <w14:ligatures w14:val="none"/>
        </w:rPr>
        <w:t>Modèles et formulaires</w:t>
      </w:r>
    </w:p>
    <w:p w14:paraId="59EF1B54"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44F85E4D" w14:textId="77777777" w:rsidR="00631F01" w:rsidRPr="00631F01" w:rsidRDefault="00631F01" w:rsidP="00631F01">
      <w:pPr>
        <w:spacing w:after="0" w:line="259" w:lineRule="auto"/>
        <w:ind w:left="-5" w:hanging="10"/>
        <w:rPr>
          <w:rFonts w:ascii="Calibri" w:eastAsia="Calibri" w:hAnsi="Calibri" w:cs="Calibri"/>
          <w:color w:val="000000"/>
          <w:kern w:val="0"/>
          <w:sz w:val="22"/>
          <w:szCs w:val="22"/>
          <w:lang w:val="fr-FR"/>
          <w14:ligatures w14:val="none"/>
        </w:rPr>
      </w:pPr>
      <w:r w:rsidRPr="00631F01">
        <w:rPr>
          <w:rFonts w:ascii="Calibri" w:eastAsia="Calibri" w:hAnsi="Calibri" w:cs="Calibri"/>
          <w:b/>
          <w:color w:val="000000"/>
          <w:kern w:val="0"/>
          <w:sz w:val="22"/>
          <w:szCs w:val="22"/>
          <w:u w:val="single" w:color="000000"/>
          <w:lang w:val="fr-FR"/>
          <w14:ligatures w14:val="none"/>
        </w:rPr>
        <w:t>Siège :</w:t>
      </w:r>
    </w:p>
    <w:p w14:paraId="07468253"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37024F2B" w14:textId="16A57007" w:rsidR="00631F01" w:rsidRPr="00631F01" w:rsidRDefault="00631F01" w:rsidP="00631F01">
      <w:pPr>
        <w:spacing w:after="60" w:line="259" w:lineRule="auto"/>
        <w:ind w:left="720"/>
        <w:rPr>
          <w:rFonts w:ascii="Calibri" w:eastAsia="Calibri" w:hAnsi="Calibri" w:cs="Calibri"/>
          <w:color w:val="0070C0"/>
          <w:kern w:val="0"/>
          <w:sz w:val="22"/>
          <w:szCs w:val="22"/>
          <w:u w:val="single"/>
          <w:lang w:val="fr-FR"/>
          <w14:ligatures w14:val="none"/>
        </w:rPr>
      </w:pPr>
      <w:hyperlink r:id="rId11">
        <w:r w:rsidRPr="00631F01">
          <w:rPr>
            <w:rFonts w:ascii="Calibri" w:eastAsia="Calibri" w:hAnsi="Calibri" w:cs="Calibri"/>
            <w:color w:val="0070C0"/>
            <w:kern w:val="0"/>
            <w:sz w:val="22"/>
            <w:szCs w:val="22"/>
            <w:u w:val="single"/>
            <w:lang w:val="fr-FR"/>
            <w14:ligatures w14:val="none"/>
          </w:rPr>
          <w:t>Formulaire de demande de vente, de liquidation d’actifs (RAD) inférieur à 5 000 dollars des États-Unis</w:t>
        </w:r>
      </w:hyperlink>
      <w:hyperlink r:id="rId12">
        <w:r w:rsidRPr="00631F01">
          <w:rPr>
            <w:rFonts w:ascii="Calibri" w:eastAsia="Calibri" w:hAnsi="Calibri" w:cs="Calibri"/>
            <w:color w:val="0070C0"/>
            <w:kern w:val="0"/>
            <w:sz w:val="22"/>
            <w:szCs w:val="22"/>
            <w:u w:val="single"/>
            <w:lang w:val="fr-FR"/>
            <w14:ligatures w14:val="none"/>
          </w:rPr>
          <w:t xml:space="preserve"> -</w:t>
        </w:r>
      </w:hyperlink>
      <w:hyperlink r:id="rId13">
        <w:r w:rsidRPr="00631F01">
          <w:rPr>
            <w:rFonts w:ascii="Calibri" w:eastAsia="Calibri" w:hAnsi="Calibri" w:cs="Calibri"/>
            <w:color w:val="0070C0"/>
            <w:kern w:val="0"/>
            <w:sz w:val="22"/>
            <w:szCs w:val="22"/>
            <w:u w:val="single"/>
            <w:lang w:val="fr-FR"/>
            <w14:ligatures w14:val="none"/>
          </w:rPr>
          <w:t xml:space="preserve"> Siège</w:t>
        </w:r>
      </w:hyperlink>
      <w:r w:rsidR="00217EF4">
        <w:rPr>
          <w:rFonts w:ascii="Calibri" w:eastAsia="Calibri" w:hAnsi="Calibri" w:cs="Calibri"/>
          <w:color w:val="000000"/>
          <w:kern w:val="0"/>
          <w:sz w:val="22"/>
          <w:szCs w:val="22"/>
          <w:lang w:val="fr-FR"/>
          <w14:ligatures w14:val="none"/>
        </w:rPr>
        <w:t xml:space="preserve"> (en anglais)</w:t>
      </w:r>
    </w:p>
    <w:p w14:paraId="6EA3F41E" w14:textId="7A57DBEB" w:rsidR="00631F01" w:rsidRPr="00631F01" w:rsidRDefault="00631F01" w:rsidP="00631F01">
      <w:pPr>
        <w:spacing w:after="60" w:line="259" w:lineRule="auto"/>
        <w:ind w:left="720"/>
        <w:rPr>
          <w:rFonts w:ascii="Calibri" w:eastAsia="Calibri" w:hAnsi="Calibri" w:cs="Calibri"/>
          <w:color w:val="0070C0"/>
          <w:kern w:val="0"/>
          <w:sz w:val="22"/>
          <w:szCs w:val="22"/>
          <w:u w:val="single"/>
          <w:lang w:val="fr-FR"/>
          <w14:ligatures w14:val="none"/>
        </w:rPr>
      </w:pPr>
      <w:hyperlink r:id="rId14">
        <w:r w:rsidRPr="00631F01">
          <w:rPr>
            <w:rFonts w:ascii="Calibri" w:eastAsia="Calibri" w:hAnsi="Calibri" w:cs="Calibri"/>
            <w:color w:val="0070C0"/>
            <w:kern w:val="0"/>
            <w:sz w:val="22"/>
            <w:szCs w:val="22"/>
            <w:u w:val="single"/>
            <w:lang w:val="fr-FR"/>
            <w14:ligatures w14:val="none"/>
          </w:rPr>
          <w:t>Formulaire de demande de vente, de liquidation d’actifs (RAD) supérieur ou égal à 5 000 dollars des États-Unis</w:t>
        </w:r>
      </w:hyperlink>
      <w:hyperlink r:id="rId15">
        <w:r w:rsidRPr="00631F01">
          <w:rPr>
            <w:rFonts w:ascii="Calibri" w:eastAsia="Calibri" w:hAnsi="Calibri" w:cs="Calibri"/>
            <w:color w:val="0070C0"/>
            <w:kern w:val="0"/>
            <w:sz w:val="22"/>
            <w:szCs w:val="22"/>
            <w:u w:val="single"/>
            <w:lang w:val="fr-FR"/>
            <w14:ligatures w14:val="none"/>
          </w:rPr>
          <w:t xml:space="preserve"> - </w:t>
        </w:r>
      </w:hyperlink>
      <w:hyperlink r:id="rId16">
        <w:r w:rsidRPr="00631F01">
          <w:rPr>
            <w:rFonts w:ascii="Calibri" w:eastAsia="Calibri" w:hAnsi="Calibri" w:cs="Calibri"/>
            <w:color w:val="0070C0"/>
            <w:kern w:val="0"/>
            <w:sz w:val="22"/>
            <w:szCs w:val="22"/>
            <w:u w:val="single"/>
            <w:lang w:val="fr-FR"/>
            <w14:ligatures w14:val="none"/>
          </w:rPr>
          <w:t>Siège</w:t>
        </w:r>
      </w:hyperlink>
      <w:r w:rsidR="00217EF4">
        <w:rPr>
          <w:rFonts w:ascii="Calibri" w:eastAsia="Calibri" w:hAnsi="Calibri" w:cs="Calibri"/>
          <w:color w:val="000000"/>
          <w:kern w:val="0"/>
          <w:sz w:val="22"/>
          <w:szCs w:val="22"/>
          <w:lang w:val="fr-FR"/>
          <w14:ligatures w14:val="none"/>
        </w:rPr>
        <w:t xml:space="preserve"> (en anglais)</w:t>
      </w:r>
    </w:p>
    <w:p w14:paraId="22D91863" w14:textId="77777777" w:rsidR="00631F01" w:rsidRPr="00631F01" w:rsidRDefault="00631F01" w:rsidP="00631F01">
      <w:pPr>
        <w:spacing w:after="60" w:line="259" w:lineRule="auto"/>
        <w:ind w:left="720"/>
        <w:rPr>
          <w:rFonts w:ascii="Calibri" w:eastAsia="Calibri" w:hAnsi="Calibri" w:cs="Calibri"/>
          <w:color w:val="0070C0"/>
          <w:kern w:val="0"/>
          <w:sz w:val="22"/>
          <w:szCs w:val="22"/>
          <w:u w:val="single"/>
          <w:lang w:val="fr-FR"/>
          <w14:ligatures w14:val="none"/>
        </w:rPr>
      </w:pPr>
      <w:r w:rsidRPr="00631F01">
        <w:rPr>
          <w:rFonts w:ascii="Calibri" w:eastAsia="Calibri" w:hAnsi="Calibri" w:cs="Calibri"/>
          <w:color w:val="0070C0"/>
          <w:kern w:val="0"/>
          <w:sz w:val="22"/>
          <w:szCs w:val="22"/>
          <w:lang w:val="fr-FR"/>
          <w14:ligatures w14:val="none"/>
        </w:rPr>
        <w:fldChar w:fldCharType="begin"/>
      </w:r>
      <w:r w:rsidRPr="00631F01">
        <w:rPr>
          <w:rFonts w:ascii="Calibri" w:eastAsia="Calibri" w:hAnsi="Calibri" w:cs="Calibri"/>
          <w:color w:val="0070C0"/>
          <w:kern w:val="0"/>
          <w:sz w:val="22"/>
          <w:szCs w:val="22"/>
          <w:lang w:val="fr-FR"/>
          <w14:ligatures w14:val="none"/>
        </w:rPr>
        <w:instrText xml:space="preserve"> HYPERLINK "https://popp.undp.org/node/5006" </w:instrText>
      </w:r>
      <w:r w:rsidRPr="00631F01">
        <w:rPr>
          <w:rFonts w:ascii="Calibri" w:eastAsia="Calibri" w:hAnsi="Calibri" w:cs="Calibri"/>
          <w:color w:val="0070C0"/>
          <w:kern w:val="0"/>
          <w:sz w:val="22"/>
          <w:szCs w:val="22"/>
          <w:lang w:val="fr-FR"/>
          <w14:ligatures w14:val="none"/>
        </w:rPr>
      </w:r>
      <w:r w:rsidRPr="00631F01">
        <w:rPr>
          <w:rFonts w:ascii="Calibri" w:eastAsia="Calibri" w:hAnsi="Calibri" w:cs="Calibri"/>
          <w:color w:val="0070C0"/>
          <w:kern w:val="0"/>
          <w:sz w:val="22"/>
          <w:szCs w:val="22"/>
          <w:lang w:val="fr-FR"/>
          <w14:ligatures w14:val="none"/>
        </w:rPr>
        <w:fldChar w:fldCharType="separate"/>
      </w:r>
      <w:r w:rsidRPr="00631F01">
        <w:rPr>
          <w:rFonts w:ascii="Calibri" w:eastAsia="Calibri" w:hAnsi="Calibri" w:cs="Calibri"/>
          <w:color w:val="0070C0"/>
          <w:kern w:val="0"/>
          <w:sz w:val="22"/>
          <w:szCs w:val="22"/>
          <w:u w:val="single"/>
          <w:lang w:val="fr-FR"/>
          <w14:ligatures w14:val="none"/>
        </w:rPr>
        <w:t>Formulaire de demande de liquidation de biens non immobilisés - Siège</w:t>
      </w:r>
    </w:p>
    <w:p w14:paraId="7D89609B" w14:textId="5BEF021F" w:rsidR="00631F01" w:rsidRPr="00631F01" w:rsidRDefault="00631F01" w:rsidP="00631F01">
      <w:pPr>
        <w:spacing w:after="60" w:line="259" w:lineRule="auto"/>
        <w:ind w:left="720"/>
        <w:rPr>
          <w:rFonts w:ascii="Calibri" w:eastAsia="Calibri" w:hAnsi="Calibri" w:cs="Calibri"/>
          <w:color w:val="0070C0"/>
          <w:kern w:val="0"/>
          <w:sz w:val="22"/>
          <w:szCs w:val="22"/>
          <w:u w:val="single"/>
          <w:lang w:val="fr-FR"/>
          <w14:ligatures w14:val="none"/>
        </w:rPr>
      </w:pPr>
      <w:r w:rsidRPr="00631F01">
        <w:rPr>
          <w:rFonts w:ascii="Calibri" w:eastAsia="Calibri" w:hAnsi="Calibri" w:cs="Calibri"/>
          <w:color w:val="0070C0"/>
          <w:kern w:val="0"/>
          <w:sz w:val="22"/>
          <w:szCs w:val="22"/>
          <w:lang w:val="fr-FR"/>
          <w14:ligatures w14:val="none"/>
        </w:rPr>
        <w:fldChar w:fldCharType="end"/>
      </w:r>
      <w:r w:rsidRPr="00631F01">
        <w:rPr>
          <w:rFonts w:ascii="Calibri" w:eastAsia="Calibri" w:hAnsi="Calibri" w:cs="Calibri"/>
          <w:color w:val="0070C0"/>
          <w:kern w:val="0"/>
          <w:sz w:val="22"/>
          <w:szCs w:val="22"/>
          <w:lang w:val="fr-FR"/>
          <w14:ligatures w14:val="none"/>
        </w:rPr>
        <w:fldChar w:fldCharType="begin"/>
      </w:r>
      <w:r w:rsidRPr="00631F01">
        <w:rPr>
          <w:rFonts w:ascii="Calibri" w:eastAsia="Calibri" w:hAnsi="Calibri" w:cs="Calibri"/>
          <w:color w:val="0070C0"/>
          <w:kern w:val="0"/>
          <w:sz w:val="22"/>
          <w:szCs w:val="22"/>
          <w:lang w:val="fr-FR"/>
          <w14:ligatures w14:val="none"/>
        </w:rPr>
        <w:instrText xml:space="preserve"> HYPERLINK "https://popp.undp.org/node/5001" </w:instrText>
      </w:r>
      <w:r w:rsidRPr="00631F01">
        <w:rPr>
          <w:rFonts w:ascii="Calibri" w:eastAsia="Calibri" w:hAnsi="Calibri" w:cs="Calibri"/>
          <w:color w:val="0070C0"/>
          <w:kern w:val="0"/>
          <w:sz w:val="22"/>
          <w:szCs w:val="22"/>
          <w:lang w:val="fr-FR"/>
          <w14:ligatures w14:val="none"/>
        </w:rPr>
      </w:r>
      <w:r w:rsidRPr="00631F01">
        <w:rPr>
          <w:rFonts w:ascii="Calibri" w:eastAsia="Calibri" w:hAnsi="Calibri" w:cs="Calibri"/>
          <w:color w:val="0070C0"/>
          <w:kern w:val="0"/>
          <w:sz w:val="22"/>
          <w:szCs w:val="22"/>
          <w:lang w:val="fr-FR"/>
          <w14:ligatures w14:val="none"/>
        </w:rPr>
        <w:fldChar w:fldCharType="separate"/>
      </w:r>
      <w:r w:rsidRPr="00631F01">
        <w:rPr>
          <w:rFonts w:ascii="Calibri" w:eastAsia="Calibri" w:hAnsi="Calibri" w:cs="Calibri"/>
          <w:color w:val="0070C0"/>
          <w:kern w:val="0"/>
          <w:sz w:val="22"/>
          <w:szCs w:val="22"/>
          <w:u w:val="single"/>
          <w:lang w:val="fr-FR"/>
          <w14:ligatures w14:val="none"/>
        </w:rPr>
        <w:t xml:space="preserve">Formulaire de vente de PC </w:t>
      </w:r>
      <w:r w:rsidR="00217EF4">
        <w:rPr>
          <w:rFonts w:ascii="Calibri" w:eastAsia="Calibri" w:hAnsi="Calibri" w:cs="Calibri"/>
          <w:color w:val="0070C0"/>
          <w:kern w:val="0"/>
          <w:sz w:val="22"/>
          <w:szCs w:val="22"/>
          <w:u w:val="single"/>
          <w:lang w:val="fr-FR"/>
          <w14:ligatures w14:val="none"/>
        </w:rPr>
        <w:t>–</w:t>
      </w:r>
      <w:r w:rsidRPr="00631F01">
        <w:rPr>
          <w:rFonts w:ascii="Calibri" w:eastAsia="Calibri" w:hAnsi="Calibri" w:cs="Calibri"/>
          <w:color w:val="0070C0"/>
          <w:kern w:val="0"/>
          <w:sz w:val="22"/>
          <w:szCs w:val="22"/>
          <w:u w:val="single"/>
          <w:lang w:val="fr-FR"/>
          <w14:ligatures w14:val="none"/>
        </w:rPr>
        <w:t xml:space="preserve"> Siège</w:t>
      </w:r>
      <w:r w:rsidR="00217EF4">
        <w:rPr>
          <w:rFonts w:ascii="Calibri" w:eastAsia="Calibri" w:hAnsi="Calibri" w:cs="Calibri"/>
          <w:color w:val="0070C0"/>
          <w:kern w:val="0"/>
          <w:sz w:val="22"/>
          <w:szCs w:val="22"/>
          <w:u w:val="single"/>
          <w:lang w:val="fr-FR"/>
          <w14:ligatures w14:val="none"/>
        </w:rPr>
        <w:t xml:space="preserve"> </w:t>
      </w:r>
      <w:r w:rsidR="00217EF4">
        <w:rPr>
          <w:rFonts w:ascii="Calibri" w:eastAsia="Calibri" w:hAnsi="Calibri" w:cs="Calibri"/>
          <w:color w:val="000000"/>
          <w:kern w:val="0"/>
          <w:sz w:val="22"/>
          <w:szCs w:val="22"/>
          <w:lang w:val="fr-FR"/>
          <w14:ligatures w14:val="none"/>
        </w:rPr>
        <w:t>(en anglais)</w:t>
      </w:r>
    </w:p>
    <w:p w14:paraId="1A4C27ED" w14:textId="4CB9B511" w:rsidR="00631F01" w:rsidRPr="00631F01" w:rsidRDefault="00631F01" w:rsidP="00631F01">
      <w:pPr>
        <w:spacing w:after="60" w:line="259" w:lineRule="auto"/>
        <w:ind w:left="720"/>
        <w:rPr>
          <w:rFonts w:ascii="Calibri" w:eastAsia="Calibri" w:hAnsi="Calibri" w:cs="Calibri"/>
          <w:color w:val="0070C0"/>
          <w:kern w:val="0"/>
          <w:sz w:val="22"/>
          <w:szCs w:val="22"/>
          <w:u w:val="single"/>
          <w:lang w:val="fr-FR"/>
          <w14:ligatures w14:val="none"/>
        </w:rPr>
      </w:pPr>
      <w:r w:rsidRPr="00631F01">
        <w:rPr>
          <w:rFonts w:ascii="Calibri" w:eastAsia="Calibri" w:hAnsi="Calibri" w:cs="Calibri"/>
          <w:color w:val="0070C0"/>
          <w:kern w:val="0"/>
          <w:sz w:val="22"/>
          <w:szCs w:val="22"/>
          <w:lang w:val="fr-FR"/>
          <w14:ligatures w14:val="none"/>
        </w:rPr>
        <w:fldChar w:fldCharType="end"/>
      </w:r>
      <w:hyperlink r:id="rId17">
        <w:r w:rsidRPr="00631F01">
          <w:rPr>
            <w:rFonts w:ascii="Calibri" w:eastAsia="Calibri" w:hAnsi="Calibri" w:cs="Calibri"/>
            <w:color w:val="0070C0"/>
            <w:kern w:val="0"/>
            <w:sz w:val="22"/>
            <w:szCs w:val="22"/>
            <w:u w:val="single"/>
            <w:lang w:val="fr-FR"/>
            <w14:ligatures w14:val="none"/>
          </w:rPr>
          <w:t>Formulaire de demande de réinstallation d’actifs</w:t>
        </w:r>
      </w:hyperlink>
      <w:hyperlink r:id="rId18">
        <w:r w:rsidRPr="00631F01">
          <w:rPr>
            <w:rFonts w:ascii="Calibri" w:eastAsia="Calibri" w:hAnsi="Calibri" w:cs="Calibri"/>
            <w:color w:val="0070C0"/>
            <w:kern w:val="0"/>
            <w:sz w:val="22"/>
            <w:szCs w:val="22"/>
            <w:u w:val="single"/>
            <w:lang w:val="fr-FR"/>
            <w14:ligatures w14:val="none"/>
          </w:rPr>
          <w:t xml:space="preserve"> - </w:t>
        </w:r>
      </w:hyperlink>
      <w:hyperlink r:id="rId19">
        <w:r w:rsidRPr="00631F01">
          <w:rPr>
            <w:rFonts w:ascii="Calibri" w:eastAsia="Calibri" w:hAnsi="Calibri" w:cs="Calibri"/>
            <w:color w:val="0070C0"/>
            <w:kern w:val="0"/>
            <w:sz w:val="22"/>
            <w:szCs w:val="22"/>
            <w:u w:val="single"/>
            <w:lang w:val="fr-FR"/>
            <w14:ligatures w14:val="none"/>
          </w:rPr>
          <w:t>Siège</w:t>
        </w:r>
      </w:hyperlink>
      <w:r w:rsidR="00217EF4">
        <w:rPr>
          <w:rFonts w:ascii="Calibri" w:eastAsia="Calibri" w:hAnsi="Calibri" w:cs="Calibri"/>
          <w:color w:val="000000"/>
          <w:kern w:val="0"/>
          <w:sz w:val="22"/>
          <w:szCs w:val="22"/>
          <w:lang w:val="fr-FR"/>
          <w14:ligatures w14:val="none"/>
        </w:rPr>
        <w:t xml:space="preserve"> (en anglais)</w:t>
      </w:r>
    </w:p>
    <w:p w14:paraId="76A46E42" w14:textId="6522CBE4" w:rsidR="00631F01" w:rsidRPr="00631F01" w:rsidRDefault="00631F01" w:rsidP="00631F01">
      <w:pPr>
        <w:spacing w:after="60" w:line="259" w:lineRule="auto"/>
        <w:ind w:left="720"/>
        <w:rPr>
          <w:rFonts w:ascii="Calibri" w:eastAsia="Calibri" w:hAnsi="Calibri" w:cs="Calibri"/>
          <w:color w:val="0070C0"/>
          <w:kern w:val="0"/>
          <w:sz w:val="22"/>
          <w:szCs w:val="22"/>
          <w:u w:val="single"/>
          <w:lang w:val="fr-FR"/>
          <w14:ligatures w14:val="none"/>
        </w:rPr>
      </w:pPr>
      <w:hyperlink r:id="rId20">
        <w:r w:rsidRPr="00631F01">
          <w:rPr>
            <w:rFonts w:ascii="Calibri" w:eastAsia="Calibri" w:hAnsi="Calibri" w:cs="Calibri"/>
            <w:color w:val="0070C0"/>
            <w:kern w:val="0"/>
            <w:sz w:val="22"/>
            <w:szCs w:val="22"/>
            <w:u w:val="single"/>
            <w:lang w:val="fr-FR"/>
            <w14:ligatures w14:val="none"/>
          </w:rPr>
          <w:t>Formulaire de demande de transfert</w:t>
        </w:r>
      </w:hyperlink>
      <w:hyperlink r:id="rId21">
        <w:r w:rsidRPr="00631F01">
          <w:rPr>
            <w:rFonts w:ascii="Calibri" w:eastAsia="Calibri" w:hAnsi="Calibri" w:cs="Calibri"/>
            <w:color w:val="0070C0"/>
            <w:kern w:val="0"/>
            <w:sz w:val="22"/>
            <w:szCs w:val="22"/>
            <w:u w:val="single"/>
            <w:lang w:val="fr-FR"/>
            <w14:ligatures w14:val="none"/>
          </w:rPr>
          <w:t xml:space="preserve"> </w:t>
        </w:r>
      </w:hyperlink>
      <w:hyperlink r:id="rId22">
        <w:r w:rsidRPr="00631F01">
          <w:rPr>
            <w:rFonts w:ascii="Calibri" w:eastAsia="Calibri" w:hAnsi="Calibri" w:cs="Calibri"/>
            <w:color w:val="0070C0"/>
            <w:kern w:val="0"/>
            <w:sz w:val="22"/>
            <w:szCs w:val="22"/>
            <w:u w:val="single"/>
            <w:lang w:val="fr-FR"/>
            <w14:ligatures w14:val="none"/>
          </w:rPr>
          <w:t>d’actifs entrants</w:t>
        </w:r>
      </w:hyperlink>
      <w:hyperlink r:id="rId23">
        <w:r w:rsidRPr="00631F01">
          <w:rPr>
            <w:rFonts w:ascii="Calibri" w:eastAsia="Calibri" w:hAnsi="Calibri" w:cs="Calibri"/>
            <w:color w:val="0070C0"/>
            <w:kern w:val="0"/>
            <w:sz w:val="22"/>
            <w:szCs w:val="22"/>
            <w:u w:val="single"/>
            <w:lang w:val="fr-FR"/>
            <w14:ligatures w14:val="none"/>
          </w:rPr>
          <w:t xml:space="preserve"> </w:t>
        </w:r>
      </w:hyperlink>
      <w:hyperlink r:id="rId24">
        <w:r w:rsidRPr="00631F01">
          <w:rPr>
            <w:rFonts w:ascii="Calibri" w:eastAsia="Calibri" w:hAnsi="Calibri" w:cs="Calibri"/>
            <w:color w:val="0070C0"/>
            <w:kern w:val="0"/>
            <w:sz w:val="22"/>
            <w:szCs w:val="22"/>
            <w:u w:val="single"/>
            <w:lang w:val="fr-FR"/>
            <w14:ligatures w14:val="none"/>
          </w:rPr>
          <w:t>et d’actifs sortants</w:t>
        </w:r>
      </w:hyperlink>
      <w:hyperlink r:id="rId25">
        <w:r w:rsidRPr="00631F01">
          <w:rPr>
            <w:rFonts w:ascii="Calibri" w:eastAsia="Calibri" w:hAnsi="Calibri" w:cs="Calibri"/>
            <w:color w:val="0070C0"/>
            <w:kern w:val="0"/>
            <w:sz w:val="22"/>
            <w:szCs w:val="22"/>
            <w:u w:val="single"/>
            <w:lang w:val="fr-FR"/>
            <w14:ligatures w14:val="none"/>
          </w:rPr>
          <w:t xml:space="preserve"> -</w:t>
        </w:r>
      </w:hyperlink>
      <w:hyperlink r:id="rId26">
        <w:r w:rsidRPr="00631F01">
          <w:rPr>
            <w:rFonts w:ascii="Calibri" w:eastAsia="Calibri" w:hAnsi="Calibri" w:cs="Calibri"/>
            <w:color w:val="0070C0"/>
            <w:kern w:val="0"/>
            <w:sz w:val="22"/>
            <w:szCs w:val="22"/>
            <w:u w:val="single"/>
            <w:lang w:val="fr-FR"/>
            <w14:ligatures w14:val="none"/>
          </w:rPr>
          <w:t xml:space="preserve"> Siège</w:t>
        </w:r>
      </w:hyperlink>
      <w:r w:rsidR="00217EF4">
        <w:rPr>
          <w:rFonts w:ascii="Calibri" w:eastAsia="Calibri" w:hAnsi="Calibri" w:cs="Calibri"/>
          <w:color w:val="000000"/>
          <w:kern w:val="0"/>
          <w:sz w:val="22"/>
          <w:szCs w:val="22"/>
          <w:lang w:val="fr-FR"/>
          <w14:ligatures w14:val="none"/>
        </w:rPr>
        <w:t xml:space="preserve"> (en anglais)</w:t>
      </w:r>
    </w:p>
    <w:p w14:paraId="1D26DEE7" w14:textId="4F6CCA25" w:rsidR="00631F01" w:rsidRPr="00631F01" w:rsidRDefault="00631F01" w:rsidP="00631F01">
      <w:pPr>
        <w:spacing w:after="60" w:line="259" w:lineRule="auto"/>
        <w:ind w:left="720"/>
        <w:rPr>
          <w:rFonts w:ascii="Calibri" w:eastAsia="Calibri" w:hAnsi="Calibri" w:cs="Calibri"/>
          <w:color w:val="0000FF"/>
          <w:kern w:val="0"/>
          <w:sz w:val="22"/>
          <w:szCs w:val="22"/>
          <w:u w:val="single"/>
          <w:lang w:val="fr-FR"/>
          <w14:ligatures w14:val="none"/>
        </w:rPr>
      </w:pPr>
      <w:hyperlink r:id="rId27">
        <w:r w:rsidRPr="00631F01">
          <w:rPr>
            <w:rFonts w:ascii="Calibri" w:eastAsia="Calibri" w:hAnsi="Calibri" w:cs="Calibri"/>
            <w:color w:val="0070C0"/>
            <w:kern w:val="0"/>
            <w:sz w:val="22"/>
            <w:szCs w:val="22"/>
            <w:u w:val="single"/>
            <w:lang w:val="fr-FR"/>
            <w14:ligatures w14:val="none"/>
          </w:rPr>
          <w:t>Formulaire de demande d’approbation d’ajustement de valeur d’actifs</w:t>
        </w:r>
      </w:hyperlink>
      <w:hyperlink r:id="rId28">
        <w:r w:rsidRPr="00631F01">
          <w:rPr>
            <w:rFonts w:ascii="Calibri" w:eastAsia="Calibri" w:hAnsi="Calibri" w:cs="Calibri"/>
            <w:color w:val="0070C0"/>
            <w:kern w:val="0"/>
            <w:sz w:val="22"/>
            <w:szCs w:val="22"/>
            <w:u w:val="single"/>
            <w:lang w:val="fr-FR"/>
            <w14:ligatures w14:val="none"/>
          </w:rPr>
          <w:t xml:space="preserve"> -</w:t>
        </w:r>
      </w:hyperlink>
      <w:r w:rsidRPr="00631F01">
        <w:rPr>
          <w:rFonts w:ascii="Calibri" w:eastAsia="Calibri" w:hAnsi="Calibri" w:cs="Calibri"/>
          <w:color w:val="000000"/>
          <w:kern w:val="0"/>
          <w:sz w:val="22"/>
          <w:szCs w:val="22"/>
          <w:lang w:val="fr-FR"/>
          <w14:ligatures w14:val="none"/>
        </w:rPr>
        <w:t xml:space="preserve"> </w:t>
      </w:r>
      <w:hyperlink r:id="rId29">
        <w:r w:rsidRPr="00631F01">
          <w:rPr>
            <w:rFonts w:ascii="Calibri" w:eastAsia="Calibri" w:hAnsi="Calibri" w:cs="Calibri"/>
            <w:color w:val="0070C0"/>
            <w:kern w:val="0"/>
            <w:sz w:val="22"/>
            <w:szCs w:val="22"/>
            <w:u w:val="single"/>
            <w:lang w:val="fr-FR"/>
            <w14:ligatures w14:val="none"/>
          </w:rPr>
          <w:t>Siège</w:t>
        </w:r>
      </w:hyperlink>
      <w:r w:rsidR="00217EF4">
        <w:rPr>
          <w:rFonts w:ascii="Calibri" w:eastAsia="Calibri" w:hAnsi="Calibri" w:cs="Calibri"/>
          <w:color w:val="000000"/>
          <w:kern w:val="0"/>
          <w:sz w:val="22"/>
          <w:szCs w:val="22"/>
          <w:lang w:val="fr-FR"/>
          <w14:ligatures w14:val="none"/>
        </w:rPr>
        <w:t xml:space="preserve"> (en anglais)</w:t>
      </w:r>
    </w:p>
    <w:p w14:paraId="77420062" w14:textId="77777777" w:rsidR="00631F01" w:rsidRDefault="00631F01" w:rsidP="00631F01">
      <w:pPr>
        <w:spacing w:after="0" w:line="259" w:lineRule="auto"/>
        <w:rPr>
          <w:rFonts w:ascii="Calibri" w:eastAsia="Calibri" w:hAnsi="Calibri" w:cs="Calibri"/>
          <w:color w:val="000000"/>
          <w:kern w:val="0"/>
          <w:sz w:val="22"/>
          <w:szCs w:val="22"/>
          <w:lang w:val="fr-FR"/>
          <w14:ligatures w14:val="none"/>
        </w:rPr>
      </w:pPr>
    </w:p>
    <w:p w14:paraId="5A71284B" w14:textId="77777777" w:rsidR="00DD65C7" w:rsidRPr="00631F01" w:rsidRDefault="00DD65C7" w:rsidP="00631F01">
      <w:pPr>
        <w:spacing w:after="0" w:line="259" w:lineRule="auto"/>
        <w:rPr>
          <w:rFonts w:ascii="Calibri" w:eastAsia="Calibri" w:hAnsi="Calibri" w:cs="Calibri"/>
          <w:color w:val="000000"/>
          <w:kern w:val="0"/>
          <w:sz w:val="22"/>
          <w:szCs w:val="22"/>
          <w:lang w:val="fr-FR"/>
          <w14:ligatures w14:val="none"/>
        </w:rPr>
      </w:pPr>
    </w:p>
    <w:p w14:paraId="3A159FD8" w14:textId="77777777" w:rsidR="00631F01" w:rsidRPr="00631F01" w:rsidRDefault="00631F01" w:rsidP="00631F01">
      <w:pPr>
        <w:spacing w:after="0" w:line="259" w:lineRule="auto"/>
        <w:ind w:left="-5" w:hanging="10"/>
        <w:rPr>
          <w:rFonts w:ascii="Calibri" w:eastAsia="Calibri" w:hAnsi="Calibri" w:cs="Calibri"/>
          <w:color w:val="000000"/>
          <w:kern w:val="0"/>
          <w:sz w:val="22"/>
          <w:szCs w:val="22"/>
          <w:lang w:val="fr-FR"/>
          <w14:ligatures w14:val="none"/>
        </w:rPr>
      </w:pPr>
      <w:r w:rsidRPr="00631F01">
        <w:rPr>
          <w:rFonts w:ascii="Calibri" w:eastAsia="Calibri" w:hAnsi="Calibri" w:cs="Calibri"/>
          <w:b/>
          <w:color w:val="000000"/>
          <w:kern w:val="0"/>
          <w:sz w:val="22"/>
          <w:szCs w:val="22"/>
          <w:u w:val="single" w:color="000000"/>
          <w:lang w:val="fr-FR"/>
          <w14:ligatures w14:val="none"/>
        </w:rPr>
        <w:lastRenderedPageBreak/>
        <w:t>Bureaux de pays :</w:t>
      </w:r>
    </w:p>
    <w:p w14:paraId="6AA1FF34"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63C850A5" w14:textId="17753F66" w:rsidR="00631F01" w:rsidRPr="00631F01" w:rsidRDefault="00631F01" w:rsidP="00631F01">
      <w:pPr>
        <w:spacing w:after="60" w:line="259" w:lineRule="auto"/>
        <w:ind w:left="720"/>
        <w:rPr>
          <w:rFonts w:ascii="Calibri" w:eastAsia="Calibri" w:hAnsi="Calibri" w:cs="Calibri"/>
          <w:color w:val="0070C0"/>
          <w:kern w:val="0"/>
          <w:sz w:val="22"/>
          <w:szCs w:val="22"/>
          <w:lang w:val="fr-FR"/>
          <w14:ligatures w14:val="none"/>
        </w:rPr>
      </w:pPr>
      <w:hyperlink r:id="rId30" w:history="1">
        <w:r w:rsidRPr="00631F01">
          <w:rPr>
            <w:rFonts w:ascii="Calibri" w:eastAsia="Calibri" w:hAnsi="Calibri" w:cs="Calibri"/>
            <w:color w:val="0070C0"/>
            <w:kern w:val="0"/>
            <w:sz w:val="22"/>
            <w:szCs w:val="22"/>
            <w:u w:val="single"/>
            <w:lang w:val="fr-FR"/>
            <w14:ligatures w14:val="none"/>
          </w:rPr>
          <w:t>Formulaire de demande de vente, de liquidation d’actifs (RAD) inférieur à 5 000 dollars des États-Unis - Bureau de pays</w:t>
        </w:r>
      </w:hyperlink>
      <w:r w:rsidR="00217EF4">
        <w:rPr>
          <w:rFonts w:ascii="Calibri" w:eastAsia="Calibri" w:hAnsi="Calibri" w:cs="Calibri"/>
          <w:color w:val="000000"/>
          <w:kern w:val="0"/>
          <w:sz w:val="22"/>
          <w:szCs w:val="22"/>
          <w:lang w:val="fr-FR"/>
          <w14:ligatures w14:val="none"/>
        </w:rPr>
        <w:t xml:space="preserve"> (en anglais)</w:t>
      </w:r>
    </w:p>
    <w:p w14:paraId="16CAB338" w14:textId="7B6F8107" w:rsidR="00631F01" w:rsidRPr="00631F01" w:rsidRDefault="00631F01" w:rsidP="00631F01">
      <w:pPr>
        <w:spacing w:after="60" w:line="259" w:lineRule="auto"/>
        <w:ind w:left="720"/>
        <w:rPr>
          <w:rFonts w:ascii="Calibri" w:eastAsia="Calibri" w:hAnsi="Calibri" w:cs="Calibri"/>
          <w:color w:val="0070C0"/>
          <w:kern w:val="0"/>
          <w:sz w:val="22"/>
          <w:szCs w:val="22"/>
          <w:lang w:val="fr-FR"/>
          <w14:ligatures w14:val="none"/>
        </w:rPr>
      </w:pPr>
      <w:hyperlink r:id="rId31" w:history="1">
        <w:r w:rsidRPr="00631F01">
          <w:rPr>
            <w:rFonts w:ascii="Calibri" w:eastAsia="Calibri" w:hAnsi="Calibri" w:cs="Calibri"/>
            <w:color w:val="0070C0"/>
            <w:kern w:val="0"/>
            <w:sz w:val="22"/>
            <w:szCs w:val="22"/>
            <w:u w:val="single"/>
            <w:lang w:val="fr-FR"/>
            <w14:ligatures w14:val="none"/>
          </w:rPr>
          <w:t>Formulaire de demande de vente, de liquidation d’actifs (RAD) supérieur ou égal à 5 000 dollars des États-Unis - Bureau de pays</w:t>
        </w:r>
      </w:hyperlink>
      <w:r w:rsidR="00217EF4">
        <w:rPr>
          <w:rFonts w:ascii="Calibri" w:eastAsia="Calibri" w:hAnsi="Calibri" w:cs="Calibri"/>
          <w:color w:val="000000"/>
          <w:kern w:val="0"/>
          <w:sz w:val="22"/>
          <w:szCs w:val="22"/>
          <w:lang w:val="fr-FR"/>
          <w14:ligatures w14:val="none"/>
        </w:rPr>
        <w:t xml:space="preserve"> (en anglais)</w:t>
      </w:r>
    </w:p>
    <w:p w14:paraId="794A26AF" w14:textId="77777777" w:rsidR="00631F01" w:rsidRPr="00631F01" w:rsidRDefault="00631F01" w:rsidP="00631F01">
      <w:pPr>
        <w:spacing w:after="60" w:line="259" w:lineRule="auto"/>
        <w:ind w:left="720"/>
        <w:rPr>
          <w:rFonts w:ascii="Calibri" w:eastAsia="Calibri" w:hAnsi="Calibri" w:cs="Calibri"/>
          <w:color w:val="0070C0"/>
          <w:kern w:val="0"/>
          <w:sz w:val="22"/>
          <w:szCs w:val="22"/>
          <w:lang w:val="fr-FR"/>
          <w14:ligatures w14:val="none"/>
        </w:rPr>
      </w:pPr>
      <w:hyperlink r:id="rId32" w:history="1">
        <w:r w:rsidRPr="00631F01">
          <w:rPr>
            <w:rFonts w:ascii="Calibri" w:eastAsia="Calibri" w:hAnsi="Calibri" w:cs="Calibri"/>
            <w:color w:val="0070C0"/>
            <w:kern w:val="0"/>
            <w:sz w:val="22"/>
            <w:szCs w:val="22"/>
            <w:u w:val="single"/>
            <w:lang w:val="fr-FR"/>
            <w14:ligatures w14:val="none"/>
          </w:rPr>
          <w:t>Formulaire de demande de transfert d’actifs entrants et d’actifs sortants - Bureau de pays</w:t>
        </w:r>
      </w:hyperlink>
    </w:p>
    <w:p w14:paraId="2CBB0262" w14:textId="35ABCEA6" w:rsidR="00631F01" w:rsidRPr="00631F01" w:rsidRDefault="00631F01" w:rsidP="00631F01">
      <w:pPr>
        <w:spacing w:after="60" w:line="259" w:lineRule="auto"/>
        <w:ind w:left="720"/>
        <w:rPr>
          <w:rFonts w:ascii="Calibri" w:eastAsia="Calibri" w:hAnsi="Calibri" w:cs="Calibri"/>
          <w:color w:val="0070C0"/>
          <w:kern w:val="0"/>
          <w:sz w:val="22"/>
          <w:szCs w:val="22"/>
          <w:lang w:val="fr-FR"/>
          <w14:ligatures w14:val="none"/>
        </w:rPr>
      </w:pPr>
      <w:hyperlink r:id="rId33" w:history="1">
        <w:r w:rsidRPr="00631F01">
          <w:rPr>
            <w:rFonts w:ascii="Calibri" w:eastAsia="Calibri" w:hAnsi="Calibri" w:cs="Calibri"/>
            <w:color w:val="0070C0"/>
            <w:kern w:val="0"/>
            <w:sz w:val="22"/>
            <w:szCs w:val="22"/>
            <w:u w:val="single"/>
            <w:lang w:val="fr-FR"/>
            <w14:ligatures w14:val="none"/>
          </w:rPr>
          <w:t>Formulaire de demande de d’approbation d’ajustement d’actif - Bureau de pays</w:t>
        </w:r>
      </w:hyperlink>
      <w:r w:rsidR="00217EF4">
        <w:rPr>
          <w:rFonts w:ascii="Calibri" w:eastAsia="Calibri" w:hAnsi="Calibri" w:cs="Calibri"/>
          <w:color w:val="000000"/>
          <w:kern w:val="0"/>
          <w:sz w:val="22"/>
          <w:szCs w:val="22"/>
          <w:lang w:val="fr-FR"/>
          <w14:ligatures w14:val="none"/>
        </w:rPr>
        <w:t xml:space="preserve"> (en anglais)</w:t>
      </w:r>
    </w:p>
    <w:p w14:paraId="1D57385B" w14:textId="77777777" w:rsidR="00631F01" w:rsidRPr="00631F01" w:rsidRDefault="00631F01" w:rsidP="00631F01">
      <w:pPr>
        <w:spacing w:after="0" w:line="259" w:lineRule="auto"/>
        <w:rPr>
          <w:rFonts w:ascii="Calibri" w:eastAsia="Calibri" w:hAnsi="Calibri" w:cs="Calibri"/>
          <w:color w:val="000000"/>
          <w:kern w:val="0"/>
          <w:sz w:val="22"/>
          <w:szCs w:val="22"/>
          <w:lang w:val="fr-FR"/>
          <w14:ligatures w14:val="none"/>
        </w:rPr>
      </w:pPr>
    </w:p>
    <w:p w14:paraId="5E91D24C" w14:textId="77777777" w:rsidR="00217EF4" w:rsidRPr="00A20DFF" w:rsidRDefault="00217EF4" w:rsidP="00217EF4">
      <w:pPr>
        <w:shd w:val="clear" w:color="auto" w:fill="FFFFFF"/>
        <w:spacing w:after="0" w:line="240" w:lineRule="auto"/>
        <w:rPr>
          <w:rFonts w:ascii="Calibri" w:eastAsia="Times New Roman" w:hAnsi="Calibri" w:cs="Times New Roman"/>
          <w:i/>
          <w:color w:val="000000"/>
          <w:kern w:val="0"/>
          <w:lang w:val="fr-FR"/>
          <w14:ligatures w14:val="none"/>
        </w:rPr>
      </w:pPr>
      <w:r w:rsidRPr="00A20DFF">
        <w:rPr>
          <w:rFonts w:ascii="Calibri" w:eastAsia="Times New Roman" w:hAnsi="Calibri" w:cs="Times New Roman"/>
          <w:b/>
          <w:bCs/>
          <w:i/>
          <w:color w:val="212121"/>
          <w:kern w:val="0"/>
          <w:sz w:val="22"/>
          <w:szCs w:val="22"/>
          <w:u w:val="single"/>
          <w:lang w:val="fr-FR"/>
          <w14:ligatures w14:val="none"/>
        </w:rPr>
        <w:t>Avertissement</w:t>
      </w:r>
      <w:r>
        <w:rPr>
          <w:rFonts w:ascii="Calibri" w:eastAsia="Times New Roman" w:hAnsi="Calibri" w:cs="Times New Roman"/>
          <w:b/>
          <w:bCs/>
          <w:i/>
          <w:color w:val="212121"/>
          <w:kern w:val="0"/>
          <w:sz w:val="22"/>
          <w:szCs w:val="22"/>
          <w:u w:val="single"/>
          <w:lang w:val="fr-FR"/>
          <w14:ligatures w14:val="none"/>
        </w:rPr>
        <w:t xml:space="preserve"> </w:t>
      </w:r>
      <w:r w:rsidRPr="00A20DFF">
        <w:rPr>
          <w:rFonts w:ascii="Calibri" w:eastAsia="Times New Roman" w:hAnsi="Calibri" w:cs="Times New Roman"/>
          <w:b/>
          <w:bCs/>
          <w:i/>
          <w:color w:val="212121"/>
          <w:kern w:val="0"/>
          <w:sz w:val="22"/>
          <w:szCs w:val="22"/>
          <w:u w:val="single"/>
          <w:lang w:val="fr-FR"/>
          <w14:ligatures w14:val="none"/>
        </w:rPr>
        <w:t>:</w:t>
      </w:r>
      <w:r w:rsidRPr="00A20DFF">
        <w:rPr>
          <w:rFonts w:ascii="Calibri" w:eastAsia="Times New Roman" w:hAnsi="Calibri" w:cs="Times New Roman"/>
          <w:i/>
          <w:color w:val="212121"/>
          <w:kern w:val="0"/>
          <w:sz w:val="22"/>
          <w:szCs w:val="22"/>
          <w:lang w:val="fr-FR"/>
          <w14:ligatures w14:val="none"/>
        </w:rPr>
        <w:t> Ce document a été traduit de l'anglais vers le français. En cas de divergence entre cette traduction et le document anglais original, le document anglais original prévaudra.</w:t>
      </w:r>
    </w:p>
    <w:p w14:paraId="1B3D9A55" w14:textId="77777777" w:rsidR="00217EF4" w:rsidRPr="00A20DFF" w:rsidRDefault="00217EF4" w:rsidP="00217EF4">
      <w:pPr>
        <w:shd w:val="clear" w:color="auto" w:fill="FFFFFF"/>
        <w:spacing w:after="0" w:line="240" w:lineRule="auto"/>
        <w:rPr>
          <w:rFonts w:ascii="Calibri" w:eastAsia="Times New Roman" w:hAnsi="Calibri" w:cs="Times New Roman"/>
          <w:i/>
          <w:color w:val="000000"/>
          <w:kern w:val="0"/>
          <w:lang w:val="fr-FR"/>
          <w14:ligatures w14:val="none"/>
        </w:rPr>
      </w:pPr>
    </w:p>
    <w:p w14:paraId="0A4BFB81" w14:textId="2770635A" w:rsidR="00DA504D" w:rsidRDefault="00217EF4">
      <w:r w:rsidRPr="00A20DFF">
        <w:rPr>
          <w:rFonts w:ascii="Calibri" w:eastAsia="Times New Roman" w:hAnsi="Calibri" w:cs="Times New Roman"/>
          <w:b/>
          <w:bCs/>
          <w:i/>
          <w:color w:val="000000"/>
          <w:kern w:val="0"/>
          <w:sz w:val="22"/>
          <w:szCs w:val="22"/>
          <w:u w:val="single"/>
          <w:lang w:val="en-GB"/>
          <w14:ligatures w14:val="none"/>
        </w:rPr>
        <w:t>Disclaimer:</w:t>
      </w:r>
      <w:r w:rsidRPr="00A20DFF">
        <w:rPr>
          <w:rFonts w:ascii="Calibri" w:eastAsia="Times New Roman" w:hAnsi="Calibri" w:cs="Times New Roman"/>
          <w:i/>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sectPr w:rsidR="00DA504D" w:rsidSect="00631F01">
      <w:headerReference w:type="default" r:id="rId34"/>
      <w:footerReference w:type="even" r:id="rId35"/>
      <w:footerReference w:type="default" r:id="rId36"/>
      <w:footerReference w:type="first" r:id="rId37"/>
      <w:pgSz w:w="12240" w:h="15840"/>
      <w:pgMar w:top="1483" w:right="1435" w:bottom="1570"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94C6" w14:textId="77777777" w:rsidR="006F32B0" w:rsidRDefault="006F32B0" w:rsidP="00217EF4">
      <w:pPr>
        <w:spacing w:after="0" w:line="240" w:lineRule="auto"/>
      </w:pPr>
      <w:r>
        <w:separator/>
      </w:r>
    </w:p>
  </w:endnote>
  <w:endnote w:type="continuationSeparator" w:id="0">
    <w:p w14:paraId="408C7078" w14:textId="77777777" w:rsidR="006F32B0" w:rsidRDefault="006F32B0" w:rsidP="0021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E2B9" w14:textId="77777777" w:rsidR="00631F01" w:rsidRDefault="00631F01">
    <w:pPr>
      <w:spacing w:after="0" w:line="259" w:lineRule="auto"/>
      <w:ind w:right="1"/>
      <w:jc w:val="center"/>
    </w:pPr>
    <w:r>
      <w:fldChar w:fldCharType="begin"/>
    </w:r>
    <w:r>
      <w:instrText xml:space="preserve"> PAGE   \* MERGEFORMAT </w:instrText>
    </w:r>
    <w:r>
      <w:fldChar w:fldCharType="separate"/>
    </w:r>
    <w:r>
      <w:rPr>
        <w:noProof/>
      </w:rPr>
      <w:t>1</w:t>
    </w:r>
    <w:r>
      <w:rPr>
        <w:noProof/>
      </w:rPr>
      <w:fldChar w:fldCharType="end"/>
    </w:r>
    <w:r>
      <w:t xml:space="preserve"> </w:t>
    </w:r>
  </w:p>
  <w:p w14:paraId="4915D79B" w14:textId="77777777" w:rsidR="00631F01" w:rsidRDefault="00631F01">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910" w14:textId="22B6FB0A" w:rsidR="00631F01" w:rsidRPr="00DD65C7" w:rsidRDefault="00631F01">
    <w:pPr>
      <w:spacing w:after="0" w:line="259" w:lineRule="auto"/>
      <w:rPr>
        <w:rFonts w:ascii="Calibri" w:hAnsi="Calibri" w:cs="Calibri"/>
        <w:sz w:val="22"/>
        <w:szCs w:val="22"/>
      </w:rPr>
    </w:pPr>
    <w:r w:rsidRPr="00DD65C7">
      <w:rPr>
        <w:rFonts w:ascii="Calibri" w:hAnsi="Calibri" w:cs="Calibri"/>
        <w:sz w:val="22"/>
        <w:szCs w:val="22"/>
      </w:rPr>
      <w:t xml:space="preserve">Page </w:t>
    </w:r>
    <w:r w:rsidRPr="00DD65C7">
      <w:rPr>
        <w:rFonts w:ascii="Calibri" w:hAnsi="Calibri" w:cs="Calibri"/>
        <w:b/>
        <w:sz w:val="22"/>
        <w:szCs w:val="22"/>
      </w:rPr>
      <w:fldChar w:fldCharType="begin"/>
    </w:r>
    <w:r w:rsidRPr="00DD65C7">
      <w:rPr>
        <w:rFonts w:ascii="Calibri" w:hAnsi="Calibri" w:cs="Calibri"/>
        <w:b/>
        <w:sz w:val="22"/>
        <w:szCs w:val="22"/>
      </w:rPr>
      <w:instrText xml:space="preserve"> PAGE  \* Arabic  \* MERGEFORMAT </w:instrText>
    </w:r>
    <w:r w:rsidRPr="00DD65C7">
      <w:rPr>
        <w:rFonts w:ascii="Calibri" w:hAnsi="Calibri" w:cs="Calibri"/>
        <w:b/>
        <w:sz w:val="22"/>
        <w:szCs w:val="22"/>
      </w:rPr>
      <w:fldChar w:fldCharType="separate"/>
    </w:r>
    <w:r w:rsidRPr="00DD65C7">
      <w:rPr>
        <w:rFonts w:ascii="Calibri" w:hAnsi="Calibri" w:cs="Calibri"/>
        <w:b/>
        <w:noProof/>
        <w:sz w:val="22"/>
        <w:szCs w:val="22"/>
      </w:rPr>
      <w:t>1</w:t>
    </w:r>
    <w:r w:rsidRPr="00DD65C7">
      <w:rPr>
        <w:rFonts w:ascii="Calibri" w:hAnsi="Calibri" w:cs="Calibri"/>
        <w:b/>
        <w:sz w:val="22"/>
        <w:szCs w:val="22"/>
      </w:rPr>
      <w:fldChar w:fldCharType="end"/>
    </w:r>
    <w:r w:rsidRPr="00DD65C7">
      <w:rPr>
        <w:rFonts w:ascii="Calibri" w:hAnsi="Calibri" w:cs="Calibri"/>
        <w:sz w:val="22"/>
        <w:szCs w:val="22"/>
      </w:rPr>
      <w:t xml:space="preserve"> de </w:t>
    </w:r>
    <w:r w:rsidRPr="00DD65C7">
      <w:rPr>
        <w:rFonts w:ascii="Calibri" w:hAnsi="Calibri" w:cs="Calibri"/>
        <w:b/>
        <w:noProof/>
        <w:sz w:val="22"/>
        <w:szCs w:val="22"/>
      </w:rPr>
      <w:fldChar w:fldCharType="begin"/>
    </w:r>
    <w:r w:rsidRPr="00DD65C7">
      <w:rPr>
        <w:rFonts w:ascii="Calibri" w:hAnsi="Calibri" w:cs="Calibri"/>
        <w:b/>
        <w:noProof/>
        <w:sz w:val="22"/>
        <w:szCs w:val="22"/>
      </w:rPr>
      <w:instrText xml:space="preserve"> NUMPAGES  \* Arabic  \* MERGEFORMAT </w:instrText>
    </w:r>
    <w:r w:rsidRPr="00DD65C7">
      <w:rPr>
        <w:rFonts w:ascii="Calibri" w:hAnsi="Calibri" w:cs="Calibri"/>
        <w:b/>
        <w:noProof/>
        <w:sz w:val="22"/>
        <w:szCs w:val="22"/>
      </w:rPr>
      <w:fldChar w:fldCharType="separate"/>
    </w:r>
    <w:r w:rsidRPr="00DD65C7">
      <w:rPr>
        <w:rFonts w:ascii="Calibri" w:hAnsi="Calibri" w:cs="Calibri"/>
        <w:b/>
        <w:noProof/>
        <w:sz w:val="22"/>
        <w:szCs w:val="22"/>
      </w:rPr>
      <w:t>7</w:t>
    </w:r>
    <w:r w:rsidRPr="00DD65C7">
      <w:rPr>
        <w:rFonts w:ascii="Calibri" w:hAnsi="Calibri" w:cs="Calibri"/>
        <w:b/>
        <w:noProof/>
        <w:sz w:val="22"/>
        <w:szCs w:val="22"/>
      </w:rPr>
      <w:fldChar w:fldCharType="end"/>
    </w:r>
    <w:r w:rsidRPr="00DD65C7">
      <w:rPr>
        <w:rFonts w:ascii="Calibri" w:hAnsi="Calibri" w:cs="Calibri"/>
        <w:sz w:val="22"/>
        <w:szCs w:val="22"/>
      </w:rPr>
      <w:ptab w:relativeTo="margin" w:alignment="center" w:leader="none"/>
    </w:r>
    <w:r w:rsidRPr="00DD65C7">
      <w:rPr>
        <w:rFonts w:ascii="Calibri" w:hAnsi="Calibri" w:cs="Calibri"/>
        <w:sz w:val="22"/>
        <w:szCs w:val="22"/>
      </w:rPr>
      <w:t xml:space="preserve">Date </w:t>
    </w:r>
    <w:proofErr w:type="spellStart"/>
    <w:r w:rsidRPr="00DD65C7">
      <w:rPr>
        <w:rFonts w:ascii="Calibri" w:hAnsi="Calibri" w:cs="Calibri"/>
        <w:sz w:val="22"/>
        <w:szCs w:val="22"/>
      </w:rPr>
      <w:t>d’entrée</w:t>
    </w:r>
    <w:proofErr w:type="spellEnd"/>
    <w:r w:rsidRPr="00DD65C7">
      <w:rPr>
        <w:rFonts w:ascii="Calibri" w:hAnsi="Calibri" w:cs="Calibri"/>
        <w:sz w:val="22"/>
        <w:szCs w:val="22"/>
      </w:rPr>
      <w:t xml:space="preserve"> </w:t>
    </w:r>
    <w:proofErr w:type="spellStart"/>
    <w:r w:rsidRPr="00DD65C7">
      <w:rPr>
        <w:rFonts w:ascii="Calibri" w:hAnsi="Calibri" w:cs="Calibri"/>
        <w:sz w:val="22"/>
        <w:szCs w:val="22"/>
      </w:rPr>
      <w:t>en</w:t>
    </w:r>
    <w:proofErr w:type="spellEnd"/>
    <w:r w:rsidRPr="00DD65C7">
      <w:rPr>
        <w:rFonts w:ascii="Calibri" w:hAnsi="Calibri" w:cs="Calibri"/>
        <w:sz w:val="22"/>
        <w:szCs w:val="22"/>
      </w:rPr>
      <w:t xml:space="preserve"> </w:t>
    </w:r>
    <w:proofErr w:type="spellStart"/>
    <w:proofErr w:type="gramStart"/>
    <w:r w:rsidRPr="00DD65C7">
      <w:rPr>
        <w:rFonts w:ascii="Calibri" w:hAnsi="Calibri" w:cs="Calibri"/>
        <w:sz w:val="22"/>
        <w:szCs w:val="22"/>
      </w:rPr>
      <w:t>vigueur</w:t>
    </w:r>
    <w:proofErr w:type="spellEnd"/>
    <w:r w:rsidRPr="00DD65C7">
      <w:rPr>
        <w:rFonts w:ascii="Calibri" w:hAnsi="Calibri" w:cs="Calibri"/>
        <w:sz w:val="22"/>
        <w:szCs w:val="22"/>
      </w:rPr>
      <w:t> :</w:t>
    </w:r>
    <w:proofErr w:type="gramEnd"/>
    <w:r w:rsidRPr="00DD65C7">
      <w:rPr>
        <w:rFonts w:ascii="Calibri" w:hAnsi="Calibri" w:cs="Calibri"/>
        <w:sz w:val="22"/>
        <w:szCs w:val="22"/>
      </w:rPr>
      <w:t xml:space="preserve"> 26/07/2016 </w:t>
    </w:r>
    <w:r w:rsidRPr="00DD65C7">
      <w:rPr>
        <w:rFonts w:ascii="Calibri" w:hAnsi="Calibri" w:cs="Calibri"/>
        <w:sz w:val="22"/>
        <w:szCs w:val="22"/>
      </w:rPr>
      <w:ptab w:relativeTo="margin" w:alignment="right" w:leader="none"/>
    </w:r>
    <w:r w:rsidRPr="00DD65C7">
      <w:rPr>
        <w:rFonts w:ascii="Calibri" w:hAnsi="Calibri" w:cs="Calibri"/>
        <w:sz w:val="22"/>
        <w:szCs w:val="22"/>
      </w:rPr>
      <w:t xml:space="preserve">Version </w:t>
    </w:r>
    <w:proofErr w:type="gramStart"/>
    <w:r w:rsidR="00217EF4" w:rsidRPr="00DD65C7">
      <w:rPr>
        <w:rFonts w:ascii="Calibri" w:hAnsi="Calibri" w:cs="Calibri"/>
        <w:sz w:val="22"/>
        <w:szCs w:val="22"/>
      </w:rPr>
      <w:t># </w:t>
    </w:r>
    <w:r w:rsidRPr="00DD65C7">
      <w:rPr>
        <w:rFonts w:ascii="Calibri" w:hAnsi="Calibri" w:cs="Calibri"/>
        <w:sz w:val="22"/>
        <w:szCs w:val="22"/>
      </w:rPr>
      <w:t>:</w:t>
    </w:r>
    <w:proofErr w:type="gramEnd"/>
    <w:r w:rsidRPr="00DD65C7">
      <w:rPr>
        <w:rFonts w:ascii="Calibri" w:hAnsi="Calibri" w:cs="Calibri"/>
        <w:sz w:val="22"/>
        <w:szCs w:val="22"/>
      </w:rPr>
      <w:t xml:space="preserve"> </w:t>
    </w:r>
    <w:sdt>
      <w:sdtPr>
        <w:rPr>
          <w:rFonts w:ascii="Calibri" w:hAnsi="Calibri" w:cs="Calibri"/>
          <w:sz w:val="22"/>
          <w:szCs w:val="22"/>
        </w:rPr>
        <w:alias w:val="POPPRefItemVersion"/>
        <w:tag w:val="UNDP_POPP_REFITEM_VERSION"/>
        <w:id w:val="683246918"/>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64D5394-9332-4FC5-ABDA-35D7CF09F205}"/>
        <w:text/>
      </w:sdtPr>
      <w:sdtContent>
        <w:r w:rsidRPr="00DD65C7">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490F" w14:textId="77777777" w:rsidR="00631F01" w:rsidRDefault="00631F01">
    <w:pPr>
      <w:spacing w:after="0" w:line="259" w:lineRule="auto"/>
      <w:ind w:right="1"/>
      <w:jc w:val="center"/>
    </w:pPr>
    <w:r>
      <w:fldChar w:fldCharType="begin"/>
    </w:r>
    <w:r>
      <w:instrText xml:space="preserve"> PAGE   \* MERGEFORMAT </w:instrText>
    </w:r>
    <w:r>
      <w:fldChar w:fldCharType="separate"/>
    </w:r>
    <w:r>
      <w:rPr>
        <w:noProof/>
      </w:rPr>
      <w:t>1</w:t>
    </w:r>
    <w:r>
      <w:rPr>
        <w:noProof/>
      </w:rPr>
      <w:fldChar w:fldCharType="end"/>
    </w:r>
    <w:r>
      <w:t xml:space="preserve"> </w:t>
    </w:r>
  </w:p>
  <w:p w14:paraId="00FA96E0" w14:textId="77777777" w:rsidR="00631F01" w:rsidRDefault="00631F01">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F4A3" w14:textId="77777777" w:rsidR="006F32B0" w:rsidRDefault="006F32B0" w:rsidP="00217EF4">
      <w:pPr>
        <w:spacing w:after="0" w:line="240" w:lineRule="auto"/>
      </w:pPr>
      <w:r>
        <w:separator/>
      </w:r>
    </w:p>
  </w:footnote>
  <w:footnote w:type="continuationSeparator" w:id="0">
    <w:p w14:paraId="6CFDD175" w14:textId="77777777" w:rsidR="006F32B0" w:rsidRDefault="006F32B0" w:rsidP="0021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9C0F" w14:textId="1DA0315D" w:rsidR="00631F01" w:rsidRDefault="00217EF4" w:rsidP="00536AE5">
    <w:pPr>
      <w:pStyle w:val="Header"/>
      <w:jc w:val="right"/>
    </w:pPr>
    <w:r>
      <w:rPr>
        <w:noProof/>
      </w:rPr>
      <w:drawing>
        <wp:inline distT="0" distB="0" distL="0" distR="0" wp14:anchorId="268F89EC" wp14:editId="6BAAE27F">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5C5D6AB5" w14:textId="77777777" w:rsidR="00217EF4" w:rsidRDefault="00217EF4" w:rsidP="00536A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33302"/>
    <w:multiLevelType w:val="hybridMultilevel"/>
    <w:tmpl w:val="2876BD24"/>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A0084"/>
    <w:multiLevelType w:val="hybridMultilevel"/>
    <w:tmpl w:val="904E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15557">
    <w:abstractNumId w:val="0"/>
  </w:num>
  <w:num w:numId="2" w16cid:durableId="75871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01"/>
    <w:rsid w:val="001A0789"/>
    <w:rsid w:val="00217EF4"/>
    <w:rsid w:val="00347031"/>
    <w:rsid w:val="00631F01"/>
    <w:rsid w:val="006F32B0"/>
    <w:rsid w:val="00725B2D"/>
    <w:rsid w:val="00C61B9D"/>
    <w:rsid w:val="00DA504D"/>
    <w:rsid w:val="00DD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9617"/>
  <w15:chartTrackingRefBased/>
  <w15:docId w15:val="{F4736248-C127-45B4-8231-E17ACB9E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F01"/>
    <w:rPr>
      <w:rFonts w:eastAsiaTheme="majorEastAsia" w:cstheme="majorBidi"/>
      <w:color w:val="272727" w:themeColor="text1" w:themeTint="D8"/>
    </w:rPr>
  </w:style>
  <w:style w:type="paragraph" w:styleId="Title">
    <w:name w:val="Title"/>
    <w:basedOn w:val="Normal"/>
    <w:next w:val="Normal"/>
    <w:link w:val="TitleChar"/>
    <w:uiPriority w:val="10"/>
    <w:qFormat/>
    <w:rsid w:val="00631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F01"/>
    <w:pPr>
      <w:spacing w:before="160"/>
      <w:jc w:val="center"/>
    </w:pPr>
    <w:rPr>
      <w:i/>
      <w:iCs/>
      <w:color w:val="404040" w:themeColor="text1" w:themeTint="BF"/>
    </w:rPr>
  </w:style>
  <w:style w:type="character" w:customStyle="1" w:styleId="QuoteChar">
    <w:name w:val="Quote Char"/>
    <w:basedOn w:val="DefaultParagraphFont"/>
    <w:link w:val="Quote"/>
    <w:uiPriority w:val="29"/>
    <w:rsid w:val="00631F01"/>
    <w:rPr>
      <w:i/>
      <w:iCs/>
      <w:color w:val="404040" w:themeColor="text1" w:themeTint="BF"/>
    </w:rPr>
  </w:style>
  <w:style w:type="paragraph" w:styleId="ListParagraph">
    <w:name w:val="List Paragraph"/>
    <w:basedOn w:val="Normal"/>
    <w:uiPriority w:val="34"/>
    <w:qFormat/>
    <w:rsid w:val="00631F01"/>
    <w:pPr>
      <w:ind w:left="720"/>
      <w:contextualSpacing/>
    </w:pPr>
  </w:style>
  <w:style w:type="character" w:styleId="IntenseEmphasis">
    <w:name w:val="Intense Emphasis"/>
    <w:basedOn w:val="DefaultParagraphFont"/>
    <w:uiPriority w:val="21"/>
    <w:qFormat/>
    <w:rsid w:val="00631F01"/>
    <w:rPr>
      <w:i/>
      <w:iCs/>
      <w:color w:val="0F4761" w:themeColor="accent1" w:themeShade="BF"/>
    </w:rPr>
  </w:style>
  <w:style w:type="paragraph" w:styleId="IntenseQuote">
    <w:name w:val="Intense Quote"/>
    <w:basedOn w:val="Normal"/>
    <w:next w:val="Normal"/>
    <w:link w:val="IntenseQuoteChar"/>
    <w:uiPriority w:val="30"/>
    <w:qFormat/>
    <w:rsid w:val="00631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F01"/>
    <w:rPr>
      <w:i/>
      <w:iCs/>
      <w:color w:val="0F4761" w:themeColor="accent1" w:themeShade="BF"/>
    </w:rPr>
  </w:style>
  <w:style w:type="character" w:styleId="IntenseReference">
    <w:name w:val="Intense Reference"/>
    <w:basedOn w:val="DefaultParagraphFont"/>
    <w:uiPriority w:val="32"/>
    <w:qFormat/>
    <w:rsid w:val="00631F01"/>
    <w:rPr>
      <w:b/>
      <w:bCs/>
      <w:smallCaps/>
      <w:color w:val="0F4761" w:themeColor="accent1" w:themeShade="BF"/>
      <w:spacing w:val="5"/>
    </w:rPr>
  </w:style>
  <w:style w:type="paragraph" w:styleId="Header">
    <w:name w:val="header"/>
    <w:basedOn w:val="Normal"/>
    <w:link w:val="HeaderChar"/>
    <w:uiPriority w:val="99"/>
    <w:unhideWhenUsed/>
    <w:rsid w:val="00631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F01"/>
  </w:style>
  <w:style w:type="paragraph" w:styleId="Revision">
    <w:name w:val="Revision"/>
    <w:hidden/>
    <w:uiPriority w:val="99"/>
    <w:semiHidden/>
    <w:rsid w:val="00217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4706" TargetMode="External"/><Relationship Id="rId18" Type="http://schemas.openxmlformats.org/officeDocument/2006/relationships/hyperlink" Target="https://popp.undp.org/UNDP_POPP_DOCUMENT_LIBRARY/Admin%20Service_Asset%20Management_HQ-Asset-Relocation-Form.docx?Web=1" TargetMode="External"/><Relationship Id="rId26" Type="http://schemas.openxmlformats.org/officeDocument/2006/relationships/hyperlink" Target="https://popp.undp.org/node/5016" TargetMode="External"/><Relationship Id="rId39" Type="http://schemas.openxmlformats.org/officeDocument/2006/relationships/theme" Target="theme/theme1.xml"/><Relationship Id="rId21" Type="http://schemas.openxmlformats.org/officeDocument/2006/relationships/hyperlink" Target="https://popp.undp.org/node/5016" TargetMode="External"/><Relationship Id="rId34" Type="http://schemas.openxmlformats.org/officeDocument/2006/relationships/header" Target="header1.xml"/><Relationship Id="rId7" Type="http://schemas.openxmlformats.org/officeDocument/2006/relationships/hyperlink" Target="https://intranet.undp.org/global/popp/asm/Pages/asset-disposal-and-write-off.aspx" TargetMode="External"/><Relationship Id="rId12" Type="http://schemas.openxmlformats.org/officeDocument/2006/relationships/hyperlink" Target="https://popp.undp.org/UNDP_POPP_DOCUMENT_LIBRARY/Admin%20Service_Asset%20Management_HQ-RAD-Disposal-Under-USD2500-Form.docx?Web=1" TargetMode="External"/><Relationship Id="rId17" Type="http://schemas.openxmlformats.org/officeDocument/2006/relationships/hyperlink" Target="https://popp.undp.org/node/4401" TargetMode="External"/><Relationship Id="rId25" Type="http://schemas.openxmlformats.org/officeDocument/2006/relationships/hyperlink" Target="https://popp.undp.org/node/5016" TargetMode="External"/><Relationship Id="rId33" Type="http://schemas.openxmlformats.org/officeDocument/2006/relationships/hyperlink" Target="https://popp.undp.org/node/503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UNDP_POPP_DOCUMENT_LIBRARY/public/Admin%20Service_Asset%20Management_HQ-RAD-Disposal-USD2500-and-above-Form.docx?Web=1" TargetMode="External"/><Relationship Id="rId20" Type="http://schemas.openxmlformats.org/officeDocument/2006/relationships/hyperlink" Target="https://popp.undp.org/node/5016" TargetMode="External"/><Relationship Id="rId29" Type="http://schemas.openxmlformats.org/officeDocument/2006/relationships/hyperlink" Target="https://popp.undp.org/node/5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document/rad-disposal-under-usd5000-formdocx" TargetMode="External"/><Relationship Id="rId24" Type="http://schemas.openxmlformats.org/officeDocument/2006/relationships/hyperlink" Target="https://popp.undp.org/node/5016" TargetMode="External"/><Relationship Id="rId32" Type="http://schemas.openxmlformats.org/officeDocument/2006/relationships/hyperlink" Target="https://popp.undp.org/node/3436"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opp.undp.org/UNDP_POPP_DOCUMENT_LIBRARY/Admin%20Service_Asset%20Management_HQ-RAD-Disposal-USD2500-and-above-Form.docx?Web=1" TargetMode="External"/><Relationship Id="rId23" Type="http://schemas.openxmlformats.org/officeDocument/2006/relationships/hyperlink" Target="https://popp.undp.org/UNDP_POPP_DOCUMENT_LIBRARY/Admin%20Service_Asset%20Management_HQ-Non-Asset-Disposal-Form.docx?Web=1" TargetMode="External"/><Relationship Id="rId28" Type="http://schemas.openxmlformats.org/officeDocument/2006/relationships/hyperlink" Target="https://popp.undp.org/UNDP_POPP_DOCUMENT_LIBRARY/Admin%20Service_Asset%20Management_HQ-Asset-Adjustment-Approval-Form.docx?Web=1" TargetMode="External"/><Relationship Id="rId36" Type="http://schemas.openxmlformats.org/officeDocument/2006/relationships/footer" Target="footer2.xml"/><Relationship Id="rId10" Type="http://schemas.openxmlformats.org/officeDocument/2006/relationships/hyperlink" Target="https://intranet.undp.org/global/popp/asm/Pages/asset-disposal-and-write-off.aspx" TargetMode="External"/><Relationship Id="rId19" Type="http://schemas.openxmlformats.org/officeDocument/2006/relationships/hyperlink" Target="https://popp.undp.org/node/4401" TargetMode="External"/><Relationship Id="rId31" Type="http://schemas.openxmlformats.org/officeDocument/2006/relationships/hyperlink" Target="https://popp.undp.org/node/4701" TargetMode="External"/><Relationship Id="rId4" Type="http://schemas.openxmlformats.org/officeDocument/2006/relationships/webSettings" Target="webSettings.xml"/><Relationship Id="rId9" Type="http://schemas.openxmlformats.org/officeDocument/2006/relationships/hyperlink" Target="https://intranet.undp.org/global/popp/asm/Pages/asset-disposal-and-write-off.aspx" TargetMode="External"/><Relationship Id="rId14" Type="http://schemas.openxmlformats.org/officeDocument/2006/relationships/hyperlink" Target="https://popp.undp.org/node/4701" TargetMode="External"/><Relationship Id="rId22" Type="http://schemas.openxmlformats.org/officeDocument/2006/relationships/hyperlink" Target="https://popp.undp.org/node/5016" TargetMode="External"/><Relationship Id="rId27" Type="http://schemas.openxmlformats.org/officeDocument/2006/relationships/hyperlink" Target="https://popp.undp.org/node/5011" TargetMode="External"/><Relationship Id="rId30" Type="http://schemas.openxmlformats.org/officeDocument/2006/relationships/hyperlink" Target="https://popp.undp.org/node/4701" TargetMode="External"/><Relationship Id="rId35" Type="http://schemas.openxmlformats.org/officeDocument/2006/relationships/footer" Target="footer1.xml"/><Relationship Id="rId8" Type="http://schemas.openxmlformats.org/officeDocument/2006/relationships/hyperlink" Target="https://intranet.undp.org/global/popp/asm/Pages/asset-disposal-and-write-off.aspx"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2026-04-24T12:03:00Z</dcterms:created>
  <dcterms:modified xsi:type="dcterms:W3CDTF">2026-04-29T09:48:00Z</dcterms:modified>
</cp:coreProperties>
</file>