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F5FFD" w14:textId="0A1BC143" w:rsidR="003E1D7A" w:rsidRDefault="00EE0A93">
      <w:pPr>
        <w:spacing w:after="0" w:line="259" w:lineRule="auto"/>
        <w:ind w:left="0" w:right="0" w:firstLine="0"/>
        <w:jc w:val="left"/>
        <w:rPr>
          <w:b/>
          <w:bCs/>
          <w:sz w:val="28"/>
          <w:szCs w:val="28"/>
        </w:rPr>
      </w:pPr>
      <w:r w:rsidRPr="00EE0A93">
        <w:rPr>
          <w:b/>
          <w:bCs/>
          <w:sz w:val="28"/>
          <w:szCs w:val="28"/>
        </w:rPr>
        <w:t xml:space="preserve">Plantas y Propiedades: Enajenación y Amortización Total  </w:t>
      </w:r>
    </w:p>
    <w:p w14:paraId="65D1EAEC" w14:textId="77777777" w:rsidR="00EE0A93" w:rsidRPr="00EE0A93" w:rsidRDefault="00EE0A93">
      <w:pPr>
        <w:spacing w:after="0" w:line="259" w:lineRule="auto"/>
        <w:ind w:left="0" w:right="0" w:firstLine="0"/>
        <w:jc w:val="left"/>
        <w:rPr>
          <w:b/>
          <w:bCs/>
        </w:rPr>
      </w:pPr>
    </w:p>
    <w:p w14:paraId="761F5FFE" w14:textId="77777777" w:rsidR="003E1D7A" w:rsidRPr="00350790" w:rsidRDefault="00FF3D53">
      <w:pPr>
        <w:pStyle w:val="Heading1"/>
        <w:ind w:left="-5" w:right="136"/>
        <w:rPr>
          <w:sz w:val="21"/>
          <w:szCs w:val="21"/>
        </w:rPr>
      </w:pPr>
      <w:r w:rsidRPr="00350790">
        <w:rPr>
          <w:sz w:val="21"/>
          <w:szCs w:val="21"/>
        </w:rPr>
        <w:t xml:space="preserve">Uso del Asesor Jurídico </w:t>
      </w:r>
    </w:p>
    <w:p w14:paraId="761F5FFF" w14:textId="77777777" w:rsidR="003E1D7A" w:rsidRPr="00350790" w:rsidRDefault="00FF3D53">
      <w:pPr>
        <w:spacing w:after="20" w:line="259" w:lineRule="auto"/>
        <w:ind w:left="0" w:right="0" w:firstLine="0"/>
        <w:jc w:val="left"/>
        <w:rPr>
          <w:sz w:val="21"/>
          <w:szCs w:val="21"/>
        </w:rPr>
      </w:pPr>
      <w:r w:rsidRPr="00350790">
        <w:rPr>
          <w:sz w:val="21"/>
          <w:szCs w:val="21"/>
        </w:rPr>
        <w:t xml:space="preserve">  </w:t>
      </w:r>
    </w:p>
    <w:p w14:paraId="761F6000" w14:textId="77777777" w:rsidR="003E1D7A" w:rsidRPr="00EE0A93" w:rsidRDefault="00FF3D53">
      <w:pPr>
        <w:ind w:left="720" w:right="0" w:hanging="360"/>
        <w:rPr>
          <w:rFonts w:asciiTheme="minorHAnsi" w:hAnsiTheme="minorHAnsi"/>
        </w:rPr>
      </w:pPr>
      <w:r w:rsidRPr="00350790">
        <w:rPr>
          <w:sz w:val="21"/>
          <w:szCs w:val="21"/>
        </w:rPr>
        <w:t>1.</w:t>
      </w:r>
      <w:r w:rsidRPr="00350790">
        <w:rPr>
          <w:rFonts w:ascii="Arial" w:hAnsi="Arial"/>
          <w:sz w:val="21"/>
          <w:szCs w:val="21"/>
        </w:rPr>
        <w:t xml:space="preserve">  </w:t>
      </w:r>
      <w:r w:rsidRPr="00EE0A93">
        <w:rPr>
          <w:rFonts w:asciiTheme="minorHAnsi" w:hAnsiTheme="minorHAnsi"/>
        </w:rPr>
        <w:t xml:space="preserve">Dadas las complejidades legales involucradas en la transferencia de documentos de titularidad para plantas, terrenos y edificios, el primer paso en el procesamiento de la enajenación de plantas, terrenos y edificios es contratar los servicios de un asesor jurídico en consulta con la Oficina de Servicios Jurídicos (LO) de la Dirección de Servicios de Gestión (BMS) para obtener el asesoramiento necesario en el proceso de Enajenación.   </w:t>
      </w:r>
    </w:p>
    <w:p w14:paraId="761F6001" w14:textId="77777777" w:rsidR="003E1D7A" w:rsidRPr="00EE0A93" w:rsidRDefault="00FF3D53">
      <w:pPr>
        <w:spacing w:after="0" w:line="259" w:lineRule="auto"/>
        <w:ind w:left="0" w:right="0" w:firstLine="0"/>
        <w:jc w:val="left"/>
        <w:rPr>
          <w:rFonts w:asciiTheme="minorHAnsi" w:hAnsiTheme="minorHAnsi"/>
        </w:rPr>
      </w:pPr>
      <w:r w:rsidRPr="00EE0A93">
        <w:rPr>
          <w:rFonts w:asciiTheme="minorHAnsi" w:hAnsiTheme="minorHAnsi"/>
          <w:b/>
        </w:rPr>
        <w:t xml:space="preserve"> </w:t>
      </w:r>
      <w:r w:rsidRPr="00EE0A93">
        <w:rPr>
          <w:rFonts w:asciiTheme="minorHAnsi" w:hAnsiTheme="minorHAnsi"/>
        </w:rPr>
        <w:t xml:space="preserve"> </w:t>
      </w:r>
    </w:p>
    <w:p w14:paraId="761F6002" w14:textId="77777777" w:rsidR="003E1D7A" w:rsidRPr="00EE0A93" w:rsidRDefault="00FF3D53">
      <w:pPr>
        <w:pStyle w:val="Heading1"/>
        <w:ind w:left="-5" w:right="136"/>
        <w:rPr>
          <w:rFonts w:asciiTheme="minorHAnsi" w:hAnsiTheme="minorHAnsi"/>
        </w:rPr>
      </w:pPr>
      <w:r w:rsidRPr="00EE0A93">
        <w:rPr>
          <w:rFonts w:asciiTheme="minorHAnsi" w:hAnsiTheme="minorHAnsi"/>
        </w:rPr>
        <w:t xml:space="preserve">Venta y Método de Enajenación </w:t>
      </w:r>
    </w:p>
    <w:p w14:paraId="761F6003" w14:textId="77777777" w:rsidR="003E1D7A" w:rsidRPr="00EE0A93" w:rsidRDefault="00FF3D53">
      <w:pPr>
        <w:spacing w:after="20" w:line="259" w:lineRule="auto"/>
        <w:ind w:left="0" w:right="0" w:firstLine="0"/>
        <w:jc w:val="left"/>
        <w:rPr>
          <w:rFonts w:asciiTheme="minorHAnsi" w:hAnsiTheme="minorHAnsi"/>
        </w:rPr>
      </w:pPr>
      <w:r w:rsidRPr="00EE0A93">
        <w:rPr>
          <w:rFonts w:asciiTheme="minorHAnsi" w:hAnsiTheme="minorHAnsi"/>
        </w:rPr>
        <w:t xml:space="preserve">  </w:t>
      </w:r>
    </w:p>
    <w:p w14:paraId="761F6004" w14:textId="1F5288DA" w:rsidR="003E1D7A" w:rsidRPr="00EE0A93" w:rsidRDefault="00FF3D53">
      <w:pPr>
        <w:ind w:left="720" w:right="0" w:hanging="360"/>
        <w:rPr>
          <w:rFonts w:asciiTheme="minorHAnsi" w:hAnsiTheme="minorHAnsi"/>
        </w:rPr>
      </w:pPr>
      <w:r w:rsidRPr="00EE0A93">
        <w:rPr>
          <w:rFonts w:asciiTheme="minorHAnsi" w:hAnsiTheme="minorHAnsi"/>
        </w:rPr>
        <w:t xml:space="preserve">2.   Todos los fondos recibidos por la enajenación mediante </w:t>
      </w:r>
      <w:r w:rsidR="046D1B85" w:rsidRPr="00EE0A93">
        <w:rPr>
          <w:rFonts w:asciiTheme="minorHAnsi" w:hAnsiTheme="minorHAnsi"/>
        </w:rPr>
        <w:t>la</w:t>
      </w:r>
      <w:r w:rsidRPr="00EE0A93">
        <w:rPr>
          <w:rFonts w:asciiTheme="minorHAnsi" w:hAnsiTheme="minorHAnsi"/>
        </w:rPr>
        <w:t xml:space="preserve"> venta de planta, terrenos y edificios del PNUD (Programa de las Naciones Unidas para el Desarrollo) deben ser en forma de cheque bancario o mediante transferencia electrónica de fondos, en el momento de la transferencia del título o antes de esta. Las excepciones escritas a esta regla, para los artículos por encima de la Autoridad de Adquisición Delegada (DPA), pueden ser autorizadas por el OJA (oficial jefe de adquisiciones) a través del ACP (Comité Consultivo sobre Adquisiciones) o del RACP (Comité Consultivo Regional sobre Adquisiciones) cuando, según su punto de vista, esto sea del interés del PNUD. </w:t>
      </w:r>
    </w:p>
    <w:p w14:paraId="761F6005" w14:textId="77777777" w:rsidR="003E1D7A" w:rsidRPr="00EE0A93" w:rsidRDefault="00FF3D53">
      <w:pPr>
        <w:spacing w:after="0" w:line="259" w:lineRule="auto"/>
        <w:ind w:left="0" w:right="0" w:firstLine="0"/>
        <w:jc w:val="left"/>
        <w:rPr>
          <w:rFonts w:asciiTheme="minorHAnsi" w:hAnsiTheme="minorHAnsi"/>
        </w:rPr>
      </w:pPr>
      <w:r w:rsidRPr="00EE0A93">
        <w:rPr>
          <w:rFonts w:asciiTheme="minorHAnsi" w:hAnsiTheme="minorHAnsi"/>
        </w:rPr>
        <w:t xml:space="preserve">  </w:t>
      </w:r>
    </w:p>
    <w:p w14:paraId="761F6006" w14:textId="77777777" w:rsidR="003E1D7A" w:rsidRPr="00EE0A93" w:rsidRDefault="00FF3D53">
      <w:pPr>
        <w:pStyle w:val="Heading1"/>
        <w:ind w:left="-5" w:right="136"/>
        <w:rPr>
          <w:rFonts w:asciiTheme="minorHAnsi" w:hAnsiTheme="minorHAnsi"/>
        </w:rPr>
      </w:pPr>
      <w:r w:rsidRPr="00EE0A93">
        <w:rPr>
          <w:rFonts w:asciiTheme="minorHAnsi" w:hAnsiTheme="minorHAnsi"/>
        </w:rPr>
        <w:t xml:space="preserve">Licitación Competitiva y Método de Enajenación </w:t>
      </w:r>
    </w:p>
    <w:p w14:paraId="761F6007" w14:textId="77777777" w:rsidR="003E1D7A" w:rsidRPr="00EE0A93" w:rsidRDefault="00FF3D53">
      <w:pPr>
        <w:spacing w:after="20" w:line="259" w:lineRule="auto"/>
        <w:ind w:left="0" w:right="0" w:firstLine="0"/>
        <w:jc w:val="left"/>
        <w:rPr>
          <w:rFonts w:asciiTheme="minorHAnsi" w:hAnsiTheme="minorHAnsi"/>
        </w:rPr>
      </w:pPr>
      <w:r w:rsidRPr="00EE0A93">
        <w:rPr>
          <w:rFonts w:asciiTheme="minorHAnsi" w:hAnsiTheme="minorHAnsi"/>
        </w:rPr>
        <w:t xml:space="preserve">  </w:t>
      </w:r>
    </w:p>
    <w:p w14:paraId="761F6008" w14:textId="77777777" w:rsidR="003E1D7A" w:rsidRPr="00EE0A93" w:rsidRDefault="00FF3D53">
      <w:pPr>
        <w:ind w:left="720" w:right="0" w:hanging="360"/>
        <w:rPr>
          <w:rFonts w:asciiTheme="minorHAnsi" w:hAnsiTheme="minorHAnsi"/>
        </w:rPr>
      </w:pPr>
      <w:r w:rsidRPr="00EE0A93">
        <w:rPr>
          <w:rFonts w:asciiTheme="minorHAnsi" w:hAnsiTheme="minorHAnsi"/>
        </w:rPr>
        <w:t xml:space="preserve">3.  Las Plantas, Terrenos o Edificios deben enajenarse mediante licitación competitiva abierta. El propósito principal de la licitación competitiva es asegurar que el PNUD obtenga la mejor relación entre calidad y precio por sus enajenaciones.  Para establecer los precios de reserva para la licitación competitiva, pueden obtenerse valorizaciones independientes de expertos reconocidos. De conformidad con los procesos de adquisición del PNUD, un comprador potencial que participa en la valoración no tendrá permitido participar y/u ofertar en el siguiente proceso de licitación competitiva. </w:t>
      </w:r>
    </w:p>
    <w:p w14:paraId="761F6009" w14:textId="77777777" w:rsidR="003E1D7A" w:rsidRPr="00EE0A93" w:rsidRDefault="00FF3D53">
      <w:pPr>
        <w:spacing w:after="0" w:line="259" w:lineRule="auto"/>
        <w:ind w:left="0" w:right="0" w:firstLine="0"/>
        <w:jc w:val="left"/>
        <w:rPr>
          <w:rFonts w:asciiTheme="minorHAnsi" w:hAnsiTheme="minorHAnsi"/>
        </w:rPr>
      </w:pPr>
      <w:r w:rsidRPr="00EE0A93">
        <w:rPr>
          <w:rFonts w:asciiTheme="minorHAnsi" w:hAnsiTheme="minorHAnsi"/>
        </w:rPr>
        <w:t xml:space="preserve">  </w:t>
      </w:r>
    </w:p>
    <w:p w14:paraId="761F600A" w14:textId="77777777" w:rsidR="003E1D7A" w:rsidRPr="00EE0A93" w:rsidRDefault="00FF3D53">
      <w:pPr>
        <w:pStyle w:val="Heading1"/>
        <w:ind w:left="-5" w:right="136"/>
        <w:rPr>
          <w:rFonts w:asciiTheme="minorHAnsi" w:hAnsiTheme="minorHAnsi"/>
        </w:rPr>
      </w:pPr>
      <w:r w:rsidRPr="00EE0A93">
        <w:rPr>
          <w:rFonts w:asciiTheme="minorHAnsi" w:hAnsiTheme="minorHAnsi"/>
        </w:rPr>
        <w:t xml:space="preserve">Facultad para Enajenar Activos </w:t>
      </w:r>
    </w:p>
    <w:p w14:paraId="761F600B" w14:textId="77777777" w:rsidR="003E1D7A" w:rsidRPr="00EE0A93" w:rsidRDefault="00FF3D53">
      <w:pPr>
        <w:spacing w:after="22" w:line="259" w:lineRule="auto"/>
        <w:ind w:left="0" w:right="0" w:firstLine="0"/>
        <w:jc w:val="left"/>
        <w:rPr>
          <w:rFonts w:asciiTheme="minorHAnsi" w:hAnsiTheme="minorHAnsi"/>
        </w:rPr>
      </w:pPr>
      <w:r w:rsidRPr="00EE0A93">
        <w:rPr>
          <w:rFonts w:asciiTheme="minorHAnsi" w:hAnsiTheme="minorHAnsi"/>
        </w:rPr>
        <w:t xml:space="preserve">  </w:t>
      </w:r>
    </w:p>
    <w:p w14:paraId="72543967" w14:textId="2F23734C" w:rsidR="003E1D7A" w:rsidRPr="00EE0A93" w:rsidRDefault="00FF3D53" w:rsidP="108E8D0A">
      <w:pPr>
        <w:ind w:left="720" w:right="0" w:hanging="360"/>
        <w:rPr>
          <w:rFonts w:asciiTheme="minorHAnsi" w:hAnsiTheme="minorHAnsi"/>
        </w:rPr>
      </w:pPr>
      <w:r w:rsidRPr="00EE0A93">
        <w:rPr>
          <w:rFonts w:asciiTheme="minorHAnsi" w:hAnsiTheme="minorHAnsi"/>
        </w:rPr>
        <w:t>4.   Se ha delegado a los Representantes Residentes, a los Jefes de las Dependencias Fuera de la Sede y al Jefe de la Dependencia de Operaciones Generales de la BMS la facultad para enajenar en forma directa todos los artículos excedentes en relación con los requisitos o que están fuera de servicio por ser obsoletos o por su desgaste normal. Un activo se vuelve obsoleto cuando está desactualizado ya sea debido a la existencia de una tecnología más avanzada o porque ya no está en uso. En todos los casos, para la enajenación de todos los activos deberá determinarse el valor normal de mercado (FMV). Este valor (no el NBV [valor neto contable] ni el valor de compra original) determinará el proceso siguiente de enajenación y la facultad de aprobación. La enajenación de un artículo con un valor normal de mercado de más de USD </w:t>
      </w:r>
      <w:r w:rsidR="039FC298" w:rsidRPr="00EE0A93">
        <w:rPr>
          <w:rFonts w:asciiTheme="minorHAnsi" w:hAnsiTheme="minorHAnsi"/>
        </w:rPr>
        <w:t>5.0</w:t>
      </w:r>
      <w:r w:rsidRPr="00EE0A93">
        <w:rPr>
          <w:rFonts w:asciiTheme="minorHAnsi" w:hAnsiTheme="minorHAnsi"/>
        </w:rPr>
        <w:t xml:space="preserve">00 requiere la revisión de los comités correspondientes (el Comité de Contractos, Activos y Adquisiciones [CAP], </w:t>
      </w:r>
      <w:r w:rsidRPr="00EE0A93">
        <w:rPr>
          <w:rFonts w:asciiTheme="minorHAnsi" w:hAnsiTheme="minorHAnsi"/>
        </w:rPr>
        <w:lastRenderedPageBreak/>
        <w:t>el Comité Consultivo Regional sobre Adquisiciones [RACP] o el Comité Consultivo sobre Adquisiciones [ACP]). Consulte las POPP (Políticas y Procedimientos de Operaciones y Programas) sobre Enajenación y Amortización Total de Activos.</w:t>
      </w:r>
    </w:p>
    <w:p w14:paraId="761F600D" w14:textId="29309E17" w:rsidR="003E1D7A" w:rsidRPr="00EE0A93" w:rsidRDefault="00FF3D53" w:rsidP="00350790">
      <w:pPr>
        <w:ind w:left="720" w:right="0" w:hanging="360"/>
        <w:rPr>
          <w:rFonts w:asciiTheme="minorHAnsi" w:hAnsiTheme="minorHAnsi"/>
        </w:rPr>
      </w:pPr>
      <w:r w:rsidRPr="00EE0A93">
        <w:rPr>
          <w:rFonts w:asciiTheme="minorHAnsi" w:hAnsiTheme="minorHAnsi"/>
        </w:rPr>
        <w:t xml:space="preserve">  </w:t>
      </w:r>
    </w:p>
    <w:p w14:paraId="761F600F" w14:textId="25C93DFB" w:rsidR="003E1D7A" w:rsidRPr="00EE0A93" w:rsidRDefault="00FF3D53" w:rsidP="00350790">
      <w:pPr>
        <w:pStyle w:val="Heading1"/>
        <w:ind w:left="-5" w:right="136"/>
        <w:rPr>
          <w:rFonts w:asciiTheme="minorHAnsi" w:hAnsiTheme="minorHAnsi"/>
        </w:rPr>
      </w:pPr>
      <w:r w:rsidRPr="00EE0A93">
        <w:rPr>
          <w:rFonts w:asciiTheme="minorHAnsi" w:hAnsiTheme="minorHAnsi"/>
        </w:rPr>
        <w:t xml:space="preserve">Ganancias/Pérdidas por la Enajenación de Activos </w:t>
      </w:r>
    </w:p>
    <w:p w14:paraId="345B8486" w14:textId="77777777" w:rsidR="00350790" w:rsidRPr="00EE0A93" w:rsidRDefault="00350790" w:rsidP="00350790">
      <w:pPr>
        <w:rPr>
          <w:rFonts w:asciiTheme="minorHAnsi" w:hAnsiTheme="minorHAnsi"/>
        </w:rPr>
      </w:pPr>
    </w:p>
    <w:p w14:paraId="761F6010" w14:textId="34BF4A9D" w:rsidR="003E1D7A" w:rsidRPr="00EE0A93" w:rsidRDefault="00FF3D53">
      <w:pPr>
        <w:ind w:left="720" w:right="0" w:hanging="360"/>
        <w:rPr>
          <w:rFonts w:asciiTheme="minorHAnsi" w:hAnsiTheme="minorHAnsi"/>
        </w:rPr>
      </w:pPr>
      <w:r w:rsidRPr="00EE0A93">
        <w:rPr>
          <w:rFonts w:asciiTheme="minorHAnsi" w:hAnsiTheme="minorHAnsi"/>
        </w:rPr>
        <w:t xml:space="preserve">5.  Una vez que una Planta o un Edificio se han enajenado, el resto del saldo sin depreciar se deduce del costo para determinar el valor neto contable (NBV). La diferencia entre el producto de la venta y el NBV se considera como una ganancia/pérdida por enajenación. El Sistema de Gestión de Activos de </w:t>
      </w:r>
      <w:r w:rsidR="00AF3361">
        <w:rPr>
          <w:rFonts w:asciiTheme="minorHAnsi" w:hAnsiTheme="minorHAnsi"/>
        </w:rPr>
        <w:t>Quantum</w:t>
      </w:r>
      <w:r w:rsidRPr="00EE0A93">
        <w:rPr>
          <w:rFonts w:asciiTheme="minorHAnsi" w:hAnsiTheme="minorHAnsi"/>
        </w:rPr>
        <w:t xml:space="preserve"> calcula automáticamente esta ganancia o pérdida y deduce o acredita la ganancia o la pérdida en la cuenta de ganancia o pérdida por enajenación del libro mayor (GL) utilizando el Plan de Cuentas asociado con el activo. Esto asegura que cada proyecto o donante reciba el valor total del activo, incluso en la enajenación. La oficina </w:t>
      </w:r>
      <w:r w:rsidR="3DBA035D" w:rsidRPr="00EE0A93">
        <w:rPr>
          <w:rFonts w:asciiTheme="minorHAnsi" w:hAnsiTheme="minorHAnsi"/>
        </w:rPr>
        <w:t>de</w:t>
      </w:r>
      <w:r w:rsidRPr="00EE0A93">
        <w:rPr>
          <w:rFonts w:asciiTheme="minorHAnsi" w:hAnsiTheme="minorHAnsi"/>
        </w:rPr>
        <w:t xml:space="preserve"> país (CO) o la dependencia comercial de la Sede deben archivar todos los documentos de </w:t>
      </w:r>
      <w:r w:rsidR="1D0C75F6" w:rsidRPr="00EE0A93">
        <w:rPr>
          <w:rFonts w:asciiTheme="minorHAnsi" w:hAnsiTheme="minorHAnsi"/>
        </w:rPr>
        <w:t xml:space="preserve">la </w:t>
      </w:r>
      <w:r w:rsidRPr="00EE0A93">
        <w:rPr>
          <w:rFonts w:asciiTheme="minorHAnsi" w:hAnsiTheme="minorHAnsi"/>
        </w:rPr>
        <w:t xml:space="preserve">transacción finales relacionados con una enajenación o amortización total, incluidos los detalles de la ganancia o pérdida final contabilizada en el proyecto. </w:t>
      </w:r>
    </w:p>
    <w:p w14:paraId="761F6011" w14:textId="77777777" w:rsidR="003E1D7A" w:rsidRPr="00EE0A93" w:rsidRDefault="00FF3D53">
      <w:pPr>
        <w:spacing w:after="0" w:line="259" w:lineRule="auto"/>
        <w:ind w:left="0" w:right="0" w:firstLine="0"/>
        <w:jc w:val="left"/>
        <w:rPr>
          <w:rFonts w:asciiTheme="minorHAnsi" w:hAnsiTheme="minorHAnsi"/>
        </w:rPr>
      </w:pPr>
      <w:r w:rsidRPr="00EE0A93">
        <w:rPr>
          <w:rFonts w:asciiTheme="minorHAnsi" w:hAnsiTheme="minorHAnsi"/>
        </w:rPr>
        <w:t xml:space="preserve">  </w:t>
      </w:r>
    </w:p>
    <w:p w14:paraId="48E23036" w14:textId="05DA9F0F" w:rsidR="108E8D0A" w:rsidRPr="00EE0A93" w:rsidRDefault="00FF3D53" w:rsidP="008D572F">
      <w:pPr>
        <w:spacing w:after="60" w:line="250" w:lineRule="auto"/>
        <w:ind w:left="0" w:right="130" w:hanging="14"/>
        <w:jc w:val="left"/>
        <w:rPr>
          <w:rFonts w:asciiTheme="minorHAnsi" w:hAnsiTheme="minorHAnsi"/>
          <w:b/>
          <w:bCs/>
        </w:rPr>
      </w:pPr>
      <w:r w:rsidRPr="00EE0A93">
        <w:rPr>
          <w:rFonts w:asciiTheme="minorHAnsi" w:hAnsiTheme="minorHAnsi"/>
          <w:b/>
          <w:bCs/>
        </w:rPr>
        <w:t xml:space="preserve">Procedimientos detallados sobre los Métodos de Enajenación y Amortización Total y los respectivos umbrales  </w:t>
      </w:r>
    </w:p>
    <w:p w14:paraId="7F746137" w14:textId="6CE37DDE" w:rsidR="108E8D0A" w:rsidRPr="00EE0A93" w:rsidRDefault="00FF3D53" w:rsidP="00EE0A93">
      <w:pPr>
        <w:ind w:left="-5" w:right="136" w:firstLine="725"/>
        <w:jc w:val="left"/>
        <w:rPr>
          <w:rFonts w:asciiTheme="minorHAnsi" w:hAnsiTheme="minorHAnsi"/>
        </w:rPr>
      </w:pPr>
      <w:r w:rsidRPr="00EE0A93">
        <w:rPr>
          <w:rFonts w:asciiTheme="minorHAnsi" w:hAnsiTheme="minorHAnsi"/>
        </w:rPr>
        <w:t xml:space="preserve">Consulte la sección de Enajenación y Amortización Total de Activos de las POPP.  </w:t>
      </w:r>
    </w:p>
    <w:p w14:paraId="761F601C" w14:textId="719A6436" w:rsidR="00AD5DAB" w:rsidRPr="00EE0A93" w:rsidRDefault="00FF3D53" w:rsidP="00350790">
      <w:pPr>
        <w:spacing w:after="0" w:line="259" w:lineRule="auto"/>
        <w:ind w:left="0" w:right="1153" w:firstLine="0"/>
        <w:jc w:val="right"/>
        <w:rPr>
          <w:rFonts w:asciiTheme="minorHAnsi" w:hAnsiTheme="minorHAnsi"/>
        </w:rPr>
      </w:pPr>
      <w:r w:rsidRPr="00EE0A93">
        <w:rPr>
          <w:rFonts w:asciiTheme="minorHAnsi" w:hAnsiTheme="minorHAnsi"/>
        </w:rPr>
        <w:t xml:space="preserve"> </w:t>
      </w:r>
    </w:p>
    <w:p w14:paraId="761F6020" w14:textId="77777777" w:rsidR="003E1D7A" w:rsidRPr="00EE0A93" w:rsidRDefault="00FF3D53">
      <w:pPr>
        <w:pStyle w:val="Heading1"/>
        <w:ind w:left="-5" w:right="136"/>
        <w:rPr>
          <w:rFonts w:asciiTheme="minorHAnsi" w:hAnsiTheme="minorHAnsi"/>
        </w:rPr>
      </w:pPr>
      <w:r w:rsidRPr="00EE0A93">
        <w:rPr>
          <w:rFonts w:asciiTheme="minorHAnsi" w:hAnsiTheme="minorHAnsi"/>
        </w:rPr>
        <w:t xml:space="preserve">Funciones y Responsabilidades </w:t>
      </w:r>
    </w:p>
    <w:p w14:paraId="514596FE" w14:textId="77777777" w:rsidR="00536AE5" w:rsidRPr="00EE0A93" w:rsidRDefault="00536AE5" w:rsidP="00536AE5">
      <w:pPr>
        <w:rPr>
          <w:rFonts w:asciiTheme="minorHAnsi" w:hAnsiTheme="minorHAnsi"/>
        </w:rPr>
      </w:pPr>
    </w:p>
    <w:tbl>
      <w:tblPr>
        <w:tblW w:w="4227" w:type="pct"/>
        <w:tblInd w:w="828" w:type="dxa"/>
        <w:tblCellMar>
          <w:left w:w="0" w:type="dxa"/>
          <w:right w:w="0" w:type="dxa"/>
        </w:tblCellMar>
        <w:tblLook w:val="04A0" w:firstRow="1" w:lastRow="0" w:firstColumn="1" w:lastColumn="0" w:noHBand="0" w:noVBand="1"/>
      </w:tblPr>
      <w:tblGrid>
        <w:gridCol w:w="1745"/>
        <w:gridCol w:w="6155"/>
      </w:tblGrid>
      <w:tr w:rsidR="00AD5DAB" w:rsidRPr="00EE0A93" w14:paraId="761F6024" w14:textId="77777777" w:rsidTr="2AC595E5">
        <w:trPr>
          <w:trHeight w:val="591"/>
          <w:tblHeader/>
        </w:trPr>
        <w:tc>
          <w:tcPr>
            <w:tcW w:w="997" w:type="pc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761F6022" w14:textId="77777777" w:rsidR="00AD5DAB" w:rsidRPr="00EE0A93" w:rsidRDefault="00AD5DAB" w:rsidP="006936A5">
            <w:pPr>
              <w:rPr>
                <w:rFonts w:asciiTheme="minorHAnsi" w:eastAsia="Times New Roman" w:hAnsiTheme="minorHAnsi" w:cs="Arial"/>
                <w:b/>
                <w:color w:val="000000" w:themeColor="text1"/>
              </w:rPr>
            </w:pPr>
            <w:r w:rsidRPr="00EE0A93">
              <w:rPr>
                <w:rFonts w:asciiTheme="minorHAnsi" w:hAnsiTheme="minorHAnsi"/>
                <w:b/>
                <w:color w:val="000000" w:themeColor="text1"/>
              </w:rPr>
              <w:t>Parte Responsable</w:t>
            </w:r>
          </w:p>
        </w:tc>
        <w:tc>
          <w:tcPr>
            <w:tcW w:w="4003"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761F6023" w14:textId="77777777" w:rsidR="00AD5DAB" w:rsidRPr="00EE0A93" w:rsidRDefault="00AD5DAB" w:rsidP="006936A5">
            <w:pPr>
              <w:rPr>
                <w:rFonts w:asciiTheme="minorHAnsi" w:eastAsia="Times New Roman" w:hAnsiTheme="minorHAnsi" w:cs="Arial"/>
                <w:b/>
                <w:color w:val="000000" w:themeColor="text1"/>
              </w:rPr>
            </w:pPr>
            <w:r w:rsidRPr="00EE0A93">
              <w:rPr>
                <w:rFonts w:asciiTheme="minorHAnsi" w:hAnsiTheme="minorHAnsi"/>
                <w:b/>
                <w:color w:val="000000" w:themeColor="text1"/>
              </w:rPr>
              <w:t>Responsabilidades</w:t>
            </w:r>
          </w:p>
        </w:tc>
      </w:tr>
      <w:tr w:rsidR="00AD5DAB" w:rsidRPr="00EE0A93" w14:paraId="761F602B" w14:textId="77777777" w:rsidTr="2AC595E5">
        <w:trPr>
          <w:trHeight w:val="2052"/>
        </w:trPr>
        <w:tc>
          <w:tcPr>
            <w:tcW w:w="99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61F6025" w14:textId="4B036347" w:rsidR="00AD5DAB" w:rsidRPr="00EE0A93" w:rsidRDefault="00AD5DAB" w:rsidP="008B1AB7">
            <w:pPr>
              <w:spacing w:after="0" w:line="240" w:lineRule="auto"/>
              <w:ind w:left="0" w:right="0" w:firstLine="0"/>
              <w:rPr>
                <w:rFonts w:asciiTheme="minorHAnsi" w:eastAsia="Times New Roman" w:hAnsiTheme="minorHAnsi" w:cs="Arial"/>
                <w:color w:val="000000" w:themeColor="text1"/>
              </w:rPr>
            </w:pPr>
            <w:r w:rsidRPr="00EE0A93">
              <w:rPr>
                <w:rFonts w:asciiTheme="minorHAnsi" w:hAnsiTheme="minorHAnsi"/>
                <w:color w:val="000000" w:themeColor="text1"/>
              </w:rPr>
              <w:t>RR</w:t>
            </w:r>
            <w:r w:rsidR="21F41CD2" w:rsidRPr="00EE0A93">
              <w:rPr>
                <w:rFonts w:asciiTheme="minorHAnsi" w:hAnsiTheme="minorHAnsi"/>
                <w:color w:val="000000" w:themeColor="text1"/>
              </w:rPr>
              <w:t>,</w:t>
            </w:r>
          </w:p>
          <w:p w14:paraId="761F6026" w14:textId="175689FE" w:rsidR="00AD5DAB" w:rsidRPr="00EE0A93" w:rsidRDefault="00AD5DAB" w:rsidP="008B1AB7">
            <w:pPr>
              <w:spacing w:after="0" w:line="240" w:lineRule="auto"/>
              <w:ind w:left="0" w:right="0" w:firstLine="0"/>
              <w:rPr>
                <w:rFonts w:asciiTheme="minorHAnsi" w:eastAsia="Times New Roman" w:hAnsiTheme="minorHAnsi" w:cs="Arial"/>
                <w:color w:val="000000" w:themeColor="text1"/>
              </w:rPr>
            </w:pPr>
            <w:r w:rsidRPr="00EE0A93">
              <w:rPr>
                <w:rFonts w:asciiTheme="minorHAnsi" w:hAnsiTheme="minorHAnsi"/>
                <w:color w:val="000000" w:themeColor="text1"/>
              </w:rPr>
              <w:t>Jefe de Dependencia de la Sede</w:t>
            </w:r>
            <w:r w:rsidR="1531D906" w:rsidRPr="00EE0A93">
              <w:rPr>
                <w:rFonts w:asciiTheme="minorHAnsi" w:hAnsiTheme="minorHAnsi"/>
                <w:color w:val="000000" w:themeColor="text1"/>
              </w:rPr>
              <w:t>,</w:t>
            </w:r>
          </w:p>
          <w:p w14:paraId="761F6027" w14:textId="77777777" w:rsidR="00AD5DAB" w:rsidRPr="00EE0A93" w:rsidRDefault="00AD5DAB" w:rsidP="008B1AB7">
            <w:pPr>
              <w:spacing w:after="0" w:line="240" w:lineRule="auto"/>
              <w:ind w:left="0" w:right="0" w:firstLine="0"/>
              <w:rPr>
                <w:rFonts w:asciiTheme="minorHAnsi" w:eastAsia="Times New Roman" w:hAnsiTheme="minorHAnsi" w:cs="Arial"/>
                <w:color w:val="000000" w:themeColor="text1"/>
              </w:rPr>
            </w:pPr>
            <w:r w:rsidRPr="00EE0A93">
              <w:rPr>
                <w:rFonts w:asciiTheme="minorHAnsi" w:hAnsiTheme="minorHAnsi"/>
                <w:color w:val="000000" w:themeColor="text1"/>
              </w:rPr>
              <w:t>Jefe de Dependencias fuera de la Sede</w:t>
            </w:r>
          </w:p>
        </w:tc>
        <w:tc>
          <w:tcPr>
            <w:tcW w:w="400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61F6028" w14:textId="77777777" w:rsidR="00AD5DAB" w:rsidRPr="00EE0A93" w:rsidRDefault="00AD5DAB" w:rsidP="00536AE5">
            <w:pPr>
              <w:pStyle w:val="ListParagraph"/>
              <w:numPr>
                <w:ilvl w:val="0"/>
                <w:numId w:val="4"/>
              </w:numPr>
              <w:spacing w:after="80"/>
              <w:ind w:left="274" w:hanging="274"/>
              <w:jc w:val="both"/>
              <w:rPr>
                <w:rFonts w:asciiTheme="minorHAnsi" w:eastAsia="Times New Roman" w:hAnsiTheme="minorHAnsi" w:cs="Arial"/>
                <w:color w:val="000000" w:themeColor="text1"/>
              </w:rPr>
            </w:pPr>
            <w:r w:rsidRPr="00EE0A93">
              <w:rPr>
                <w:rFonts w:asciiTheme="minorHAnsi" w:hAnsiTheme="minorHAnsi"/>
                <w:color w:val="000000" w:themeColor="text1"/>
              </w:rPr>
              <w:t>Mantener registros completos y precisos de Plantas, Terrenos y Edificios adquiridos por sus oficinas;</w:t>
            </w:r>
          </w:p>
          <w:p w14:paraId="761F6029" w14:textId="78DB80DE" w:rsidR="00AD5DAB" w:rsidRPr="00EE0A93" w:rsidRDefault="00AD5DAB" w:rsidP="00536AE5">
            <w:pPr>
              <w:pStyle w:val="ListParagraph"/>
              <w:numPr>
                <w:ilvl w:val="0"/>
                <w:numId w:val="4"/>
              </w:numPr>
              <w:spacing w:after="80"/>
              <w:ind w:left="274" w:hanging="274"/>
              <w:jc w:val="both"/>
              <w:rPr>
                <w:rFonts w:asciiTheme="minorHAnsi" w:eastAsia="Times New Roman" w:hAnsiTheme="minorHAnsi" w:cs="Arial"/>
                <w:color w:val="000000" w:themeColor="text1"/>
              </w:rPr>
            </w:pPr>
            <w:r w:rsidRPr="00EE0A93">
              <w:rPr>
                <w:rFonts w:asciiTheme="minorHAnsi" w:hAnsiTheme="minorHAnsi"/>
                <w:color w:val="000000" w:themeColor="text1"/>
              </w:rPr>
              <w:t>Consultar al CAP sobre la enajenación de artículos con un costo superior a USD 2500 y hasta la DPA, al RACP para artículos por encima de la DPA y de hasta USD 1 millón y al ACP para artículos con un costo superior a USD 1 millón</w:t>
            </w:r>
            <w:r w:rsidR="792480CF" w:rsidRPr="00EE0A93">
              <w:rPr>
                <w:rFonts w:asciiTheme="minorHAnsi" w:hAnsiTheme="minorHAnsi"/>
                <w:color w:val="000000" w:themeColor="text1"/>
              </w:rPr>
              <w:t>;</w:t>
            </w:r>
          </w:p>
          <w:p w14:paraId="761F602A" w14:textId="6FEEF646" w:rsidR="00AD5DAB" w:rsidRPr="00EE0A93" w:rsidRDefault="00AD5DAB" w:rsidP="00536AE5">
            <w:pPr>
              <w:pStyle w:val="ListParagraph"/>
              <w:numPr>
                <w:ilvl w:val="0"/>
                <w:numId w:val="4"/>
              </w:numPr>
              <w:spacing w:after="80"/>
              <w:ind w:left="274" w:hanging="274"/>
              <w:jc w:val="both"/>
              <w:rPr>
                <w:rFonts w:asciiTheme="minorHAnsi" w:eastAsia="Times New Roman" w:hAnsiTheme="minorHAnsi" w:cs="Arial"/>
                <w:color w:val="000000" w:themeColor="text1"/>
              </w:rPr>
            </w:pPr>
            <w:r w:rsidRPr="00EE0A93">
              <w:rPr>
                <w:rFonts w:asciiTheme="minorHAnsi" w:hAnsiTheme="minorHAnsi"/>
                <w:color w:val="000000" w:themeColor="text1"/>
              </w:rPr>
              <w:t xml:space="preserve">Presentar los documentos de certificación del ejercicio bianual </w:t>
            </w:r>
            <w:r w:rsidR="2C898A90" w:rsidRPr="00EE0A93">
              <w:rPr>
                <w:rFonts w:asciiTheme="minorHAnsi" w:hAnsiTheme="minorHAnsi"/>
                <w:color w:val="000000" w:themeColor="text1"/>
              </w:rPr>
              <w:t xml:space="preserve">/ o anual </w:t>
            </w:r>
            <w:r w:rsidRPr="00EE0A93">
              <w:rPr>
                <w:rFonts w:asciiTheme="minorHAnsi" w:hAnsiTheme="minorHAnsi"/>
                <w:color w:val="000000" w:themeColor="text1"/>
              </w:rPr>
              <w:t>de verificación física a la dependencia de Operaciones Generales de la BMS antes de la fecha límite de presentación</w:t>
            </w:r>
            <w:r w:rsidR="28D95232" w:rsidRPr="00EE0A93">
              <w:rPr>
                <w:rFonts w:asciiTheme="minorHAnsi" w:hAnsiTheme="minorHAnsi"/>
                <w:color w:val="000000" w:themeColor="text1"/>
              </w:rPr>
              <w:t>.</w:t>
            </w:r>
          </w:p>
        </w:tc>
      </w:tr>
      <w:tr w:rsidR="00AD5DAB" w:rsidRPr="00EE0A93" w14:paraId="761F6031" w14:textId="77777777" w:rsidTr="2AC595E5">
        <w:trPr>
          <w:trHeight w:val="1521"/>
        </w:trPr>
        <w:tc>
          <w:tcPr>
            <w:tcW w:w="99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61F602C" w14:textId="5B3EC54B" w:rsidR="00AD5DAB" w:rsidRPr="00EE0A93" w:rsidRDefault="00AD5DAB" w:rsidP="008B1AB7">
            <w:pPr>
              <w:spacing w:after="0" w:line="240" w:lineRule="auto"/>
              <w:ind w:left="0" w:right="0" w:firstLine="0"/>
              <w:rPr>
                <w:rFonts w:asciiTheme="minorHAnsi" w:eastAsia="Times New Roman" w:hAnsiTheme="minorHAnsi" w:cs="Arial"/>
                <w:color w:val="000000" w:themeColor="text1"/>
              </w:rPr>
            </w:pPr>
            <w:r w:rsidRPr="00EE0A93">
              <w:rPr>
                <w:rFonts w:asciiTheme="minorHAnsi" w:hAnsiTheme="minorHAnsi"/>
                <w:color w:val="000000" w:themeColor="text1"/>
              </w:rPr>
              <w:t>Coordinador de Activos</w:t>
            </w:r>
            <w:r w:rsidR="75EA555F" w:rsidRPr="00EE0A93">
              <w:rPr>
                <w:rFonts w:asciiTheme="minorHAnsi" w:hAnsiTheme="minorHAnsi"/>
                <w:color w:val="000000" w:themeColor="text1"/>
              </w:rPr>
              <w:t>,</w:t>
            </w:r>
            <w:r w:rsidRPr="00EE0A93">
              <w:rPr>
                <w:rFonts w:asciiTheme="minorHAnsi" w:hAnsiTheme="minorHAnsi"/>
                <w:color w:val="000000" w:themeColor="text1"/>
              </w:rPr>
              <w:t xml:space="preserve"> Gerente de Operaciones</w:t>
            </w:r>
          </w:p>
        </w:tc>
        <w:tc>
          <w:tcPr>
            <w:tcW w:w="400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5C9A55B" w14:textId="7FABD436" w:rsidR="4FA97F34" w:rsidRPr="00EE0A93" w:rsidRDefault="3C50B420" w:rsidP="26EEE161">
            <w:pPr>
              <w:pStyle w:val="ListParagraph"/>
              <w:numPr>
                <w:ilvl w:val="0"/>
                <w:numId w:val="4"/>
              </w:numPr>
              <w:spacing w:after="80"/>
              <w:ind w:left="274" w:hanging="274"/>
              <w:jc w:val="both"/>
              <w:rPr>
                <w:rStyle w:val="Hyperlink"/>
                <w:rFonts w:asciiTheme="minorHAnsi" w:hAnsiTheme="minorHAnsi"/>
                <w:color w:val="000000" w:themeColor="text1"/>
              </w:rPr>
            </w:pPr>
            <w:r w:rsidRPr="00EE0A93">
              <w:rPr>
                <w:rFonts w:asciiTheme="minorHAnsi" w:hAnsiTheme="minorHAnsi"/>
                <w:color w:val="000000" w:themeColor="text1"/>
              </w:rPr>
              <w:t>Presentar solicitudes al CGSC (Centro Global de Servicios Compartidos) a través de</w:t>
            </w:r>
            <w:r w:rsidR="00AF3361">
              <w:rPr>
                <w:rFonts w:asciiTheme="minorHAnsi" w:hAnsiTheme="minorHAnsi"/>
                <w:color w:val="000000" w:themeColor="text1"/>
              </w:rPr>
              <w:t xml:space="preserve"> UNAll </w:t>
            </w:r>
            <w:r w:rsidRPr="00EE0A93">
              <w:rPr>
                <w:rFonts w:asciiTheme="minorHAnsi" w:hAnsiTheme="minorHAnsi"/>
                <w:color w:val="000000" w:themeColor="text1"/>
              </w:rPr>
              <w:t xml:space="preserve">para todas las transacciones de activos, con excepción de los cambios de ubicación y custodia e imputar información sobre activos. </w:t>
            </w:r>
          </w:p>
          <w:p w14:paraId="761F602F" w14:textId="6CD7BA6D" w:rsidR="00AD5DAB" w:rsidRPr="00EE0A93" w:rsidRDefault="00AD5DAB" w:rsidP="00536AE5">
            <w:pPr>
              <w:pStyle w:val="ListParagraph"/>
              <w:numPr>
                <w:ilvl w:val="0"/>
                <w:numId w:val="4"/>
              </w:numPr>
              <w:spacing w:after="80"/>
              <w:ind w:left="274" w:hanging="274"/>
              <w:jc w:val="both"/>
              <w:rPr>
                <w:rFonts w:asciiTheme="minorHAnsi" w:eastAsia="Times New Roman" w:hAnsiTheme="minorHAnsi" w:cs="Arial"/>
                <w:color w:val="000000" w:themeColor="text1"/>
              </w:rPr>
            </w:pPr>
            <w:r w:rsidRPr="00EE0A93">
              <w:rPr>
                <w:rFonts w:asciiTheme="minorHAnsi" w:hAnsiTheme="minorHAnsi"/>
                <w:color w:val="000000" w:themeColor="text1"/>
              </w:rPr>
              <w:t xml:space="preserve">Asegurar que toda la información y los detalles sobre activos en el módulo activos de </w:t>
            </w:r>
            <w:r w:rsidR="00AF3361">
              <w:rPr>
                <w:rFonts w:asciiTheme="minorHAnsi" w:hAnsiTheme="minorHAnsi"/>
                <w:color w:val="000000" w:themeColor="text1"/>
              </w:rPr>
              <w:t>Quantum</w:t>
            </w:r>
            <w:r w:rsidRPr="00EE0A93">
              <w:rPr>
                <w:rFonts w:asciiTheme="minorHAnsi" w:hAnsiTheme="minorHAnsi"/>
                <w:color w:val="000000" w:themeColor="text1"/>
              </w:rPr>
              <w:t xml:space="preserve"> sean precisos</w:t>
            </w:r>
            <w:r w:rsidR="06936F83" w:rsidRPr="00EE0A93">
              <w:rPr>
                <w:rFonts w:asciiTheme="minorHAnsi" w:hAnsiTheme="minorHAnsi"/>
                <w:color w:val="000000" w:themeColor="text1"/>
              </w:rPr>
              <w:t>;</w:t>
            </w:r>
          </w:p>
          <w:p w14:paraId="761F6030" w14:textId="45B25657" w:rsidR="00AD5DAB" w:rsidRPr="00EE0A93" w:rsidRDefault="00AD5DAB" w:rsidP="00536AE5">
            <w:pPr>
              <w:pStyle w:val="ListParagraph"/>
              <w:numPr>
                <w:ilvl w:val="0"/>
                <w:numId w:val="4"/>
              </w:numPr>
              <w:spacing w:after="80"/>
              <w:ind w:left="274" w:hanging="274"/>
              <w:jc w:val="both"/>
              <w:rPr>
                <w:rFonts w:asciiTheme="minorHAnsi" w:eastAsia="Times New Roman" w:hAnsiTheme="minorHAnsi" w:cs="Arial"/>
                <w:color w:val="000000" w:themeColor="text1"/>
              </w:rPr>
            </w:pPr>
            <w:r w:rsidRPr="00EE0A93">
              <w:rPr>
                <w:rFonts w:asciiTheme="minorHAnsi" w:hAnsiTheme="minorHAnsi"/>
                <w:color w:val="000000" w:themeColor="text1"/>
              </w:rPr>
              <w:t>Proporcionar calendarios e información para el ejercicio de verificación física</w:t>
            </w:r>
            <w:r w:rsidR="39C8DD7F" w:rsidRPr="00EE0A93">
              <w:rPr>
                <w:rFonts w:asciiTheme="minorHAnsi" w:hAnsiTheme="minorHAnsi"/>
                <w:color w:val="000000" w:themeColor="text1"/>
              </w:rPr>
              <w:t>.</w:t>
            </w:r>
          </w:p>
        </w:tc>
      </w:tr>
      <w:tr w:rsidR="00AD5DAB" w:rsidRPr="00EE0A93" w14:paraId="761F6039" w14:textId="77777777" w:rsidTr="2AC595E5">
        <w:trPr>
          <w:trHeight w:val="2862"/>
        </w:trPr>
        <w:tc>
          <w:tcPr>
            <w:tcW w:w="99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61F6032" w14:textId="77777777" w:rsidR="00AD5DAB" w:rsidRPr="00EE0A93" w:rsidRDefault="00AD5DAB" w:rsidP="008B1AB7">
            <w:pPr>
              <w:spacing w:after="0" w:line="240" w:lineRule="auto"/>
              <w:ind w:left="0" w:right="0" w:firstLine="0"/>
              <w:rPr>
                <w:rFonts w:asciiTheme="minorHAnsi" w:eastAsia="Times New Roman" w:hAnsiTheme="minorHAnsi" w:cs="Arial"/>
                <w:color w:val="000000" w:themeColor="text1"/>
              </w:rPr>
            </w:pPr>
            <w:r w:rsidRPr="00EE0A93">
              <w:rPr>
                <w:rFonts w:asciiTheme="minorHAnsi" w:hAnsiTheme="minorHAnsi"/>
                <w:color w:val="000000" w:themeColor="text1"/>
              </w:rPr>
              <w:lastRenderedPageBreak/>
              <w:t xml:space="preserve"> Operaciones Generales/BMS</w:t>
            </w:r>
          </w:p>
        </w:tc>
        <w:tc>
          <w:tcPr>
            <w:tcW w:w="400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61F6033" w14:textId="77777777" w:rsidR="00AD5DAB" w:rsidRPr="00EE0A93" w:rsidRDefault="00AD5DAB" w:rsidP="00536AE5">
            <w:pPr>
              <w:pStyle w:val="ListParagraph"/>
              <w:numPr>
                <w:ilvl w:val="0"/>
                <w:numId w:val="4"/>
              </w:numPr>
              <w:spacing w:after="80"/>
              <w:ind w:left="274" w:hanging="274"/>
              <w:jc w:val="both"/>
              <w:rPr>
                <w:rFonts w:asciiTheme="minorHAnsi" w:eastAsia="Times New Roman" w:hAnsiTheme="minorHAnsi" w:cs="Arial"/>
                <w:color w:val="000000" w:themeColor="text1"/>
              </w:rPr>
            </w:pPr>
            <w:r w:rsidRPr="00EE0A93">
              <w:rPr>
                <w:rFonts w:asciiTheme="minorHAnsi" w:hAnsiTheme="minorHAnsi"/>
                <w:color w:val="000000" w:themeColor="text1"/>
              </w:rPr>
              <w:t>Consultar al CAP sobre enajenaciones de partidas de activos con un valor superior a USD 2500 y por debajo de la DPA y al ACP para la enajenación de activos por encima de la DPA para la Sede;</w:t>
            </w:r>
          </w:p>
          <w:p w14:paraId="761F6034" w14:textId="77777777" w:rsidR="00AD5DAB" w:rsidRPr="00EE0A93" w:rsidRDefault="00AD5DAB" w:rsidP="00536AE5">
            <w:pPr>
              <w:pStyle w:val="ListParagraph"/>
              <w:numPr>
                <w:ilvl w:val="0"/>
                <w:numId w:val="4"/>
              </w:numPr>
              <w:spacing w:after="80"/>
              <w:ind w:left="274" w:hanging="274"/>
              <w:jc w:val="both"/>
              <w:rPr>
                <w:rFonts w:asciiTheme="minorHAnsi" w:eastAsia="Times New Roman" w:hAnsiTheme="minorHAnsi" w:cs="Arial"/>
                <w:color w:val="000000" w:themeColor="text1"/>
              </w:rPr>
            </w:pPr>
            <w:r w:rsidRPr="00EE0A93">
              <w:rPr>
                <w:rFonts w:asciiTheme="minorHAnsi" w:hAnsiTheme="minorHAnsi"/>
                <w:color w:val="000000" w:themeColor="text1"/>
              </w:rPr>
              <w:t>Mantener registros oportunos y precisos de Propiedades y Plantas de la Sede del PNUD;</w:t>
            </w:r>
          </w:p>
          <w:p w14:paraId="761F6035" w14:textId="4EAC6BC5" w:rsidR="00AD5DAB" w:rsidRPr="00EE0A93" w:rsidRDefault="00AD5DAB" w:rsidP="00536AE5">
            <w:pPr>
              <w:pStyle w:val="ListParagraph"/>
              <w:numPr>
                <w:ilvl w:val="0"/>
                <w:numId w:val="4"/>
              </w:numPr>
              <w:spacing w:after="80"/>
              <w:ind w:left="274" w:hanging="274"/>
              <w:jc w:val="both"/>
              <w:rPr>
                <w:rFonts w:asciiTheme="minorHAnsi" w:eastAsia="Times New Roman" w:hAnsiTheme="minorHAnsi" w:cs="Arial"/>
                <w:color w:val="000000" w:themeColor="text1"/>
              </w:rPr>
            </w:pPr>
            <w:r w:rsidRPr="00EE0A93">
              <w:rPr>
                <w:rFonts w:asciiTheme="minorHAnsi" w:hAnsiTheme="minorHAnsi"/>
                <w:color w:val="000000" w:themeColor="text1"/>
              </w:rPr>
              <w:t>Consolidar informes de PPE (Propiedades, Planta y Equipo) del PNUD para determinar la cifra de activos no fungibles en los estados financieros</w:t>
            </w:r>
            <w:r w:rsidR="37C96601" w:rsidRPr="00EE0A93">
              <w:rPr>
                <w:rFonts w:asciiTheme="minorHAnsi" w:hAnsiTheme="minorHAnsi"/>
                <w:color w:val="000000" w:themeColor="text1"/>
              </w:rPr>
              <w:t>;</w:t>
            </w:r>
          </w:p>
          <w:p w14:paraId="761F6036" w14:textId="44B3A271" w:rsidR="00AD5DAB" w:rsidRPr="00EE0A93" w:rsidRDefault="00AD5DAB" w:rsidP="00536AE5">
            <w:pPr>
              <w:pStyle w:val="ListParagraph"/>
              <w:numPr>
                <w:ilvl w:val="0"/>
                <w:numId w:val="4"/>
              </w:numPr>
              <w:spacing w:after="80"/>
              <w:ind w:left="274" w:hanging="274"/>
              <w:jc w:val="both"/>
              <w:rPr>
                <w:rFonts w:asciiTheme="minorHAnsi" w:eastAsia="Times New Roman" w:hAnsiTheme="minorHAnsi" w:cs="Arial"/>
                <w:color w:val="000000" w:themeColor="text1"/>
              </w:rPr>
            </w:pPr>
            <w:r w:rsidRPr="00EE0A93">
              <w:rPr>
                <w:rFonts w:asciiTheme="minorHAnsi" w:hAnsiTheme="minorHAnsi"/>
                <w:color w:val="000000" w:themeColor="text1"/>
              </w:rPr>
              <w:t xml:space="preserve">Coordinar el ejercicio de verificación física bianual </w:t>
            </w:r>
            <w:r w:rsidR="318F4C7F" w:rsidRPr="00EE0A93">
              <w:rPr>
                <w:rFonts w:asciiTheme="minorHAnsi" w:hAnsiTheme="minorHAnsi"/>
                <w:color w:val="000000" w:themeColor="text1"/>
              </w:rPr>
              <w:t xml:space="preserve">/ o anual </w:t>
            </w:r>
            <w:r w:rsidRPr="00EE0A93">
              <w:rPr>
                <w:rFonts w:asciiTheme="minorHAnsi" w:hAnsiTheme="minorHAnsi"/>
                <w:color w:val="000000" w:themeColor="text1"/>
              </w:rPr>
              <w:t>de la Sede de Nueva York (NYHQ) para los activos no fungibles</w:t>
            </w:r>
            <w:r w:rsidR="60754665" w:rsidRPr="00EE0A93">
              <w:rPr>
                <w:rFonts w:asciiTheme="minorHAnsi" w:hAnsiTheme="minorHAnsi"/>
                <w:color w:val="000000" w:themeColor="text1"/>
              </w:rPr>
              <w:t>;</w:t>
            </w:r>
          </w:p>
          <w:p w14:paraId="761F6037" w14:textId="1C05E10E" w:rsidR="00AD5DAB" w:rsidRPr="00EE0A93" w:rsidRDefault="00AD5DAB" w:rsidP="00536AE5">
            <w:pPr>
              <w:pStyle w:val="ListParagraph"/>
              <w:numPr>
                <w:ilvl w:val="0"/>
                <w:numId w:val="4"/>
              </w:numPr>
              <w:spacing w:after="80"/>
              <w:ind w:left="274" w:hanging="274"/>
              <w:jc w:val="both"/>
              <w:rPr>
                <w:rFonts w:asciiTheme="minorHAnsi" w:eastAsia="Times New Roman" w:hAnsiTheme="minorHAnsi" w:cs="Arial"/>
                <w:color w:val="000000" w:themeColor="text1"/>
              </w:rPr>
            </w:pPr>
            <w:r w:rsidRPr="00EE0A93">
              <w:rPr>
                <w:rFonts w:asciiTheme="minorHAnsi" w:hAnsiTheme="minorHAnsi"/>
                <w:color w:val="000000" w:themeColor="text1"/>
              </w:rPr>
              <w:t>Revisar y consolidar las certificaciones de la verificación física bianual</w:t>
            </w:r>
            <w:r w:rsidR="318F4C7F" w:rsidRPr="00EE0A93">
              <w:rPr>
                <w:rFonts w:asciiTheme="minorHAnsi" w:hAnsiTheme="minorHAnsi"/>
                <w:color w:val="000000" w:themeColor="text1"/>
              </w:rPr>
              <w:t xml:space="preserve"> / o anual</w:t>
            </w:r>
            <w:r w:rsidRPr="00EE0A93">
              <w:rPr>
                <w:rFonts w:asciiTheme="minorHAnsi" w:hAnsiTheme="minorHAnsi"/>
                <w:color w:val="000000" w:themeColor="text1"/>
              </w:rPr>
              <w:t xml:space="preserve"> de la oficina </w:t>
            </w:r>
            <w:r w:rsidR="63E3FBF6" w:rsidRPr="00EE0A93">
              <w:rPr>
                <w:rFonts w:asciiTheme="minorHAnsi" w:hAnsiTheme="minorHAnsi"/>
                <w:color w:val="000000" w:themeColor="text1"/>
              </w:rPr>
              <w:t xml:space="preserve">de </w:t>
            </w:r>
            <w:r w:rsidRPr="00EE0A93">
              <w:rPr>
                <w:rFonts w:asciiTheme="minorHAnsi" w:hAnsiTheme="minorHAnsi"/>
                <w:color w:val="000000" w:themeColor="text1"/>
              </w:rPr>
              <w:t>país</w:t>
            </w:r>
            <w:r w:rsidR="25DB0DB8" w:rsidRPr="00EE0A93">
              <w:rPr>
                <w:rFonts w:asciiTheme="minorHAnsi" w:hAnsiTheme="minorHAnsi"/>
                <w:color w:val="000000" w:themeColor="text1"/>
              </w:rPr>
              <w:t>;</w:t>
            </w:r>
            <w:r w:rsidRPr="00EE0A93">
              <w:rPr>
                <w:rFonts w:asciiTheme="minorHAnsi" w:hAnsiTheme="minorHAnsi"/>
                <w:color w:val="000000" w:themeColor="text1"/>
              </w:rPr>
              <w:t xml:space="preserve"> </w:t>
            </w:r>
          </w:p>
          <w:p w14:paraId="761F6038" w14:textId="541B39A9" w:rsidR="00AD5DAB" w:rsidRPr="00EE0A93" w:rsidRDefault="00AD5DAB" w:rsidP="00536AE5">
            <w:pPr>
              <w:pStyle w:val="ListParagraph"/>
              <w:numPr>
                <w:ilvl w:val="0"/>
                <w:numId w:val="4"/>
              </w:numPr>
              <w:spacing w:after="80"/>
              <w:ind w:left="274" w:hanging="274"/>
              <w:jc w:val="both"/>
              <w:rPr>
                <w:rFonts w:asciiTheme="minorHAnsi" w:eastAsia="Times New Roman" w:hAnsiTheme="minorHAnsi" w:cs="Arial"/>
                <w:color w:val="000000" w:themeColor="text1"/>
              </w:rPr>
            </w:pPr>
            <w:r w:rsidRPr="00EE0A93">
              <w:rPr>
                <w:rFonts w:asciiTheme="minorHAnsi" w:hAnsiTheme="minorHAnsi"/>
                <w:color w:val="000000" w:themeColor="text1"/>
              </w:rPr>
              <w:t>Preparar políticas y procedimientos para la gestión de activos</w:t>
            </w:r>
            <w:r w:rsidR="18935B9F" w:rsidRPr="00EE0A93">
              <w:rPr>
                <w:rFonts w:asciiTheme="minorHAnsi" w:hAnsiTheme="minorHAnsi"/>
                <w:color w:val="000000" w:themeColor="text1"/>
              </w:rPr>
              <w:t>.</w:t>
            </w:r>
          </w:p>
        </w:tc>
      </w:tr>
      <w:tr w:rsidR="00AD5DAB" w:rsidRPr="00EE0A93" w14:paraId="761F603C" w14:textId="77777777" w:rsidTr="2AC595E5">
        <w:trPr>
          <w:trHeight w:val="522"/>
        </w:trPr>
        <w:tc>
          <w:tcPr>
            <w:tcW w:w="99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61F603A" w14:textId="77777777" w:rsidR="00AD5DAB" w:rsidRPr="00EE0A93" w:rsidRDefault="00AD5DAB" w:rsidP="008B1AB7">
            <w:pPr>
              <w:spacing w:after="0" w:line="240" w:lineRule="auto"/>
              <w:ind w:left="0" w:right="0" w:firstLine="0"/>
              <w:rPr>
                <w:rFonts w:asciiTheme="minorHAnsi" w:eastAsia="Times New Roman" w:hAnsiTheme="minorHAnsi" w:cs="Arial"/>
                <w:color w:val="000000" w:themeColor="text1"/>
              </w:rPr>
            </w:pPr>
            <w:r w:rsidRPr="00EE0A93">
              <w:rPr>
                <w:rFonts w:asciiTheme="minorHAnsi" w:hAnsiTheme="minorHAnsi"/>
                <w:color w:val="000000" w:themeColor="text1"/>
              </w:rPr>
              <w:t>CAP/RACP/ACP</w:t>
            </w:r>
          </w:p>
        </w:tc>
        <w:tc>
          <w:tcPr>
            <w:tcW w:w="400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61F603B" w14:textId="77777777" w:rsidR="00AD5DAB" w:rsidRPr="00EE0A93" w:rsidRDefault="00AD5DAB" w:rsidP="00536AE5">
            <w:pPr>
              <w:pStyle w:val="ListParagraph"/>
              <w:numPr>
                <w:ilvl w:val="0"/>
                <w:numId w:val="4"/>
              </w:numPr>
              <w:spacing w:after="80"/>
              <w:ind w:left="274" w:hanging="274"/>
              <w:jc w:val="both"/>
              <w:rPr>
                <w:rFonts w:asciiTheme="minorHAnsi" w:eastAsia="Times New Roman" w:hAnsiTheme="minorHAnsi" w:cs="Arial"/>
                <w:color w:val="000000" w:themeColor="text1"/>
              </w:rPr>
            </w:pPr>
            <w:r w:rsidRPr="00EE0A93">
              <w:rPr>
                <w:rFonts w:asciiTheme="minorHAnsi" w:hAnsiTheme="minorHAnsi"/>
                <w:color w:val="000000" w:themeColor="text1"/>
              </w:rPr>
              <w:t>Revisar y recomendar acciones para enajenaciones de PPE del PNUD</w:t>
            </w:r>
          </w:p>
        </w:tc>
      </w:tr>
      <w:tr w:rsidR="00AD5DAB" w:rsidRPr="00EE0A93" w14:paraId="761F603F" w14:textId="77777777" w:rsidTr="2AC595E5">
        <w:trPr>
          <w:trHeight w:val="972"/>
        </w:trPr>
        <w:tc>
          <w:tcPr>
            <w:tcW w:w="99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61F603D" w14:textId="77777777" w:rsidR="00AD5DAB" w:rsidRPr="00EE0A93" w:rsidRDefault="00AD5DAB" w:rsidP="008B1AB7">
            <w:pPr>
              <w:spacing w:after="0" w:line="240" w:lineRule="auto"/>
              <w:ind w:left="0" w:right="0" w:firstLine="0"/>
              <w:rPr>
                <w:rFonts w:asciiTheme="minorHAnsi" w:eastAsia="Times New Roman" w:hAnsiTheme="minorHAnsi" w:cs="Arial"/>
                <w:color w:val="000000" w:themeColor="text1"/>
              </w:rPr>
            </w:pPr>
            <w:r w:rsidRPr="00EE0A93">
              <w:rPr>
                <w:rFonts w:asciiTheme="minorHAnsi" w:hAnsiTheme="minorHAnsi"/>
                <w:color w:val="000000" w:themeColor="text1"/>
              </w:rPr>
              <w:t>OJA</w:t>
            </w:r>
          </w:p>
        </w:tc>
        <w:tc>
          <w:tcPr>
            <w:tcW w:w="400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61F603E" w14:textId="2F842609" w:rsidR="00AD5DAB" w:rsidRPr="00EE0A93" w:rsidRDefault="00AD5DAB" w:rsidP="00536AE5">
            <w:pPr>
              <w:pStyle w:val="ListParagraph"/>
              <w:numPr>
                <w:ilvl w:val="0"/>
                <w:numId w:val="4"/>
              </w:numPr>
              <w:spacing w:after="80"/>
              <w:ind w:left="274" w:hanging="274"/>
              <w:jc w:val="both"/>
              <w:rPr>
                <w:rFonts w:asciiTheme="minorHAnsi" w:eastAsia="Times New Roman" w:hAnsiTheme="minorHAnsi" w:cs="Arial"/>
                <w:color w:val="000000" w:themeColor="text1"/>
              </w:rPr>
            </w:pPr>
            <w:r w:rsidRPr="00EE0A93">
              <w:rPr>
                <w:rFonts w:asciiTheme="minorHAnsi" w:hAnsiTheme="minorHAnsi"/>
                <w:color w:val="000000" w:themeColor="text1"/>
              </w:rPr>
              <w:t>Responsabilidad general por PPE del PNUD</w:t>
            </w:r>
            <w:r w:rsidR="00B639AE">
              <w:rPr>
                <w:rFonts w:asciiTheme="minorHAnsi" w:hAnsiTheme="minorHAnsi"/>
                <w:color w:val="000000" w:themeColor="text1"/>
              </w:rPr>
              <w:t xml:space="preserve">. </w:t>
            </w:r>
            <w:r w:rsidRPr="00EE0A93">
              <w:rPr>
                <w:rFonts w:asciiTheme="minorHAnsi" w:hAnsiTheme="minorHAnsi"/>
                <w:color w:val="000000" w:themeColor="text1"/>
              </w:rPr>
              <w:t>Esta función se delega a RR (Representantes Residentes), a los Jefes de Dependencias fuera de la Sede y al Jefe de la dependencia de Operaciones Generales de la BMS para las dependencias de la Sede</w:t>
            </w:r>
          </w:p>
        </w:tc>
      </w:tr>
      <w:tr w:rsidR="00AD5DAB" w:rsidRPr="00EE0A93" w14:paraId="761F6043" w14:textId="77777777" w:rsidTr="2AC595E5">
        <w:trPr>
          <w:trHeight w:val="1242"/>
        </w:trPr>
        <w:tc>
          <w:tcPr>
            <w:tcW w:w="99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61F6040" w14:textId="2897928E" w:rsidR="00AD5DAB" w:rsidRPr="00EE0A93" w:rsidRDefault="00AD5DAB" w:rsidP="008B1AB7">
            <w:pPr>
              <w:spacing w:after="0" w:line="240" w:lineRule="auto"/>
              <w:ind w:left="0" w:right="0" w:firstLine="0"/>
              <w:rPr>
                <w:rFonts w:asciiTheme="minorHAnsi" w:eastAsia="Times New Roman" w:hAnsiTheme="minorHAnsi" w:cs="Arial"/>
                <w:color w:val="000000" w:themeColor="text1"/>
              </w:rPr>
            </w:pPr>
            <w:r w:rsidRPr="00EE0A93">
              <w:rPr>
                <w:rFonts w:asciiTheme="minorHAnsi" w:hAnsiTheme="minorHAnsi"/>
                <w:color w:val="000000" w:themeColor="text1"/>
              </w:rPr>
              <w:t>C</w:t>
            </w:r>
            <w:r w:rsidR="43089904" w:rsidRPr="00EE0A93">
              <w:rPr>
                <w:rFonts w:asciiTheme="minorHAnsi" w:hAnsiTheme="minorHAnsi"/>
                <w:color w:val="000000" w:themeColor="text1"/>
              </w:rPr>
              <w:t>G</w:t>
            </w:r>
            <w:r w:rsidRPr="00EE0A93">
              <w:rPr>
                <w:rFonts w:asciiTheme="minorHAnsi" w:hAnsiTheme="minorHAnsi"/>
                <w:color w:val="000000" w:themeColor="text1"/>
              </w:rPr>
              <w:t>SC</w:t>
            </w:r>
          </w:p>
        </w:tc>
        <w:tc>
          <w:tcPr>
            <w:tcW w:w="400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61F6041" w14:textId="59DE1B77" w:rsidR="00AD5DAB" w:rsidRPr="00EE0A93" w:rsidRDefault="00AD5DAB" w:rsidP="00536AE5">
            <w:pPr>
              <w:pStyle w:val="ListParagraph"/>
              <w:numPr>
                <w:ilvl w:val="0"/>
                <w:numId w:val="4"/>
              </w:numPr>
              <w:spacing w:after="80"/>
              <w:ind w:left="274" w:hanging="274"/>
              <w:jc w:val="both"/>
              <w:rPr>
                <w:rFonts w:asciiTheme="minorHAnsi" w:eastAsia="Times New Roman" w:hAnsiTheme="minorHAnsi" w:cs="Arial"/>
                <w:color w:val="000000" w:themeColor="text1"/>
              </w:rPr>
            </w:pPr>
            <w:r w:rsidRPr="00EE0A93">
              <w:rPr>
                <w:rFonts w:asciiTheme="minorHAnsi" w:hAnsiTheme="minorHAnsi"/>
                <w:color w:val="000000" w:themeColor="text1"/>
              </w:rPr>
              <w:t>Consulte la sección de Depreciación, Conciliaciones, Informes y Funciones Centralizadas de Equipo de las POPP para conocer los detalles de las funciones del C</w:t>
            </w:r>
            <w:r w:rsidR="73362C79" w:rsidRPr="00EE0A93">
              <w:rPr>
                <w:rFonts w:asciiTheme="minorHAnsi" w:hAnsiTheme="minorHAnsi"/>
                <w:color w:val="000000" w:themeColor="text1"/>
              </w:rPr>
              <w:t>G</w:t>
            </w:r>
            <w:r w:rsidRPr="00EE0A93">
              <w:rPr>
                <w:rFonts w:asciiTheme="minorHAnsi" w:hAnsiTheme="minorHAnsi"/>
                <w:color w:val="000000" w:themeColor="text1"/>
              </w:rPr>
              <w:t>SC</w:t>
            </w:r>
            <w:r w:rsidR="4CA5E113" w:rsidRPr="00EE0A93">
              <w:rPr>
                <w:rFonts w:asciiTheme="minorHAnsi" w:hAnsiTheme="minorHAnsi"/>
                <w:color w:val="000000" w:themeColor="text1"/>
              </w:rPr>
              <w:t>;</w:t>
            </w:r>
          </w:p>
          <w:p w14:paraId="761F6042" w14:textId="1EDA933F" w:rsidR="00AD5DAB" w:rsidRPr="00EE0A93" w:rsidRDefault="00AD5DAB" w:rsidP="00536AE5">
            <w:pPr>
              <w:pStyle w:val="ListParagraph"/>
              <w:numPr>
                <w:ilvl w:val="0"/>
                <w:numId w:val="4"/>
              </w:numPr>
              <w:spacing w:after="80"/>
              <w:ind w:left="274" w:hanging="274"/>
              <w:jc w:val="both"/>
              <w:rPr>
                <w:rFonts w:asciiTheme="minorHAnsi" w:eastAsia="Times New Roman" w:hAnsiTheme="minorHAnsi" w:cs="Arial"/>
                <w:color w:val="000000" w:themeColor="text1"/>
              </w:rPr>
            </w:pPr>
            <w:r w:rsidRPr="00EE0A93">
              <w:rPr>
                <w:rFonts w:asciiTheme="minorHAnsi" w:hAnsiTheme="minorHAnsi"/>
                <w:color w:val="000000" w:themeColor="text1"/>
              </w:rPr>
              <w:t xml:space="preserve">Procesar transacciones de Adición Básica, Ajuste, Deterioro, Recategorización, Transferencia, Enajenación y Amortización Total en </w:t>
            </w:r>
            <w:r w:rsidR="00AF3361">
              <w:rPr>
                <w:rFonts w:asciiTheme="minorHAnsi" w:hAnsiTheme="minorHAnsi"/>
                <w:color w:val="000000" w:themeColor="text1"/>
              </w:rPr>
              <w:t>Quantum</w:t>
            </w:r>
            <w:r w:rsidR="3D74C299" w:rsidRPr="00EE0A93">
              <w:rPr>
                <w:rFonts w:asciiTheme="minorHAnsi" w:hAnsiTheme="minorHAnsi"/>
                <w:color w:val="000000" w:themeColor="text1"/>
              </w:rPr>
              <w:t>.</w:t>
            </w:r>
          </w:p>
        </w:tc>
      </w:tr>
    </w:tbl>
    <w:p w14:paraId="761F6044" w14:textId="77777777" w:rsidR="00AD5DAB" w:rsidRPr="00EE0A93" w:rsidRDefault="00AD5DAB" w:rsidP="00AD5DAB">
      <w:pPr>
        <w:shd w:val="clear" w:color="auto" w:fill="FFFFFF"/>
        <w:textAlignment w:val="top"/>
        <w:rPr>
          <w:rFonts w:asciiTheme="minorHAnsi" w:eastAsia="Times New Roman" w:hAnsiTheme="minorHAnsi" w:cs="Arial"/>
          <w:color w:val="000000" w:themeColor="text1"/>
        </w:rPr>
      </w:pPr>
    </w:p>
    <w:p w14:paraId="761F6045" w14:textId="77777777" w:rsidR="003E1D7A" w:rsidRPr="00EE0A93" w:rsidRDefault="00FF3D53">
      <w:pPr>
        <w:pStyle w:val="Heading1"/>
        <w:ind w:left="-5" w:right="136"/>
        <w:rPr>
          <w:rFonts w:asciiTheme="minorHAnsi" w:hAnsiTheme="minorHAnsi"/>
        </w:rPr>
      </w:pPr>
      <w:r w:rsidRPr="00EE0A93">
        <w:rPr>
          <w:rFonts w:asciiTheme="minorHAnsi" w:hAnsiTheme="minorHAnsi"/>
        </w:rPr>
        <w:t xml:space="preserve">Plantillas y Formularios </w:t>
      </w:r>
    </w:p>
    <w:p w14:paraId="761F6046" w14:textId="77777777" w:rsidR="003E1D7A" w:rsidRPr="00EE0A93" w:rsidRDefault="00FF3D53">
      <w:pPr>
        <w:spacing w:after="0" w:line="259" w:lineRule="auto"/>
        <w:ind w:left="0" w:right="0" w:firstLine="0"/>
        <w:jc w:val="left"/>
        <w:rPr>
          <w:rFonts w:asciiTheme="minorHAnsi" w:hAnsiTheme="minorHAnsi"/>
        </w:rPr>
      </w:pPr>
      <w:r w:rsidRPr="00EE0A93">
        <w:rPr>
          <w:rFonts w:asciiTheme="minorHAnsi" w:hAnsiTheme="minorHAnsi"/>
        </w:rPr>
        <w:t xml:space="preserve">  </w:t>
      </w:r>
    </w:p>
    <w:p w14:paraId="761F6047" w14:textId="77777777" w:rsidR="003E1D7A" w:rsidRPr="00EE0A93" w:rsidRDefault="00FF3D53">
      <w:pPr>
        <w:spacing w:after="0" w:line="259" w:lineRule="auto"/>
        <w:ind w:left="-5" w:right="0"/>
        <w:jc w:val="left"/>
        <w:rPr>
          <w:rFonts w:asciiTheme="minorHAnsi" w:hAnsiTheme="minorHAnsi"/>
        </w:rPr>
      </w:pPr>
      <w:r w:rsidRPr="00EE0A93">
        <w:rPr>
          <w:rFonts w:asciiTheme="minorHAnsi" w:hAnsiTheme="minorHAnsi"/>
          <w:b/>
          <w:u w:val="single" w:color="000000"/>
        </w:rPr>
        <w:t>Sede:</w:t>
      </w:r>
      <w:r w:rsidRPr="00EE0A93">
        <w:rPr>
          <w:rFonts w:asciiTheme="minorHAnsi" w:hAnsiTheme="minorHAnsi"/>
        </w:rPr>
        <w:t xml:space="preserve"> </w:t>
      </w:r>
    </w:p>
    <w:p w14:paraId="761F6048" w14:textId="77777777" w:rsidR="003E1D7A" w:rsidRPr="00EE0A93" w:rsidRDefault="00FF3D53">
      <w:pPr>
        <w:spacing w:after="0" w:line="259" w:lineRule="auto"/>
        <w:ind w:left="0" w:right="0" w:firstLine="0"/>
        <w:jc w:val="left"/>
        <w:rPr>
          <w:rFonts w:asciiTheme="minorHAnsi" w:hAnsiTheme="minorHAnsi"/>
        </w:rPr>
      </w:pPr>
      <w:r w:rsidRPr="00EE0A93">
        <w:rPr>
          <w:rFonts w:asciiTheme="minorHAnsi" w:hAnsiTheme="minorHAnsi"/>
        </w:rPr>
        <w:t xml:space="preserve">  </w:t>
      </w:r>
    </w:p>
    <w:p w14:paraId="74A7120B" w14:textId="77777777" w:rsidR="001232BD" w:rsidRPr="00EE0A93" w:rsidRDefault="00000000" w:rsidP="001232BD">
      <w:pPr>
        <w:pStyle w:val="ListParagraph"/>
        <w:numPr>
          <w:ilvl w:val="0"/>
          <w:numId w:val="5"/>
        </w:numPr>
        <w:spacing w:line="259" w:lineRule="auto"/>
        <w:rPr>
          <w:rStyle w:val="Hyperlink"/>
          <w:rFonts w:asciiTheme="minorHAnsi" w:hAnsiTheme="minorHAnsi"/>
          <w:color w:val="auto"/>
        </w:rPr>
      </w:pPr>
      <w:hyperlink r:id="rId12" w:history="1">
        <w:r w:rsidR="001232BD" w:rsidRPr="00EE0A93">
          <w:rPr>
            <w:rStyle w:val="Hyperlink"/>
            <w:rFonts w:asciiTheme="minorHAnsi" w:hAnsiTheme="minorHAnsi"/>
          </w:rPr>
          <w:t>Formulario de Solicitud de Venta y Enajenación de Activos (RAD) de menos de USD 5000: Sede</w:t>
        </w:r>
      </w:hyperlink>
      <w:r w:rsidR="001232BD" w:rsidRPr="00EE0A93">
        <w:rPr>
          <w:rStyle w:val="Hyperlink"/>
          <w:rFonts w:asciiTheme="minorHAnsi" w:hAnsiTheme="minorHAnsi"/>
          <w:color w:val="auto"/>
        </w:rPr>
        <w:t xml:space="preserve"> </w:t>
      </w:r>
    </w:p>
    <w:p w14:paraId="486C3931" w14:textId="77777777" w:rsidR="001232BD" w:rsidRPr="00EE0A93" w:rsidRDefault="00000000" w:rsidP="001232BD">
      <w:pPr>
        <w:pStyle w:val="ListParagraph"/>
        <w:numPr>
          <w:ilvl w:val="0"/>
          <w:numId w:val="5"/>
        </w:numPr>
        <w:spacing w:line="259" w:lineRule="auto"/>
        <w:rPr>
          <w:rStyle w:val="Hyperlink"/>
          <w:rFonts w:asciiTheme="minorHAnsi" w:hAnsiTheme="minorHAnsi"/>
          <w:color w:val="auto"/>
        </w:rPr>
      </w:pPr>
      <w:hyperlink r:id="rId13" w:history="1">
        <w:r w:rsidR="001232BD" w:rsidRPr="00EE0A93">
          <w:rPr>
            <w:rStyle w:val="Hyperlink"/>
            <w:rFonts w:asciiTheme="minorHAnsi" w:hAnsiTheme="minorHAnsi"/>
          </w:rPr>
          <w:t xml:space="preserve">Formulario de Solicitud de Venta y Enajenación de Activos (RAD) de USD 5000 y más: Sede </w:t>
        </w:r>
      </w:hyperlink>
      <w:r w:rsidR="001232BD" w:rsidRPr="00EE0A93">
        <w:rPr>
          <w:rStyle w:val="Hyperlink"/>
          <w:rFonts w:asciiTheme="minorHAnsi" w:hAnsiTheme="minorHAnsi"/>
          <w:color w:val="auto"/>
        </w:rPr>
        <w:t xml:space="preserve"> </w:t>
      </w:r>
    </w:p>
    <w:p w14:paraId="7ADAD6C0" w14:textId="77777777" w:rsidR="001232BD" w:rsidRPr="00EE0A93" w:rsidRDefault="00000000" w:rsidP="001232BD">
      <w:pPr>
        <w:pStyle w:val="ListParagraph"/>
        <w:numPr>
          <w:ilvl w:val="0"/>
          <w:numId w:val="5"/>
        </w:numPr>
        <w:spacing w:line="259" w:lineRule="auto"/>
        <w:rPr>
          <w:rStyle w:val="Hyperlink"/>
          <w:rFonts w:asciiTheme="minorHAnsi" w:hAnsiTheme="minorHAnsi"/>
          <w:color w:val="auto"/>
        </w:rPr>
      </w:pPr>
      <w:hyperlink r:id="rId14" w:history="1">
        <w:r w:rsidR="001232BD" w:rsidRPr="00EE0A93">
          <w:rPr>
            <w:rStyle w:val="Hyperlink"/>
            <w:rFonts w:asciiTheme="minorHAnsi" w:hAnsiTheme="minorHAnsi"/>
          </w:rPr>
          <w:t xml:space="preserve">Formulario de Solicitud de Enajenación de No Activos: Sede </w:t>
        </w:r>
      </w:hyperlink>
      <w:r w:rsidR="001232BD" w:rsidRPr="00EE0A93">
        <w:rPr>
          <w:rStyle w:val="Hyperlink"/>
          <w:rFonts w:asciiTheme="minorHAnsi" w:hAnsiTheme="minorHAnsi"/>
          <w:color w:val="auto"/>
        </w:rPr>
        <w:t xml:space="preserve"> </w:t>
      </w:r>
    </w:p>
    <w:p w14:paraId="7A175168" w14:textId="77777777" w:rsidR="001232BD" w:rsidRPr="00EE0A93" w:rsidRDefault="00000000" w:rsidP="001232BD">
      <w:pPr>
        <w:pStyle w:val="ListParagraph"/>
        <w:numPr>
          <w:ilvl w:val="0"/>
          <w:numId w:val="5"/>
        </w:numPr>
        <w:spacing w:line="259" w:lineRule="auto"/>
        <w:rPr>
          <w:rStyle w:val="Hyperlink"/>
          <w:rFonts w:asciiTheme="minorHAnsi" w:hAnsiTheme="minorHAnsi"/>
          <w:color w:val="auto"/>
        </w:rPr>
      </w:pPr>
      <w:hyperlink r:id="rId15" w:history="1">
        <w:r w:rsidR="001232BD" w:rsidRPr="00EE0A93">
          <w:rPr>
            <w:rStyle w:val="Hyperlink"/>
            <w:rFonts w:asciiTheme="minorHAnsi" w:hAnsiTheme="minorHAnsi"/>
          </w:rPr>
          <w:t xml:space="preserve">Formulario de Venta de Computadoras Personales: Sede </w:t>
        </w:r>
      </w:hyperlink>
      <w:r w:rsidR="001232BD" w:rsidRPr="00EE0A93">
        <w:rPr>
          <w:rStyle w:val="Hyperlink"/>
          <w:rFonts w:asciiTheme="minorHAnsi" w:hAnsiTheme="minorHAnsi"/>
          <w:color w:val="auto"/>
        </w:rPr>
        <w:t xml:space="preserve"> </w:t>
      </w:r>
    </w:p>
    <w:p w14:paraId="6B9AE9CE" w14:textId="77777777" w:rsidR="001232BD" w:rsidRPr="00EE0A93" w:rsidRDefault="00000000" w:rsidP="001232BD">
      <w:pPr>
        <w:pStyle w:val="ListParagraph"/>
        <w:numPr>
          <w:ilvl w:val="0"/>
          <w:numId w:val="5"/>
        </w:numPr>
        <w:spacing w:line="259" w:lineRule="auto"/>
        <w:rPr>
          <w:rStyle w:val="Hyperlink"/>
          <w:rFonts w:asciiTheme="minorHAnsi" w:hAnsiTheme="minorHAnsi"/>
          <w:color w:val="auto"/>
        </w:rPr>
      </w:pPr>
      <w:hyperlink r:id="rId16" w:history="1">
        <w:r w:rsidR="001232BD" w:rsidRPr="00EE0A93">
          <w:rPr>
            <w:rStyle w:val="Hyperlink"/>
            <w:rFonts w:asciiTheme="minorHAnsi" w:hAnsiTheme="minorHAnsi"/>
          </w:rPr>
          <w:t xml:space="preserve">Formulario de Solicitud de Reubicación de Activos: Sede </w:t>
        </w:r>
      </w:hyperlink>
      <w:r w:rsidR="001232BD" w:rsidRPr="00EE0A93">
        <w:rPr>
          <w:rStyle w:val="Hyperlink"/>
          <w:rFonts w:asciiTheme="minorHAnsi" w:hAnsiTheme="minorHAnsi"/>
          <w:color w:val="auto"/>
        </w:rPr>
        <w:t xml:space="preserve"> </w:t>
      </w:r>
    </w:p>
    <w:p w14:paraId="31087AC0" w14:textId="77777777" w:rsidR="001232BD" w:rsidRPr="00EE0A93" w:rsidRDefault="00000000" w:rsidP="001232BD">
      <w:pPr>
        <w:pStyle w:val="ListParagraph"/>
        <w:numPr>
          <w:ilvl w:val="0"/>
          <w:numId w:val="5"/>
        </w:numPr>
        <w:spacing w:line="259" w:lineRule="auto"/>
        <w:rPr>
          <w:rStyle w:val="Hyperlink"/>
          <w:rFonts w:asciiTheme="minorHAnsi" w:hAnsiTheme="minorHAnsi"/>
          <w:color w:val="auto"/>
        </w:rPr>
      </w:pPr>
      <w:hyperlink r:id="rId17" w:history="1">
        <w:r w:rsidR="001232BD" w:rsidRPr="00EE0A93">
          <w:rPr>
            <w:rStyle w:val="Hyperlink"/>
            <w:rFonts w:asciiTheme="minorHAnsi" w:hAnsiTheme="minorHAnsi"/>
          </w:rPr>
          <w:t>Formulario de Solicitud de Transferencia de Entrada y Transferencia de Salida de Activos: Sede</w:t>
        </w:r>
      </w:hyperlink>
      <w:r w:rsidR="001232BD" w:rsidRPr="00EE0A93">
        <w:rPr>
          <w:rStyle w:val="Hyperlink"/>
          <w:rFonts w:asciiTheme="minorHAnsi" w:hAnsiTheme="minorHAnsi"/>
          <w:color w:val="auto"/>
        </w:rPr>
        <w:t xml:space="preserve"> </w:t>
      </w:r>
    </w:p>
    <w:p w14:paraId="2D59D56B" w14:textId="77777777" w:rsidR="001232BD" w:rsidRPr="00EE0A93" w:rsidRDefault="00000000" w:rsidP="001232BD">
      <w:pPr>
        <w:pStyle w:val="ListParagraph"/>
        <w:numPr>
          <w:ilvl w:val="0"/>
          <w:numId w:val="5"/>
        </w:numPr>
        <w:spacing w:line="259" w:lineRule="auto"/>
        <w:rPr>
          <w:rStyle w:val="Hyperlink"/>
          <w:rFonts w:asciiTheme="minorHAnsi" w:hAnsiTheme="minorHAnsi"/>
          <w:color w:val="auto"/>
        </w:rPr>
      </w:pPr>
      <w:hyperlink r:id="rId18" w:history="1">
        <w:r w:rsidR="001232BD" w:rsidRPr="00EE0A93">
          <w:rPr>
            <w:rStyle w:val="Hyperlink"/>
            <w:rFonts w:asciiTheme="minorHAnsi" w:hAnsiTheme="minorHAnsi"/>
          </w:rPr>
          <w:t>Formulario de Solicitud de Aprobación de Ajuste de Activos: Sede</w:t>
        </w:r>
      </w:hyperlink>
      <w:r w:rsidR="001232BD" w:rsidRPr="00EE0A93">
        <w:rPr>
          <w:rStyle w:val="Hyperlink"/>
          <w:rFonts w:asciiTheme="minorHAnsi" w:hAnsiTheme="minorHAnsi"/>
          <w:color w:val="auto"/>
        </w:rPr>
        <w:t xml:space="preserve"> </w:t>
      </w:r>
    </w:p>
    <w:p w14:paraId="761F6050" w14:textId="77777777" w:rsidR="00AD5DAB" w:rsidRPr="00EE0A93" w:rsidRDefault="00AD5DAB">
      <w:pPr>
        <w:spacing w:after="0" w:line="259" w:lineRule="auto"/>
        <w:ind w:left="0" w:right="0" w:firstLine="0"/>
        <w:jc w:val="left"/>
        <w:rPr>
          <w:rFonts w:asciiTheme="minorHAnsi" w:hAnsiTheme="minorHAnsi"/>
        </w:rPr>
      </w:pPr>
    </w:p>
    <w:p w14:paraId="761F6051" w14:textId="77777777" w:rsidR="003E1D7A" w:rsidRPr="00EE0A93" w:rsidRDefault="00FF3D53">
      <w:pPr>
        <w:spacing w:after="0" w:line="259" w:lineRule="auto"/>
        <w:ind w:left="-5" w:right="0"/>
        <w:jc w:val="left"/>
        <w:rPr>
          <w:rFonts w:asciiTheme="minorHAnsi" w:hAnsiTheme="minorHAnsi"/>
        </w:rPr>
      </w:pPr>
      <w:r w:rsidRPr="00EE0A93">
        <w:rPr>
          <w:rFonts w:asciiTheme="minorHAnsi" w:hAnsiTheme="minorHAnsi"/>
          <w:b/>
          <w:u w:val="single" w:color="000000"/>
        </w:rPr>
        <w:lastRenderedPageBreak/>
        <w:t>Oficinas en el País:</w:t>
      </w:r>
      <w:r w:rsidRPr="00EE0A93">
        <w:rPr>
          <w:rFonts w:asciiTheme="minorHAnsi" w:hAnsiTheme="minorHAnsi"/>
        </w:rPr>
        <w:t xml:space="preserve"> </w:t>
      </w:r>
    </w:p>
    <w:p w14:paraId="761F6052" w14:textId="77777777" w:rsidR="003E1D7A" w:rsidRPr="00EE0A93" w:rsidRDefault="00FF3D53">
      <w:pPr>
        <w:spacing w:after="0" w:line="259" w:lineRule="auto"/>
        <w:ind w:left="0" w:right="0" w:firstLine="0"/>
        <w:jc w:val="left"/>
        <w:rPr>
          <w:rFonts w:asciiTheme="minorHAnsi" w:hAnsiTheme="minorHAnsi"/>
        </w:rPr>
      </w:pPr>
      <w:r w:rsidRPr="00EE0A93">
        <w:rPr>
          <w:rFonts w:asciiTheme="minorHAnsi" w:hAnsiTheme="minorHAnsi"/>
        </w:rPr>
        <w:t xml:space="preserve">  </w:t>
      </w:r>
    </w:p>
    <w:p w14:paraId="78B6EBFC" w14:textId="77777777" w:rsidR="00AC1289" w:rsidRPr="00EE0A93" w:rsidRDefault="00000000" w:rsidP="00AC1289">
      <w:pPr>
        <w:pStyle w:val="ListParagraph"/>
        <w:numPr>
          <w:ilvl w:val="1"/>
          <w:numId w:val="6"/>
        </w:numPr>
        <w:spacing w:line="259" w:lineRule="auto"/>
        <w:rPr>
          <w:rFonts w:asciiTheme="minorHAnsi" w:hAnsiTheme="minorHAnsi"/>
        </w:rPr>
      </w:pPr>
      <w:hyperlink r:id="rId19" w:history="1">
        <w:r w:rsidR="00AC1289" w:rsidRPr="00EE0A93">
          <w:rPr>
            <w:rStyle w:val="Hyperlink"/>
            <w:rFonts w:asciiTheme="minorHAnsi" w:hAnsiTheme="minorHAnsi"/>
          </w:rPr>
          <w:t>Formulario de Solicitud de Venta y Enajenación de Activos (RAD) de menos de USD 5000: Oficina en el País</w:t>
        </w:r>
      </w:hyperlink>
      <w:r w:rsidR="00AC1289" w:rsidRPr="00EE0A93">
        <w:rPr>
          <w:rStyle w:val="Hyperlink"/>
          <w:rFonts w:asciiTheme="minorHAnsi" w:hAnsiTheme="minorHAnsi"/>
          <w:color w:val="auto"/>
        </w:rPr>
        <w:t xml:space="preserve"> </w:t>
      </w:r>
    </w:p>
    <w:p w14:paraId="1C8821A1" w14:textId="77777777" w:rsidR="00AC1289" w:rsidRPr="00EE0A93" w:rsidRDefault="00000000" w:rsidP="00AC1289">
      <w:pPr>
        <w:pStyle w:val="ListParagraph"/>
        <w:numPr>
          <w:ilvl w:val="1"/>
          <w:numId w:val="6"/>
        </w:numPr>
        <w:spacing w:line="259" w:lineRule="auto"/>
        <w:rPr>
          <w:rFonts w:asciiTheme="minorHAnsi" w:hAnsiTheme="minorHAnsi"/>
        </w:rPr>
      </w:pPr>
      <w:hyperlink r:id="rId20" w:history="1">
        <w:r w:rsidR="00AC1289" w:rsidRPr="00EE0A93">
          <w:rPr>
            <w:rStyle w:val="Hyperlink"/>
            <w:rFonts w:asciiTheme="minorHAnsi" w:hAnsiTheme="minorHAnsi"/>
          </w:rPr>
          <w:t>Formulario de Solicitud de Venta y Enajenación de Activos (RAD) de USD 5000 y más: Oficina en el País</w:t>
        </w:r>
      </w:hyperlink>
      <w:r w:rsidR="00AC1289" w:rsidRPr="00EE0A93">
        <w:rPr>
          <w:rFonts w:asciiTheme="minorHAnsi" w:hAnsiTheme="minorHAnsi"/>
        </w:rPr>
        <w:t xml:space="preserve"> </w:t>
      </w:r>
    </w:p>
    <w:p w14:paraId="2D7ED35D" w14:textId="77777777" w:rsidR="00AC1289" w:rsidRPr="00EE0A93" w:rsidRDefault="00000000" w:rsidP="00AC1289">
      <w:pPr>
        <w:pStyle w:val="ListParagraph"/>
        <w:numPr>
          <w:ilvl w:val="1"/>
          <w:numId w:val="6"/>
        </w:numPr>
        <w:spacing w:line="259" w:lineRule="auto"/>
        <w:rPr>
          <w:rFonts w:asciiTheme="minorHAnsi" w:hAnsiTheme="minorHAnsi"/>
        </w:rPr>
      </w:pPr>
      <w:hyperlink r:id="rId21" w:history="1">
        <w:r w:rsidR="00AC1289" w:rsidRPr="00EE0A93">
          <w:rPr>
            <w:rStyle w:val="Hyperlink"/>
            <w:rFonts w:asciiTheme="minorHAnsi" w:hAnsiTheme="minorHAnsi"/>
          </w:rPr>
          <w:t>Formulario de Solicitud de Transferencia de Entrada y Transferencia de Salida de Activos: Oficina en el País</w:t>
        </w:r>
      </w:hyperlink>
      <w:r w:rsidR="00AC1289" w:rsidRPr="00EE0A93">
        <w:rPr>
          <w:rFonts w:asciiTheme="minorHAnsi" w:hAnsiTheme="minorHAnsi"/>
        </w:rPr>
        <w:t xml:space="preserve"> </w:t>
      </w:r>
    </w:p>
    <w:p w14:paraId="2AE9FF94" w14:textId="77777777" w:rsidR="00AC1289" w:rsidRPr="00EE0A93" w:rsidRDefault="00000000" w:rsidP="00AC1289">
      <w:pPr>
        <w:pStyle w:val="ListParagraph"/>
        <w:numPr>
          <w:ilvl w:val="1"/>
          <w:numId w:val="6"/>
        </w:numPr>
        <w:spacing w:line="259" w:lineRule="auto"/>
        <w:rPr>
          <w:rFonts w:asciiTheme="minorHAnsi" w:hAnsiTheme="minorHAnsi"/>
        </w:rPr>
      </w:pPr>
      <w:hyperlink r:id="rId22" w:history="1">
        <w:r w:rsidR="00AC1289" w:rsidRPr="00EE0A93">
          <w:rPr>
            <w:rStyle w:val="Hyperlink"/>
            <w:rFonts w:asciiTheme="minorHAnsi" w:hAnsiTheme="minorHAnsi"/>
          </w:rPr>
          <w:t>Formulario de Solicitud de Aprobación de Ajuste de Activos: Oficina en el País</w:t>
        </w:r>
      </w:hyperlink>
      <w:r w:rsidR="00AC1289" w:rsidRPr="00EE0A93">
        <w:rPr>
          <w:rFonts w:asciiTheme="minorHAnsi" w:hAnsiTheme="minorHAnsi"/>
        </w:rPr>
        <w:t xml:space="preserve"> </w:t>
      </w:r>
    </w:p>
    <w:p w14:paraId="761F6056" w14:textId="77EC70AC" w:rsidR="00AD5DAB" w:rsidRPr="00EE0A93" w:rsidRDefault="00AD5DAB" w:rsidP="00536AE5">
      <w:pPr>
        <w:spacing w:after="60" w:line="259" w:lineRule="auto"/>
        <w:ind w:left="720" w:right="0" w:firstLine="0"/>
        <w:jc w:val="left"/>
        <w:rPr>
          <w:rFonts w:asciiTheme="minorHAnsi" w:hAnsiTheme="minorHAnsi"/>
          <w:color w:val="0070C0"/>
        </w:rPr>
      </w:pPr>
    </w:p>
    <w:p w14:paraId="761F6057" w14:textId="77777777" w:rsidR="00AD5DAB" w:rsidRPr="00EE0A93" w:rsidRDefault="00AD5DAB">
      <w:pPr>
        <w:spacing w:after="0" w:line="259" w:lineRule="auto"/>
        <w:ind w:left="0" w:right="0" w:firstLine="0"/>
        <w:jc w:val="left"/>
        <w:rPr>
          <w:rFonts w:asciiTheme="minorHAnsi" w:hAnsiTheme="minorHAnsi"/>
        </w:rPr>
      </w:pPr>
    </w:p>
    <w:p w14:paraId="598D1F1D" w14:textId="77777777" w:rsidR="008D572F" w:rsidRDefault="00FF3D53" w:rsidP="008D572F">
      <w:pPr>
        <w:pStyle w:val="NormalWeb"/>
        <w:shd w:val="clear" w:color="auto" w:fill="FFFFFF"/>
        <w:spacing w:before="0" w:beforeAutospacing="0" w:after="0" w:afterAutospacing="0"/>
        <w:jc w:val="center"/>
        <w:rPr>
          <w:rFonts w:ascii="Calibri" w:hAnsi="Calibri"/>
          <w:color w:val="201F1E"/>
          <w:sz w:val="23"/>
          <w:szCs w:val="23"/>
        </w:rPr>
      </w:pPr>
      <w:r w:rsidRPr="00082A8B">
        <w:rPr>
          <w:rFonts w:asciiTheme="minorHAnsi" w:hAnsiTheme="minorHAnsi"/>
          <w:sz w:val="22"/>
          <w:szCs w:val="22"/>
          <w:lang w:val="es-ES"/>
        </w:rPr>
        <w:t xml:space="preserve">  </w:t>
      </w:r>
      <w:r w:rsidR="008D572F">
        <w:rPr>
          <w:rFonts w:ascii="Calibri" w:hAnsi="Calibri"/>
          <w:i/>
          <w:iCs/>
          <w:color w:val="000000"/>
          <w:sz w:val="22"/>
          <w:szCs w:val="22"/>
          <w:bdr w:val="none" w:sz="0" w:space="0" w:color="auto" w:frame="1"/>
        </w:rPr>
        <w:t>Disclaimer: This document was translated from English into Spanish. In the event of any discrepancy between this translation and the original English document, the original English document shall prevail.</w:t>
      </w:r>
    </w:p>
    <w:p w14:paraId="15EF809E" w14:textId="77777777" w:rsidR="008D572F" w:rsidRDefault="008D572F" w:rsidP="008D572F">
      <w:pPr>
        <w:pStyle w:val="NormalWeb"/>
        <w:shd w:val="clear" w:color="auto" w:fill="FFFFFF"/>
        <w:spacing w:before="0" w:beforeAutospacing="0" w:after="0" w:afterAutospacing="0"/>
        <w:jc w:val="center"/>
        <w:rPr>
          <w:rFonts w:ascii="Calibri" w:hAnsi="Calibri"/>
          <w:color w:val="201F1E"/>
          <w:sz w:val="23"/>
          <w:szCs w:val="23"/>
        </w:rPr>
      </w:pPr>
      <w:r>
        <w:rPr>
          <w:rFonts w:ascii="Calibri" w:hAnsi="Calibri"/>
          <w:i/>
          <w:iCs/>
          <w:color w:val="000000"/>
          <w:sz w:val="22"/>
          <w:szCs w:val="22"/>
          <w:bdr w:val="none" w:sz="0" w:space="0" w:color="auto" w:frame="1"/>
        </w:rPr>
        <w:t> </w:t>
      </w:r>
    </w:p>
    <w:p w14:paraId="2025E226" w14:textId="77777777" w:rsidR="008D572F" w:rsidRPr="008D572F" w:rsidRDefault="008D572F" w:rsidP="008D572F">
      <w:pPr>
        <w:pStyle w:val="NormalWeb"/>
        <w:shd w:val="clear" w:color="auto" w:fill="FFFFFF"/>
        <w:spacing w:before="0" w:beforeAutospacing="0" w:after="0" w:afterAutospacing="0"/>
        <w:jc w:val="center"/>
        <w:rPr>
          <w:rFonts w:ascii="Calibri" w:hAnsi="Calibri"/>
          <w:color w:val="201F1E"/>
          <w:sz w:val="23"/>
          <w:szCs w:val="23"/>
          <w:lang w:val="es-ES"/>
        </w:rPr>
      </w:pPr>
      <w:r>
        <w:rPr>
          <w:rFonts w:ascii="Calibri" w:hAnsi="Calibri"/>
          <w:i/>
          <w:iCs/>
          <w:color w:val="000000"/>
          <w:sz w:val="22"/>
          <w:szCs w:val="22"/>
          <w:bdr w:val="none" w:sz="0" w:space="0" w:color="auto" w:frame="1"/>
          <w:shd w:val="clear" w:color="auto" w:fill="FFFFFF"/>
          <w:lang w:val="es-ES_tradnl"/>
        </w:rPr>
        <w:t>Descargo de responsabilidad: esta es una traducción de un documento original en inglés. </w:t>
      </w:r>
      <w:r>
        <w:rPr>
          <w:rFonts w:ascii="Calibri" w:hAnsi="Calibri"/>
          <w:i/>
          <w:iCs/>
          <w:color w:val="000000"/>
          <w:sz w:val="22"/>
          <w:szCs w:val="22"/>
          <w:bdr w:val="none" w:sz="0" w:space="0" w:color="auto" w:frame="1"/>
          <w:shd w:val="clear" w:color="auto" w:fill="FFFFFF"/>
          <w:lang w:val="es-UY"/>
        </w:rPr>
        <w:t>En caso de discrepancias entre esta traducción y el documento original en inglés, prevalecerá el documento original en inglés.</w:t>
      </w:r>
    </w:p>
    <w:p w14:paraId="761F6058" w14:textId="6861A0D9" w:rsidR="003E1D7A" w:rsidRPr="00EE0A93" w:rsidRDefault="003E1D7A">
      <w:pPr>
        <w:spacing w:after="0" w:line="259" w:lineRule="auto"/>
        <w:ind w:left="360" w:right="0" w:firstLine="0"/>
        <w:jc w:val="left"/>
        <w:rPr>
          <w:rFonts w:asciiTheme="minorHAnsi" w:hAnsiTheme="minorHAnsi"/>
        </w:rPr>
      </w:pPr>
    </w:p>
    <w:sectPr w:rsidR="003E1D7A" w:rsidRPr="00EE0A93">
      <w:headerReference w:type="even" r:id="rId23"/>
      <w:headerReference w:type="default" r:id="rId24"/>
      <w:footerReference w:type="even" r:id="rId25"/>
      <w:footerReference w:type="default" r:id="rId26"/>
      <w:headerReference w:type="first" r:id="rId27"/>
      <w:footerReference w:type="first" r:id="rId28"/>
      <w:pgSz w:w="12240" w:h="15840"/>
      <w:pgMar w:top="1483" w:right="1435" w:bottom="1570" w:left="144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E1169" w14:textId="77777777" w:rsidR="00941530" w:rsidRDefault="00941530">
      <w:pPr>
        <w:spacing w:after="0" w:line="240" w:lineRule="auto"/>
      </w:pPr>
      <w:r>
        <w:separator/>
      </w:r>
    </w:p>
  </w:endnote>
  <w:endnote w:type="continuationSeparator" w:id="0">
    <w:p w14:paraId="03D6D0EC" w14:textId="77777777" w:rsidR="00941530" w:rsidRDefault="00941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F605F" w14:textId="77777777" w:rsidR="003E1D7A" w:rsidRDefault="00FF3D53">
    <w:pPr>
      <w:spacing w:after="0" w:line="259" w:lineRule="auto"/>
      <w:ind w:left="0" w:right="1" w:firstLine="0"/>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t>1</w:t>
    </w:r>
    <w:r>
      <w:rPr>
        <w:color w:val="2B579A"/>
        <w:shd w:val="clear" w:color="auto" w:fill="E6E6E6"/>
      </w:rPr>
      <w:fldChar w:fldCharType="end"/>
    </w:r>
    <w:r>
      <w:t xml:space="preserve"> </w:t>
    </w:r>
  </w:p>
  <w:p w14:paraId="761F6060" w14:textId="77777777" w:rsidR="003E1D7A" w:rsidRDefault="00FF3D53">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F6062" w14:textId="78424393" w:rsidR="003E1D7A" w:rsidRDefault="00536AE5">
    <w:pPr>
      <w:spacing w:after="0" w:line="259" w:lineRule="auto"/>
      <w:ind w:left="0" w:right="0" w:firstLine="0"/>
      <w:jc w:val="left"/>
    </w:pPr>
    <w:r>
      <w:t xml:space="preserve">Página </w:t>
    </w:r>
    <w:r>
      <w:rPr>
        <w:b/>
        <w:color w:val="2B579A"/>
        <w:shd w:val="clear" w:color="auto" w:fill="E6E6E6"/>
      </w:rPr>
      <w:fldChar w:fldCharType="begin"/>
    </w:r>
    <w:r>
      <w:rPr>
        <w:b/>
      </w:rPr>
      <w:instrText xml:space="preserve"> PAGE  \* Arabic  \* MERGEFORMAT </w:instrText>
    </w:r>
    <w:r>
      <w:rPr>
        <w:b/>
        <w:color w:val="2B579A"/>
        <w:shd w:val="clear" w:color="auto" w:fill="E6E6E6"/>
      </w:rPr>
      <w:fldChar w:fldCharType="separate"/>
    </w:r>
    <w:r w:rsidR="00AC1289">
      <w:rPr>
        <w:b/>
        <w:noProof/>
      </w:rPr>
      <w:t>3</w:t>
    </w:r>
    <w:r>
      <w:rPr>
        <w:b/>
        <w:color w:val="2B579A"/>
        <w:shd w:val="clear" w:color="auto" w:fill="E6E6E6"/>
      </w:rPr>
      <w:fldChar w:fldCharType="end"/>
    </w:r>
    <w:r>
      <w:t xml:space="preserve"> de </w:t>
    </w:r>
    <w:r>
      <w:rPr>
        <w:b/>
        <w:color w:val="2B579A"/>
        <w:shd w:val="clear" w:color="auto" w:fill="E6E6E6"/>
      </w:rPr>
      <w:fldChar w:fldCharType="begin"/>
    </w:r>
    <w:r>
      <w:rPr>
        <w:b/>
      </w:rPr>
      <w:instrText xml:space="preserve"> NUMPAGES  \* Arabic  \* MERGEFORMAT </w:instrText>
    </w:r>
    <w:r>
      <w:rPr>
        <w:b/>
        <w:color w:val="2B579A"/>
        <w:shd w:val="clear" w:color="auto" w:fill="E6E6E6"/>
      </w:rPr>
      <w:fldChar w:fldCharType="separate"/>
    </w:r>
    <w:r w:rsidR="00AC1289">
      <w:rPr>
        <w:b/>
        <w:noProof/>
      </w:rPr>
      <w:t>4</w:t>
    </w:r>
    <w:r>
      <w:rPr>
        <w:b/>
        <w:color w:val="2B579A"/>
        <w:shd w:val="clear" w:color="auto" w:fill="E6E6E6"/>
      </w:rPr>
      <w:fldChar w:fldCharType="end"/>
    </w:r>
    <w:r>
      <w:ptab w:relativeTo="margin" w:alignment="center" w:leader="none"/>
    </w:r>
    <w:r>
      <w:t xml:space="preserve">Fecha de entrada en vigor: </w:t>
    </w:r>
    <w:r w:rsidR="001F34D8" w:rsidRPr="001F34D8">
      <w:t>26/07/2016</w:t>
    </w:r>
    <w:r w:rsidR="001F34D8" w:rsidRPr="001F34D8">
      <w:t xml:space="preserve"> </w:t>
    </w:r>
    <w:r>
      <w:ptab w:relativeTo="margin" w:alignment="right" w:leader="none"/>
    </w:r>
    <w:r>
      <w:t xml:space="preserve">Versión n.°: </w:t>
    </w:r>
    <w:sdt>
      <w:sdtPr>
        <w:rPr>
          <w:color w:val="2B579A"/>
          <w:shd w:val="clear" w:color="auto" w:fill="E6E6E6"/>
        </w:rPr>
        <w:alias w:val="POPPRefItemVersion"/>
        <w:tag w:val="UNDP_POPP_REFITEM_VERSION"/>
        <w:id w:val="683246918"/>
        <w:placeholder>
          <w:docPart w:val="97FC6A0B7DDC473199DA26DF60013E0C"/>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064D5394-9332-4FC5-ABDA-35D7CF09F205}"/>
        <w:text/>
      </w:sdtPr>
      <w:sdtEndPr>
        <w:rPr>
          <w:color w:val="000000"/>
          <w:shd w:val="clear" w:color="auto" w:fill="auto"/>
        </w:rPr>
      </w:sdtEndPr>
      <w:sdtContent>
        <w:r w:rsidR="00131A29">
          <w:rPr>
            <w:color w:val="2B579A"/>
            <w:shd w:val="clear" w:color="auto" w:fill="E6E6E6"/>
          </w:rPr>
          <w:t>4</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F6063" w14:textId="77777777" w:rsidR="003E1D7A" w:rsidRDefault="00FF3D53">
    <w:pPr>
      <w:spacing w:after="0" w:line="259" w:lineRule="auto"/>
      <w:ind w:left="0" w:right="1" w:firstLine="0"/>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t>1</w:t>
    </w:r>
    <w:r>
      <w:rPr>
        <w:color w:val="2B579A"/>
        <w:shd w:val="clear" w:color="auto" w:fill="E6E6E6"/>
      </w:rPr>
      <w:fldChar w:fldCharType="end"/>
    </w:r>
    <w:r>
      <w:t xml:space="preserve"> </w:t>
    </w:r>
  </w:p>
  <w:p w14:paraId="761F6064" w14:textId="77777777" w:rsidR="003E1D7A" w:rsidRDefault="00FF3D53">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3B257" w14:textId="77777777" w:rsidR="00941530" w:rsidRDefault="00941530">
      <w:pPr>
        <w:spacing w:after="0" w:line="240" w:lineRule="auto"/>
      </w:pPr>
      <w:r>
        <w:separator/>
      </w:r>
    </w:p>
  </w:footnote>
  <w:footnote w:type="continuationSeparator" w:id="0">
    <w:p w14:paraId="047AC5CC" w14:textId="77777777" w:rsidR="00941530" w:rsidRDefault="00941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9313C" w14:textId="77777777" w:rsidR="00082A8B" w:rsidRDefault="00082A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FCBBE" w14:textId="0A5137CC" w:rsidR="00536AE5" w:rsidRDefault="2AC595E5" w:rsidP="00536AE5">
    <w:pPr>
      <w:pStyle w:val="Header"/>
      <w:jc w:val="right"/>
    </w:pPr>
    <w:r>
      <w:rPr>
        <w:noProof/>
        <w:color w:val="2B579A"/>
        <w:shd w:val="clear" w:color="auto" w:fill="E6E6E6"/>
      </w:rPr>
      <w:drawing>
        <wp:inline distT="0" distB="0" distL="0" distR="0" wp14:anchorId="68D63186" wp14:editId="06CCEECE">
          <wp:extent cx="294847" cy="582230"/>
          <wp:effectExtent l="0" t="0" r="0" b="8890"/>
          <wp:docPr id="83898508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rotWithShape="1">
                  <a:blip r:embed="rId1">
                    <a:extLst>
                      <a:ext uri="{28A0092B-C50C-407E-A947-70E740481C1C}">
                        <a14:useLocalDpi xmlns:a14="http://schemas.microsoft.com/office/drawing/2010/main" val="0"/>
                      </a:ext>
                    </a:extLst>
                  </a:blip>
                  <a:srcRect l="1" r="3247" b="17172"/>
                  <a:stretch/>
                </pic:blipFill>
                <pic:spPr bwMode="auto">
                  <a:xfrm>
                    <a:off x="0" y="0"/>
                    <a:ext cx="294900" cy="582335"/>
                  </a:xfrm>
                  <a:prstGeom prst="rect">
                    <a:avLst/>
                  </a:prstGeom>
                  <a:ln>
                    <a:noFill/>
                  </a:ln>
                  <a:extLst>
                    <a:ext uri="{53640926-AAD7-44D8-BBD7-CCE9431645EC}">
                      <a14:shadowObscured xmlns:a14="http://schemas.microsoft.com/office/drawing/2010/main"/>
                    </a:ext>
                  </a:extLst>
                </pic:spPr>
              </pic:pic>
            </a:graphicData>
          </a:graphic>
        </wp:inline>
      </w:drawing>
    </w:r>
  </w:p>
  <w:p w14:paraId="5C5CDC9F" w14:textId="77777777" w:rsidR="00536AE5" w:rsidRDefault="00536AE5" w:rsidP="00536AE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D23B4" w14:textId="77777777" w:rsidR="00082A8B" w:rsidRDefault="00082A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C3BD9"/>
    <w:multiLevelType w:val="hybridMultilevel"/>
    <w:tmpl w:val="539844A2"/>
    <w:lvl w:ilvl="0" w:tplc="896A497C">
      <w:start w:val="1"/>
      <w:numFmt w:val="bullet"/>
      <w:lvlText w:val=""/>
      <w:lvlJc w:val="left"/>
      <w:pPr>
        <w:ind w:left="21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2984698">
      <w:start w:val="1"/>
      <w:numFmt w:val="bullet"/>
      <w:lvlText w:val="o"/>
      <w:lvlJc w:val="left"/>
      <w:pPr>
        <w:ind w:left="29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FB46C02">
      <w:start w:val="1"/>
      <w:numFmt w:val="bullet"/>
      <w:lvlText w:val="▪"/>
      <w:lvlJc w:val="left"/>
      <w:pPr>
        <w:ind w:left="36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EAE3F76">
      <w:start w:val="1"/>
      <w:numFmt w:val="bullet"/>
      <w:lvlText w:val="•"/>
      <w:lvlJc w:val="left"/>
      <w:pPr>
        <w:ind w:left="44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56845BE">
      <w:start w:val="1"/>
      <w:numFmt w:val="bullet"/>
      <w:lvlText w:val="o"/>
      <w:lvlJc w:val="left"/>
      <w:pPr>
        <w:ind w:left="51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09A39EC">
      <w:start w:val="1"/>
      <w:numFmt w:val="bullet"/>
      <w:lvlText w:val="▪"/>
      <w:lvlJc w:val="left"/>
      <w:pPr>
        <w:ind w:left="58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EEED510">
      <w:start w:val="1"/>
      <w:numFmt w:val="bullet"/>
      <w:lvlText w:val="•"/>
      <w:lvlJc w:val="left"/>
      <w:pPr>
        <w:ind w:left="65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EA83F04">
      <w:start w:val="1"/>
      <w:numFmt w:val="bullet"/>
      <w:lvlText w:val="o"/>
      <w:lvlJc w:val="left"/>
      <w:pPr>
        <w:ind w:left="72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D1ADB04">
      <w:start w:val="1"/>
      <w:numFmt w:val="bullet"/>
      <w:lvlText w:val="▪"/>
      <w:lvlJc w:val="left"/>
      <w:pPr>
        <w:ind w:left="80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76E6D70"/>
    <w:multiLevelType w:val="hybridMultilevel"/>
    <w:tmpl w:val="DA186464"/>
    <w:lvl w:ilvl="0" w:tplc="AAE0D4E0">
      <w:start w:val="1"/>
      <w:numFmt w:val="bullet"/>
      <w:lvlText w:val=""/>
      <w:lvlJc w:val="left"/>
      <w:pPr>
        <w:ind w:left="900" w:hanging="360"/>
      </w:pPr>
      <w:rPr>
        <w:rFonts w:ascii="Symbol" w:hAnsi="Symbol"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393F58EE"/>
    <w:multiLevelType w:val="hybridMultilevel"/>
    <w:tmpl w:val="F3DCEE54"/>
    <w:lvl w:ilvl="0" w:tplc="A588F0BC">
      <w:start w:val="1"/>
      <w:numFmt w:val="bullet"/>
      <w:lvlText w:val=""/>
      <w:lvlJc w:val="left"/>
      <w:pPr>
        <w:ind w:left="2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102E91C">
      <w:start w:val="1"/>
      <w:numFmt w:val="bullet"/>
      <w:lvlText w:val="o"/>
      <w:lvlJc w:val="left"/>
      <w:pPr>
        <w:ind w:left="11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E1AC478">
      <w:start w:val="1"/>
      <w:numFmt w:val="bullet"/>
      <w:lvlText w:val="▪"/>
      <w:lvlJc w:val="left"/>
      <w:pPr>
        <w:ind w:left="19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79AE466">
      <w:start w:val="1"/>
      <w:numFmt w:val="bullet"/>
      <w:lvlText w:val="•"/>
      <w:lvlJc w:val="left"/>
      <w:pPr>
        <w:ind w:left="26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BA880A6">
      <w:start w:val="1"/>
      <w:numFmt w:val="bullet"/>
      <w:lvlText w:val="o"/>
      <w:lvlJc w:val="left"/>
      <w:pPr>
        <w:ind w:left="33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B782F0E">
      <w:start w:val="1"/>
      <w:numFmt w:val="bullet"/>
      <w:lvlText w:val="▪"/>
      <w:lvlJc w:val="left"/>
      <w:pPr>
        <w:ind w:left="40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BB4F558">
      <w:start w:val="1"/>
      <w:numFmt w:val="bullet"/>
      <w:lvlText w:val="•"/>
      <w:lvlJc w:val="left"/>
      <w:pPr>
        <w:ind w:left="47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35C1872">
      <w:start w:val="1"/>
      <w:numFmt w:val="bullet"/>
      <w:lvlText w:val="o"/>
      <w:lvlJc w:val="left"/>
      <w:pPr>
        <w:ind w:left="55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27A8B62">
      <w:start w:val="1"/>
      <w:numFmt w:val="bullet"/>
      <w:lvlText w:val="▪"/>
      <w:lvlJc w:val="left"/>
      <w:pPr>
        <w:ind w:left="62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5F33302"/>
    <w:multiLevelType w:val="hybridMultilevel"/>
    <w:tmpl w:val="2876BD24"/>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C65BA5"/>
    <w:multiLevelType w:val="hybridMultilevel"/>
    <w:tmpl w:val="14B6F286"/>
    <w:lvl w:ilvl="0" w:tplc="B996243A">
      <w:start w:val="1"/>
      <w:numFmt w:val="bullet"/>
      <w:lvlText w:val=""/>
      <w:lvlJc w:val="left"/>
      <w:pPr>
        <w:ind w:left="2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8A2F6B6">
      <w:start w:val="1"/>
      <w:numFmt w:val="bullet"/>
      <w:lvlText w:val="o"/>
      <w:lvlJc w:val="left"/>
      <w:pPr>
        <w:ind w:left="11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930E040">
      <w:start w:val="1"/>
      <w:numFmt w:val="bullet"/>
      <w:lvlText w:val="▪"/>
      <w:lvlJc w:val="left"/>
      <w:pPr>
        <w:ind w:left="19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818F102">
      <w:start w:val="1"/>
      <w:numFmt w:val="bullet"/>
      <w:lvlText w:val="•"/>
      <w:lvlJc w:val="left"/>
      <w:pPr>
        <w:ind w:left="26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C007360">
      <w:start w:val="1"/>
      <w:numFmt w:val="bullet"/>
      <w:lvlText w:val="o"/>
      <w:lvlJc w:val="left"/>
      <w:pPr>
        <w:ind w:left="33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C84396C">
      <w:start w:val="1"/>
      <w:numFmt w:val="bullet"/>
      <w:lvlText w:val="▪"/>
      <w:lvlJc w:val="left"/>
      <w:pPr>
        <w:ind w:left="40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5DE4E86">
      <w:start w:val="1"/>
      <w:numFmt w:val="bullet"/>
      <w:lvlText w:val="•"/>
      <w:lvlJc w:val="left"/>
      <w:pPr>
        <w:ind w:left="47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CC0BFC6">
      <w:start w:val="1"/>
      <w:numFmt w:val="bullet"/>
      <w:lvlText w:val="o"/>
      <w:lvlJc w:val="left"/>
      <w:pPr>
        <w:ind w:left="55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FF8AB56">
      <w:start w:val="1"/>
      <w:numFmt w:val="bullet"/>
      <w:lvlText w:val="▪"/>
      <w:lvlJc w:val="left"/>
      <w:pPr>
        <w:ind w:left="62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4F5317A"/>
    <w:multiLevelType w:val="hybridMultilevel"/>
    <w:tmpl w:val="51D0F17C"/>
    <w:lvl w:ilvl="0" w:tplc="0A48D7A8">
      <w:start w:val="1"/>
      <w:numFmt w:val="bullet"/>
      <w:lvlText w:val=""/>
      <w:lvlJc w:val="left"/>
      <w:pPr>
        <w:tabs>
          <w:tab w:val="num" w:pos="900"/>
        </w:tabs>
        <w:ind w:left="900" w:hanging="360"/>
      </w:pPr>
      <w:rPr>
        <w:rFonts w:ascii="Symbol" w:hAnsi="Symbol" w:hint="default"/>
        <w:color w:val="auto"/>
        <w:sz w:val="20"/>
      </w:rPr>
    </w:lvl>
    <w:lvl w:ilvl="1" w:tplc="F22AD0FA">
      <w:start w:val="1"/>
      <w:numFmt w:val="bullet"/>
      <w:lvlText w:val=""/>
      <w:lvlJc w:val="left"/>
      <w:pPr>
        <w:tabs>
          <w:tab w:val="num" w:pos="900"/>
        </w:tabs>
        <w:ind w:left="900" w:hanging="360"/>
      </w:pPr>
      <w:rPr>
        <w:rFonts w:ascii="Symbol" w:hAnsi="Symbol" w:hint="default"/>
        <w:color w:val="auto"/>
        <w:sz w:val="20"/>
      </w:rPr>
    </w:lvl>
    <w:lvl w:ilvl="2" w:tplc="87566AC6" w:tentative="1">
      <w:start w:val="1"/>
      <w:numFmt w:val="bullet"/>
      <w:lvlText w:val=""/>
      <w:lvlJc w:val="left"/>
      <w:pPr>
        <w:tabs>
          <w:tab w:val="num" w:pos="2160"/>
        </w:tabs>
        <w:ind w:left="2160" w:hanging="360"/>
      </w:pPr>
      <w:rPr>
        <w:rFonts w:ascii="Symbol" w:hAnsi="Symbol" w:hint="default"/>
        <w:sz w:val="20"/>
      </w:rPr>
    </w:lvl>
    <w:lvl w:ilvl="3" w:tplc="847C1822" w:tentative="1">
      <w:start w:val="1"/>
      <w:numFmt w:val="bullet"/>
      <w:lvlText w:val=""/>
      <w:lvlJc w:val="left"/>
      <w:pPr>
        <w:tabs>
          <w:tab w:val="num" w:pos="2880"/>
        </w:tabs>
        <w:ind w:left="2880" w:hanging="360"/>
      </w:pPr>
      <w:rPr>
        <w:rFonts w:ascii="Symbol" w:hAnsi="Symbol" w:hint="default"/>
        <w:sz w:val="20"/>
      </w:rPr>
    </w:lvl>
    <w:lvl w:ilvl="4" w:tplc="590A346A" w:tentative="1">
      <w:start w:val="1"/>
      <w:numFmt w:val="bullet"/>
      <w:lvlText w:val=""/>
      <w:lvlJc w:val="left"/>
      <w:pPr>
        <w:tabs>
          <w:tab w:val="num" w:pos="3600"/>
        </w:tabs>
        <w:ind w:left="3600" w:hanging="360"/>
      </w:pPr>
      <w:rPr>
        <w:rFonts w:ascii="Symbol" w:hAnsi="Symbol" w:hint="default"/>
        <w:sz w:val="20"/>
      </w:rPr>
    </w:lvl>
    <w:lvl w:ilvl="5" w:tplc="57085228" w:tentative="1">
      <w:start w:val="1"/>
      <w:numFmt w:val="bullet"/>
      <w:lvlText w:val=""/>
      <w:lvlJc w:val="left"/>
      <w:pPr>
        <w:tabs>
          <w:tab w:val="num" w:pos="4320"/>
        </w:tabs>
        <w:ind w:left="4320" w:hanging="360"/>
      </w:pPr>
      <w:rPr>
        <w:rFonts w:ascii="Symbol" w:hAnsi="Symbol" w:hint="default"/>
        <w:sz w:val="20"/>
      </w:rPr>
    </w:lvl>
    <w:lvl w:ilvl="6" w:tplc="465CCCE2" w:tentative="1">
      <w:start w:val="1"/>
      <w:numFmt w:val="bullet"/>
      <w:lvlText w:val=""/>
      <w:lvlJc w:val="left"/>
      <w:pPr>
        <w:tabs>
          <w:tab w:val="num" w:pos="5040"/>
        </w:tabs>
        <w:ind w:left="5040" w:hanging="360"/>
      </w:pPr>
      <w:rPr>
        <w:rFonts w:ascii="Symbol" w:hAnsi="Symbol" w:hint="default"/>
        <w:sz w:val="20"/>
      </w:rPr>
    </w:lvl>
    <w:lvl w:ilvl="7" w:tplc="AB4C297A" w:tentative="1">
      <w:start w:val="1"/>
      <w:numFmt w:val="bullet"/>
      <w:lvlText w:val=""/>
      <w:lvlJc w:val="left"/>
      <w:pPr>
        <w:tabs>
          <w:tab w:val="num" w:pos="5760"/>
        </w:tabs>
        <w:ind w:left="5760" w:hanging="360"/>
      </w:pPr>
      <w:rPr>
        <w:rFonts w:ascii="Symbol" w:hAnsi="Symbol" w:hint="default"/>
        <w:sz w:val="20"/>
      </w:rPr>
    </w:lvl>
    <w:lvl w:ilvl="8" w:tplc="8D2449C6" w:tentative="1">
      <w:start w:val="1"/>
      <w:numFmt w:val="bullet"/>
      <w:lvlText w:val=""/>
      <w:lvlJc w:val="left"/>
      <w:pPr>
        <w:tabs>
          <w:tab w:val="num" w:pos="6480"/>
        </w:tabs>
        <w:ind w:left="6480" w:hanging="360"/>
      </w:pPr>
      <w:rPr>
        <w:rFonts w:ascii="Symbol" w:hAnsi="Symbol" w:hint="default"/>
        <w:sz w:val="20"/>
      </w:rPr>
    </w:lvl>
  </w:abstractNum>
  <w:num w:numId="1" w16cid:durableId="129446539">
    <w:abstractNumId w:val="0"/>
  </w:num>
  <w:num w:numId="2" w16cid:durableId="482553429">
    <w:abstractNumId w:val="4"/>
  </w:num>
  <w:num w:numId="3" w16cid:durableId="2068603243">
    <w:abstractNumId w:val="2"/>
  </w:num>
  <w:num w:numId="4" w16cid:durableId="524095111">
    <w:abstractNumId w:val="3"/>
  </w:num>
  <w:num w:numId="5" w16cid:durableId="742793983">
    <w:abstractNumId w:val="1"/>
  </w:num>
  <w:num w:numId="6" w16cid:durableId="11405344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D7A"/>
    <w:rsid w:val="000016C1"/>
    <w:rsid w:val="00082A8B"/>
    <w:rsid w:val="001232BD"/>
    <w:rsid w:val="00131A29"/>
    <w:rsid w:val="00183328"/>
    <w:rsid w:val="001F34D8"/>
    <w:rsid w:val="001F5E2C"/>
    <w:rsid w:val="00350790"/>
    <w:rsid w:val="003E1D7A"/>
    <w:rsid w:val="00536AE5"/>
    <w:rsid w:val="0054610F"/>
    <w:rsid w:val="00581D05"/>
    <w:rsid w:val="0067071F"/>
    <w:rsid w:val="007129E0"/>
    <w:rsid w:val="0085706E"/>
    <w:rsid w:val="008640B9"/>
    <w:rsid w:val="008B1AB7"/>
    <w:rsid w:val="008D572F"/>
    <w:rsid w:val="00941530"/>
    <w:rsid w:val="009F74CB"/>
    <w:rsid w:val="00AC1289"/>
    <w:rsid w:val="00AD5DAB"/>
    <w:rsid w:val="00AF3361"/>
    <w:rsid w:val="00B639AE"/>
    <w:rsid w:val="00BF4D09"/>
    <w:rsid w:val="00BF63CB"/>
    <w:rsid w:val="00CA4D42"/>
    <w:rsid w:val="00CC6228"/>
    <w:rsid w:val="00CE5A83"/>
    <w:rsid w:val="00DF137C"/>
    <w:rsid w:val="00EE0A93"/>
    <w:rsid w:val="00F261C7"/>
    <w:rsid w:val="00F54690"/>
    <w:rsid w:val="00FF3D53"/>
    <w:rsid w:val="01D358AD"/>
    <w:rsid w:val="039FC298"/>
    <w:rsid w:val="046D1B85"/>
    <w:rsid w:val="05C3D94E"/>
    <w:rsid w:val="06936F83"/>
    <w:rsid w:val="09AC8CCC"/>
    <w:rsid w:val="0A080029"/>
    <w:rsid w:val="0F0801A7"/>
    <w:rsid w:val="108E8D0A"/>
    <w:rsid w:val="128099A1"/>
    <w:rsid w:val="150ED75C"/>
    <w:rsid w:val="1531D906"/>
    <w:rsid w:val="16E4A631"/>
    <w:rsid w:val="1839D16D"/>
    <w:rsid w:val="18935B9F"/>
    <w:rsid w:val="1D0C75F6"/>
    <w:rsid w:val="1DC52D82"/>
    <w:rsid w:val="1E022A59"/>
    <w:rsid w:val="21F41CD2"/>
    <w:rsid w:val="25DB0DB8"/>
    <w:rsid w:val="26EEE161"/>
    <w:rsid w:val="28D95232"/>
    <w:rsid w:val="2AA6E9D1"/>
    <w:rsid w:val="2AC595E5"/>
    <w:rsid w:val="2C898A90"/>
    <w:rsid w:val="30FD37E1"/>
    <w:rsid w:val="3162CF9D"/>
    <w:rsid w:val="318F4C7F"/>
    <w:rsid w:val="32640383"/>
    <w:rsid w:val="37C96601"/>
    <w:rsid w:val="39551654"/>
    <w:rsid w:val="39C8DD7F"/>
    <w:rsid w:val="3C50B420"/>
    <w:rsid w:val="3D74C299"/>
    <w:rsid w:val="3DBA035D"/>
    <w:rsid w:val="4113F10B"/>
    <w:rsid w:val="419ABCCE"/>
    <w:rsid w:val="42493243"/>
    <w:rsid w:val="43089904"/>
    <w:rsid w:val="44219114"/>
    <w:rsid w:val="444FDC58"/>
    <w:rsid w:val="4473E7B5"/>
    <w:rsid w:val="4CA5E113"/>
    <w:rsid w:val="4CDD0ACE"/>
    <w:rsid w:val="4F705C3F"/>
    <w:rsid w:val="4FA97F34"/>
    <w:rsid w:val="5014AB90"/>
    <w:rsid w:val="5017C013"/>
    <w:rsid w:val="51975394"/>
    <w:rsid w:val="533323F5"/>
    <w:rsid w:val="5388A2BF"/>
    <w:rsid w:val="54897516"/>
    <w:rsid w:val="572BFEEE"/>
    <w:rsid w:val="60754665"/>
    <w:rsid w:val="63E3FBF6"/>
    <w:rsid w:val="64783843"/>
    <w:rsid w:val="65C54CF6"/>
    <w:rsid w:val="6EB4E09B"/>
    <w:rsid w:val="73362C79"/>
    <w:rsid w:val="75EA555F"/>
    <w:rsid w:val="792480CF"/>
    <w:rsid w:val="7C409A0B"/>
    <w:rsid w:val="7C662DE7"/>
    <w:rsid w:val="7CA9D967"/>
    <w:rsid w:val="7D38DAF7"/>
    <w:rsid w:val="7EA00A6E"/>
    <w:rsid w:val="7EF1E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F5FFC"/>
  <w15:docId w15:val="{B6BA8F45-1D37-4716-9EF8-96E31A114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es-E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370" w:right="3"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 w:line="249" w:lineRule="auto"/>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D5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DAB"/>
    <w:rPr>
      <w:rFonts w:ascii="Tahoma" w:eastAsia="Calibri" w:hAnsi="Tahoma" w:cs="Tahoma"/>
      <w:color w:val="000000"/>
      <w:sz w:val="16"/>
      <w:szCs w:val="16"/>
    </w:rPr>
  </w:style>
  <w:style w:type="character" w:styleId="Hyperlink">
    <w:name w:val="Hyperlink"/>
    <w:basedOn w:val="DefaultParagraphFont"/>
    <w:uiPriority w:val="99"/>
    <w:unhideWhenUsed/>
    <w:rsid w:val="00AD5DAB"/>
    <w:rPr>
      <w:color w:val="0000FF" w:themeColor="hyperlink"/>
      <w:u w:val="single"/>
    </w:rPr>
  </w:style>
  <w:style w:type="character" w:styleId="FollowedHyperlink">
    <w:name w:val="FollowedHyperlink"/>
    <w:basedOn w:val="DefaultParagraphFont"/>
    <w:uiPriority w:val="99"/>
    <w:semiHidden/>
    <w:unhideWhenUsed/>
    <w:rsid w:val="00AD5DAB"/>
    <w:rPr>
      <w:color w:val="800080" w:themeColor="followedHyperlink"/>
      <w:u w:val="single"/>
    </w:rPr>
  </w:style>
  <w:style w:type="paragraph" w:styleId="ListParagraph">
    <w:name w:val="List Paragraph"/>
    <w:basedOn w:val="Normal"/>
    <w:uiPriority w:val="34"/>
    <w:qFormat/>
    <w:rsid w:val="00AD5DAB"/>
    <w:pPr>
      <w:spacing w:after="0" w:line="240" w:lineRule="auto"/>
      <w:ind w:left="720" w:right="0" w:firstLine="0"/>
      <w:contextualSpacing/>
      <w:jc w:val="left"/>
    </w:pPr>
    <w:rPr>
      <w:rFonts w:eastAsiaTheme="minorEastAsia" w:cs="Times New Roman"/>
      <w:color w:val="auto"/>
    </w:rPr>
  </w:style>
  <w:style w:type="paragraph" w:styleId="Header">
    <w:name w:val="header"/>
    <w:basedOn w:val="Normal"/>
    <w:link w:val="HeaderChar"/>
    <w:uiPriority w:val="99"/>
    <w:unhideWhenUsed/>
    <w:rsid w:val="00536A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AE5"/>
    <w:rPr>
      <w:rFonts w:ascii="Calibri" w:eastAsia="Calibri" w:hAnsi="Calibri" w:cs="Calibri"/>
      <w:color w:val="000000"/>
    </w:rPr>
  </w:style>
  <w:style w:type="character" w:styleId="PlaceholderText">
    <w:name w:val="Placeholder Text"/>
    <w:basedOn w:val="DefaultParagraphFont"/>
    <w:uiPriority w:val="99"/>
    <w:semiHidden/>
    <w:rsid w:val="00536AE5"/>
    <w:rPr>
      <w:color w:val="808080"/>
    </w:rPr>
  </w:style>
  <w:style w:type="character" w:styleId="CommentReference">
    <w:name w:val="annotation reference"/>
    <w:basedOn w:val="DefaultParagraphFont"/>
    <w:uiPriority w:val="99"/>
    <w:semiHidden/>
    <w:unhideWhenUsed/>
    <w:rsid w:val="00BF4D09"/>
    <w:rPr>
      <w:sz w:val="16"/>
      <w:szCs w:val="16"/>
    </w:rPr>
  </w:style>
  <w:style w:type="paragraph" w:styleId="CommentText">
    <w:name w:val="annotation text"/>
    <w:basedOn w:val="Normal"/>
    <w:link w:val="CommentTextChar"/>
    <w:uiPriority w:val="99"/>
    <w:semiHidden/>
    <w:unhideWhenUsed/>
    <w:rsid w:val="00BF4D09"/>
    <w:pPr>
      <w:spacing w:line="240" w:lineRule="auto"/>
    </w:pPr>
    <w:rPr>
      <w:sz w:val="20"/>
      <w:szCs w:val="20"/>
    </w:rPr>
  </w:style>
  <w:style w:type="character" w:customStyle="1" w:styleId="CommentTextChar">
    <w:name w:val="Comment Text Char"/>
    <w:basedOn w:val="DefaultParagraphFont"/>
    <w:link w:val="CommentText"/>
    <w:uiPriority w:val="99"/>
    <w:semiHidden/>
    <w:rsid w:val="00BF4D09"/>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F4D09"/>
    <w:rPr>
      <w:b/>
      <w:bCs/>
    </w:rPr>
  </w:style>
  <w:style w:type="character" w:customStyle="1" w:styleId="CommentSubjectChar">
    <w:name w:val="Comment Subject Char"/>
    <w:basedOn w:val="CommentTextChar"/>
    <w:link w:val="CommentSubject"/>
    <w:uiPriority w:val="99"/>
    <w:semiHidden/>
    <w:rsid w:val="00BF4D09"/>
    <w:rPr>
      <w:rFonts w:ascii="Calibri" w:eastAsia="Calibri" w:hAnsi="Calibri" w:cs="Calibri"/>
      <w:b/>
      <w:bCs/>
      <w:color w:val="000000"/>
      <w:sz w:val="20"/>
      <w:szCs w:val="20"/>
    </w:rPr>
  </w:style>
  <w:style w:type="character" w:styleId="Mention">
    <w:name w:val="Mention"/>
    <w:basedOn w:val="DefaultParagraphFont"/>
    <w:uiPriority w:val="99"/>
    <w:unhideWhenUsed/>
    <w:rPr>
      <w:color w:val="2B579A"/>
      <w:shd w:val="clear" w:color="auto" w:fill="E6E6E6"/>
    </w:rPr>
  </w:style>
  <w:style w:type="paragraph" w:styleId="NormalWeb">
    <w:name w:val="Normal (Web)"/>
    <w:basedOn w:val="Normal"/>
    <w:uiPriority w:val="99"/>
    <w:semiHidden/>
    <w:unhideWhenUsed/>
    <w:rsid w:val="008D572F"/>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988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pp.undp.org/node/4701" TargetMode="External"/><Relationship Id="rId18" Type="http://schemas.openxmlformats.org/officeDocument/2006/relationships/hyperlink" Target="https://popp.undp.org/node/5011"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popp.undp.org/node/3436" TargetMode="External"/><Relationship Id="rId7" Type="http://schemas.openxmlformats.org/officeDocument/2006/relationships/styles" Target="styles.xml"/><Relationship Id="rId12" Type="http://schemas.openxmlformats.org/officeDocument/2006/relationships/hyperlink" Target="https://popp.undp.org/node/4716" TargetMode="External"/><Relationship Id="rId17" Type="http://schemas.openxmlformats.org/officeDocument/2006/relationships/hyperlink" Target="https://popp.undp.org/node/5016"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opp.undp.org/node/4401" TargetMode="External"/><Relationship Id="rId20" Type="http://schemas.openxmlformats.org/officeDocument/2006/relationships/hyperlink" Target="https://popp.undp.org/node/471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popp.undp.org/node/5001"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popp.undp.org/node/4706"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node/5006" TargetMode="External"/><Relationship Id="rId22" Type="http://schemas.openxmlformats.org/officeDocument/2006/relationships/hyperlink" Target="https://popp.undp.org/node/5036" TargetMode="External"/><Relationship Id="rId27" Type="http://schemas.openxmlformats.org/officeDocument/2006/relationships/header" Target="header3.xml"/><Relationship Id="rId30"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FC6A0B7DDC473199DA26DF60013E0C"/>
        <w:category>
          <w:name w:val="General"/>
          <w:gallery w:val="placeholder"/>
        </w:category>
        <w:types>
          <w:type w:val="bbPlcHdr"/>
        </w:types>
        <w:behaviors>
          <w:behavior w:val="content"/>
        </w:behaviors>
        <w:guid w:val="{6ED3D59F-807A-4352-BE79-1A5F8EA11469}"/>
      </w:docPartPr>
      <w:docPartBody>
        <w:p w:rsidR="00763646" w:rsidRDefault="00BF63CB">
          <w:r w:rsidRPr="005A59E2">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63CB"/>
    <w:rsid w:val="001621C9"/>
    <w:rsid w:val="001866BF"/>
    <w:rsid w:val="001B5E50"/>
    <w:rsid w:val="002F6CDD"/>
    <w:rsid w:val="004A6560"/>
    <w:rsid w:val="006732E2"/>
    <w:rsid w:val="00763646"/>
    <w:rsid w:val="0084731C"/>
    <w:rsid w:val="00BF63CB"/>
    <w:rsid w:val="00D76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63C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UNITBMS-1904581467-121</_dlc_DocId>
    <Location xmlns="e560140e-7b2f-4392-90df-e7567e3021a3">Public</Location>
    <UNDP_POPP_DOCUMENT_TYPE xmlns="8264c5cc-ec60-4b56-8111-ce635d3d139a">Policy</UNDP_POPP_DOCUMENT_TYPE>
    <UNDP_POPP_DOCUMENT_TEMPLATE xmlns="8264c5cc-ec60-4b56-8111-ce635d3d139a" xsi:nil="true"/>
    <TaxCatchAll xmlns="8264c5cc-ec60-4b56-8111-ce635d3d139a">
      <Value>353</Value>
    </TaxCatchAll>
    <UNDP_POPP_VERSION_COMMENTS xmlns="8264c5cc-ec60-4b56-8111-ce635d3d139a" xsi:nil="true"/>
    <UNDP_POPP_DOCUMENT_LANGUAGE xmlns="8264c5cc-ec60-4b56-8111-ce635d3d139a">Spanish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Administrative Services</TermName>
          <TermId xmlns="http://schemas.microsoft.com/office/infopath/2007/PartnerControls">a78f4201-2936-4934-95ba-30c4111d72d7</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2016-07-25T22:00:00+00:00</UNDP_POPP_EFFECTIVEDATE>
    <UNDP_POPP_REFITEM_VERSION xmlns="8264c5cc-ec60-4b56-8111-ce635d3d139a">4</UNDP_POPP_REFITEM_VERSION>
    <UNDP_POPP_FILEVERSION xmlns="8264c5cc-ec60-4b56-8111-ce635d3d139a" xsi:nil="true"/>
    <UNDP_POPP_ISACTIVE xmlns="8264c5cc-ec60-4b56-8111-ce635d3d139a">true</UNDP_POPP_ISACTIVE>
    <UNDP_POPP_TITLE_EN xmlns="8264c5cc-ec60-4b56-8111-ce635d3d139a">Plantas y Propiedades: Enajenación y Amortización Total</UNDP_POPP_TITLE_EN>
    <_dlc_DocIdUrl xmlns="8264c5cc-ec60-4b56-8111-ce635d3d139a">
      <Url>https://intranet.undp.org/unit/bms/dir/internal/init_popp/_layouts/15/DocIdRedir.aspx?ID=UNITBMS-1904581467-121</Url>
      <Description>UNITBMS-1904581467-121</Description>
    </_dlc_DocIdUrl>
    <DLCPolicyLabelLock xmlns="e560140e-7b2f-4392-90df-e7567e3021a3" xsi:nil="true"/>
    <DLCPolicyLabelClientValue xmlns="e560140e-7b2f-4392-90df-e7567e3021a3">Effective Date: 26/07/2016                                                Version #: 4.0</DLCPolicyLabelClientValue>
    <UNDP_POPP_BUSINESSUNITID_HIDDEN xmlns="8264c5cc-ec60-4b56-8111-ce635d3d139a" xsi:nil="true"/>
    <DLCPolicyLabelValue xmlns="e560140e-7b2f-4392-90df-e7567e3021a3">Effective Date: 26/07/2016                                                Version #: 4</DLCPolicyLabelVal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0E10DCF-ABB5-451C-BD1B-BD9CB3DB4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8F88AE-CE45-49A5-A785-2EFC3ABFD8DE}">
  <ds:schemaRefs>
    <ds:schemaRef ds:uri="office.server.policy"/>
  </ds:schemaRefs>
</ds:datastoreItem>
</file>

<file path=customXml/itemProps3.xml><?xml version="1.0" encoding="utf-8"?>
<ds:datastoreItem xmlns:ds="http://schemas.openxmlformats.org/officeDocument/2006/customXml" ds:itemID="{064D5394-9332-4FC5-ABDA-35D7CF09F205}">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7085DD1D-D6E1-44FD-8F7C-2A0CEB57118D}">
  <ds:schemaRefs>
    <ds:schemaRef ds:uri="http://schemas.microsoft.com/sharepoint/v3/contenttype/forms"/>
  </ds:schemaRefs>
</ds:datastoreItem>
</file>

<file path=customXml/itemProps5.xml><?xml version="1.0" encoding="utf-8"?>
<ds:datastoreItem xmlns:ds="http://schemas.openxmlformats.org/officeDocument/2006/customXml" ds:itemID="{484170B0-5507-4B33-AEDA-88671A3C623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1296</Words>
  <Characters>7393</Characters>
  <Application>Microsoft Office Word</Application>
  <DocSecurity>0</DocSecurity>
  <Lines>61</Lines>
  <Paragraphs>17</Paragraphs>
  <ScaleCrop>false</ScaleCrop>
  <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Rybarova</dc:creator>
  <cp:lastModifiedBy>Pablo Morete</cp:lastModifiedBy>
  <cp:revision>15</cp:revision>
  <cp:lastPrinted>2016-06-27T22:18:00Z</cp:lastPrinted>
  <dcterms:created xsi:type="dcterms:W3CDTF">2020-06-17T19:00:00Z</dcterms:created>
  <dcterms:modified xsi:type="dcterms:W3CDTF">2023-10-25T08:22:00Z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9912283c-264a-4976-8eb0-74737317a2c3</vt:lpwstr>
  </property>
  <property fmtid="{D5CDD505-2E9C-101B-9397-08002B2CF9AE}" pid="4" name="UNDP_POPP_BUSINESSUNIT">
    <vt:lpwstr>353;#Administrative Services|a78f4201-2936-4934-95ba-30c4111d72d7</vt:lpwstr>
  </property>
  <property fmtid="{D5CDD505-2E9C-101B-9397-08002B2CF9AE}" pid="5" name="POPPBusinessProcess">
    <vt:lpwstr/>
  </property>
  <property fmtid="{D5CDD505-2E9C-101B-9397-08002B2CF9AE}" pid="6" name="UNDPCountry">
    <vt:lpwstr/>
  </property>
  <property fmtid="{D5CDD505-2E9C-101B-9397-08002B2CF9AE}" pid="7" name="UndpDocTypeMM">
    <vt:lpwstr/>
  </property>
  <property fmtid="{D5CDD505-2E9C-101B-9397-08002B2CF9AE}" pid="8" name="UNDPDocumentCategory">
    <vt:lpwstr/>
  </property>
  <property fmtid="{D5CDD505-2E9C-101B-9397-08002B2CF9AE}" pid="9" name="UNDPFocusAreas">
    <vt:lpwstr/>
  </property>
  <property fmtid="{D5CDD505-2E9C-101B-9397-08002B2CF9AE}" pid="10" name="UN Languages">
    <vt:lpwstr/>
  </property>
  <property fmtid="{D5CDD505-2E9C-101B-9397-08002B2CF9AE}" pid="11" name="UndpUnitMM">
    <vt:lpwstr/>
  </property>
  <property fmtid="{D5CDD505-2E9C-101B-9397-08002B2CF9AE}" pid="12" name="eRegFilingCodeMM">
    <vt:lpwstr/>
  </property>
  <property fmtid="{D5CDD505-2E9C-101B-9397-08002B2CF9AE}" pid="13" name="UNDP_POPP_BUSINESSPROCESS_HIDDEN">
    <vt:lpwstr/>
  </property>
  <property fmtid="{D5CDD505-2E9C-101B-9397-08002B2CF9AE}" pid="14" name="l0e6ef0c43e74560bd7f3acd1f5e8571">
    <vt:lpwstr>Accountability|5b42d95a-f181-4192-a566-012e3d461a46</vt:lpwstr>
  </property>
  <property fmtid="{D5CDD505-2E9C-101B-9397-08002B2CF9AE}" pid="15" name="Location">
    <vt:lpwstr>Public</vt:lpwstr>
  </property>
  <property fmtid="{D5CDD505-2E9C-101B-9397-08002B2CF9AE}" pid="16" name="UndpDocStatus">
    <vt:lpwstr>Draft</vt:lpwstr>
  </property>
  <property fmtid="{D5CDD505-2E9C-101B-9397-08002B2CF9AE}" pid="17" name="UndpClassificationLevel">
    <vt:lpwstr>Internal Use Only</vt:lpwstr>
  </property>
  <property fmtid="{D5CDD505-2E9C-101B-9397-08002B2CF9AE}" pid="18" name="UndpIsTemplate">
    <vt:lpwstr>No</vt:lpwstr>
  </property>
</Properties>
</file>