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13E7" w14:textId="77777777" w:rsidR="00DD1F06" w:rsidRPr="00DD1F06" w:rsidRDefault="00DD1F06" w:rsidP="00DD1F06">
      <w:pPr>
        <w:spacing w:after="0" w:line="259" w:lineRule="auto"/>
        <w:rPr>
          <w:rFonts w:ascii="Calibri" w:eastAsia="Calibri" w:hAnsi="Calibri" w:cs="Calibri"/>
          <w:b/>
          <w:bCs/>
          <w:color w:val="000000"/>
          <w:kern w:val="0"/>
          <w:sz w:val="28"/>
          <w:szCs w:val="28"/>
          <w:lang w:val="es-ES" w:eastAsia="es-ES" w:bidi="es-ES"/>
          <w14:ligatures w14:val="none"/>
        </w:rPr>
      </w:pPr>
      <w:r w:rsidRPr="00DD1F06">
        <w:rPr>
          <w:rFonts w:ascii="Calibri" w:eastAsia="Calibri" w:hAnsi="Calibri" w:cs="Calibri"/>
          <w:b/>
          <w:bCs/>
          <w:color w:val="000000"/>
          <w:kern w:val="0"/>
          <w:sz w:val="28"/>
          <w:szCs w:val="28"/>
          <w:lang w:val="es-ES" w:eastAsia="es-ES" w:bidi="es-ES"/>
          <w14:ligatures w14:val="none"/>
        </w:rPr>
        <w:t xml:space="preserve">Plantas y Propiedades: Enajenación y Amortización Total  </w:t>
      </w:r>
    </w:p>
    <w:p w14:paraId="7DD55490" w14:textId="77777777" w:rsidR="00DD1F06" w:rsidRPr="00DD1F06" w:rsidRDefault="00DD1F06" w:rsidP="00DD1F06">
      <w:pPr>
        <w:spacing w:after="0" w:line="259" w:lineRule="auto"/>
        <w:rPr>
          <w:rFonts w:ascii="Calibri" w:eastAsia="Calibri" w:hAnsi="Calibri" w:cs="Calibri"/>
          <w:b/>
          <w:bCs/>
          <w:color w:val="000000"/>
          <w:kern w:val="0"/>
          <w:sz w:val="22"/>
          <w:szCs w:val="22"/>
          <w:lang w:val="es-ES" w:eastAsia="es-ES" w:bidi="es-ES"/>
          <w14:ligatures w14:val="none"/>
        </w:rPr>
      </w:pPr>
    </w:p>
    <w:p w14:paraId="7C1A1BBC" w14:textId="77777777" w:rsidR="00DD1F06" w:rsidRPr="00DD1F06" w:rsidRDefault="00DD1F06" w:rsidP="00DD1F06">
      <w:pPr>
        <w:keepNext/>
        <w:keepLines/>
        <w:spacing w:after="5" w:line="249" w:lineRule="auto"/>
        <w:ind w:left="-5" w:right="136" w:hanging="10"/>
        <w:outlineLvl w:val="0"/>
        <w:rPr>
          <w:rFonts w:ascii="Calibri" w:eastAsia="Calibri" w:hAnsi="Calibri" w:cs="Calibri"/>
          <w:b/>
          <w:color w:val="000000"/>
          <w:kern w:val="0"/>
          <w:sz w:val="21"/>
          <w:szCs w:val="21"/>
          <w:lang w:val="es-ES" w:eastAsia="es-ES" w:bidi="es-ES"/>
          <w14:ligatures w14:val="none"/>
        </w:rPr>
      </w:pPr>
      <w:r w:rsidRPr="00DD1F06">
        <w:rPr>
          <w:rFonts w:ascii="Calibri" w:eastAsia="Calibri" w:hAnsi="Calibri" w:cs="Calibri"/>
          <w:b/>
          <w:color w:val="000000"/>
          <w:kern w:val="0"/>
          <w:sz w:val="21"/>
          <w:szCs w:val="21"/>
          <w:lang w:val="es-ES" w:eastAsia="es-ES" w:bidi="es-ES"/>
          <w14:ligatures w14:val="none"/>
        </w:rPr>
        <w:t xml:space="preserve">Uso del Asesor Jurídico </w:t>
      </w:r>
    </w:p>
    <w:p w14:paraId="10A6EC38" w14:textId="77777777" w:rsidR="00DD1F06" w:rsidRPr="00DD1F06" w:rsidRDefault="00DD1F06" w:rsidP="00DD1F06">
      <w:pPr>
        <w:spacing w:after="20" w:line="259" w:lineRule="auto"/>
        <w:rPr>
          <w:rFonts w:ascii="Calibri" w:eastAsia="Calibri" w:hAnsi="Calibri" w:cs="Calibri"/>
          <w:color w:val="000000"/>
          <w:kern w:val="0"/>
          <w:sz w:val="21"/>
          <w:szCs w:val="21"/>
          <w:lang w:val="es-ES" w:eastAsia="es-ES" w:bidi="es-ES"/>
          <w14:ligatures w14:val="none"/>
        </w:rPr>
      </w:pPr>
      <w:r w:rsidRPr="00DD1F06">
        <w:rPr>
          <w:rFonts w:ascii="Calibri" w:eastAsia="Calibri" w:hAnsi="Calibri" w:cs="Calibri"/>
          <w:color w:val="000000"/>
          <w:kern w:val="0"/>
          <w:sz w:val="21"/>
          <w:szCs w:val="21"/>
          <w:lang w:val="es-ES" w:eastAsia="es-ES" w:bidi="es-ES"/>
          <w14:ligatures w14:val="none"/>
        </w:rPr>
        <w:t xml:space="preserve">  </w:t>
      </w:r>
    </w:p>
    <w:p w14:paraId="6EC0C9A0" w14:textId="77777777" w:rsidR="00DD1F06" w:rsidRPr="00DD1F06" w:rsidRDefault="00DD1F06" w:rsidP="00DD1F06">
      <w:pPr>
        <w:spacing w:after="5" w:line="249" w:lineRule="auto"/>
        <w:ind w:left="720" w:hanging="360"/>
        <w:jc w:val="both"/>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1"/>
          <w:szCs w:val="21"/>
          <w:lang w:val="es-ES" w:eastAsia="es-ES" w:bidi="es-ES"/>
          <w14:ligatures w14:val="none"/>
        </w:rPr>
        <w:t>1.</w:t>
      </w:r>
      <w:r w:rsidRPr="00DD1F06">
        <w:rPr>
          <w:rFonts w:ascii="Arial" w:eastAsia="Calibri" w:hAnsi="Arial" w:cs="Calibri"/>
          <w:color w:val="000000"/>
          <w:kern w:val="0"/>
          <w:sz w:val="21"/>
          <w:szCs w:val="21"/>
          <w:lang w:val="es-ES" w:eastAsia="es-ES" w:bidi="es-ES"/>
          <w14:ligatures w14:val="none"/>
        </w:rPr>
        <w:t xml:space="preserve">  </w:t>
      </w:r>
      <w:r w:rsidRPr="00DD1F06">
        <w:rPr>
          <w:rFonts w:ascii="Calibri" w:eastAsia="Calibri" w:hAnsi="Calibri" w:cs="Calibri"/>
          <w:color w:val="000000"/>
          <w:kern w:val="0"/>
          <w:sz w:val="22"/>
          <w:szCs w:val="22"/>
          <w:lang w:val="es-ES" w:eastAsia="es-ES" w:bidi="es-ES"/>
          <w14:ligatures w14:val="none"/>
        </w:rPr>
        <w:t xml:space="preserve">Dadas las complejidades legales involucradas en la transferencia de documentos de titularidad para plantas, terrenos y edificios, el primer paso en el procesamiento de la enajenación de plantas, terrenos y edificios es contratar los servicios de un asesor jurídico en consulta con la Oficina de Servicios Jurídicos (LO) de la Dirección de Servicios de Gestión (BMS) para obtener el asesoramiento necesario en el proceso de Enajenación.   </w:t>
      </w:r>
    </w:p>
    <w:p w14:paraId="7504028C"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 xml:space="preserve"> </w:t>
      </w:r>
      <w:r w:rsidRPr="00DD1F06">
        <w:rPr>
          <w:rFonts w:ascii="Calibri" w:eastAsia="Calibri" w:hAnsi="Calibri" w:cs="Calibri"/>
          <w:color w:val="000000"/>
          <w:kern w:val="0"/>
          <w:sz w:val="22"/>
          <w:szCs w:val="22"/>
          <w:lang w:val="es-ES" w:eastAsia="es-ES" w:bidi="es-ES"/>
          <w14:ligatures w14:val="none"/>
        </w:rPr>
        <w:t xml:space="preserve"> </w:t>
      </w:r>
    </w:p>
    <w:p w14:paraId="35E2A5C7" w14:textId="77777777" w:rsidR="00DD1F06" w:rsidRPr="00DD1F06" w:rsidRDefault="00DD1F06" w:rsidP="00DD1F06">
      <w:pPr>
        <w:keepNext/>
        <w:keepLines/>
        <w:spacing w:after="5" w:line="249" w:lineRule="auto"/>
        <w:ind w:left="-5" w:right="136" w:hanging="10"/>
        <w:outlineLvl w:val="0"/>
        <w:rPr>
          <w:rFonts w:ascii="Calibri" w:eastAsia="Calibri" w:hAnsi="Calibri" w:cs="Calibri"/>
          <w:b/>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 xml:space="preserve">Venta y Método de Enajenación </w:t>
      </w:r>
    </w:p>
    <w:p w14:paraId="52FE92F1" w14:textId="77777777" w:rsidR="00DD1F06" w:rsidRPr="00DD1F06" w:rsidRDefault="00DD1F06" w:rsidP="00DD1F06">
      <w:pPr>
        <w:spacing w:after="2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0B58049E" w14:textId="77777777" w:rsidR="00DD1F06" w:rsidRPr="00DD1F06" w:rsidRDefault="00DD1F06" w:rsidP="00DD1F06">
      <w:pPr>
        <w:spacing w:after="5" w:line="249" w:lineRule="auto"/>
        <w:ind w:left="720" w:hanging="360"/>
        <w:jc w:val="both"/>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2.   Todos los fondos recibidos por la enajenación mediante la venta de planta, terrenos y edificios del PNUD (Programa de las Naciones Unidas para el Desarrollo) deben ser en forma de cheque bancario o mediante transferencia electrónica de fondos, en el momento de la transferencia del título o antes de esta. Las excepciones escritas a esta regla, para los artículos por encima de la Autoridad de Adquisición </w:t>
      </w:r>
      <w:proofErr w:type="gramStart"/>
      <w:r w:rsidRPr="00DD1F06">
        <w:rPr>
          <w:rFonts w:ascii="Calibri" w:eastAsia="Calibri" w:hAnsi="Calibri" w:cs="Calibri"/>
          <w:color w:val="000000"/>
          <w:kern w:val="0"/>
          <w:sz w:val="22"/>
          <w:szCs w:val="22"/>
          <w:lang w:val="es-ES" w:eastAsia="es-ES" w:bidi="es-ES"/>
          <w14:ligatures w14:val="none"/>
        </w:rPr>
        <w:t>Delegada</w:t>
      </w:r>
      <w:proofErr w:type="gramEnd"/>
      <w:r w:rsidRPr="00DD1F06">
        <w:rPr>
          <w:rFonts w:ascii="Calibri" w:eastAsia="Calibri" w:hAnsi="Calibri" w:cs="Calibri"/>
          <w:color w:val="000000"/>
          <w:kern w:val="0"/>
          <w:sz w:val="22"/>
          <w:szCs w:val="22"/>
          <w:lang w:val="es-ES" w:eastAsia="es-ES" w:bidi="es-ES"/>
          <w14:ligatures w14:val="none"/>
        </w:rPr>
        <w:t xml:space="preserve"> (DPA), pueden ser autorizadas por el OJA (oficial jefe de adquisiciones) a través del ACP (Comité Consultivo sobre Adquisiciones) o del RACP (Comité Consultivo Regional sobre Adquisiciones) cuando, según su punto de vista, esto sea del interés del PNUD. </w:t>
      </w:r>
    </w:p>
    <w:p w14:paraId="4AB5C570"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3A6441B0" w14:textId="77777777" w:rsidR="00DD1F06" w:rsidRPr="00DD1F06" w:rsidRDefault="00DD1F06" w:rsidP="00DD1F06">
      <w:pPr>
        <w:keepNext/>
        <w:keepLines/>
        <w:spacing w:after="5" w:line="249" w:lineRule="auto"/>
        <w:ind w:left="-5" w:right="136" w:hanging="10"/>
        <w:outlineLvl w:val="0"/>
        <w:rPr>
          <w:rFonts w:ascii="Calibri" w:eastAsia="Calibri" w:hAnsi="Calibri" w:cs="Calibri"/>
          <w:b/>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 xml:space="preserve">Licitación Competitiva y Método de Enajenación </w:t>
      </w:r>
    </w:p>
    <w:p w14:paraId="3338DB46" w14:textId="77777777" w:rsidR="00DD1F06" w:rsidRPr="00DD1F06" w:rsidRDefault="00DD1F06" w:rsidP="00DD1F06">
      <w:pPr>
        <w:spacing w:after="2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2740DA35" w14:textId="77777777" w:rsidR="00DD1F06" w:rsidRPr="00DD1F06" w:rsidRDefault="00DD1F06" w:rsidP="00DD1F06">
      <w:pPr>
        <w:spacing w:after="5" w:line="249" w:lineRule="auto"/>
        <w:ind w:left="720" w:hanging="360"/>
        <w:jc w:val="both"/>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3.  Las Plantas, Terrenos o Edificios deben enajenarse mediante licitación competitiva abierta. El propósito principal de la licitación competitiva es asegurar que el PNUD obtenga la mejor relación entre calidad y precio por sus enajenaciones.  Para establecer los precios de reserva para la licitación competitiva, pueden obtenerse valorizaciones independientes de expertos reconocidos. De conformidad con los procesos de adquisición del PNUD, un comprador potencial que participa en la valoración no tendrá permitido participar y/u ofertar en el siguiente proceso de licitación competitiva. </w:t>
      </w:r>
    </w:p>
    <w:p w14:paraId="7DFFEB8E"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5DFCB1A7" w14:textId="77777777" w:rsidR="00DD1F06" w:rsidRPr="00DD1F06" w:rsidRDefault="00DD1F06" w:rsidP="00DD1F06">
      <w:pPr>
        <w:keepNext/>
        <w:keepLines/>
        <w:spacing w:after="5" w:line="249" w:lineRule="auto"/>
        <w:ind w:left="-5" w:right="136" w:hanging="10"/>
        <w:outlineLvl w:val="0"/>
        <w:rPr>
          <w:rFonts w:ascii="Calibri" w:eastAsia="Calibri" w:hAnsi="Calibri" w:cs="Calibri"/>
          <w:b/>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 xml:space="preserve">Facultad para Enajenar Activos </w:t>
      </w:r>
    </w:p>
    <w:p w14:paraId="4238324D" w14:textId="77777777" w:rsidR="00DD1F06" w:rsidRPr="00DD1F06" w:rsidRDefault="00DD1F06" w:rsidP="00DD1F06">
      <w:pPr>
        <w:spacing w:after="22"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00EE9DA0" w14:textId="77777777" w:rsidR="00DD1F06" w:rsidRPr="00DD1F06" w:rsidRDefault="00DD1F06" w:rsidP="00DD1F06">
      <w:pPr>
        <w:spacing w:after="5" w:line="249" w:lineRule="auto"/>
        <w:ind w:left="720" w:hanging="360"/>
        <w:jc w:val="both"/>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4.   Se ha delegado a los Representantes Residentes, a los </w:t>
      </w:r>
      <w:proofErr w:type="gramStart"/>
      <w:r w:rsidRPr="00DD1F06">
        <w:rPr>
          <w:rFonts w:ascii="Calibri" w:eastAsia="Calibri" w:hAnsi="Calibri" w:cs="Calibri"/>
          <w:color w:val="000000"/>
          <w:kern w:val="0"/>
          <w:sz w:val="22"/>
          <w:szCs w:val="22"/>
          <w:lang w:val="es-ES" w:eastAsia="es-ES" w:bidi="es-ES"/>
          <w14:ligatures w14:val="none"/>
        </w:rPr>
        <w:t>Jefes</w:t>
      </w:r>
      <w:proofErr w:type="gramEnd"/>
      <w:r w:rsidRPr="00DD1F06">
        <w:rPr>
          <w:rFonts w:ascii="Calibri" w:eastAsia="Calibri" w:hAnsi="Calibri" w:cs="Calibri"/>
          <w:color w:val="000000"/>
          <w:kern w:val="0"/>
          <w:sz w:val="22"/>
          <w:szCs w:val="22"/>
          <w:lang w:val="es-ES" w:eastAsia="es-ES" w:bidi="es-ES"/>
          <w14:ligatures w14:val="none"/>
        </w:rPr>
        <w:t xml:space="preserve"> de las Dependencias Fuera de la Sede y al </w:t>
      </w:r>
      <w:proofErr w:type="gramStart"/>
      <w:r w:rsidRPr="00DD1F06">
        <w:rPr>
          <w:rFonts w:ascii="Calibri" w:eastAsia="Calibri" w:hAnsi="Calibri" w:cs="Calibri"/>
          <w:color w:val="000000"/>
          <w:kern w:val="0"/>
          <w:sz w:val="22"/>
          <w:szCs w:val="22"/>
          <w:lang w:val="es-ES" w:eastAsia="es-ES" w:bidi="es-ES"/>
          <w14:ligatures w14:val="none"/>
        </w:rPr>
        <w:t>Jefe</w:t>
      </w:r>
      <w:proofErr w:type="gramEnd"/>
      <w:r w:rsidRPr="00DD1F06">
        <w:rPr>
          <w:rFonts w:ascii="Calibri" w:eastAsia="Calibri" w:hAnsi="Calibri" w:cs="Calibri"/>
          <w:color w:val="000000"/>
          <w:kern w:val="0"/>
          <w:sz w:val="22"/>
          <w:szCs w:val="22"/>
          <w:lang w:val="es-ES" w:eastAsia="es-ES" w:bidi="es-ES"/>
          <w14:ligatures w14:val="none"/>
        </w:rPr>
        <w:t xml:space="preserve"> de la Dependencia de Operaciones Generales de la BMS la facultad para enajenar en forma directa todos los artículos excedentes en relación con los requisitos o que están fuera de servicio por ser obsoletos o por su desgaste normal. Un activo se vuelve obsoleto cuando está desactualizado ya sea debido a la existencia de una tecnología más avanzada o porque ya no está en uso. En todos los casos, para la enajenación de todos los activos deberá determinarse el valor normal de mercado (FMV). Este valor (no el NBV [valor neto contable] ni el valor de compra original) determinará el proceso siguiente de enajenación y la facultad de aprobación. La enajenación de un artículo con un valor normal de mercado de más de USD 5.000 requiere la revisión de los comités correspondientes (el Comité de Contractos, Activos y Adquisiciones [CAP], </w:t>
      </w:r>
      <w:r w:rsidRPr="00DD1F06">
        <w:rPr>
          <w:rFonts w:ascii="Calibri" w:eastAsia="Calibri" w:hAnsi="Calibri" w:cs="Calibri"/>
          <w:color w:val="000000"/>
          <w:kern w:val="0"/>
          <w:sz w:val="22"/>
          <w:szCs w:val="22"/>
          <w:lang w:val="es-ES" w:eastAsia="es-ES" w:bidi="es-ES"/>
          <w14:ligatures w14:val="none"/>
        </w:rPr>
        <w:lastRenderedPageBreak/>
        <w:t>el Comité Consultivo Regional sobre Adquisiciones [RACP] o el Comité Consultivo sobre Adquisiciones [ACP]). Consulte las POPP (Políticas y Procedimientos de Operaciones y Programas) sobre Enajenación y Amortización Total de Activos.</w:t>
      </w:r>
    </w:p>
    <w:p w14:paraId="5D21BAF2" w14:textId="77777777" w:rsidR="00DD1F06" w:rsidRPr="00DD1F06" w:rsidRDefault="00DD1F06" w:rsidP="00DD1F06">
      <w:pPr>
        <w:spacing w:after="5" w:line="249" w:lineRule="auto"/>
        <w:ind w:left="720" w:hanging="360"/>
        <w:jc w:val="both"/>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720DBC1D" w14:textId="77777777" w:rsidR="00DD1F06" w:rsidRPr="00DD1F06" w:rsidRDefault="00DD1F06" w:rsidP="00DD1F06">
      <w:pPr>
        <w:keepNext/>
        <w:keepLines/>
        <w:spacing w:after="5" w:line="249" w:lineRule="auto"/>
        <w:ind w:left="-5" w:right="136" w:hanging="10"/>
        <w:outlineLvl w:val="0"/>
        <w:rPr>
          <w:rFonts w:ascii="Calibri" w:eastAsia="Calibri" w:hAnsi="Calibri" w:cs="Calibri"/>
          <w:b/>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 xml:space="preserve">Ganancias/Pérdidas por la Enajenación de Activos </w:t>
      </w:r>
    </w:p>
    <w:p w14:paraId="13F6A6EA" w14:textId="77777777" w:rsidR="00DD1F06" w:rsidRPr="00DD1F06" w:rsidRDefault="00DD1F06" w:rsidP="00DD1F06">
      <w:pPr>
        <w:spacing w:after="5" w:line="249" w:lineRule="auto"/>
        <w:ind w:left="370" w:right="3" w:hanging="10"/>
        <w:jc w:val="both"/>
        <w:rPr>
          <w:rFonts w:ascii="Calibri" w:eastAsia="Calibri" w:hAnsi="Calibri" w:cs="Calibri"/>
          <w:color w:val="000000"/>
          <w:kern w:val="0"/>
          <w:sz w:val="22"/>
          <w:szCs w:val="22"/>
          <w:lang w:val="es-ES" w:eastAsia="es-ES" w:bidi="es-ES"/>
          <w14:ligatures w14:val="none"/>
        </w:rPr>
      </w:pPr>
    </w:p>
    <w:p w14:paraId="786E1494" w14:textId="77777777" w:rsidR="00DD1F06" w:rsidRPr="00DD1F06" w:rsidRDefault="00DD1F06" w:rsidP="00DD1F06">
      <w:pPr>
        <w:spacing w:after="5" w:line="249" w:lineRule="auto"/>
        <w:ind w:left="720" w:hanging="360"/>
        <w:jc w:val="both"/>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5.  Una vez que una Planta o un Edificio se han enajenado, el resto del saldo sin depreciar se deduce del costo para determinar el valor neto contable (NBV). La diferencia entre el producto de la venta y el NBV se considera como una ganancia/pérdida por enajenación. El Sistema de Gestión de Activos de Quantum calcula automáticamente esta ganancia o pérdida y deduce o acredita la ganancia o la pérdida en la cuenta de ganancia o pérdida por enajenación del libro mayor (GL) utilizando el Plan de Cuentas asociado con el activo. Esto asegura que cada proyecto o donante reciba el valor total del activo, incluso en la enajenación. La oficina de país (CO) o la dependencia comercial de la Sede deben archivar todos los documentos de la transacción finales relacionados con una enajenación o amortización total, incluidos los detalles de la ganancia o pérdida final contabilizada en el proyecto. </w:t>
      </w:r>
    </w:p>
    <w:p w14:paraId="32186D19"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6E1E3152" w14:textId="77777777" w:rsidR="00DD1F06" w:rsidRPr="00DD1F06" w:rsidRDefault="00DD1F06" w:rsidP="00DD1F06">
      <w:pPr>
        <w:spacing w:after="60" w:line="250" w:lineRule="auto"/>
        <w:ind w:right="130" w:hanging="14"/>
        <w:rPr>
          <w:rFonts w:ascii="Calibri" w:eastAsia="Calibri" w:hAnsi="Calibri" w:cs="Calibri"/>
          <w:b/>
          <w:bCs/>
          <w:color w:val="000000"/>
          <w:kern w:val="0"/>
          <w:sz w:val="22"/>
          <w:szCs w:val="22"/>
          <w:lang w:val="es-ES" w:eastAsia="es-ES" w:bidi="es-ES"/>
          <w14:ligatures w14:val="none"/>
        </w:rPr>
      </w:pPr>
      <w:r w:rsidRPr="00DD1F06">
        <w:rPr>
          <w:rFonts w:ascii="Calibri" w:eastAsia="Calibri" w:hAnsi="Calibri" w:cs="Calibri"/>
          <w:b/>
          <w:bCs/>
          <w:color w:val="000000"/>
          <w:kern w:val="0"/>
          <w:sz w:val="22"/>
          <w:szCs w:val="22"/>
          <w:lang w:val="es-ES" w:eastAsia="es-ES" w:bidi="es-ES"/>
          <w14:ligatures w14:val="none"/>
        </w:rPr>
        <w:t xml:space="preserve">Procedimientos detallados sobre los Métodos de Enajenación y Amortización Total y los respectivos umbrales  </w:t>
      </w:r>
    </w:p>
    <w:p w14:paraId="1756FD72" w14:textId="77777777" w:rsidR="00DD1F06" w:rsidRPr="00DD1F06" w:rsidRDefault="00DD1F06" w:rsidP="00DD1F06">
      <w:pPr>
        <w:spacing w:after="5" w:line="249" w:lineRule="auto"/>
        <w:ind w:left="-5" w:right="136" w:firstLine="725"/>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Consulte la sección de Enajenación y Amortización Total de Activos de las POPP.  </w:t>
      </w:r>
    </w:p>
    <w:p w14:paraId="7F45AC31" w14:textId="77777777" w:rsidR="00DD1F06" w:rsidRPr="00DD1F06" w:rsidRDefault="00DD1F06" w:rsidP="00DD1F06">
      <w:pPr>
        <w:spacing w:after="0" w:line="259" w:lineRule="auto"/>
        <w:ind w:right="1153"/>
        <w:jc w:val="right"/>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2EEBD355" w14:textId="77777777" w:rsidR="00DD1F06" w:rsidRPr="00DD1F06" w:rsidRDefault="00DD1F06" w:rsidP="00DD1F06">
      <w:pPr>
        <w:keepNext/>
        <w:keepLines/>
        <w:spacing w:after="5" w:line="249" w:lineRule="auto"/>
        <w:ind w:left="-5" w:right="136" w:hanging="10"/>
        <w:outlineLvl w:val="0"/>
        <w:rPr>
          <w:rFonts w:ascii="Calibri" w:eastAsia="Calibri" w:hAnsi="Calibri" w:cs="Calibri"/>
          <w:b/>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 xml:space="preserve">Funciones y Responsabilidades </w:t>
      </w:r>
    </w:p>
    <w:p w14:paraId="28171D5A" w14:textId="77777777" w:rsidR="00DD1F06" w:rsidRPr="00DD1F06" w:rsidRDefault="00DD1F06" w:rsidP="00DD1F06">
      <w:pPr>
        <w:spacing w:after="5" w:line="249" w:lineRule="auto"/>
        <w:ind w:left="370" w:right="3" w:hanging="10"/>
        <w:jc w:val="both"/>
        <w:rPr>
          <w:rFonts w:ascii="Calibri" w:eastAsia="Calibri" w:hAnsi="Calibri" w:cs="Calibri"/>
          <w:color w:val="000000"/>
          <w:kern w:val="0"/>
          <w:sz w:val="22"/>
          <w:szCs w:val="22"/>
          <w:lang w:val="es-ES" w:eastAsia="es-ES" w:bidi="es-ES"/>
          <w14:ligatures w14:val="none"/>
        </w:rPr>
      </w:pPr>
    </w:p>
    <w:tbl>
      <w:tblPr>
        <w:tblW w:w="5297" w:type="pct"/>
        <w:tblInd w:w="-10" w:type="dxa"/>
        <w:tblCellMar>
          <w:left w:w="0" w:type="dxa"/>
          <w:right w:w="0" w:type="dxa"/>
        </w:tblCellMar>
        <w:tblLook w:val="04A0" w:firstRow="1" w:lastRow="0" w:firstColumn="1" w:lastColumn="0" w:noHBand="0" w:noVBand="1"/>
      </w:tblPr>
      <w:tblGrid>
        <w:gridCol w:w="2584"/>
        <w:gridCol w:w="7316"/>
      </w:tblGrid>
      <w:tr w:rsidR="00DD1F06" w:rsidRPr="00DD1F06" w14:paraId="34B9D89A" w14:textId="77777777" w:rsidTr="00DD1F8F">
        <w:trPr>
          <w:trHeight w:val="591"/>
          <w:tblHeader/>
        </w:trPr>
        <w:tc>
          <w:tcPr>
            <w:tcW w:w="130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CDC563" w14:textId="77777777" w:rsidR="00DD1F06" w:rsidRPr="00DD1F06" w:rsidRDefault="00DD1F06" w:rsidP="00DD1F06">
            <w:pPr>
              <w:spacing w:after="5" w:line="249" w:lineRule="auto"/>
              <w:ind w:left="370" w:right="3" w:hanging="10"/>
              <w:jc w:val="both"/>
              <w:rPr>
                <w:rFonts w:ascii="Calibri" w:eastAsia="Times New Roman" w:hAnsi="Calibri" w:cs="Arial"/>
                <w:b/>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Parte Responsable</w:t>
            </w:r>
          </w:p>
        </w:tc>
        <w:tc>
          <w:tcPr>
            <w:tcW w:w="369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1A2994" w14:textId="77777777" w:rsidR="00DD1F06" w:rsidRPr="00DD1F06" w:rsidRDefault="00DD1F06" w:rsidP="00DD1F06">
            <w:pPr>
              <w:spacing w:after="5" w:line="249" w:lineRule="auto"/>
              <w:ind w:left="370" w:right="3" w:hanging="10"/>
              <w:jc w:val="both"/>
              <w:rPr>
                <w:rFonts w:ascii="Calibri" w:eastAsia="Times New Roman" w:hAnsi="Calibri" w:cs="Arial"/>
                <w:b/>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Responsabilidades</w:t>
            </w:r>
          </w:p>
        </w:tc>
      </w:tr>
      <w:tr w:rsidR="00DD1F06" w:rsidRPr="00DD1F06" w14:paraId="645DF085" w14:textId="77777777" w:rsidTr="00DD1F8F">
        <w:trPr>
          <w:trHeight w:val="2052"/>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B74A82" w14:textId="77777777" w:rsidR="00DD1F06" w:rsidRPr="00DD1F06" w:rsidRDefault="00DD1F06" w:rsidP="00DD1F8F">
            <w:pPr>
              <w:spacing w:after="0" w:line="240" w:lineRule="auto"/>
              <w:rPr>
                <w:rFonts w:ascii="Calibri" w:eastAsia="Times New Roman" w:hAnsi="Calibri" w:cs="Arial"/>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RR,</w:t>
            </w:r>
          </w:p>
          <w:p w14:paraId="0AB250C5" w14:textId="77777777" w:rsidR="00DD1F06" w:rsidRPr="00DD1F06" w:rsidRDefault="00DD1F06" w:rsidP="00DD1F8F">
            <w:pPr>
              <w:spacing w:after="0" w:line="240" w:lineRule="auto"/>
              <w:rPr>
                <w:rFonts w:ascii="Calibri" w:eastAsia="Times New Roman" w:hAnsi="Calibri" w:cs="Arial"/>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Jefe de Dependencia de la Sede,</w:t>
            </w:r>
          </w:p>
          <w:p w14:paraId="75D14C7C" w14:textId="77777777" w:rsidR="00DD1F06" w:rsidRPr="00DD1F06" w:rsidRDefault="00DD1F06" w:rsidP="00DD1F8F">
            <w:pPr>
              <w:spacing w:after="0" w:line="240" w:lineRule="auto"/>
              <w:rPr>
                <w:rFonts w:ascii="Calibri" w:eastAsia="Times New Roman" w:hAnsi="Calibri" w:cs="Arial"/>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Jefe de Dependencias fuera de la Sede</w:t>
            </w:r>
          </w:p>
        </w:tc>
        <w:tc>
          <w:tcPr>
            <w:tcW w:w="3695" w:type="pct"/>
            <w:tcBorders>
              <w:top w:val="nil"/>
              <w:left w:val="nil"/>
              <w:bottom w:val="single" w:sz="8" w:space="0" w:color="auto"/>
              <w:right w:val="single" w:sz="8" w:space="0" w:color="auto"/>
            </w:tcBorders>
            <w:tcMar>
              <w:top w:w="0" w:type="dxa"/>
              <w:left w:w="108" w:type="dxa"/>
              <w:bottom w:w="0" w:type="dxa"/>
              <w:right w:w="108" w:type="dxa"/>
            </w:tcMar>
            <w:hideMark/>
          </w:tcPr>
          <w:p w14:paraId="797036B7"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Mantener registros completos y precisos de Plantas, Terrenos y Edificios adquiridos por sus oficinas;</w:t>
            </w:r>
          </w:p>
          <w:p w14:paraId="60F00C7B"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Consultar al CAP sobre la enajenación de artículos con un costo superior a USD 2500 y hasta la DPA, al RACP para artículos por encima de la DPA y de hasta USD 1 millón y al ACP para artículos con un costo superior a USD 1 millón;</w:t>
            </w:r>
          </w:p>
          <w:p w14:paraId="741BAA37"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Presentar los documentos de certificación del ejercicio bianual / o anual de verificación física a la dependencia de Operaciones Generales de la BMS antes de la fecha límite de presentación.</w:t>
            </w:r>
          </w:p>
        </w:tc>
      </w:tr>
      <w:tr w:rsidR="00DD1F06" w:rsidRPr="00DD1F06" w14:paraId="54AE2C1B" w14:textId="77777777" w:rsidTr="00DD1F8F">
        <w:trPr>
          <w:trHeight w:val="1521"/>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E117EE" w14:textId="77777777" w:rsidR="00DD1F06" w:rsidRPr="00DD1F06" w:rsidRDefault="00DD1F06" w:rsidP="00DD1F8F">
            <w:pPr>
              <w:spacing w:after="0" w:line="240" w:lineRule="auto"/>
              <w:rPr>
                <w:rFonts w:ascii="Calibri" w:eastAsia="Times New Roman" w:hAnsi="Calibri" w:cs="Arial"/>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Coordinador de Activos, Gerente de Operaciones</w:t>
            </w:r>
          </w:p>
        </w:tc>
        <w:tc>
          <w:tcPr>
            <w:tcW w:w="3695" w:type="pct"/>
            <w:tcBorders>
              <w:top w:val="nil"/>
              <w:left w:val="nil"/>
              <w:bottom w:val="single" w:sz="8" w:space="0" w:color="auto"/>
              <w:right w:val="single" w:sz="8" w:space="0" w:color="auto"/>
            </w:tcBorders>
            <w:tcMar>
              <w:top w:w="0" w:type="dxa"/>
              <w:left w:w="108" w:type="dxa"/>
              <w:bottom w:w="0" w:type="dxa"/>
              <w:right w:w="108" w:type="dxa"/>
            </w:tcMar>
            <w:hideMark/>
          </w:tcPr>
          <w:p w14:paraId="105FB15F"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Times New Roman"/>
                <w:color w:val="000000"/>
                <w:kern w:val="0"/>
                <w:sz w:val="22"/>
                <w:szCs w:val="22"/>
                <w:u w:val="single"/>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 xml:space="preserve">Presentar solicitudes al CGSC (Centro Global de Servicios Compartidos) a través de </w:t>
            </w:r>
            <w:proofErr w:type="spellStart"/>
            <w:r w:rsidRPr="00DD1F06">
              <w:rPr>
                <w:rFonts w:ascii="Calibri" w:eastAsia="Times New Roman" w:hAnsi="Calibri" w:cs="Times New Roman"/>
                <w:color w:val="000000"/>
                <w:kern w:val="0"/>
                <w:sz w:val="22"/>
                <w:szCs w:val="22"/>
                <w:lang w:val="es-ES" w:eastAsia="es-ES" w:bidi="es-ES"/>
                <w14:ligatures w14:val="none"/>
              </w:rPr>
              <w:t>UNAll</w:t>
            </w:r>
            <w:proofErr w:type="spellEnd"/>
            <w:r w:rsidRPr="00DD1F06">
              <w:rPr>
                <w:rFonts w:ascii="Calibri" w:eastAsia="Times New Roman" w:hAnsi="Calibri" w:cs="Times New Roman"/>
                <w:color w:val="000000"/>
                <w:kern w:val="0"/>
                <w:sz w:val="22"/>
                <w:szCs w:val="22"/>
                <w:lang w:val="es-ES" w:eastAsia="es-ES" w:bidi="es-ES"/>
                <w14:ligatures w14:val="none"/>
              </w:rPr>
              <w:t xml:space="preserve"> para todas las transacciones de activos, con excepción de los cambios de ubicación y custodia e imputar información sobre activos. </w:t>
            </w:r>
          </w:p>
          <w:p w14:paraId="42244DEC"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proofErr w:type="gramStart"/>
            <w:r w:rsidRPr="00DD1F06">
              <w:rPr>
                <w:rFonts w:ascii="Calibri" w:eastAsia="Times New Roman" w:hAnsi="Calibri" w:cs="Times New Roman"/>
                <w:color w:val="000000"/>
                <w:kern w:val="0"/>
                <w:sz w:val="22"/>
                <w:szCs w:val="22"/>
                <w:lang w:val="es-ES" w:eastAsia="es-ES" w:bidi="es-ES"/>
                <w14:ligatures w14:val="none"/>
              </w:rPr>
              <w:t>Asegurar</w:t>
            </w:r>
            <w:proofErr w:type="gramEnd"/>
            <w:r w:rsidRPr="00DD1F06">
              <w:rPr>
                <w:rFonts w:ascii="Calibri" w:eastAsia="Times New Roman" w:hAnsi="Calibri" w:cs="Times New Roman"/>
                <w:color w:val="000000"/>
                <w:kern w:val="0"/>
                <w:sz w:val="22"/>
                <w:szCs w:val="22"/>
                <w:lang w:val="es-ES" w:eastAsia="es-ES" w:bidi="es-ES"/>
                <w14:ligatures w14:val="none"/>
              </w:rPr>
              <w:t xml:space="preserve"> que toda la información y los detalles sobre activos en el módulo activos de Quantum sean precisos;</w:t>
            </w:r>
          </w:p>
          <w:p w14:paraId="05CE415C"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Proporcionar calendarios e información para el ejercicio de verificación física.</w:t>
            </w:r>
          </w:p>
        </w:tc>
      </w:tr>
      <w:tr w:rsidR="00DD1F06" w:rsidRPr="00DD1F06" w14:paraId="10873F06" w14:textId="77777777" w:rsidTr="00DD1F8F">
        <w:trPr>
          <w:trHeight w:val="2862"/>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EDECD" w14:textId="4F2447D2" w:rsidR="00DD1F06" w:rsidRPr="00DD1F06" w:rsidRDefault="00DD1F06" w:rsidP="00DD1F8F">
            <w:pPr>
              <w:spacing w:after="0" w:line="240" w:lineRule="auto"/>
              <w:rPr>
                <w:rFonts w:ascii="Calibri" w:eastAsia="Times New Roman" w:hAnsi="Calibri" w:cs="Arial"/>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lastRenderedPageBreak/>
              <w:t>Operaciones Generales/BMS</w:t>
            </w:r>
          </w:p>
        </w:tc>
        <w:tc>
          <w:tcPr>
            <w:tcW w:w="3695" w:type="pct"/>
            <w:tcBorders>
              <w:top w:val="nil"/>
              <w:left w:val="nil"/>
              <w:bottom w:val="single" w:sz="8" w:space="0" w:color="auto"/>
              <w:right w:val="single" w:sz="8" w:space="0" w:color="auto"/>
            </w:tcBorders>
            <w:tcMar>
              <w:top w:w="0" w:type="dxa"/>
              <w:left w:w="108" w:type="dxa"/>
              <w:bottom w:w="0" w:type="dxa"/>
              <w:right w:w="108" w:type="dxa"/>
            </w:tcMar>
            <w:hideMark/>
          </w:tcPr>
          <w:p w14:paraId="591633E4"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Consultar al CAP sobre enajenaciones de partidas de activos con un valor superior a USD 2500 y por debajo de la DPA y al ACP para la enajenación de activos por encima de la DPA para la Sede;</w:t>
            </w:r>
          </w:p>
          <w:p w14:paraId="43D18E5D"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Mantener registros oportunos y precisos de Propiedades y Plantas de la Sede del PNUD;</w:t>
            </w:r>
          </w:p>
          <w:p w14:paraId="594F6C23"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Consolidar informes de PPE (Propiedades, Planta y Equipo) del PNUD para determinar la cifra de activos no fungibles en los estados financieros;</w:t>
            </w:r>
          </w:p>
          <w:p w14:paraId="56F45933"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Coordinar el ejercicio de verificación física bianual / o anual de la Sede de Nueva York (NYHQ) para los activos no fungibles;</w:t>
            </w:r>
          </w:p>
          <w:p w14:paraId="770ED53D"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 xml:space="preserve">Revisar y consolidar las certificaciones de la verificación física bianual / o anual de la oficina de país; </w:t>
            </w:r>
          </w:p>
          <w:p w14:paraId="0F176B97"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Preparar políticas y procedimientos para la gestión de activos.</w:t>
            </w:r>
          </w:p>
        </w:tc>
      </w:tr>
      <w:tr w:rsidR="00DD1F06" w:rsidRPr="00DD1F06" w14:paraId="167B83E5" w14:textId="77777777" w:rsidTr="00DD1F8F">
        <w:trPr>
          <w:trHeight w:val="522"/>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898161" w14:textId="77777777" w:rsidR="00DD1F06" w:rsidRPr="00DD1F06" w:rsidRDefault="00DD1F06" w:rsidP="00DD1F8F">
            <w:pPr>
              <w:spacing w:after="0" w:line="240" w:lineRule="auto"/>
              <w:rPr>
                <w:rFonts w:ascii="Calibri" w:eastAsia="Times New Roman" w:hAnsi="Calibri" w:cs="Arial"/>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CAP/RACP/ACP</w:t>
            </w:r>
          </w:p>
        </w:tc>
        <w:tc>
          <w:tcPr>
            <w:tcW w:w="3695" w:type="pct"/>
            <w:tcBorders>
              <w:top w:val="nil"/>
              <w:left w:val="nil"/>
              <w:bottom w:val="single" w:sz="8" w:space="0" w:color="auto"/>
              <w:right w:val="single" w:sz="8" w:space="0" w:color="auto"/>
            </w:tcBorders>
            <w:tcMar>
              <w:top w:w="0" w:type="dxa"/>
              <w:left w:w="108" w:type="dxa"/>
              <w:bottom w:w="0" w:type="dxa"/>
              <w:right w:w="108" w:type="dxa"/>
            </w:tcMar>
            <w:hideMark/>
          </w:tcPr>
          <w:p w14:paraId="4935228E"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Revisar y recomendar acciones para enajenaciones de PPE del PNUD</w:t>
            </w:r>
          </w:p>
        </w:tc>
      </w:tr>
      <w:tr w:rsidR="00DD1F06" w:rsidRPr="00DD1F06" w14:paraId="0A8A33A5" w14:textId="77777777" w:rsidTr="00DD1F8F">
        <w:trPr>
          <w:trHeight w:val="972"/>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FA7A9" w14:textId="77777777" w:rsidR="00DD1F06" w:rsidRPr="00DD1F06" w:rsidRDefault="00DD1F06" w:rsidP="00DD1F8F">
            <w:pPr>
              <w:spacing w:after="0" w:line="240" w:lineRule="auto"/>
              <w:rPr>
                <w:rFonts w:ascii="Calibri" w:eastAsia="Times New Roman" w:hAnsi="Calibri" w:cs="Arial"/>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OJA</w:t>
            </w:r>
          </w:p>
        </w:tc>
        <w:tc>
          <w:tcPr>
            <w:tcW w:w="3695" w:type="pct"/>
            <w:tcBorders>
              <w:top w:val="nil"/>
              <w:left w:val="nil"/>
              <w:bottom w:val="single" w:sz="8" w:space="0" w:color="auto"/>
              <w:right w:val="single" w:sz="8" w:space="0" w:color="auto"/>
            </w:tcBorders>
            <w:tcMar>
              <w:top w:w="0" w:type="dxa"/>
              <w:left w:w="108" w:type="dxa"/>
              <w:bottom w:w="0" w:type="dxa"/>
              <w:right w:w="108" w:type="dxa"/>
            </w:tcMar>
            <w:hideMark/>
          </w:tcPr>
          <w:p w14:paraId="0B4FAC1B"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 xml:space="preserve">Responsabilidad general por PPE del PNUD. Esta función se delega a RR (Representantes Residentes), a los </w:t>
            </w:r>
            <w:proofErr w:type="gramStart"/>
            <w:r w:rsidRPr="00DD1F06">
              <w:rPr>
                <w:rFonts w:ascii="Calibri" w:eastAsia="Times New Roman" w:hAnsi="Calibri" w:cs="Times New Roman"/>
                <w:color w:val="000000"/>
                <w:kern w:val="0"/>
                <w:sz w:val="22"/>
                <w:szCs w:val="22"/>
                <w:lang w:val="es-ES" w:eastAsia="es-ES" w:bidi="es-ES"/>
                <w14:ligatures w14:val="none"/>
              </w:rPr>
              <w:t>Jefes</w:t>
            </w:r>
            <w:proofErr w:type="gramEnd"/>
            <w:r w:rsidRPr="00DD1F06">
              <w:rPr>
                <w:rFonts w:ascii="Calibri" w:eastAsia="Times New Roman" w:hAnsi="Calibri" w:cs="Times New Roman"/>
                <w:color w:val="000000"/>
                <w:kern w:val="0"/>
                <w:sz w:val="22"/>
                <w:szCs w:val="22"/>
                <w:lang w:val="es-ES" w:eastAsia="es-ES" w:bidi="es-ES"/>
                <w14:ligatures w14:val="none"/>
              </w:rPr>
              <w:t xml:space="preserve"> de Dependencias fuera de la Sede y al </w:t>
            </w:r>
            <w:proofErr w:type="gramStart"/>
            <w:r w:rsidRPr="00DD1F06">
              <w:rPr>
                <w:rFonts w:ascii="Calibri" w:eastAsia="Times New Roman" w:hAnsi="Calibri" w:cs="Times New Roman"/>
                <w:color w:val="000000"/>
                <w:kern w:val="0"/>
                <w:sz w:val="22"/>
                <w:szCs w:val="22"/>
                <w:lang w:val="es-ES" w:eastAsia="es-ES" w:bidi="es-ES"/>
                <w14:ligatures w14:val="none"/>
              </w:rPr>
              <w:t>Jefe</w:t>
            </w:r>
            <w:proofErr w:type="gramEnd"/>
            <w:r w:rsidRPr="00DD1F06">
              <w:rPr>
                <w:rFonts w:ascii="Calibri" w:eastAsia="Times New Roman" w:hAnsi="Calibri" w:cs="Times New Roman"/>
                <w:color w:val="000000"/>
                <w:kern w:val="0"/>
                <w:sz w:val="22"/>
                <w:szCs w:val="22"/>
                <w:lang w:val="es-ES" w:eastAsia="es-ES" w:bidi="es-ES"/>
                <w14:ligatures w14:val="none"/>
              </w:rPr>
              <w:t xml:space="preserve"> de la dependencia de Operaciones Generales de la BMS para las dependencias de la Sede</w:t>
            </w:r>
          </w:p>
        </w:tc>
      </w:tr>
      <w:tr w:rsidR="00DD1F06" w:rsidRPr="00DD1F06" w14:paraId="1A962488" w14:textId="77777777" w:rsidTr="00DD1F8F">
        <w:trPr>
          <w:trHeight w:val="1242"/>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BFE61" w14:textId="77777777" w:rsidR="00DD1F06" w:rsidRPr="00DD1F06" w:rsidRDefault="00DD1F06" w:rsidP="00DD1F8F">
            <w:pPr>
              <w:spacing w:after="0" w:line="240" w:lineRule="auto"/>
              <w:rPr>
                <w:rFonts w:ascii="Calibri" w:eastAsia="Times New Roman" w:hAnsi="Calibri" w:cs="Arial"/>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CGSC</w:t>
            </w:r>
          </w:p>
        </w:tc>
        <w:tc>
          <w:tcPr>
            <w:tcW w:w="3695" w:type="pct"/>
            <w:tcBorders>
              <w:top w:val="nil"/>
              <w:left w:val="nil"/>
              <w:bottom w:val="single" w:sz="8" w:space="0" w:color="auto"/>
              <w:right w:val="single" w:sz="8" w:space="0" w:color="auto"/>
            </w:tcBorders>
            <w:tcMar>
              <w:top w:w="0" w:type="dxa"/>
              <w:left w:w="108" w:type="dxa"/>
              <w:bottom w:w="0" w:type="dxa"/>
              <w:right w:w="108" w:type="dxa"/>
            </w:tcMar>
            <w:hideMark/>
          </w:tcPr>
          <w:p w14:paraId="628ACD57"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Consulte la sección de Depreciación, Conciliaciones, Informes y Funciones Centralizadas de Equipo de las POPP para conocer los detalles de las funciones del CGSC;</w:t>
            </w:r>
          </w:p>
          <w:p w14:paraId="01F4776C" w14:textId="77777777" w:rsidR="00DD1F06" w:rsidRPr="00DD1F06" w:rsidRDefault="00DD1F06" w:rsidP="00DD1F8F">
            <w:pPr>
              <w:numPr>
                <w:ilvl w:val="0"/>
                <w:numId w:val="1"/>
              </w:numPr>
              <w:spacing w:after="80" w:line="240" w:lineRule="auto"/>
              <w:ind w:left="274" w:right="3" w:hanging="274"/>
              <w:contextualSpacing/>
              <w:rPr>
                <w:rFonts w:ascii="Calibri" w:eastAsia="Times New Roman" w:hAnsi="Calibri" w:cs="Arial"/>
                <w:color w:val="000000"/>
                <w:kern w:val="0"/>
                <w:sz w:val="22"/>
                <w:szCs w:val="22"/>
                <w:lang w:val="es-ES" w:eastAsia="es-ES" w:bidi="es-ES"/>
                <w14:ligatures w14:val="none"/>
              </w:rPr>
            </w:pPr>
            <w:r w:rsidRPr="00DD1F06">
              <w:rPr>
                <w:rFonts w:ascii="Calibri" w:eastAsia="Times New Roman" w:hAnsi="Calibri" w:cs="Times New Roman"/>
                <w:color w:val="000000"/>
                <w:kern w:val="0"/>
                <w:sz w:val="22"/>
                <w:szCs w:val="22"/>
                <w:lang w:val="es-ES" w:eastAsia="es-ES" w:bidi="es-ES"/>
                <w14:ligatures w14:val="none"/>
              </w:rPr>
              <w:t>Procesar transacciones de Adición Básica, Ajuste, Deterioro, Recategorización, Transferencia, Enajenación y Amortización Total en Quantum.</w:t>
            </w:r>
          </w:p>
        </w:tc>
      </w:tr>
    </w:tbl>
    <w:p w14:paraId="0D043507" w14:textId="77777777" w:rsidR="00DD1F06" w:rsidRPr="00DD1F06" w:rsidRDefault="00DD1F06" w:rsidP="00DD1F06">
      <w:pPr>
        <w:shd w:val="clear" w:color="auto" w:fill="FFFFFF"/>
        <w:spacing w:after="5" w:line="249" w:lineRule="auto"/>
        <w:ind w:left="370" w:right="3" w:hanging="10"/>
        <w:jc w:val="both"/>
        <w:textAlignment w:val="top"/>
        <w:rPr>
          <w:rFonts w:ascii="Calibri" w:eastAsia="Times New Roman" w:hAnsi="Calibri" w:cs="Arial"/>
          <w:color w:val="000000"/>
          <w:kern w:val="0"/>
          <w:sz w:val="22"/>
          <w:szCs w:val="22"/>
          <w:lang w:val="es-ES" w:eastAsia="es-ES" w:bidi="es-ES"/>
          <w14:ligatures w14:val="none"/>
        </w:rPr>
      </w:pPr>
    </w:p>
    <w:p w14:paraId="7572F9D3" w14:textId="77777777" w:rsidR="00DD1F06" w:rsidRPr="00DD1F06" w:rsidRDefault="00DD1F06" w:rsidP="00DD1F06">
      <w:pPr>
        <w:keepNext/>
        <w:keepLines/>
        <w:spacing w:after="5" w:line="249" w:lineRule="auto"/>
        <w:ind w:left="-5" w:right="136" w:hanging="10"/>
        <w:outlineLvl w:val="0"/>
        <w:rPr>
          <w:rFonts w:ascii="Calibri" w:eastAsia="Calibri" w:hAnsi="Calibri" w:cs="Calibri"/>
          <w:b/>
          <w:color w:val="000000"/>
          <w:kern w:val="0"/>
          <w:sz w:val="22"/>
          <w:szCs w:val="22"/>
          <w:lang w:val="es-ES" w:eastAsia="es-ES" w:bidi="es-ES"/>
          <w14:ligatures w14:val="none"/>
        </w:rPr>
      </w:pPr>
      <w:r w:rsidRPr="00DD1F06">
        <w:rPr>
          <w:rFonts w:ascii="Calibri" w:eastAsia="Calibri" w:hAnsi="Calibri" w:cs="Calibri"/>
          <w:b/>
          <w:color w:val="000000"/>
          <w:kern w:val="0"/>
          <w:sz w:val="22"/>
          <w:szCs w:val="22"/>
          <w:lang w:val="es-ES" w:eastAsia="es-ES" w:bidi="es-ES"/>
          <w14:ligatures w14:val="none"/>
        </w:rPr>
        <w:t xml:space="preserve">Plantillas y Formularios </w:t>
      </w:r>
    </w:p>
    <w:p w14:paraId="56E6FAE7"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76345571" w14:textId="77777777" w:rsidR="00DD1F06" w:rsidRPr="00DD1F06" w:rsidRDefault="00DD1F06" w:rsidP="00DD1F06">
      <w:pPr>
        <w:spacing w:after="0" w:line="259" w:lineRule="auto"/>
        <w:ind w:left="-5" w:hanging="10"/>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b/>
          <w:color w:val="000000"/>
          <w:kern w:val="0"/>
          <w:sz w:val="22"/>
          <w:szCs w:val="22"/>
          <w:u w:val="single" w:color="000000"/>
          <w:lang w:val="es-ES" w:eastAsia="es-ES" w:bidi="es-ES"/>
          <w14:ligatures w14:val="none"/>
        </w:rPr>
        <w:t>Sede:</w:t>
      </w:r>
      <w:r w:rsidRPr="00DD1F06">
        <w:rPr>
          <w:rFonts w:ascii="Calibri" w:eastAsia="Calibri" w:hAnsi="Calibri" w:cs="Calibri"/>
          <w:color w:val="000000"/>
          <w:kern w:val="0"/>
          <w:sz w:val="22"/>
          <w:szCs w:val="22"/>
          <w:lang w:val="es-ES" w:eastAsia="es-ES" w:bidi="es-ES"/>
          <w14:ligatures w14:val="none"/>
        </w:rPr>
        <w:t xml:space="preserve"> </w:t>
      </w:r>
    </w:p>
    <w:p w14:paraId="50BED4F9"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43FD374A" w14:textId="3E6ECCF9" w:rsidR="00DD1F06" w:rsidRPr="00DD1F06" w:rsidRDefault="00DD1F06" w:rsidP="00DD1F06">
      <w:pPr>
        <w:numPr>
          <w:ilvl w:val="0"/>
          <w:numId w:val="2"/>
        </w:numPr>
        <w:spacing w:after="0" w:line="259" w:lineRule="auto"/>
        <w:ind w:right="3"/>
        <w:contextualSpacing/>
        <w:jc w:val="both"/>
        <w:rPr>
          <w:rFonts w:ascii="Calibri" w:eastAsia="Times New Roman" w:hAnsi="Calibri" w:cs="Times New Roman"/>
          <w:kern w:val="0"/>
          <w:sz w:val="22"/>
          <w:szCs w:val="22"/>
          <w:u w:val="single"/>
          <w:lang w:val="es-ES" w:eastAsia="es-ES" w:bidi="es-ES"/>
          <w14:ligatures w14:val="none"/>
        </w:rPr>
      </w:pPr>
      <w:hyperlink r:id="rId7" w:history="1">
        <w:r w:rsidRPr="00DD1F06">
          <w:rPr>
            <w:rFonts w:ascii="Calibri" w:eastAsia="Times New Roman" w:hAnsi="Calibri" w:cs="Times New Roman"/>
            <w:color w:val="0000FF"/>
            <w:kern w:val="0"/>
            <w:sz w:val="22"/>
            <w:szCs w:val="22"/>
            <w:u w:val="single"/>
            <w:lang w:val="es-ES" w:eastAsia="es-ES" w:bidi="es-ES"/>
            <w14:ligatures w14:val="none"/>
          </w:rPr>
          <w:t>Formulario de Solicitud de Venta y Enajenación de Activos (RAD) de menos de USD 5000: Sede</w:t>
        </w:r>
      </w:hyperlink>
      <w:r w:rsidRPr="00DD1F06">
        <w:rPr>
          <w:rFonts w:ascii="Calibri" w:eastAsia="Times New Roman" w:hAnsi="Calibri" w:cs="Times New Roman"/>
          <w:kern w:val="0"/>
          <w:sz w:val="22"/>
          <w:szCs w:val="22"/>
          <w:u w:val="single"/>
          <w:lang w:val="es-ES" w:eastAsia="es-ES" w:bidi="es-ES"/>
          <w14:ligatures w14:val="none"/>
        </w:rPr>
        <w:t xml:space="preserve"> (en inglés)</w:t>
      </w:r>
    </w:p>
    <w:p w14:paraId="643EDBC3" w14:textId="6519C832" w:rsidR="00DD1F06" w:rsidRPr="00DD1F06" w:rsidRDefault="00DD1F06" w:rsidP="00DD1F06">
      <w:pPr>
        <w:numPr>
          <w:ilvl w:val="0"/>
          <w:numId w:val="2"/>
        </w:numPr>
        <w:spacing w:after="0" w:line="259" w:lineRule="auto"/>
        <w:ind w:right="3"/>
        <w:contextualSpacing/>
        <w:jc w:val="both"/>
        <w:rPr>
          <w:rFonts w:ascii="Calibri" w:eastAsia="Times New Roman" w:hAnsi="Calibri" w:cs="Times New Roman"/>
          <w:kern w:val="0"/>
          <w:sz w:val="22"/>
          <w:szCs w:val="22"/>
          <w:u w:val="single"/>
          <w:lang w:val="es-ES" w:eastAsia="es-ES" w:bidi="es-ES"/>
          <w14:ligatures w14:val="none"/>
        </w:rPr>
      </w:pPr>
      <w:hyperlink r:id="rId8" w:history="1">
        <w:r w:rsidRPr="00DD1F06">
          <w:rPr>
            <w:rFonts w:ascii="Calibri" w:eastAsia="Times New Roman" w:hAnsi="Calibri" w:cs="Times New Roman"/>
            <w:color w:val="0000FF"/>
            <w:kern w:val="0"/>
            <w:sz w:val="22"/>
            <w:szCs w:val="22"/>
            <w:u w:val="single"/>
            <w:lang w:val="es-ES" w:eastAsia="es-ES" w:bidi="es-ES"/>
            <w14:ligatures w14:val="none"/>
          </w:rPr>
          <w:t xml:space="preserve">Formulario de Solicitud de Venta y Enajenación de Activos (RAD) de USD 5000 y más: Sede </w:t>
        </w:r>
      </w:hyperlink>
      <w:r w:rsidRPr="00DD1F06">
        <w:rPr>
          <w:rFonts w:ascii="Calibri" w:eastAsia="Times New Roman" w:hAnsi="Calibri" w:cs="Times New Roman"/>
          <w:kern w:val="0"/>
          <w:sz w:val="22"/>
          <w:szCs w:val="22"/>
          <w:lang w:val="es-ES" w:eastAsia="es-ES" w:bidi="es-ES"/>
          <w14:ligatures w14:val="none"/>
        </w:rPr>
        <w:t>(en inglés)</w:t>
      </w:r>
    </w:p>
    <w:p w14:paraId="5A81A56D" w14:textId="1AC29CE1" w:rsidR="00DD1F06" w:rsidRPr="00DD1F06" w:rsidRDefault="00DD1F06" w:rsidP="00DD1F06">
      <w:pPr>
        <w:numPr>
          <w:ilvl w:val="0"/>
          <w:numId w:val="2"/>
        </w:numPr>
        <w:spacing w:after="0" w:line="259" w:lineRule="auto"/>
        <w:ind w:right="3"/>
        <w:contextualSpacing/>
        <w:jc w:val="both"/>
        <w:rPr>
          <w:rFonts w:ascii="Calibri" w:eastAsia="Times New Roman" w:hAnsi="Calibri" w:cs="Times New Roman"/>
          <w:kern w:val="0"/>
          <w:sz w:val="22"/>
          <w:szCs w:val="22"/>
          <w:u w:val="single"/>
          <w:lang w:val="es-ES" w:eastAsia="es-ES" w:bidi="es-ES"/>
          <w14:ligatures w14:val="none"/>
        </w:rPr>
      </w:pPr>
      <w:hyperlink r:id="rId9" w:history="1">
        <w:r w:rsidRPr="00DD1F06">
          <w:rPr>
            <w:rFonts w:ascii="Calibri" w:eastAsia="Times New Roman" w:hAnsi="Calibri" w:cs="Times New Roman"/>
            <w:color w:val="0000FF"/>
            <w:kern w:val="0"/>
            <w:sz w:val="22"/>
            <w:szCs w:val="22"/>
            <w:u w:val="single"/>
            <w:lang w:val="es-ES" w:eastAsia="es-ES" w:bidi="es-ES"/>
            <w14:ligatures w14:val="none"/>
          </w:rPr>
          <w:t>Formulario de Solicitud de Enajenación de No Activos: Sede</w:t>
        </w:r>
        <w:r w:rsidRPr="00DD1F8F">
          <w:rPr>
            <w:rFonts w:ascii="Calibri" w:eastAsia="Times New Roman" w:hAnsi="Calibri" w:cs="Times New Roman"/>
            <w:color w:val="0000FF"/>
            <w:kern w:val="0"/>
            <w:sz w:val="22"/>
            <w:szCs w:val="22"/>
            <w:lang w:val="es-ES" w:eastAsia="es-ES" w:bidi="es-ES"/>
            <w14:ligatures w14:val="none"/>
          </w:rPr>
          <w:t xml:space="preserve"> </w:t>
        </w:r>
      </w:hyperlink>
      <w:r w:rsidRPr="00DD1F06">
        <w:rPr>
          <w:rFonts w:ascii="Calibri" w:eastAsia="Times New Roman" w:hAnsi="Calibri" w:cs="Times New Roman"/>
          <w:kern w:val="0"/>
          <w:sz w:val="22"/>
          <w:szCs w:val="22"/>
          <w:lang w:val="es-ES" w:eastAsia="es-ES" w:bidi="es-ES"/>
          <w14:ligatures w14:val="none"/>
        </w:rPr>
        <w:t>(en inglés)</w:t>
      </w:r>
    </w:p>
    <w:p w14:paraId="3AB41B6B" w14:textId="7544CE33" w:rsidR="00DD1F06" w:rsidRPr="00DD1F06" w:rsidRDefault="00DD1F06" w:rsidP="00DD1F06">
      <w:pPr>
        <w:numPr>
          <w:ilvl w:val="0"/>
          <w:numId w:val="2"/>
        </w:numPr>
        <w:spacing w:after="0" w:line="259" w:lineRule="auto"/>
        <w:ind w:right="3"/>
        <w:contextualSpacing/>
        <w:jc w:val="both"/>
        <w:rPr>
          <w:rFonts w:ascii="Calibri" w:eastAsia="Times New Roman" w:hAnsi="Calibri" w:cs="Times New Roman"/>
          <w:kern w:val="0"/>
          <w:sz w:val="22"/>
          <w:szCs w:val="22"/>
          <w:u w:val="single"/>
          <w:lang w:val="es-ES" w:eastAsia="es-ES" w:bidi="es-ES"/>
          <w14:ligatures w14:val="none"/>
        </w:rPr>
      </w:pPr>
      <w:hyperlink r:id="rId10" w:history="1">
        <w:r w:rsidRPr="00DD1F06">
          <w:rPr>
            <w:rFonts w:ascii="Calibri" w:eastAsia="Times New Roman" w:hAnsi="Calibri" w:cs="Times New Roman"/>
            <w:color w:val="0000FF"/>
            <w:kern w:val="0"/>
            <w:sz w:val="22"/>
            <w:szCs w:val="22"/>
            <w:u w:val="single"/>
            <w:lang w:val="es-ES" w:eastAsia="es-ES" w:bidi="es-ES"/>
            <w14:ligatures w14:val="none"/>
          </w:rPr>
          <w:t>Formulario de Venta de Computadoras Personales: Sede</w:t>
        </w:r>
        <w:r w:rsidRPr="00DD1F8F">
          <w:rPr>
            <w:rFonts w:ascii="Calibri" w:eastAsia="Times New Roman" w:hAnsi="Calibri" w:cs="Times New Roman"/>
            <w:color w:val="0000FF"/>
            <w:kern w:val="0"/>
            <w:sz w:val="22"/>
            <w:szCs w:val="22"/>
            <w:lang w:val="es-ES" w:eastAsia="es-ES" w:bidi="es-ES"/>
            <w14:ligatures w14:val="none"/>
          </w:rPr>
          <w:t xml:space="preserve"> </w:t>
        </w:r>
      </w:hyperlink>
      <w:r w:rsidRPr="00DD1F06">
        <w:rPr>
          <w:rFonts w:ascii="Calibri" w:eastAsia="Times New Roman" w:hAnsi="Calibri" w:cs="Times New Roman"/>
          <w:kern w:val="0"/>
          <w:sz w:val="22"/>
          <w:szCs w:val="22"/>
          <w:u w:val="single"/>
          <w:lang w:val="es-ES" w:eastAsia="es-ES" w:bidi="es-ES"/>
          <w14:ligatures w14:val="none"/>
        </w:rPr>
        <w:t>(en inglés)</w:t>
      </w:r>
    </w:p>
    <w:p w14:paraId="2A8CA307" w14:textId="6BA76200" w:rsidR="00DD1F06" w:rsidRPr="00DD1F06" w:rsidRDefault="00DD1F06" w:rsidP="00DD1F06">
      <w:pPr>
        <w:numPr>
          <w:ilvl w:val="0"/>
          <w:numId w:val="2"/>
        </w:numPr>
        <w:spacing w:after="0" w:line="259" w:lineRule="auto"/>
        <w:ind w:right="3"/>
        <w:contextualSpacing/>
        <w:jc w:val="both"/>
        <w:rPr>
          <w:rFonts w:ascii="Calibri" w:eastAsia="Times New Roman" w:hAnsi="Calibri" w:cs="Times New Roman"/>
          <w:kern w:val="0"/>
          <w:sz w:val="22"/>
          <w:szCs w:val="22"/>
          <w:u w:val="single"/>
          <w:lang w:val="es-ES" w:eastAsia="es-ES" w:bidi="es-ES"/>
          <w14:ligatures w14:val="none"/>
        </w:rPr>
      </w:pPr>
      <w:r w:rsidRPr="00DD1F06">
        <w:rPr>
          <w:rFonts w:ascii="Calibri" w:eastAsia="Times New Roman" w:hAnsi="Calibri" w:cs="Times New Roman"/>
          <w:color w:val="0000FF"/>
          <w:kern w:val="0"/>
          <w:sz w:val="22"/>
          <w:szCs w:val="22"/>
          <w:u w:val="single"/>
          <w:lang w:val="es-ES" w:eastAsia="es-ES" w:bidi="es-ES"/>
          <w14:ligatures w14:val="none"/>
        </w:rPr>
        <w:t>Formulario de Solicitud de Reubicación de Activos: Sede</w:t>
      </w:r>
      <w:r w:rsidRPr="00DD1F8F">
        <w:rPr>
          <w:rFonts w:ascii="Calibri" w:eastAsia="Times New Roman" w:hAnsi="Calibri" w:cs="Times New Roman"/>
          <w:color w:val="0000FF"/>
          <w:kern w:val="0"/>
          <w:sz w:val="22"/>
          <w:szCs w:val="22"/>
          <w:lang w:val="es-ES" w:eastAsia="es-ES" w:bidi="es-ES"/>
          <w14:ligatures w14:val="none"/>
        </w:rPr>
        <w:t xml:space="preserve"> </w:t>
      </w:r>
      <w:r w:rsidRPr="00DD1F8F">
        <w:rPr>
          <w:rFonts w:ascii="Calibri" w:eastAsia="Times New Roman" w:hAnsi="Calibri" w:cs="Times New Roman"/>
          <w:kern w:val="0"/>
          <w:sz w:val="22"/>
          <w:szCs w:val="22"/>
          <w:lang w:val="es-ES" w:eastAsia="es-ES" w:bidi="es-ES"/>
          <w14:ligatures w14:val="none"/>
        </w:rPr>
        <w:t>(en inglés)</w:t>
      </w:r>
    </w:p>
    <w:p w14:paraId="7056FE22" w14:textId="47DD378C" w:rsidR="00DD1F06" w:rsidRPr="00DD1F06" w:rsidRDefault="00DD1F06" w:rsidP="00DD1F06">
      <w:pPr>
        <w:numPr>
          <w:ilvl w:val="0"/>
          <w:numId w:val="2"/>
        </w:numPr>
        <w:spacing w:after="0" w:line="259" w:lineRule="auto"/>
        <w:ind w:right="3"/>
        <w:contextualSpacing/>
        <w:jc w:val="both"/>
        <w:rPr>
          <w:rFonts w:ascii="Calibri" w:eastAsia="Times New Roman" w:hAnsi="Calibri" w:cs="Times New Roman"/>
          <w:kern w:val="0"/>
          <w:sz w:val="22"/>
          <w:szCs w:val="22"/>
          <w:u w:val="single"/>
          <w:lang w:val="es-ES" w:eastAsia="es-ES" w:bidi="es-ES"/>
          <w14:ligatures w14:val="none"/>
        </w:rPr>
      </w:pPr>
      <w:hyperlink r:id="rId11" w:history="1">
        <w:r w:rsidRPr="00DD1F06">
          <w:rPr>
            <w:rFonts w:ascii="Calibri" w:eastAsia="Times New Roman" w:hAnsi="Calibri" w:cs="Times New Roman"/>
            <w:color w:val="0000FF"/>
            <w:kern w:val="0"/>
            <w:sz w:val="22"/>
            <w:szCs w:val="22"/>
            <w:u w:val="single"/>
            <w:lang w:val="es-ES" w:eastAsia="es-ES" w:bidi="es-ES"/>
            <w14:ligatures w14:val="none"/>
          </w:rPr>
          <w:t>Formulario de Solicitud de Transferencia de Entrada y Transferencia de Salida de Activos: Sede</w:t>
        </w:r>
      </w:hyperlink>
      <w:r>
        <w:rPr>
          <w:rFonts w:ascii="Calibri" w:eastAsia="Times New Roman" w:hAnsi="Calibri" w:cs="Times New Roman"/>
          <w:kern w:val="0"/>
          <w:sz w:val="22"/>
          <w:szCs w:val="22"/>
          <w:lang w:val="es-ES" w:eastAsia="es-ES" w:bidi="es-ES"/>
          <w14:ligatures w14:val="none"/>
        </w:rPr>
        <w:t xml:space="preserve"> </w:t>
      </w:r>
      <w:r w:rsidRPr="00DD1F06">
        <w:rPr>
          <w:rFonts w:ascii="Calibri" w:eastAsia="Times New Roman" w:hAnsi="Calibri" w:cs="Times New Roman"/>
          <w:kern w:val="0"/>
          <w:sz w:val="22"/>
          <w:szCs w:val="22"/>
          <w:lang w:val="es-ES" w:eastAsia="es-ES" w:bidi="es-ES"/>
          <w14:ligatures w14:val="none"/>
        </w:rPr>
        <w:t>(en inglés)</w:t>
      </w:r>
      <w:r w:rsidRPr="00DD1F06">
        <w:rPr>
          <w:rFonts w:ascii="Calibri" w:eastAsia="Times New Roman" w:hAnsi="Calibri" w:cs="Times New Roman"/>
          <w:kern w:val="0"/>
          <w:sz w:val="22"/>
          <w:szCs w:val="22"/>
          <w:u w:val="single"/>
          <w:lang w:val="es-ES" w:eastAsia="es-ES" w:bidi="es-ES"/>
          <w14:ligatures w14:val="none"/>
        </w:rPr>
        <w:t xml:space="preserve"> </w:t>
      </w:r>
    </w:p>
    <w:p w14:paraId="54606034" w14:textId="1CDF92B3" w:rsidR="00DD1F06" w:rsidRPr="00DD1F06" w:rsidRDefault="00DD1F06" w:rsidP="00DD1F06">
      <w:pPr>
        <w:numPr>
          <w:ilvl w:val="0"/>
          <w:numId w:val="2"/>
        </w:numPr>
        <w:spacing w:after="0" w:line="259" w:lineRule="auto"/>
        <w:ind w:right="3"/>
        <w:contextualSpacing/>
        <w:jc w:val="both"/>
        <w:rPr>
          <w:rFonts w:ascii="Calibri" w:eastAsia="Times New Roman" w:hAnsi="Calibri" w:cs="Times New Roman"/>
          <w:kern w:val="0"/>
          <w:sz w:val="22"/>
          <w:szCs w:val="22"/>
          <w:u w:val="single"/>
          <w:lang w:val="es-ES" w:eastAsia="es-ES" w:bidi="es-ES"/>
          <w14:ligatures w14:val="none"/>
        </w:rPr>
      </w:pPr>
      <w:hyperlink r:id="rId12" w:history="1">
        <w:r w:rsidRPr="00DD1F06">
          <w:rPr>
            <w:rFonts w:ascii="Calibri" w:eastAsia="Times New Roman" w:hAnsi="Calibri" w:cs="Times New Roman"/>
            <w:color w:val="0000FF"/>
            <w:kern w:val="0"/>
            <w:sz w:val="22"/>
            <w:szCs w:val="22"/>
            <w:u w:val="single"/>
            <w:lang w:val="es-ES" w:eastAsia="es-ES" w:bidi="es-ES"/>
            <w14:ligatures w14:val="none"/>
          </w:rPr>
          <w:t>Formulario de Solicitud de Aprobación de Ajuste de Activos: Sede</w:t>
        </w:r>
      </w:hyperlink>
      <w:r w:rsidRPr="00DD1F8F">
        <w:rPr>
          <w:rFonts w:ascii="Calibri" w:eastAsia="Times New Roman" w:hAnsi="Calibri" w:cs="Times New Roman"/>
          <w:kern w:val="0"/>
          <w:sz w:val="22"/>
          <w:szCs w:val="22"/>
          <w:lang w:val="es-ES" w:eastAsia="es-ES" w:bidi="es-ES"/>
          <w14:ligatures w14:val="none"/>
        </w:rPr>
        <w:t xml:space="preserve"> (en inglés)</w:t>
      </w:r>
    </w:p>
    <w:p w14:paraId="10577C7E" w14:textId="2E18723C" w:rsid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r>
        <w:rPr>
          <w:rFonts w:ascii="Calibri" w:eastAsia="Calibri" w:hAnsi="Calibri" w:cs="Calibri"/>
          <w:color w:val="000000"/>
          <w:kern w:val="0"/>
          <w:sz w:val="22"/>
          <w:szCs w:val="22"/>
          <w:lang w:val="es-ES" w:eastAsia="es-ES" w:bidi="es-ES"/>
          <w14:ligatures w14:val="none"/>
        </w:rPr>
        <w:t xml:space="preserve"> </w:t>
      </w:r>
    </w:p>
    <w:p w14:paraId="4F2F8B16"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p>
    <w:p w14:paraId="074F99D6" w14:textId="77777777" w:rsidR="00DD1F06" w:rsidRPr="00DD1F06" w:rsidRDefault="00DD1F06" w:rsidP="00DD1F06">
      <w:pPr>
        <w:spacing w:after="0" w:line="259" w:lineRule="auto"/>
        <w:ind w:left="-5" w:hanging="10"/>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b/>
          <w:color w:val="000000"/>
          <w:kern w:val="0"/>
          <w:sz w:val="22"/>
          <w:szCs w:val="22"/>
          <w:u w:val="single" w:color="000000"/>
          <w:lang w:val="es-ES" w:eastAsia="es-ES" w:bidi="es-ES"/>
          <w14:ligatures w14:val="none"/>
        </w:rPr>
        <w:lastRenderedPageBreak/>
        <w:t>Oficinas en el País:</w:t>
      </w:r>
      <w:r w:rsidRPr="00DD1F06">
        <w:rPr>
          <w:rFonts w:ascii="Calibri" w:eastAsia="Calibri" w:hAnsi="Calibri" w:cs="Calibri"/>
          <w:color w:val="000000"/>
          <w:kern w:val="0"/>
          <w:sz w:val="22"/>
          <w:szCs w:val="22"/>
          <w:lang w:val="es-ES" w:eastAsia="es-ES" w:bidi="es-ES"/>
          <w14:ligatures w14:val="none"/>
        </w:rPr>
        <w:t xml:space="preserve"> </w:t>
      </w:r>
    </w:p>
    <w:p w14:paraId="13CD52BA"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r w:rsidRPr="00DD1F06">
        <w:rPr>
          <w:rFonts w:ascii="Calibri" w:eastAsia="Calibri" w:hAnsi="Calibri" w:cs="Calibri"/>
          <w:color w:val="000000"/>
          <w:kern w:val="0"/>
          <w:sz w:val="22"/>
          <w:szCs w:val="22"/>
          <w:lang w:val="es-ES" w:eastAsia="es-ES" w:bidi="es-ES"/>
          <w14:ligatures w14:val="none"/>
        </w:rPr>
        <w:t xml:space="preserve">  </w:t>
      </w:r>
    </w:p>
    <w:p w14:paraId="46EB74F3" w14:textId="379DB858" w:rsidR="00DD1F06" w:rsidRPr="00DD1F06" w:rsidRDefault="00DD1F06" w:rsidP="00DD1F06">
      <w:pPr>
        <w:numPr>
          <w:ilvl w:val="1"/>
          <w:numId w:val="3"/>
        </w:numPr>
        <w:spacing w:after="0" w:line="259" w:lineRule="auto"/>
        <w:ind w:right="3"/>
        <w:contextualSpacing/>
        <w:jc w:val="both"/>
        <w:rPr>
          <w:rFonts w:ascii="Calibri" w:eastAsia="Times New Roman" w:hAnsi="Calibri" w:cs="Times New Roman"/>
          <w:kern w:val="0"/>
          <w:sz w:val="22"/>
          <w:szCs w:val="22"/>
          <w:lang w:val="es-ES" w:eastAsia="es-ES" w:bidi="es-ES"/>
          <w14:ligatures w14:val="none"/>
        </w:rPr>
      </w:pPr>
      <w:hyperlink r:id="rId13" w:history="1">
        <w:r w:rsidRPr="00DD1F06">
          <w:rPr>
            <w:rFonts w:ascii="Calibri" w:eastAsia="Times New Roman" w:hAnsi="Calibri" w:cs="Times New Roman"/>
            <w:color w:val="0000FF"/>
            <w:kern w:val="0"/>
            <w:sz w:val="22"/>
            <w:szCs w:val="22"/>
            <w:u w:val="single"/>
            <w:lang w:val="es-ES" w:eastAsia="es-ES" w:bidi="es-ES"/>
            <w14:ligatures w14:val="none"/>
          </w:rPr>
          <w:t>Formulario de Solicitud de Venta y Enajenación de Activos (RAD) de menos de USD 5000: Oficina en el País</w:t>
        </w:r>
      </w:hyperlink>
      <w:r w:rsidRPr="00DD1F8F">
        <w:rPr>
          <w:rFonts w:ascii="Calibri" w:eastAsia="Times New Roman" w:hAnsi="Calibri" w:cs="Times New Roman"/>
          <w:kern w:val="0"/>
          <w:sz w:val="22"/>
          <w:szCs w:val="22"/>
          <w:lang w:val="es-ES" w:eastAsia="es-ES" w:bidi="es-ES"/>
          <w14:ligatures w14:val="none"/>
        </w:rPr>
        <w:t xml:space="preserve"> (en inglés)</w:t>
      </w:r>
    </w:p>
    <w:p w14:paraId="51F25DC7" w14:textId="44991935" w:rsidR="00DD1F06" w:rsidRPr="00DD1F06" w:rsidRDefault="00DD1F06" w:rsidP="00DD1F06">
      <w:pPr>
        <w:numPr>
          <w:ilvl w:val="1"/>
          <w:numId w:val="3"/>
        </w:numPr>
        <w:spacing w:after="0" w:line="259" w:lineRule="auto"/>
        <w:ind w:right="3"/>
        <w:contextualSpacing/>
        <w:jc w:val="both"/>
        <w:rPr>
          <w:rFonts w:ascii="Calibri" w:eastAsia="Times New Roman" w:hAnsi="Calibri" w:cs="Times New Roman"/>
          <w:kern w:val="0"/>
          <w:sz w:val="22"/>
          <w:szCs w:val="22"/>
          <w:lang w:val="es-ES" w:eastAsia="es-ES" w:bidi="es-ES"/>
          <w14:ligatures w14:val="none"/>
        </w:rPr>
      </w:pPr>
      <w:hyperlink r:id="rId14" w:history="1">
        <w:r w:rsidRPr="00DD1F06">
          <w:rPr>
            <w:rFonts w:ascii="Calibri" w:eastAsia="Times New Roman" w:hAnsi="Calibri" w:cs="Times New Roman"/>
            <w:color w:val="0000FF"/>
            <w:kern w:val="0"/>
            <w:sz w:val="22"/>
            <w:szCs w:val="22"/>
            <w:u w:val="single"/>
            <w:lang w:val="es-ES" w:eastAsia="es-ES" w:bidi="es-ES"/>
            <w14:ligatures w14:val="none"/>
          </w:rPr>
          <w:t>Formulario de Solicitud de Venta y Enajenación de Activos (RAD) de USD 5000 y más: Oficina en el País</w:t>
        </w:r>
      </w:hyperlink>
      <w:r w:rsidRPr="00DD1F06">
        <w:rPr>
          <w:rFonts w:ascii="Calibri" w:eastAsia="Times New Roman" w:hAnsi="Calibri" w:cs="Times New Roman"/>
          <w:kern w:val="0"/>
          <w:sz w:val="22"/>
          <w:szCs w:val="22"/>
          <w:lang w:val="es-ES" w:eastAsia="es-ES" w:bidi="es-ES"/>
          <w14:ligatures w14:val="none"/>
        </w:rPr>
        <w:t xml:space="preserve"> (en inglés)</w:t>
      </w:r>
    </w:p>
    <w:p w14:paraId="5A046A6A" w14:textId="54835C6A" w:rsidR="00DD1F06" w:rsidRPr="00DD1F06" w:rsidRDefault="00DD1F06" w:rsidP="00DD1F06">
      <w:pPr>
        <w:numPr>
          <w:ilvl w:val="1"/>
          <w:numId w:val="3"/>
        </w:numPr>
        <w:spacing w:after="0" w:line="259" w:lineRule="auto"/>
        <w:ind w:right="3"/>
        <w:contextualSpacing/>
        <w:jc w:val="both"/>
        <w:rPr>
          <w:rFonts w:ascii="Calibri" w:eastAsia="Times New Roman" w:hAnsi="Calibri" w:cs="Times New Roman"/>
          <w:kern w:val="0"/>
          <w:sz w:val="22"/>
          <w:szCs w:val="22"/>
          <w:lang w:val="es-ES" w:eastAsia="es-ES" w:bidi="es-ES"/>
          <w14:ligatures w14:val="none"/>
        </w:rPr>
      </w:pPr>
      <w:hyperlink r:id="rId15" w:history="1">
        <w:r w:rsidRPr="00DD1F06">
          <w:rPr>
            <w:rFonts w:ascii="Calibri" w:eastAsia="Times New Roman" w:hAnsi="Calibri" w:cs="Times New Roman"/>
            <w:color w:val="0000FF"/>
            <w:kern w:val="0"/>
            <w:sz w:val="22"/>
            <w:szCs w:val="22"/>
            <w:u w:val="single"/>
            <w:lang w:val="es-ES" w:eastAsia="es-ES" w:bidi="es-ES"/>
            <w14:ligatures w14:val="none"/>
          </w:rPr>
          <w:t>Formulario de Solicitud de Transferencia de Entrada y Transferencia de Salida de Activos: Oficina en el País</w:t>
        </w:r>
      </w:hyperlink>
      <w:r w:rsidRPr="00DD1F06">
        <w:rPr>
          <w:rFonts w:ascii="Calibri" w:eastAsia="Times New Roman" w:hAnsi="Calibri" w:cs="Times New Roman"/>
          <w:kern w:val="0"/>
          <w:sz w:val="22"/>
          <w:szCs w:val="22"/>
          <w:lang w:val="es-ES" w:eastAsia="es-ES" w:bidi="es-ES"/>
          <w14:ligatures w14:val="none"/>
        </w:rPr>
        <w:t xml:space="preserve"> (en inglés)</w:t>
      </w:r>
    </w:p>
    <w:p w14:paraId="76735D84" w14:textId="73CA9FD8" w:rsidR="00DD1F06" w:rsidRPr="00DD1F06" w:rsidRDefault="00DD1F06" w:rsidP="00DD1F06">
      <w:pPr>
        <w:numPr>
          <w:ilvl w:val="1"/>
          <w:numId w:val="3"/>
        </w:numPr>
        <w:spacing w:after="0" w:line="259" w:lineRule="auto"/>
        <w:ind w:right="3"/>
        <w:contextualSpacing/>
        <w:jc w:val="both"/>
        <w:rPr>
          <w:rFonts w:ascii="Calibri" w:eastAsia="Times New Roman" w:hAnsi="Calibri" w:cs="Times New Roman"/>
          <w:kern w:val="0"/>
          <w:sz w:val="22"/>
          <w:szCs w:val="22"/>
          <w:lang w:val="es-ES" w:eastAsia="es-ES" w:bidi="es-ES"/>
          <w14:ligatures w14:val="none"/>
        </w:rPr>
      </w:pPr>
      <w:hyperlink r:id="rId16" w:history="1">
        <w:r w:rsidRPr="00DD1F06">
          <w:rPr>
            <w:rFonts w:ascii="Calibri" w:eastAsia="Times New Roman" w:hAnsi="Calibri" w:cs="Times New Roman"/>
            <w:color w:val="0000FF"/>
            <w:kern w:val="0"/>
            <w:sz w:val="22"/>
            <w:szCs w:val="22"/>
            <w:u w:val="single"/>
            <w:lang w:val="es-ES" w:eastAsia="es-ES" w:bidi="es-ES"/>
            <w14:ligatures w14:val="none"/>
          </w:rPr>
          <w:t>Formulario de Solicitud de Aprobación de Ajuste de Activos: Oficina en el País</w:t>
        </w:r>
      </w:hyperlink>
      <w:r w:rsidRPr="00DD1F06">
        <w:rPr>
          <w:rFonts w:ascii="Calibri" w:eastAsia="Times New Roman" w:hAnsi="Calibri" w:cs="Times New Roman"/>
          <w:kern w:val="0"/>
          <w:sz w:val="22"/>
          <w:szCs w:val="22"/>
          <w:lang w:val="es-ES" w:eastAsia="es-ES" w:bidi="es-ES"/>
          <w14:ligatures w14:val="none"/>
        </w:rPr>
        <w:t xml:space="preserve"> (en inglés)</w:t>
      </w:r>
    </w:p>
    <w:p w14:paraId="42D77834" w14:textId="77777777" w:rsidR="00DD1F06" w:rsidRPr="00DD1F06" w:rsidRDefault="00DD1F06" w:rsidP="00DD1F06">
      <w:pPr>
        <w:spacing w:after="60" w:line="259" w:lineRule="auto"/>
        <w:ind w:left="720"/>
        <w:rPr>
          <w:rFonts w:ascii="Calibri" w:eastAsia="Calibri" w:hAnsi="Calibri" w:cs="Calibri"/>
          <w:color w:val="0070C0"/>
          <w:kern w:val="0"/>
          <w:sz w:val="22"/>
          <w:szCs w:val="22"/>
          <w:lang w:val="es-ES" w:eastAsia="es-ES" w:bidi="es-ES"/>
          <w14:ligatures w14:val="none"/>
        </w:rPr>
      </w:pPr>
    </w:p>
    <w:p w14:paraId="5F2B486B" w14:textId="77777777" w:rsidR="00DD1F06" w:rsidRPr="00DD1F06" w:rsidRDefault="00DD1F06" w:rsidP="00DD1F06">
      <w:pPr>
        <w:spacing w:after="0" w:line="259" w:lineRule="auto"/>
        <w:rPr>
          <w:rFonts w:ascii="Calibri" w:eastAsia="Calibri" w:hAnsi="Calibri" w:cs="Calibri"/>
          <w:color w:val="000000"/>
          <w:kern w:val="0"/>
          <w:sz w:val="22"/>
          <w:szCs w:val="22"/>
          <w:lang w:val="es-ES" w:eastAsia="es-ES" w:bidi="es-ES"/>
          <w14:ligatures w14:val="none"/>
        </w:rPr>
      </w:pPr>
    </w:p>
    <w:p w14:paraId="24EB0AA5" w14:textId="791253F2" w:rsidR="00DD1F06" w:rsidRPr="00A23672" w:rsidRDefault="00DD1F06" w:rsidP="00DD1F06">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68041AE1" w14:textId="77777777" w:rsidR="00DD1F06" w:rsidRPr="00493B09" w:rsidRDefault="00DD1F06" w:rsidP="00DD1F06">
      <w:pPr>
        <w:shd w:val="clear" w:color="auto" w:fill="FFFFFF"/>
        <w:spacing w:after="0" w:line="240" w:lineRule="auto"/>
        <w:rPr>
          <w:rFonts w:ascii="Calibri" w:eastAsia="Times New Roman" w:hAnsi="Calibri" w:cs="Calibri"/>
          <w:color w:val="201F1E"/>
          <w:kern w:val="0"/>
          <w:sz w:val="23"/>
          <w:szCs w:val="23"/>
          <w:lang w:val="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41514E3E" w14:textId="77777777" w:rsidR="00DA504D" w:rsidRDefault="00DA504D"/>
    <w:sectPr w:rsidR="00DA504D" w:rsidSect="00DD1F06">
      <w:headerReference w:type="default" r:id="rId17"/>
      <w:footerReference w:type="even" r:id="rId18"/>
      <w:footerReference w:type="default" r:id="rId19"/>
      <w:footerReference w:type="first" r:id="rId20"/>
      <w:pgSz w:w="12240" w:h="15840"/>
      <w:pgMar w:top="1483" w:right="1435" w:bottom="157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A366" w14:textId="77777777" w:rsidR="00ED7BAC" w:rsidRDefault="00ED7BAC" w:rsidP="00DD1F06">
      <w:pPr>
        <w:spacing w:after="0" w:line="240" w:lineRule="auto"/>
      </w:pPr>
      <w:r>
        <w:separator/>
      </w:r>
    </w:p>
  </w:endnote>
  <w:endnote w:type="continuationSeparator" w:id="0">
    <w:p w14:paraId="0A2E7F39" w14:textId="77777777" w:rsidR="00ED7BAC" w:rsidRDefault="00ED7BAC" w:rsidP="00DD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2484" w14:textId="77777777" w:rsidR="00DD1F06" w:rsidRDefault="00DD1F06">
    <w:pPr>
      <w:spacing w:after="0" w:line="259" w:lineRule="auto"/>
      <w:ind w:right="1"/>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5E55A54E" w14:textId="77777777" w:rsidR="00DD1F06" w:rsidRDefault="00DD1F06">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2852" w14:textId="2053EFD3" w:rsidR="00DD1F06" w:rsidRPr="00DD1F8F" w:rsidRDefault="00DD1F06">
    <w:pPr>
      <w:spacing w:after="0" w:line="259" w:lineRule="auto"/>
      <w:rPr>
        <w:rFonts w:ascii="Calibri" w:hAnsi="Calibri" w:cs="Calibri"/>
        <w:sz w:val="22"/>
        <w:szCs w:val="22"/>
      </w:rPr>
    </w:pPr>
    <w:r w:rsidRPr="00DD1F8F">
      <w:rPr>
        <w:rFonts w:ascii="Calibri" w:hAnsi="Calibri" w:cs="Calibri"/>
        <w:sz w:val="22"/>
        <w:szCs w:val="22"/>
      </w:rPr>
      <w:t xml:space="preserve">Página </w:t>
    </w:r>
    <w:r w:rsidRPr="00DD1F8F">
      <w:rPr>
        <w:rFonts w:ascii="Calibri" w:hAnsi="Calibri" w:cs="Calibri"/>
        <w:b/>
        <w:sz w:val="22"/>
        <w:szCs w:val="22"/>
        <w:shd w:val="clear" w:color="auto" w:fill="E6E6E6"/>
      </w:rPr>
      <w:fldChar w:fldCharType="begin"/>
    </w:r>
    <w:r w:rsidRPr="00DD1F8F">
      <w:rPr>
        <w:rFonts w:ascii="Calibri" w:hAnsi="Calibri" w:cs="Calibri"/>
        <w:b/>
        <w:sz w:val="22"/>
        <w:szCs w:val="22"/>
      </w:rPr>
      <w:instrText xml:space="preserve"> PAGE  \* Arabic  \* MERGEFORMAT </w:instrText>
    </w:r>
    <w:r w:rsidRPr="00DD1F8F">
      <w:rPr>
        <w:rFonts w:ascii="Calibri" w:hAnsi="Calibri" w:cs="Calibri"/>
        <w:b/>
        <w:sz w:val="22"/>
        <w:szCs w:val="22"/>
        <w:shd w:val="clear" w:color="auto" w:fill="E6E6E6"/>
      </w:rPr>
      <w:fldChar w:fldCharType="separate"/>
    </w:r>
    <w:r w:rsidRPr="00DD1F8F">
      <w:rPr>
        <w:rFonts w:ascii="Calibri" w:hAnsi="Calibri" w:cs="Calibri"/>
        <w:b/>
        <w:noProof/>
        <w:sz w:val="22"/>
        <w:szCs w:val="22"/>
      </w:rPr>
      <w:t>3</w:t>
    </w:r>
    <w:r w:rsidRPr="00DD1F8F">
      <w:rPr>
        <w:rFonts w:ascii="Calibri" w:hAnsi="Calibri" w:cs="Calibri"/>
        <w:b/>
        <w:sz w:val="22"/>
        <w:szCs w:val="22"/>
        <w:shd w:val="clear" w:color="auto" w:fill="E6E6E6"/>
      </w:rPr>
      <w:fldChar w:fldCharType="end"/>
    </w:r>
    <w:r w:rsidRPr="00DD1F8F">
      <w:rPr>
        <w:rFonts w:ascii="Calibri" w:hAnsi="Calibri" w:cs="Calibri"/>
        <w:sz w:val="22"/>
        <w:szCs w:val="22"/>
      </w:rPr>
      <w:t xml:space="preserve"> de </w:t>
    </w:r>
    <w:r w:rsidRPr="00DD1F8F">
      <w:rPr>
        <w:rFonts w:ascii="Calibri" w:hAnsi="Calibri" w:cs="Calibri"/>
        <w:b/>
        <w:sz w:val="22"/>
        <w:szCs w:val="22"/>
        <w:shd w:val="clear" w:color="auto" w:fill="E6E6E6"/>
      </w:rPr>
      <w:fldChar w:fldCharType="begin"/>
    </w:r>
    <w:r w:rsidRPr="00DD1F8F">
      <w:rPr>
        <w:rFonts w:ascii="Calibri" w:hAnsi="Calibri" w:cs="Calibri"/>
        <w:b/>
        <w:sz w:val="22"/>
        <w:szCs w:val="22"/>
      </w:rPr>
      <w:instrText xml:space="preserve"> NUMPAGES  \* Arabic  \* MERGEFORMAT </w:instrText>
    </w:r>
    <w:r w:rsidRPr="00DD1F8F">
      <w:rPr>
        <w:rFonts w:ascii="Calibri" w:hAnsi="Calibri" w:cs="Calibri"/>
        <w:b/>
        <w:sz w:val="22"/>
        <w:szCs w:val="22"/>
        <w:shd w:val="clear" w:color="auto" w:fill="E6E6E6"/>
      </w:rPr>
      <w:fldChar w:fldCharType="separate"/>
    </w:r>
    <w:r w:rsidRPr="00DD1F8F">
      <w:rPr>
        <w:rFonts w:ascii="Calibri" w:hAnsi="Calibri" w:cs="Calibri"/>
        <w:b/>
        <w:noProof/>
        <w:sz w:val="22"/>
        <w:szCs w:val="22"/>
      </w:rPr>
      <w:t>4</w:t>
    </w:r>
    <w:r w:rsidRPr="00DD1F8F">
      <w:rPr>
        <w:rFonts w:ascii="Calibri" w:hAnsi="Calibri" w:cs="Calibri"/>
        <w:b/>
        <w:sz w:val="22"/>
        <w:szCs w:val="22"/>
        <w:shd w:val="clear" w:color="auto" w:fill="E6E6E6"/>
      </w:rPr>
      <w:fldChar w:fldCharType="end"/>
    </w:r>
    <w:r w:rsidRPr="00DD1F8F">
      <w:rPr>
        <w:rFonts w:ascii="Calibri" w:hAnsi="Calibri" w:cs="Calibri"/>
        <w:sz w:val="22"/>
        <w:szCs w:val="22"/>
      </w:rPr>
      <w:ptab w:relativeTo="margin" w:alignment="center" w:leader="none"/>
    </w:r>
    <w:proofErr w:type="spellStart"/>
    <w:r w:rsidRPr="00DD1F8F">
      <w:rPr>
        <w:rFonts w:ascii="Calibri" w:hAnsi="Calibri" w:cs="Calibri"/>
        <w:sz w:val="22"/>
        <w:szCs w:val="22"/>
      </w:rPr>
      <w:t>Fecha</w:t>
    </w:r>
    <w:proofErr w:type="spellEnd"/>
    <w:r w:rsidRPr="00DD1F8F">
      <w:rPr>
        <w:rFonts w:ascii="Calibri" w:hAnsi="Calibri" w:cs="Calibri"/>
        <w:sz w:val="22"/>
        <w:szCs w:val="22"/>
      </w:rPr>
      <w:t xml:space="preserve"> de entrada </w:t>
    </w:r>
    <w:proofErr w:type="spellStart"/>
    <w:r w:rsidRPr="00DD1F8F">
      <w:rPr>
        <w:rFonts w:ascii="Calibri" w:hAnsi="Calibri" w:cs="Calibri"/>
        <w:sz w:val="22"/>
        <w:szCs w:val="22"/>
      </w:rPr>
      <w:t>en</w:t>
    </w:r>
    <w:proofErr w:type="spellEnd"/>
    <w:r w:rsidRPr="00DD1F8F">
      <w:rPr>
        <w:rFonts w:ascii="Calibri" w:hAnsi="Calibri" w:cs="Calibri"/>
        <w:sz w:val="22"/>
        <w:szCs w:val="22"/>
      </w:rPr>
      <w:t xml:space="preserve"> vigor: 26/07/2016 </w:t>
    </w:r>
    <w:r w:rsidRPr="00DD1F8F">
      <w:rPr>
        <w:rFonts w:ascii="Calibri" w:hAnsi="Calibri" w:cs="Calibri"/>
        <w:sz w:val="22"/>
        <w:szCs w:val="22"/>
      </w:rPr>
      <w:ptab w:relativeTo="margin" w:alignment="right" w:leader="none"/>
    </w:r>
    <w:proofErr w:type="spellStart"/>
    <w:r w:rsidRPr="00DD1F8F">
      <w:rPr>
        <w:rFonts w:ascii="Calibri" w:hAnsi="Calibri" w:cs="Calibri"/>
        <w:sz w:val="22"/>
        <w:szCs w:val="22"/>
      </w:rPr>
      <w:t>Versión</w:t>
    </w:r>
    <w:proofErr w:type="spellEnd"/>
    <w:r w:rsidRPr="00DD1F8F">
      <w:rPr>
        <w:rFonts w:ascii="Calibri" w:hAnsi="Calibri" w:cs="Calibri"/>
        <w:sz w:val="22"/>
        <w:szCs w:val="22"/>
      </w:rPr>
      <w:t xml:space="preserve"> </w:t>
    </w:r>
    <w:r w:rsidRPr="00DD1F06">
      <w:rPr>
        <w:rFonts w:ascii="Calibri" w:hAnsi="Calibri" w:cs="Calibri"/>
        <w:sz w:val="22"/>
        <w:szCs w:val="22"/>
      </w:rPr>
      <w:t>#</w:t>
    </w:r>
    <w:r w:rsidRPr="00DD1F8F">
      <w:rPr>
        <w:rFonts w:ascii="Calibri" w:hAnsi="Calibri" w:cs="Calibri"/>
        <w:sz w:val="22"/>
        <w:szCs w:val="22"/>
      </w:rPr>
      <w:t xml:space="preserve">: </w:t>
    </w:r>
    <w:sdt>
      <w:sdtPr>
        <w:rPr>
          <w:rFonts w:ascii="Calibri" w:hAnsi="Calibri" w:cs="Calibri"/>
          <w:sz w:val="22"/>
          <w:szCs w:val="22"/>
          <w:shd w:val="clear" w:color="auto" w:fill="E6E6E6"/>
        </w:rPr>
        <w:alias w:val="POPPRefItemVersion"/>
        <w:tag w:val="UNDP_POPP_REFITEM_VERSION"/>
        <w:id w:val="683246918"/>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64D5394-9332-4FC5-ABDA-35D7CF09F205}"/>
        <w:text/>
      </w:sdtPr>
      <w:sdtEndPr>
        <w:rPr>
          <w:shd w:val="clear" w:color="auto" w:fill="auto"/>
        </w:rPr>
      </w:sdtEndPr>
      <w:sdtContent>
        <w:r w:rsidRPr="00DD1F8F">
          <w:rPr>
            <w:rFonts w:ascii="Calibri" w:hAnsi="Calibri" w:cs="Calibri"/>
            <w:sz w:val="22"/>
            <w:szCs w:val="22"/>
            <w:shd w:val="clear" w:color="auto" w:fill="E6E6E6"/>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0F62" w14:textId="77777777" w:rsidR="00DD1F06" w:rsidRDefault="00DD1F06">
    <w:pPr>
      <w:spacing w:after="0" w:line="259" w:lineRule="auto"/>
      <w:ind w:right="1"/>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2F8A1D69" w14:textId="77777777" w:rsidR="00DD1F06" w:rsidRDefault="00DD1F06">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628E" w14:textId="77777777" w:rsidR="00ED7BAC" w:rsidRDefault="00ED7BAC" w:rsidP="00DD1F06">
      <w:pPr>
        <w:spacing w:after="0" w:line="240" w:lineRule="auto"/>
      </w:pPr>
      <w:r>
        <w:separator/>
      </w:r>
    </w:p>
  </w:footnote>
  <w:footnote w:type="continuationSeparator" w:id="0">
    <w:p w14:paraId="3B79DC38" w14:textId="77777777" w:rsidR="00ED7BAC" w:rsidRDefault="00ED7BAC" w:rsidP="00DD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3DC1" w14:textId="30545BD0" w:rsidR="00DD1F06" w:rsidRDefault="00DD1F06" w:rsidP="00536AE5">
    <w:pPr>
      <w:pStyle w:val="Header"/>
      <w:jc w:val="right"/>
    </w:pPr>
    <w:r>
      <w:rPr>
        <w:noProof/>
      </w:rPr>
      <w:drawing>
        <wp:inline distT="0" distB="0" distL="0" distR="0" wp14:anchorId="08D6BE37" wp14:editId="314BFDC0">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E18C67D" w14:textId="77777777" w:rsidR="00DD1F06" w:rsidRDefault="00DD1F06" w:rsidP="00536A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6D70"/>
    <w:multiLevelType w:val="hybridMultilevel"/>
    <w:tmpl w:val="DA186464"/>
    <w:lvl w:ilvl="0" w:tplc="AAE0D4E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5F33302"/>
    <w:multiLevelType w:val="hybridMultilevel"/>
    <w:tmpl w:val="2876BD2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F5317A"/>
    <w:multiLevelType w:val="hybridMultilevel"/>
    <w:tmpl w:val="51D0F17C"/>
    <w:lvl w:ilvl="0" w:tplc="0A48D7A8">
      <w:start w:val="1"/>
      <w:numFmt w:val="bullet"/>
      <w:lvlText w:val=""/>
      <w:lvlJc w:val="left"/>
      <w:pPr>
        <w:tabs>
          <w:tab w:val="num" w:pos="900"/>
        </w:tabs>
        <w:ind w:left="900" w:hanging="360"/>
      </w:pPr>
      <w:rPr>
        <w:rFonts w:ascii="Symbol" w:hAnsi="Symbol" w:hint="default"/>
        <w:color w:val="auto"/>
        <w:sz w:val="20"/>
      </w:rPr>
    </w:lvl>
    <w:lvl w:ilvl="1" w:tplc="F22AD0FA">
      <w:start w:val="1"/>
      <w:numFmt w:val="bullet"/>
      <w:lvlText w:val=""/>
      <w:lvlJc w:val="left"/>
      <w:pPr>
        <w:tabs>
          <w:tab w:val="num" w:pos="900"/>
        </w:tabs>
        <w:ind w:left="900" w:hanging="360"/>
      </w:pPr>
      <w:rPr>
        <w:rFonts w:ascii="Symbol" w:hAnsi="Symbol" w:hint="default"/>
        <w:color w:val="auto"/>
        <w:sz w:val="20"/>
      </w:rPr>
    </w:lvl>
    <w:lvl w:ilvl="2" w:tplc="87566AC6" w:tentative="1">
      <w:start w:val="1"/>
      <w:numFmt w:val="bullet"/>
      <w:lvlText w:val=""/>
      <w:lvlJc w:val="left"/>
      <w:pPr>
        <w:tabs>
          <w:tab w:val="num" w:pos="2160"/>
        </w:tabs>
        <w:ind w:left="2160" w:hanging="360"/>
      </w:pPr>
      <w:rPr>
        <w:rFonts w:ascii="Symbol" w:hAnsi="Symbol" w:hint="default"/>
        <w:sz w:val="20"/>
      </w:rPr>
    </w:lvl>
    <w:lvl w:ilvl="3" w:tplc="847C1822" w:tentative="1">
      <w:start w:val="1"/>
      <w:numFmt w:val="bullet"/>
      <w:lvlText w:val=""/>
      <w:lvlJc w:val="left"/>
      <w:pPr>
        <w:tabs>
          <w:tab w:val="num" w:pos="2880"/>
        </w:tabs>
        <w:ind w:left="2880" w:hanging="360"/>
      </w:pPr>
      <w:rPr>
        <w:rFonts w:ascii="Symbol" w:hAnsi="Symbol" w:hint="default"/>
        <w:sz w:val="20"/>
      </w:rPr>
    </w:lvl>
    <w:lvl w:ilvl="4" w:tplc="590A346A" w:tentative="1">
      <w:start w:val="1"/>
      <w:numFmt w:val="bullet"/>
      <w:lvlText w:val=""/>
      <w:lvlJc w:val="left"/>
      <w:pPr>
        <w:tabs>
          <w:tab w:val="num" w:pos="3600"/>
        </w:tabs>
        <w:ind w:left="3600" w:hanging="360"/>
      </w:pPr>
      <w:rPr>
        <w:rFonts w:ascii="Symbol" w:hAnsi="Symbol" w:hint="default"/>
        <w:sz w:val="20"/>
      </w:rPr>
    </w:lvl>
    <w:lvl w:ilvl="5" w:tplc="57085228" w:tentative="1">
      <w:start w:val="1"/>
      <w:numFmt w:val="bullet"/>
      <w:lvlText w:val=""/>
      <w:lvlJc w:val="left"/>
      <w:pPr>
        <w:tabs>
          <w:tab w:val="num" w:pos="4320"/>
        </w:tabs>
        <w:ind w:left="4320" w:hanging="360"/>
      </w:pPr>
      <w:rPr>
        <w:rFonts w:ascii="Symbol" w:hAnsi="Symbol" w:hint="default"/>
        <w:sz w:val="20"/>
      </w:rPr>
    </w:lvl>
    <w:lvl w:ilvl="6" w:tplc="465CCCE2" w:tentative="1">
      <w:start w:val="1"/>
      <w:numFmt w:val="bullet"/>
      <w:lvlText w:val=""/>
      <w:lvlJc w:val="left"/>
      <w:pPr>
        <w:tabs>
          <w:tab w:val="num" w:pos="5040"/>
        </w:tabs>
        <w:ind w:left="5040" w:hanging="360"/>
      </w:pPr>
      <w:rPr>
        <w:rFonts w:ascii="Symbol" w:hAnsi="Symbol" w:hint="default"/>
        <w:sz w:val="20"/>
      </w:rPr>
    </w:lvl>
    <w:lvl w:ilvl="7" w:tplc="AB4C297A" w:tentative="1">
      <w:start w:val="1"/>
      <w:numFmt w:val="bullet"/>
      <w:lvlText w:val=""/>
      <w:lvlJc w:val="left"/>
      <w:pPr>
        <w:tabs>
          <w:tab w:val="num" w:pos="5760"/>
        </w:tabs>
        <w:ind w:left="5760" w:hanging="360"/>
      </w:pPr>
      <w:rPr>
        <w:rFonts w:ascii="Symbol" w:hAnsi="Symbol" w:hint="default"/>
        <w:sz w:val="20"/>
      </w:rPr>
    </w:lvl>
    <w:lvl w:ilvl="8" w:tplc="8D2449C6" w:tentative="1">
      <w:start w:val="1"/>
      <w:numFmt w:val="bullet"/>
      <w:lvlText w:val=""/>
      <w:lvlJc w:val="left"/>
      <w:pPr>
        <w:tabs>
          <w:tab w:val="num" w:pos="6480"/>
        </w:tabs>
        <w:ind w:left="6480" w:hanging="360"/>
      </w:pPr>
      <w:rPr>
        <w:rFonts w:ascii="Symbol" w:hAnsi="Symbol" w:hint="default"/>
        <w:sz w:val="20"/>
      </w:rPr>
    </w:lvl>
  </w:abstractNum>
  <w:num w:numId="1" w16cid:durableId="524095111">
    <w:abstractNumId w:val="1"/>
  </w:num>
  <w:num w:numId="2" w16cid:durableId="742793983">
    <w:abstractNumId w:val="0"/>
  </w:num>
  <w:num w:numId="3" w16cid:durableId="1140534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06"/>
    <w:rsid w:val="004133EE"/>
    <w:rsid w:val="004A74E1"/>
    <w:rsid w:val="00782942"/>
    <w:rsid w:val="00811336"/>
    <w:rsid w:val="00B45A5D"/>
    <w:rsid w:val="00B8613A"/>
    <w:rsid w:val="00C54532"/>
    <w:rsid w:val="00C61B9D"/>
    <w:rsid w:val="00C80311"/>
    <w:rsid w:val="00DA504D"/>
    <w:rsid w:val="00DD1F06"/>
    <w:rsid w:val="00DD1F8F"/>
    <w:rsid w:val="00ED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DE17"/>
  <w15:chartTrackingRefBased/>
  <w15:docId w15:val="{70A828C7-62B3-4820-B906-F00F5B63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F06"/>
    <w:rPr>
      <w:rFonts w:eastAsiaTheme="majorEastAsia" w:cstheme="majorBidi"/>
      <w:color w:val="272727" w:themeColor="text1" w:themeTint="D8"/>
    </w:rPr>
  </w:style>
  <w:style w:type="paragraph" w:styleId="Title">
    <w:name w:val="Title"/>
    <w:basedOn w:val="Normal"/>
    <w:next w:val="Normal"/>
    <w:link w:val="TitleChar"/>
    <w:uiPriority w:val="10"/>
    <w:qFormat/>
    <w:rsid w:val="00DD1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F06"/>
    <w:pPr>
      <w:spacing w:before="160"/>
      <w:jc w:val="center"/>
    </w:pPr>
    <w:rPr>
      <w:i/>
      <w:iCs/>
      <w:color w:val="404040" w:themeColor="text1" w:themeTint="BF"/>
    </w:rPr>
  </w:style>
  <w:style w:type="character" w:customStyle="1" w:styleId="QuoteChar">
    <w:name w:val="Quote Char"/>
    <w:basedOn w:val="DefaultParagraphFont"/>
    <w:link w:val="Quote"/>
    <w:uiPriority w:val="29"/>
    <w:rsid w:val="00DD1F06"/>
    <w:rPr>
      <w:i/>
      <w:iCs/>
      <w:color w:val="404040" w:themeColor="text1" w:themeTint="BF"/>
    </w:rPr>
  </w:style>
  <w:style w:type="paragraph" w:styleId="ListParagraph">
    <w:name w:val="List Paragraph"/>
    <w:basedOn w:val="Normal"/>
    <w:uiPriority w:val="34"/>
    <w:qFormat/>
    <w:rsid w:val="00DD1F06"/>
    <w:pPr>
      <w:ind w:left="720"/>
      <w:contextualSpacing/>
    </w:pPr>
  </w:style>
  <w:style w:type="character" w:styleId="IntenseEmphasis">
    <w:name w:val="Intense Emphasis"/>
    <w:basedOn w:val="DefaultParagraphFont"/>
    <w:uiPriority w:val="21"/>
    <w:qFormat/>
    <w:rsid w:val="00DD1F06"/>
    <w:rPr>
      <w:i/>
      <w:iCs/>
      <w:color w:val="0F4761" w:themeColor="accent1" w:themeShade="BF"/>
    </w:rPr>
  </w:style>
  <w:style w:type="paragraph" w:styleId="IntenseQuote">
    <w:name w:val="Intense Quote"/>
    <w:basedOn w:val="Normal"/>
    <w:next w:val="Normal"/>
    <w:link w:val="IntenseQuoteChar"/>
    <w:uiPriority w:val="30"/>
    <w:qFormat/>
    <w:rsid w:val="00DD1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F06"/>
    <w:rPr>
      <w:i/>
      <w:iCs/>
      <w:color w:val="0F4761" w:themeColor="accent1" w:themeShade="BF"/>
    </w:rPr>
  </w:style>
  <w:style w:type="character" w:styleId="IntenseReference">
    <w:name w:val="Intense Reference"/>
    <w:basedOn w:val="DefaultParagraphFont"/>
    <w:uiPriority w:val="32"/>
    <w:qFormat/>
    <w:rsid w:val="00DD1F06"/>
    <w:rPr>
      <w:b/>
      <w:bCs/>
      <w:smallCaps/>
      <w:color w:val="0F4761" w:themeColor="accent1" w:themeShade="BF"/>
      <w:spacing w:val="5"/>
    </w:rPr>
  </w:style>
  <w:style w:type="paragraph" w:styleId="Header">
    <w:name w:val="header"/>
    <w:basedOn w:val="Normal"/>
    <w:link w:val="HeaderChar"/>
    <w:uiPriority w:val="99"/>
    <w:unhideWhenUsed/>
    <w:rsid w:val="00DD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06"/>
  </w:style>
  <w:style w:type="paragraph" w:styleId="Revision">
    <w:name w:val="Revision"/>
    <w:hidden/>
    <w:uiPriority w:val="99"/>
    <w:semiHidden/>
    <w:rsid w:val="00DD1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701" TargetMode="External"/><Relationship Id="rId13" Type="http://schemas.openxmlformats.org/officeDocument/2006/relationships/hyperlink" Target="https://popp.undp.org/node/470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pp.undp.org/node/4716" TargetMode="External"/><Relationship Id="rId12" Type="http://schemas.openxmlformats.org/officeDocument/2006/relationships/hyperlink" Target="https://popp.undp.org/node/501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node/5036"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016" TargetMode="External"/><Relationship Id="rId5" Type="http://schemas.openxmlformats.org/officeDocument/2006/relationships/footnotes" Target="footnotes.xml"/><Relationship Id="rId15" Type="http://schemas.openxmlformats.org/officeDocument/2006/relationships/hyperlink" Target="https://popp.undp.org/node/3436" TargetMode="External"/><Relationship Id="rId10" Type="http://schemas.openxmlformats.org/officeDocument/2006/relationships/hyperlink" Target="https://popp.undp.org/node/500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pp.undp.org/node/5006" TargetMode="External"/><Relationship Id="rId14" Type="http://schemas.openxmlformats.org/officeDocument/2006/relationships/hyperlink" Target="https://popp.undp.org/node/471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2026-04-27T13:35:00Z</dcterms:created>
  <dcterms:modified xsi:type="dcterms:W3CDTF">2026-04-29T09:50:00Z</dcterms:modified>
</cp:coreProperties>
</file>