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4D340" w14:textId="77777777" w:rsidR="00120C44" w:rsidRPr="000D1DE5" w:rsidRDefault="00D72D61">
      <w:pPr>
        <w:spacing w:after="0" w:line="239" w:lineRule="auto"/>
        <w:ind w:left="0" w:firstLine="0"/>
        <w:jc w:val="left"/>
        <w:rPr>
          <w:lang w:val="fr-FR"/>
        </w:rPr>
      </w:pPr>
      <w:r w:rsidRPr="000D1DE5">
        <w:rPr>
          <w:b/>
          <w:sz w:val="28"/>
          <w:lang w:val="fr-FR"/>
        </w:rPr>
        <w:t>Amélioration locatives</w:t>
      </w:r>
      <w:r w:rsidR="001B272D" w:rsidRPr="000D1DE5">
        <w:rPr>
          <w:b/>
          <w:sz w:val="28"/>
          <w:lang w:val="fr-FR"/>
        </w:rPr>
        <w:t> :</w:t>
      </w:r>
      <w:r w:rsidRPr="000D1DE5">
        <w:rPr>
          <w:b/>
          <w:sz w:val="28"/>
          <w:lang w:val="fr-FR"/>
        </w:rPr>
        <w:t xml:space="preserve"> Amortissement, rapprochements, rapports et fonctions centralisées</w:t>
      </w:r>
    </w:p>
    <w:p w14:paraId="132924D4" w14:textId="77777777" w:rsidR="00120C44" w:rsidRPr="000D1DE5" w:rsidRDefault="00120C44">
      <w:pPr>
        <w:spacing w:after="0" w:line="259" w:lineRule="auto"/>
        <w:ind w:left="0" w:firstLine="0"/>
        <w:jc w:val="left"/>
        <w:rPr>
          <w:lang w:val="fr-FR"/>
        </w:rPr>
      </w:pPr>
    </w:p>
    <w:p w14:paraId="2C76A60B" w14:textId="77777777" w:rsidR="00120C44" w:rsidRDefault="00D72D61">
      <w:pPr>
        <w:pStyle w:val="Heading1"/>
        <w:ind w:left="-5"/>
      </w:pPr>
      <w:r>
        <w:t>Description</w:t>
      </w:r>
    </w:p>
    <w:p w14:paraId="5ECCC358" w14:textId="77777777" w:rsidR="00120C44" w:rsidRDefault="00120C44">
      <w:pPr>
        <w:spacing w:after="20" w:line="259" w:lineRule="auto"/>
        <w:ind w:left="0" w:firstLine="0"/>
        <w:jc w:val="left"/>
      </w:pPr>
    </w:p>
    <w:p w14:paraId="706EEE84" w14:textId="26FD8096" w:rsidR="00120C44" w:rsidRPr="000D1DE5" w:rsidRDefault="09D22D6E">
      <w:pPr>
        <w:numPr>
          <w:ilvl w:val="0"/>
          <w:numId w:val="1"/>
        </w:numPr>
        <w:ind w:hanging="360"/>
        <w:rPr>
          <w:lang w:val="fr-FR"/>
        </w:rPr>
      </w:pPr>
      <w:r w:rsidRPr="000D1DE5">
        <w:rPr>
          <w:lang w:val="fr-FR"/>
        </w:rPr>
        <w:t>L’amortissement est la mesure de l’usure, de la consommation ou de toute autre perte de valeur d’un bien immobilier, découlant de l’utilisation, du passage du temps ou de l’obsolescence. Cette politique précise les exigences relatives à l’enregistrement et aux rapports sur les rapprochements d’amortissements portant sur les améliorations locatives.</w:t>
      </w:r>
    </w:p>
    <w:p w14:paraId="6AC13F34" w14:textId="77777777" w:rsidR="00120C44" w:rsidRPr="000D1DE5" w:rsidRDefault="00120C44">
      <w:pPr>
        <w:spacing w:after="20" w:line="259" w:lineRule="auto"/>
        <w:ind w:left="0" w:firstLine="0"/>
        <w:jc w:val="left"/>
        <w:rPr>
          <w:lang w:val="fr-FR"/>
        </w:rPr>
      </w:pPr>
    </w:p>
    <w:p w14:paraId="12A29478" w14:textId="454130F8" w:rsidR="00120C44" w:rsidRPr="000D1DE5" w:rsidRDefault="09D22D6E">
      <w:pPr>
        <w:numPr>
          <w:ilvl w:val="0"/>
          <w:numId w:val="1"/>
        </w:numPr>
        <w:ind w:hanging="360"/>
        <w:rPr>
          <w:lang w:val="fr-FR"/>
        </w:rPr>
      </w:pPr>
      <w:r w:rsidRPr="000D1DE5">
        <w:rPr>
          <w:lang w:val="fr-FR"/>
        </w:rPr>
        <w:t>L’amortissement est la mesure de l’usure, de la consommation ou de toute autre perte de valeur d’un bien immobilier, qu’elle découle de l’utilisation, du passage du temps ou de l’obsolescence. L’amortissement répartit le coût d’une immobilisation corporelle sur sa durée de vie utile, plutôt que de comptabiliser en charges le coût total d’une immobilisation lors de l’achat ou de l’acquisition. L’amortissement est calculé et enregistré automatiquement dans le système de gestion des actifs. Pour ce faire, il détermine le montant amortissable d’un actif, qui est ensuite imputé au plan comptable correspondant à l’actif où il est inscrit pour la durée de vie utile prédéterminée de la catégorie d’actifs.</w:t>
      </w:r>
    </w:p>
    <w:p w14:paraId="02268CA0" w14:textId="77777777" w:rsidR="00120C44" w:rsidRPr="000D1DE5" w:rsidRDefault="00120C44">
      <w:pPr>
        <w:spacing w:after="0" w:line="259" w:lineRule="auto"/>
        <w:ind w:left="0" w:firstLine="0"/>
        <w:jc w:val="left"/>
        <w:rPr>
          <w:lang w:val="fr-FR"/>
        </w:rPr>
      </w:pPr>
    </w:p>
    <w:p w14:paraId="1BED7F1D" w14:textId="77777777" w:rsidR="00120C44" w:rsidRDefault="00D72D61">
      <w:pPr>
        <w:pStyle w:val="Heading1"/>
        <w:ind w:left="-5"/>
      </w:pPr>
      <w:r>
        <w:t>Catégorie d</w:t>
      </w:r>
      <w:r w:rsidR="001B272D">
        <w:t>’</w:t>
      </w:r>
      <w:r>
        <w:t>actifs</w:t>
      </w:r>
    </w:p>
    <w:p w14:paraId="01323CBB" w14:textId="77777777" w:rsidR="00120C44" w:rsidRDefault="00120C44">
      <w:pPr>
        <w:spacing w:after="20" w:line="259" w:lineRule="auto"/>
        <w:ind w:left="0" w:firstLine="0"/>
        <w:jc w:val="left"/>
      </w:pPr>
    </w:p>
    <w:p w14:paraId="7F507718" w14:textId="5347E11F" w:rsidR="006B5C7C" w:rsidRPr="000D1DE5" w:rsidRDefault="09D22D6E">
      <w:pPr>
        <w:pStyle w:val="ListParagraph"/>
        <w:numPr>
          <w:ilvl w:val="0"/>
          <w:numId w:val="1"/>
        </w:numPr>
        <w:rPr>
          <w:lang w:val="fr-FR"/>
        </w:rPr>
      </w:pPr>
      <w:r w:rsidRPr="000D1DE5">
        <w:rPr>
          <w:lang w:val="fr-FR"/>
        </w:rPr>
        <w:t>Une catégorie d’actifs est un groupe d’actifs qui ont les mêmes caractéristiques fonctionnelles, par exemple les améliorations locatives, les véhicules, les meubles et les agencements, etc. (se référer à la section mobilier et matériel des politiques et procédures régissant les programmes et opérations (POPP) pour plus de détails sur les catégories d’actifs).</w:t>
      </w:r>
    </w:p>
    <w:p w14:paraId="4CF5D785" w14:textId="77777777" w:rsidR="00120C44" w:rsidRPr="000D1DE5" w:rsidRDefault="00120C44">
      <w:pPr>
        <w:spacing w:after="0" w:line="259" w:lineRule="auto"/>
        <w:ind w:left="0" w:firstLine="0"/>
        <w:jc w:val="left"/>
        <w:rPr>
          <w:lang w:val="fr-FR"/>
        </w:rPr>
      </w:pPr>
    </w:p>
    <w:p w14:paraId="0E59DBD1" w14:textId="77777777" w:rsidR="00120C44" w:rsidRDefault="00D72D61">
      <w:pPr>
        <w:pStyle w:val="Heading1"/>
        <w:ind w:left="-5"/>
      </w:pPr>
      <w:r>
        <w:t>Montant amortissable</w:t>
      </w:r>
    </w:p>
    <w:p w14:paraId="285293E1" w14:textId="77777777" w:rsidR="00120C44" w:rsidRDefault="00120C44">
      <w:pPr>
        <w:spacing w:after="20" w:line="259" w:lineRule="auto"/>
        <w:ind w:left="0" w:firstLine="0"/>
        <w:jc w:val="left"/>
      </w:pPr>
    </w:p>
    <w:p w14:paraId="02FFE600" w14:textId="77777777" w:rsidR="006B5C7C" w:rsidRPr="00F56F87" w:rsidRDefault="00D72D61">
      <w:pPr>
        <w:pStyle w:val="ListParagraph"/>
        <w:numPr>
          <w:ilvl w:val="0"/>
          <w:numId w:val="1"/>
        </w:numPr>
        <w:rPr>
          <w:lang w:val="fr-CH"/>
        </w:rPr>
      </w:pPr>
      <w:r w:rsidRPr="00F56F87">
        <w:rPr>
          <w:lang w:val="fr-CH"/>
        </w:rPr>
        <w:t>Le montant amortissable est le coût d</w:t>
      </w:r>
      <w:r w:rsidR="001B272D" w:rsidRPr="00F56F87">
        <w:rPr>
          <w:lang w:val="fr-CH"/>
        </w:rPr>
        <w:t>’</w:t>
      </w:r>
      <w:r w:rsidRPr="00F56F87">
        <w:rPr>
          <w:lang w:val="fr-CH"/>
        </w:rPr>
        <w:t>un actif, ou un autre montant substitué au coût, moins sa valeur résiduelle. La valeur résiduelle d</w:t>
      </w:r>
      <w:r w:rsidR="001B272D" w:rsidRPr="00F56F87">
        <w:rPr>
          <w:lang w:val="fr-CH"/>
        </w:rPr>
        <w:t>’</w:t>
      </w:r>
      <w:r w:rsidRPr="00F56F87">
        <w:rPr>
          <w:lang w:val="fr-CH"/>
        </w:rPr>
        <w:t>un actif est le montant estimatif qui résulterait de la liquidation de l</w:t>
      </w:r>
      <w:r w:rsidR="001B272D" w:rsidRPr="00F56F87">
        <w:rPr>
          <w:lang w:val="fr-CH"/>
        </w:rPr>
        <w:t>’</w:t>
      </w:r>
      <w:r w:rsidRPr="00F56F87">
        <w:rPr>
          <w:lang w:val="fr-CH"/>
        </w:rPr>
        <w:t>actif, déduction faite des coûts estimés de la cession, si l</w:t>
      </w:r>
      <w:r w:rsidR="001B272D" w:rsidRPr="00F56F87">
        <w:rPr>
          <w:lang w:val="fr-CH"/>
        </w:rPr>
        <w:t>’</w:t>
      </w:r>
      <w:r w:rsidRPr="00F56F87">
        <w:rPr>
          <w:lang w:val="fr-CH"/>
        </w:rPr>
        <w:t>actif avait déjà atteint l</w:t>
      </w:r>
      <w:r w:rsidR="001B272D" w:rsidRPr="00F56F87">
        <w:rPr>
          <w:lang w:val="fr-CH"/>
        </w:rPr>
        <w:t>’</w:t>
      </w:r>
      <w:r w:rsidRPr="00F56F87">
        <w:rPr>
          <w:lang w:val="fr-CH"/>
        </w:rPr>
        <w:t>âge et l</w:t>
      </w:r>
      <w:r w:rsidR="001B272D" w:rsidRPr="00F56F87">
        <w:rPr>
          <w:lang w:val="fr-CH"/>
        </w:rPr>
        <w:t>’</w:t>
      </w:r>
      <w:r w:rsidRPr="00F56F87">
        <w:rPr>
          <w:lang w:val="fr-CH"/>
        </w:rPr>
        <w:t>état prévu à la fin de sa durée de vie utile. La durée de vie utile d</w:t>
      </w:r>
      <w:r w:rsidR="001B272D" w:rsidRPr="00F56F87">
        <w:rPr>
          <w:lang w:val="fr-CH"/>
        </w:rPr>
        <w:t>’</w:t>
      </w:r>
      <w:r w:rsidRPr="00F56F87">
        <w:rPr>
          <w:lang w:val="fr-CH"/>
        </w:rPr>
        <w:t>un actif est la période au cours de laquelle un actif devrait pouvoir être utilisé par une entité.</w:t>
      </w:r>
    </w:p>
    <w:p w14:paraId="2E273783" w14:textId="77777777" w:rsidR="00120C44" w:rsidRPr="00F56F87" w:rsidRDefault="00120C44">
      <w:pPr>
        <w:spacing w:after="0" w:line="259" w:lineRule="auto"/>
        <w:ind w:left="46" w:firstLine="0"/>
        <w:jc w:val="left"/>
        <w:rPr>
          <w:lang w:val="fr-CH"/>
        </w:rPr>
      </w:pPr>
    </w:p>
    <w:p w14:paraId="31896832" w14:textId="77777777" w:rsidR="00120C44" w:rsidRDefault="00D72D61">
      <w:pPr>
        <w:pStyle w:val="Heading1"/>
        <w:ind w:left="-5"/>
      </w:pPr>
      <w:r>
        <w:t>Rapprochement</w:t>
      </w:r>
    </w:p>
    <w:p w14:paraId="7F6F1B34" w14:textId="77777777" w:rsidR="00120C44" w:rsidRDefault="00120C44">
      <w:pPr>
        <w:spacing w:after="21" w:line="259" w:lineRule="auto"/>
        <w:ind w:left="0" w:firstLine="0"/>
        <w:jc w:val="left"/>
      </w:pPr>
    </w:p>
    <w:p w14:paraId="6473A04F" w14:textId="395CDA2D" w:rsidR="006B5C7C" w:rsidRPr="00F56F87" w:rsidRDefault="09D22D6E">
      <w:pPr>
        <w:pStyle w:val="ListParagraph"/>
        <w:numPr>
          <w:ilvl w:val="0"/>
          <w:numId w:val="1"/>
        </w:numPr>
        <w:rPr>
          <w:lang w:val="fr-CH"/>
        </w:rPr>
      </w:pPr>
      <w:r w:rsidRPr="00F56F87">
        <w:rPr>
          <w:lang w:val="fr-CH"/>
        </w:rPr>
        <w:t>Le rapprochement est un processus comptable utilisé pour comparer deux ensembles d’enregistrements afin de s’assurer que les chiffres concordent et sont exacts. Étant donné que les améliorations locatives seront initiées</w:t>
      </w:r>
      <w:r w:rsidR="00F56F87">
        <w:rPr>
          <w:lang w:val="fr-CH"/>
        </w:rPr>
        <w:t xml:space="preserve"> </w:t>
      </w:r>
      <w:r w:rsidRPr="00F56F87">
        <w:rPr>
          <w:lang w:val="fr-CH"/>
        </w:rPr>
        <w:t xml:space="preserve">dans un module </w:t>
      </w:r>
      <w:r w:rsidR="00F56F87">
        <w:rPr>
          <w:lang w:val="fr-CH"/>
        </w:rPr>
        <w:t>Quantum</w:t>
      </w:r>
      <w:r w:rsidRPr="00F56F87">
        <w:rPr>
          <w:lang w:val="fr-CH"/>
        </w:rPr>
        <w:t xml:space="preserve"> (P-2-P) et finalement enregistrées dans le module des actifs </w:t>
      </w:r>
      <w:r w:rsidR="00F56F87">
        <w:rPr>
          <w:lang w:val="fr-CH"/>
        </w:rPr>
        <w:t>Quantum</w:t>
      </w:r>
      <w:r w:rsidRPr="00F56F87">
        <w:rPr>
          <w:lang w:val="fr-CH"/>
        </w:rPr>
        <w:t xml:space="preserve"> ainsi que dans le compte du grand livre, il sera nécessaire de rapprocher mensuellement les données et les informations des trois modules dans </w:t>
      </w:r>
      <w:r w:rsidR="00F56F87">
        <w:rPr>
          <w:lang w:val="fr-CH"/>
        </w:rPr>
        <w:t>Quantum</w:t>
      </w:r>
      <w:r w:rsidRPr="00F56F87">
        <w:rPr>
          <w:lang w:val="fr-CH"/>
        </w:rPr>
        <w:t>. En plus des rapprochements des données comptables, il sera également nécessaire de rapprocher les résultats de l’exercice d’inventaire physique avec les registres portant sur les améliorations locatives.</w:t>
      </w:r>
    </w:p>
    <w:p w14:paraId="42D9F1CE" w14:textId="77777777" w:rsidR="00C10DF5" w:rsidRPr="00F56F87" w:rsidRDefault="00C10DF5">
      <w:pPr>
        <w:spacing w:after="0" w:line="259" w:lineRule="auto"/>
        <w:ind w:left="0" w:firstLine="0"/>
        <w:jc w:val="left"/>
        <w:rPr>
          <w:lang w:val="fr-CH"/>
        </w:rPr>
      </w:pPr>
    </w:p>
    <w:p w14:paraId="3E1E5662" w14:textId="77777777" w:rsidR="00120C44" w:rsidRDefault="00D72D61">
      <w:pPr>
        <w:pStyle w:val="Heading1"/>
        <w:ind w:left="-5"/>
      </w:pPr>
      <w:r>
        <w:lastRenderedPageBreak/>
        <w:t>Rapports</w:t>
      </w:r>
    </w:p>
    <w:p w14:paraId="2CE4D2AE" w14:textId="77777777" w:rsidR="00120C44" w:rsidRDefault="00120C44">
      <w:pPr>
        <w:spacing w:after="20" w:line="259" w:lineRule="auto"/>
        <w:ind w:left="0" w:firstLine="0"/>
        <w:jc w:val="left"/>
      </w:pPr>
    </w:p>
    <w:p w14:paraId="61733852" w14:textId="4BE229B9" w:rsidR="006B5C7C" w:rsidRPr="00F56F87" w:rsidRDefault="09D22D6E">
      <w:pPr>
        <w:pStyle w:val="ListParagraph"/>
        <w:numPr>
          <w:ilvl w:val="0"/>
          <w:numId w:val="1"/>
        </w:numPr>
        <w:spacing w:after="0" w:line="250" w:lineRule="auto"/>
        <w:rPr>
          <w:lang w:val="fr-CH"/>
        </w:rPr>
      </w:pPr>
      <w:r w:rsidRPr="00F56F87">
        <w:rPr>
          <w:lang w:val="fr-CH"/>
        </w:rPr>
        <w:t>En raison de la nécessité de vérifier l’exactitude des registres par rapprochement et de préparer des informations exactes sur les actifs pour les rapports financiers, divers rapports seront conçus pour aider les utilisateurs à effectuer les rapprochement et examen des registres d’actifs.</w:t>
      </w:r>
    </w:p>
    <w:p w14:paraId="1C449D33" w14:textId="77777777" w:rsidR="00120C44" w:rsidRPr="00F56F87" w:rsidRDefault="00120C44">
      <w:pPr>
        <w:spacing w:after="0" w:line="259" w:lineRule="auto"/>
        <w:ind w:left="0" w:firstLine="0"/>
        <w:jc w:val="left"/>
        <w:rPr>
          <w:lang w:val="fr-CH"/>
        </w:rPr>
      </w:pPr>
    </w:p>
    <w:p w14:paraId="0F4F673A" w14:textId="77777777" w:rsidR="00120C44" w:rsidRDefault="00D72D61">
      <w:pPr>
        <w:pStyle w:val="Heading1"/>
        <w:ind w:left="-5"/>
      </w:pPr>
      <w:r>
        <w:t>Fonctions centralisées</w:t>
      </w:r>
    </w:p>
    <w:p w14:paraId="7437CA4C" w14:textId="77777777" w:rsidR="00120C44" w:rsidRDefault="00120C44">
      <w:pPr>
        <w:spacing w:after="17" w:line="259" w:lineRule="auto"/>
        <w:ind w:left="0" w:firstLine="0"/>
        <w:jc w:val="left"/>
      </w:pPr>
    </w:p>
    <w:p w14:paraId="1B58C896" w14:textId="77777777" w:rsidR="006B5C7C" w:rsidRPr="00F56F87" w:rsidRDefault="00D72D61">
      <w:pPr>
        <w:pStyle w:val="ListParagraph"/>
        <w:numPr>
          <w:ilvl w:val="0"/>
          <w:numId w:val="1"/>
        </w:numPr>
        <w:rPr>
          <w:lang w:val="fr-CH"/>
        </w:rPr>
      </w:pPr>
      <w:r w:rsidRPr="00F56F87">
        <w:rPr>
          <w:lang w:val="fr-CH"/>
        </w:rPr>
        <w:t xml:space="preserve">Les fonctions centralisées sont celles qui ne seront exécutées que par le </w:t>
      </w:r>
      <w:r w:rsidR="00B77149" w:rsidRPr="00F56F87">
        <w:rPr>
          <w:lang w:val="fr-CH"/>
        </w:rPr>
        <w:t>Centre mondial de services partagés</w:t>
      </w:r>
      <w:r w:rsidRPr="00F56F87">
        <w:rPr>
          <w:lang w:val="fr-CH"/>
        </w:rPr>
        <w:t xml:space="preserve"> </w:t>
      </w:r>
      <w:r w:rsidR="00CA1B74" w:rsidRPr="00F56F87">
        <w:rPr>
          <w:lang w:val="fr-CH"/>
        </w:rPr>
        <w:t xml:space="preserve">(GSSC) </w:t>
      </w:r>
      <w:r w:rsidRPr="00F56F87">
        <w:rPr>
          <w:lang w:val="fr-CH"/>
        </w:rPr>
        <w:t xml:space="preserve">et le siège du </w:t>
      </w:r>
      <w:r w:rsidR="00B77149" w:rsidRPr="00F56F87">
        <w:rPr>
          <w:lang w:val="fr-CH"/>
        </w:rPr>
        <w:t xml:space="preserve">Programme des Nations Unies pour le développement (PNUD) </w:t>
      </w:r>
      <w:r w:rsidRPr="00F56F87">
        <w:rPr>
          <w:lang w:val="fr-CH"/>
        </w:rPr>
        <w:t xml:space="preserve">à New York par le biais de la Division de la comptabilité, </w:t>
      </w:r>
      <w:r w:rsidR="00B77149" w:rsidRPr="00F56F87">
        <w:rPr>
          <w:lang w:val="fr-CH"/>
        </w:rPr>
        <w:t>du Bureau des systèmes d'information et de la technologie informatique</w:t>
      </w:r>
      <w:r w:rsidRPr="00F56F87">
        <w:rPr>
          <w:lang w:val="fr-CH"/>
        </w:rPr>
        <w:t xml:space="preserve"> ou du service des opérations générales et du bureau des services de gestion.</w:t>
      </w:r>
    </w:p>
    <w:p w14:paraId="3813E973" w14:textId="77777777" w:rsidR="00120C44" w:rsidRPr="00F56F87" w:rsidRDefault="00120C44">
      <w:pPr>
        <w:spacing w:after="0" w:line="259" w:lineRule="auto"/>
        <w:ind w:left="0" w:firstLine="0"/>
        <w:jc w:val="left"/>
        <w:rPr>
          <w:lang w:val="fr-CH"/>
        </w:rPr>
      </w:pPr>
    </w:p>
    <w:p w14:paraId="6EEFBB23" w14:textId="77777777" w:rsidR="00120C44" w:rsidRDefault="00D72D61">
      <w:pPr>
        <w:pStyle w:val="Heading1"/>
        <w:ind w:left="-5"/>
      </w:pPr>
      <w:r>
        <w:t>Amortissement</w:t>
      </w:r>
    </w:p>
    <w:p w14:paraId="7DEB3029" w14:textId="77777777" w:rsidR="00120C44" w:rsidRDefault="00120C44">
      <w:pPr>
        <w:spacing w:after="20" w:line="259" w:lineRule="auto"/>
        <w:ind w:left="0" w:firstLine="0"/>
        <w:jc w:val="left"/>
      </w:pPr>
    </w:p>
    <w:p w14:paraId="42A39E3D" w14:textId="26F7C9B2" w:rsidR="006B5C7C" w:rsidRPr="00F56F87" w:rsidRDefault="00D72D61">
      <w:pPr>
        <w:pStyle w:val="ListParagraph"/>
        <w:numPr>
          <w:ilvl w:val="0"/>
          <w:numId w:val="1"/>
        </w:numPr>
        <w:rPr>
          <w:lang w:val="fr-CH"/>
        </w:rPr>
      </w:pPr>
      <w:r w:rsidRPr="00F56F87">
        <w:rPr>
          <w:lang w:val="fr-CH"/>
        </w:rPr>
        <w:t>Les améliorations locatives seront amorties par le PNUD sur une période de 10</w:t>
      </w:r>
      <w:r w:rsidR="00B77149" w:rsidRPr="00F56F87">
        <w:rPr>
          <w:lang w:val="fr-CH"/>
        </w:rPr>
        <w:t> </w:t>
      </w:r>
      <w:r w:rsidRPr="00F56F87">
        <w:rPr>
          <w:lang w:val="fr-CH"/>
        </w:rPr>
        <w:t>ans. Après la résiliation du bail par l</w:t>
      </w:r>
      <w:r w:rsidR="001B272D" w:rsidRPr="00F56F87">
        <w:rPr>
          <w:lang w:val="fr-CH"/>
        </w:rPr>
        <w:t>’</w:t>
      </w:r>
      <w:r w:rsidRPr="00F56F87">
        <w:rPr>
          <w:lang w:val="fr-CH"/>
        </w:rPr>
        <w:t>une ou l</w:t>
      </w:r>
      <w:r w:rsidR="001B272D" w:rsidRPr="00F56F87">
        <w:rPr>
          <w:lang w:val="fr-CH"/>
        </w:rPr>
        <w:t>’</w:t>
      </w:r>
      <w:r w:rsidRPr="00F56F87">
        <w:rPr>
          <w:lang w:val="fr-CH"/>
        </w:rPr>
        <w:t>autre des parties, le droit du PNUD d</w:t>
      </w:r>
      <w:r w:rsidR="001B272D" w:rsidRPr="00F56F87">
        <w:rPr>
          <w:lang w:val="fr-CH"/>
        </w:rPr>
        <w:t>’</w:t>
      </w:r>
      <w:r w:rsidRPr="00F56F87">
        <w:rPr>
          <w:lang w:val="fr-CH"/>
        </w:rPr>
        <w:t>utiliser la valeur amortie des améliorations est nul et l</w:t>
      </w:r>
      <w:r w:rsidR="001B272D" w:rsidRPr="00F56F87">
        <w:rPr>
          <w:lang w:val="fr-CH"/>
        </w:rPr>
        <w:t>’</w:t>
      </w:r>
      <w:r w:rsidRPr="00F56F87">
        <w:rPr>
          <w:lang w:val="fr-CH"/>
        </w:rPr>
        <w:t>amortissement restant est entièrement absorbé.</w:t>
      </w:r>
      <w:r w:rsidR="001B272D" w:rsidRPr="00F56F87">
        <w:rPr>
          <w:lang w:val="fr-CH"/>
        </w:rPr>
        <w:t xml:space="preserve"> </w:t>
      </w:r>
      <w:r w:rsidRPr="00F56F87">
        <w:rPr>
          <w:lang w:val="fr-CH"/>
        </w:rPr>
        <w:t>Il est à noter que les dépenses d</w:t>
      </w:r>
      <w:r w:rsidR="001B272D" w:rsidRPr="00F56F87">
        <w:rPr>
          <w:lang w:val="fr-CH"/>
        </w:rPr>
        <w:t>’</w:t>
      </w:r>
      <w:r w:rsidRPr="00F56F87">
        <w:rPr>
          <w:lang w:val="fr-CH"/>
        </w:rPr>
        <w:t>amortissement n</w:t>
      </w:r>
      <w:r w:rsidR="001B272D" w:rsidRPr="00F56F87">
        <w:rPr>
          <w:lang w:val="fr-CH"/>
        </w:rPr>
        <w:t>’</w:t>
      </w:r>
      <w:r w:rsidRPr="00F56F87">
        <w:rPr>
          <w:lang w:val="fr-CH"/>
        </w:rPr>
        <w:t>ont pas d</w:t>
      </w:r>
      <w:r w:rsidR="001B272D" w:rsidRPr="00F56F87">
        <w:rPr>
          <w:lang w:val="fr-CH"/>
        </w:rPr>
        <w:t>’</w:t>
      </w:r>
      <w:r w:rsidRPr="00F56F87">
        <w:rPr>
          <w:lang w:val="fr-CH"/>
        </w:rPr>
        <w:t>impact sur les ressources. Seul le coût initial de l</w:t>
      </w:r>
      <w:r w:rsidR="001B272D" w:rsidRPr="00F56F87">
        <w:rPr>
          <w:lang w:val="fr-CH"/>
        </w:rPr>
        <w:t>’</w:t>
      </w:r>
      <w:r w:rsidRPr="00F56F87">
        <w:rPr>
          <w:lang w:val="fr-CH"/>
        </w:rPr>
        <w:t>amélioration locative fera l</w:t>
      </w:r>
      <w:r w:rsidR="001B272D" w:rsidRPr="00F56F87">
        <w:rPr>
          <w:lang w:val="fr-CH"/>
        </w:rPr>
        <w:t>’</w:t>
      </w:r>
      <w:r w:rsidRPr="00F56F87">
        <w:rPr>
          <w:lang w:val="fr-CH"/>
        </w:rPr>
        <w:t>objet d</w:t>
      </w:r>
      <w:r w:rsidR="001B272D" w:rsidRPr="00F56F87">
        <w:rPr>
          <w:lang w:val="fr-CH"/>
        </w:rPr>
        <w:t>’</w:t>
      </w:r>
      <w:r w:rsidRPr="00F56F87">
        <w:rPr>
          <w:lang w:val="fr-CH"/>
        </w:rPr>
        <w:t xml:space="preserve">un contrôle budgétaire et aura donc un impact sur les ressources budgétaires </w:t>
      </w:r>
      <w:r w:rsidR="001773A8" w:rsidRPr="00F56F87">
        <w:rPr>
          <w:lang w:val="fr-CH"/>
        </w:rPr>
        <w:t>.</w:t>
      </w:r>
    </w:p>
    <w:p w14:paraId="19FA620E" w14:textId="77777777" w:rsidR="00120C44" w:rsidRPr="00F56F87" w:rsidRDefault="00120C44">
      <w:pPr>
        <w:spacing w:after="0" w:line="259" w:lineRule="auto"/>
        <w:ind w:left="0" w:firstLine="0"/>
        <w:jc w:val="left"/>
        <w:rPr>
          <w:lang w:val="fr-CH"/>
        </w:rPr>
      </w:pPr>
    </w:p>
    <w:p w14:paraId="35906909" w14:textId="77777777" w:rsidR="00120C44" w:rsidRPr="00F56F87" w:rsidRDefault="00D72D61">
      <w:pPr>
        <w:pStyle w:val="Heading1"/>
        <w:ind w:left="-5"/>
        <w:rPr>
          <w:lang w:val="fr-CH"/>
        </w:rPr>
      </w:pPr>
      <w:r w:rsidRPr="00F56F87">
        <w:rPr>
          <w:lang w:val="fr-CH"/>
        </w:rPr>
        <w:t>Rapports de rapprochements et fonctions centralisées</w:t>
      </w:r>
    </w:p>
    <w:p w14:paraId="001A4FB9" w14:textId="77777777" w:rsidR="00120C44" w:rsidRPr="00F56F87" w:rsidRDefault="00120C44">
      <w:pPr>
        <w:spacing w:after="21" w:line="259" w:lineRule="auto"/>
        <w:ind w:left="0" w:firstLine="0"/>
        <w:jc w:val="left"/>
        <w:rPr>
          <w:lang w:val="fr-CH"/>
        </w:rPr>
      </w:pPr>
    </w:p>
    <w:p w14:paraId="0C710A55" w14:textId="0B016DD6" w:rsidR="006B5C7C" w:rsidRPr="00F56F87" w:rsidRDefault="00D72D61">
      <w:pPr>
        <w:pStyle w:val="ListParagraph"/>
        <w:numPr>
          <w:ilvl w:val="0"/>
          <w:numId w:val="1"/>
        </w:numPr>
        <w:rPr>
          <w:lang w:val="fr-CH"/>
        </w:rPr>
      </w:pPr>
      <w:r w:rsidRPr="00F56F87">
        <w:rPr>
          <w:lang w:val="fr-CH"/>
        </w:rPr>
        <w:t>Se référer à la politique sur le mobilier et le matériel pour voir la liste des rapports et des rapprochements qui peuvent être utiles.</w:t>
      </w:r>
      <w:r w:rsidR="001B272D" w:rsidRPr="00F56F87">
        <w:rPr>
          <w:lang w:val="fr-CH"/>
        </w:rPr>
        <w:t xml:space="preserve"> </w:t>
      </w:r>
      <w:r w:rsidRPr="00F56F87">
        <w:rPr>
          <w:lang w:val="fr-CH"/>
        </w:rPr>
        <w:t xml:space="preserve">Étant donné que les </w:t>
      </w:r>
      <w:r w:rsidR="001B272D" w:rsidRPr="00F56F87">
        <w:rPr>
          <w:lang w:val="fr-CH"/>
        </w:rPr>
        <w:t>améliorations locatives (</w:t>
      </w:r>
      <w:r w:rsidRPr="00F56F87">
        <w:rPr>
          <w:lang w:val="fr-CH"/>
        </w:rPr>
        <w:t>LHI</w:t>
      </w:r>
      <w:r w:rsidR="001B272D" w:rsidRPr="00F56F87">
        <w:rPr>
          <w:lang w:val="fr-CH"/>
        </w:rPr>
        <w:t>)</w:t>
      </w:r>
      <w:r w:rsidRPr="00F56F87">
        <w:rPr>
          <w:lang w:val="fr-CH"/>
        </w:rPr>
        <w:t xml:space="preserve"> seront presque toujours ajoutées au module des actifs du système </w:t>
      </w:r>
      <w:r w:rsidR="00F56F87">
        <w:rPr>
          <w:lang w:val="fr-CH"/>
        </w:rPr>
        <w:t>Quantum</w:t>
      </w:r>
      <w:r w:rsidRPr="00F56F87">
        <w:rPr>
          <w:lang w:val="fr-CH"/>
        </w:rPr>
        <w:t>, le GSSC jouera un rôle clé dans l</w:t>
      </w:r>
      <w:r w:rsidR="001B272D" w:rsidRPr="00F56F87">
        <w:rPr>
          <w:lang w:val="fr-CH"/>
        </w:rPr>
        <w:t>’</w:t>
      </w:r>
      <w:r w:rsidRPr="00F56F87">
        <w:rPr>
          <w:lang w:val="fr-CH"/>
        </w:rPr>
        <w:t>enregistrement des LHI dans le module des actifs pour le compte des bureaux de pays.</w:t>
      </w:r>
    </w:p>
    <w:p w14:paraId="67A6131A" w14:textId="77777777" w:rsidR="00120C44" w:rsidRPr="00F56F87" w:rsidRDefault="00120C44">
      <w:pPr>
        <w:spacing w:after="0" w:line="259" w:lineRule="auto"/>
        <w:ind w:left="0" w:firstLine="0"/>
        <w:jc w:val="left"/>
        <w:rPr>
          <w:lang w:val="fr-CH"/>
        </w:rPr>
      </w:pPr>
    </w:p>
    <w:p w14:paraId="6937CBD0" w14:textId="2923F216" w:rsidR="00120C44" w:rsidRPr="00F56F87" w:rsidRDefault="09D22D6E">
      <w:pPr>
        <w:spacing w:after="0" w:line="259" w:lineRule="auto"/>
        <w:ind w:left="-5" w:hanging="10"/>
        <w:jc w:val="left"/>
        <w:rPr>
          <w:lang w:val="fr-CH"/>
        </w:rPr>
      </w:pPr>
      <w:r w:rsidRPr="00F56F87">
        <w:rPr>
          <w:b/>
          <w:bCs/>
          <w:lang w:val="fr-CH"/>
        </w:rPr>
        <w:t>Responsabilités et reddition des comptes</w:t>
      </w:r>
    </w:p>
    <w:p w14:paraId="1C92D364" w14:textId="77777777" w:rsidR="00120C44" w:rsidRPr="00F56F87" w:rsidRDefault="00120C44">
      <w:pPr>
        <w:spacing w:after="0" w:line="259" w:lineRule="auto"/>
        <w:ind w:left="0" w:right="673" w:firstLine="0"/>
        <w:jc w:val="right"/>
        <w:rPr>
          <w:lang w:val="fr-CH"/>
        </w:rPr>
      </w:pPr>
    </w:p>
    <w:p w14:paraId="47C45B39" w14:textId="77777777" w:rsidR="00120C44" w:rsidRPr="00F56F87" w:rsidRDefault="00D72D61">
      <w:pPr>
        <w:pStyle w:val="Heading1"/>
        <w:ind w:left="730"/>
        <w:rPr>
          <w:lang w:val="fr-CH"/>
        </w:rPr>
      </w:pPr>
      <w:r w:rsidRPr="00F56F87">
        <w:rPr>
          <w:lang w:val="fr-CH"/>
        </w:rPr>
        <w:t>Unités administratives</w:t>
      </w:r>
    </w:p>
    <w:p w14:paraId="52EC86E0" w14:textId="77777777" w:rsidR="00120C44" w:rsidRPr="00F56F87" w:rsidRDefault="00120C44">
      <w:pPr>
        <w:spacing w:after="20" w:line="259" w:lineRule="auto"/>
        <w:ind w:left="0" w:firstLine="0"/>
        <w:jc w:val="left"/>
        <w:rPr>
          <w:lang w:val="fr-CH"/>
        </w:rPr>
      </w:pPr>
    </w:p>
    <w:p w14:paraId="56FF322A" w14:textId="081D88DC" w:rsidR="00120C44" w:rsidRPr="00F56F87" w:rsidRDefault="00F56F87">
      <w:pPr>
        <w:numPr>
          <w:ilvl w:val="0"/>
          <w:numId w:val="2"/>
        </w:numPr>
        <w:spacing w:after="33"/>
        <w:ind w:hanging="360"/>
        <w:rPr>
          <w:lang w:val="fr-CH"/>
        </w:rPr>
      </w:pPr>
      <w:r w:rsidRPr="00F56F87">
        <w:rPr>
          <w:lang w:val="fr-CH"/>
        </w:rPr>
        <w:t>Identifier ce qui est considéré comme des améliorations locatives ; les bureaux individuels sont tenus d'utiliser le projet et les tâches appropriés pour enregistrer les transactions.</w:t>
      </w:r>
      <w:r w:rsidR="001B272D" w:rsidRPr="00F56F87">
        <w:rPr>
          <w:lang w:val="fr-CH"/>
        </w:rPr>
        <w:t>;</w:t>
      </w:r>
    </w:p>
    <w:p w14:paraId="17345997" w14:textId="77777777" w:rsidR="00120C44" w:rsidRPr="00F56F87" w:rsidRDefault="00D72D61">
      <w:pPr>
        <w:numPr>
          <w:ilvl w:val="0"/>
          <w:numId w:val="2"/>
        </w:numPr>
        <w:ind w:hanging="360"/>
        <w:rPr>
          <w:lang w:val="fr-CH"/>
        </w:rPr>
      </w:pPr>
      <w:r w:rsidRPr="00F56F87">
        <w:rPr>
          <w:lang w:val="fr-CH"/>
        </w:rPr>
        <w:t>Demander au GSSC d</w:t>
      </w:r>
      <w:r w:rsidR="001B272D" w:rsidRPr="00F56F87">
        <w:rPr>
          <w:lang w:val="fr-CH"/>
        </w:rPr>
        <w:t>’</w:t>
      </w:r>
      <w:r w:rsidRPr="00F56F87">
        <w:rPr>
          <w:lang w:val="fr-CH"/>
        </w:rPr>
        <w:t>enregistrer l</w:t>
      </w:r>
      <w:r w:rsidR="001B272D" w:rsidRPr="00F56F87">
        <w:rPr>
          <w:lang w:val="fr-CH"/>
        </w:rPr>
        <w:t>’</w:t>
      </w:r>
      <w:r w:rsidRPr="00F56F87">
        <w:rPr>
          <w:lang w:val="fr-CH"/>
        </w:rPr>
        <w:t xml:space="preserve">amélioration locative par le biais de la demande </w:t>
      </w:r>
      <w:r w:rsidR="00B77149" w:rsidRPr="00F56F87">
        <w:rPr>
          <w:lang w:val="fr-CH"/>
        </w:rPr>
        <w:t xml:space="preserve">du </w:t>
      </w:r>
      <w:r w:rsidR="00312E54" w:rsidRPr="00F56F87">
        <w:rPr>
          <w:lang w:val="fr-CH"/>
        </w:rPr>
        <w:t>système de gestion des documents</w:t>
      </w:r>
      <w:r w:rsidRPr="00F56F87">
        <w:rPr>
          <w:lang w:val="fr-CH"/>
        </w:rPr>
        <w:t>, une fois le projet d</w:t>
      </w:r>
      <w:r w:rsidR="001B272D" w:rsidRPr="00F56F87">
        <w:rPr>
          <w:lang w:val="fr-CH"/>
        </w:rPr>
        <w:t>’</w:t>
      </w:r>
      <w:r w:rsidRPr="00F56F87">
        <w:rPr>
          <w:lang w:val="fr-CH"/>
        </w:rPr>
        <w:t>amélioration terminé</w:t>
      </w:r>
      <w:r w:rsidR="001B272D" w:rsidRPr="00F56F87">
        <w:rPr>
          <w:lang w:val="fr-CH"/>
        </w:rPr>
        <w:t>.</w:t>
      </w:r>
    </w:p>
    <w:p w14:paraId="4E5DB1A6" w14:textId="77777777" w:rsidR="00120C44" w:rsidRPr="00F56F87" w:rsidRDefault="00120C44">
      <w:pPr>
        <w:spacing w:after="0" w:line="259" w:lineRule="auto"/>
        <w:ind w:left="0" w:firstLine="0"/>
        <w:jc w:val="left"/>
        <w:rPr>
          <w:lang w:val="fr-CH"/>
        </w:rPr>
      </w:pPr>
    </w:p>
    <w:p w14:paraId="7B750531" w14:textId="77777777" w:rsidR="00120C44" w:rsidRPr="00F56F87" w:rsidRDefault="00D72D61">
      <w:pPr>
        <w:pStyle w:val="Heading1"/>
        <w:ind w:left="730"/>
        <w:rPr>
          <w:lang w:val="fr-CH"/>
        </w:rPr>
      </w:pPr>
      <w:r w:rsidRPr="00F56F87">
        <w:rPr>
          <w:lang w:val="fr-CH"/>
        </w:rPr>
        <w:t>Centre mondial de services partagés du PNUD</w:t>
      </w:r>
    </w:p>
    <w:p w14:paraId="53552B7A" w14:textId="77777777" w:rsidR="00120C44" w:rsidRPr="00F56F87" w:rsidRDefault="00120C44">
      <w:pPr>
        <w:spacing w:after="20" w:line="259" w:lineRule="auto"/>
        <w:ind w:left="0" w:firstLine="0"/>
        <w:jc w:val="left"/>
        <w:rPr>
          <w:lang w:val="fr-CH"/>
        </w:rPr>
      </w:pPr>
    </w:p>
    <w:p w14:paraId="0571B8C5" w14:textId="3FF0FBEB" w:rsidR="00120C44" w:rsidRPr="00F56F87" w:rsidRDefault="00F56F87">
      <w:pPr>
        <w:numPr>
          <w:ilvl w:val="0"/>
          <w:numId w:val="3"/>
        </w:numPr>
        <w:spacing w:after="32"/>
        <w:ind w:hanging="360"/>
        <w:rPr>
          <w:lang w:val="fr-CH"/>
        </w:rPr>
      </w:pPr>
      <w:r w:rsidRPr="00F56F87">
        <w:rPr>
          <w:lang w:val="fr-CH"/>
        </w:rPr>
        <w:t>GSSC ajoutera/fusionnera les dépenses éligibles du CIP à l'actif et le</w:t>
      </w:r>
      <w:r>
        <w:rPr>
          <w:lang w:val="fr-CH"/>
        </w:rPr>
        <w:t>s</w:t>
      </w:r>
      <w:r w:rsidRPr="00F56F87">
        <w:rPr>
          <w:lang w:val="fr-CH"/>
        </w:rPr>
        <w:t xml:space="preserve"> comptabilisera.</w:t>
      </w:r>
      <w:r w:rsidR="09D22D6E" w:rsidRPr="00F56F87">
        <w:rPr>
          <w:lang w:val="fr-CH"/>
        </w:rPr>
        <w:t>;</w:t>
      </w:r>
    </w:p>
    <w:p w14:paraId="76CA220C" w14:textId="06E76271" w:rsidR="00120C44" w:rsidRPr="00F56F87" w:rsidRDefault="009E540B">
      <w:pPr>
        <w:numPr>
          <w:ilvl w:val="0"/>
          <w:numId w:val="3"/>
        </w:numPr>
        <w:spacing w:after="30"/>
        <w:ind w:hanging="360"/>
        <w:rPr>
          <w:lang w:val="fr-CH"/>
        </w:rPr>
      </w:pPr>
      <w:r w:rsidRPr="009E540B">
        <w:rPr>
          <w:lang w:val="fr-CH"/>
        </w:rPr>
        <w:t>Capitaliser l'actif, une fois que les coûts CIP sont définitifs</w:t>
      </w:r>
      <w:r w:rsidR="001B272D" w:rsidRPr="00F56F87">
        <w:rPr>
          <w:lang w:val="fr-CH"/>
        </w:rPr>
        <w:t>;</w:t>
      </w:r>
    </w:p>
    <w:p w14:paraId="43892750" w14:textId="1E475A7D" w:rsidR="00120C44" w:rsidRPr="00F56F87" w:rsidRDefault="009E540B">
      <w:pPr>
        <w:numPr>
          <w:ilvl w:val="0"/>
          <w:numId w:val="3"/>
        </w:numPr>
        <w:ind w:hanging="360"/>
        <w:rPr>
          <w:lang w:val="fr-CH"/>
        </w:rPr>
      </w:pPr>
      <w:r w:rsidRPr="009E540B">
        <w:rPr>
          <w:lang w:val="fr-CH"/>
        </w:rPr>
        <w:t>Tous les coûts non liés au CIP sont marqués comme des dépenses et déplacés vers le livre non-Cap.</w:t>
      </w:r>
      <w:r w:rsidR="00D72D61" w:rsidRPr="00F56F87">
        <w:rPr>
          <w:lang w:val="fr-CH"/>
        </w:rPr>
        <w:t>.</w:t>
      </w:r>
    </w:p>
    <w:p w14:paraId="7FB5F2C3" w14:textId="77777777" w:rsidR="00120C44" w:rsidRPr="00F56F87" w:rsidRDefault="00120C44">
      <w:pPr>
        <w:spacing w:after="0" w:line="259" w:lineRule="auto"/>
        <w:ind w:left="0" w:firstLine="0"/>
        <w:jc w:val="left"/>
        <w:rPr>
          <w:lang w:val="fr-CH"/>
        </w:rPr>
      </w:pPr>
    </w:p>
    <w:p w14:paraId="022F26B8" w14:textId="77777777" w:rsidR="00120C44" w:rsidRPr="00F56F87" w:rsidRDefault="00D72D61">
      <w:pPr>
        <w:pStyle w:val="Heading1"/>
        <w:ind w:left="730"/>
        <w:rPr>
          <w:lang w:val="fr-CH"/>
        </w:rPr>
      </w:pPr>
      <w:r w:rsidRPr="00F56F87">
        <w:rPr>
          <w:lang w:val="fr-CH"/>
        </w:rPr>
        <w:t>Service des opérations générales, bureau de recherche de fournisseurs et des opérations, bureau des services de gestion</w:t>
      </w:r>
    </w:p>
    <w:p w14:paraId="65ED0854" w14:textId="77777777" w:rsidR="00120C44" w:rsidRPr="00F56F87" w:rsidRDefault="00120C44">
      <w:pPr>
        <w:spacing w:after="21" w:line="259" w:lineRule="auto"/>
        <w:ind w:left="0" w:firstLine="0"/>
        <w:jc w:val="left"/>
        <w:rPr>
          <w:lang w:val="fr-CH"/>
        </w:rPr>
      </w:pPr>
    </w:p>
    <w:p w14:paraId="51657428" w14:textId="77777777" w:rsidR="00120C44" w:rsidRPr="00F56F87" w:rsidRDefault="00D72D61">
      <w:pPr>
        <w:numPr>
          <w:ilvl w:val="0"/>
          <w:numId w:val="4"/>
        </w:numPr>
        <w:spacing w:after="33"/>
        <w:ind w:hanging="360"/>
        <w:rPr>
          <w:lang w:val="fr-CH"/>
        </w:rPr>
      </w:pPr>
      <w:r w:rsidRPr="00F56F87">
        <w:rPr>
          <w:lang w:val="fr-CH"/>
        </w:rPr>
        <w:t>Préparer une note sur les états financiers des LHI</w:t>
      </w:r>
      <w:r w:rsidR="00B77149" w:rsidRPr="00F56F87">
        <w:rPr>
          <w:lang w:val="fr-CH"/>
        </w:rPr>
        <w:t> ;</w:t>
      </w:r>
    </w:p>
    <w:p w14:paraId="3C25F3C1" w14:textId="77777777" w:rsidR="00120C44" w:rsidRPr="00F56F87" w:rsidRDefault="00D72D61">
      <w:pPr>
        <w:numPr>
          <w:ilvl w:val="0"/>
          <w:numId w:val="4"/>
        </w:numPr>
        <w:spacing w:after="32"/>
        <w:ind w:hanging="360"/>
        <w:rPr>
          <w:lang w:val="fr-CH"/>
        </w:rPr>
      </w:pPr>
      <w:r w:rsidRPr="00F56F87">
        <w:rPr>
          <w:lang w:val="fr-CH"/>
        </w:rPr>
        <w:t>Examiner les attestations des inventaires physiques semestriels</w:t>
      </w:r>
      <w:r w:rsidR="00B77149" w:rsidRPr="00F56F87">
        <w:rPr>
          <w:lang w:val="fr-CH"/>
        </w:rPr>
        <w:t> ;</w:t>
      </w:r>
    </w:p>
    <w:p w14:paraId="1705090F" w14:textId="77777777" w:rsidR="00120C44" w:rsidRPr="00F56F87" w:rsidRDefault="00D72D61">
      <w:pPr>
        <w:numPr>
          <w:ilvl w:val="0"/>
          <w:numId w:val="4"/>
        </w:numPr>
        <w:ind w:hanging="360"/>
        <w:rPr>
          <w:lang w:val="fr-CH"/>
        </w:rPr>
      </w:pPr>
      <w:r w:rsidRPr="00F56F87">
        <w:rPr>
          <w:lang w:val="fr-CH"/>
        </w:rPr>
        <w:t>Fournir des conseils stratégiques en matière de LHI</w:t>
      </w:r>
      <w:r w:rsidR="00B77149" w:rsidRPr="00F56F87">
        <w:rPr>
          <w:lang w:val="fr-CH"/>
        </w:rPr>
        <w:t>.</w:t>
      </w:r>
    </w:p>
    <w:p w14:paraId="3739450A" w14:textId="77777777" w:rsidR="00120C44" w:rsidRPr="00F56F87" w:rsidRDefault="00120C44">
      <w:pPr>
        <w:spacing w:after="0" w:line="259" w:lineRule="auto"/>
        <w:ind w:left="0" w:firstLine="0"/>
        <w:jc w:val="left"/>
        <w:rPr>
          <w:lang w:val="fr-CH"/>
        </w:rPr>
      </w:pPr>
    </w:p>
    <w:p w14:paraId="2B1A5A24" w14:textId="77777777" w:rsidR="00120C44" w:rsidRPr="00F56F87" w:rsidRDefault="00120C44">
      <w:pPr>
        <w:spacing w:after="0" w:line="259" w:lineRule="auto"/>
        <w:ind w:left="0" w:firstLine="0"/>
        <w:jc w:val="left"/>
        <w:rPr>
          <w:lang w:val="fr-CH"/>
        </w:rPr>
      </w:pPr>
    </w:p>
    <w:p w14:paraId="1CB331E1" w14:textId="77777777" w:rsidR="005B0E83" w:rsidRPr="00F56F87" w:rsidRDefault="005B0E83" w:rsidP="005B0E83">
      <w:pPr>
        <w:pStyle w:val="NormalWeb"/>
        <w:shd w:val="clear" w:color="auto" w:fill="FFFFFF"/>
        <w:spacing w:before="0" w:beforeAutospacing="0" w:after="0" w:afterAutospacing="0"/>
        <w:jc w:val="center"/>
        <w:rPr>
          <w:rFonts w:ascii="Calibri" w:hAnsi="Calibri"/>
          <w:i/>
          <w:color w:val="000000"/>
          <w:lang w:val="fr-CH"/>
        </w:rPr>
      </w:pPr>
      <w:r w:rsidRPr="00F56F87">
        <w:rPr>
          <w:rFonts w:ascii="Calibri" w:hAnsi="Calibri"/>
          <w:b/>
          <w:bCs/>
          <w:i/>
          <w:color w:val="212121"/>
          <w:sz w:val="22"/>
          <w:szCs w:val="22"/>
          <w:u w:val="single"/>
          <w:lang w:val="fr-CH"/>
        </w:rPr>
        <w:t>Avertissement:</w:t>
      </w:r>
      <w:r w:rsidRPr="00F56F87">
        <w:rPr>
          <w:rFonts w:ascii="Calibri" w:hAnsi="Calibri"/>
          <w:i/>
          <w:color w:val="212121"/>
          <w:sz w:val="22"/>
          <w:szCs w:val="22"/>
          <w:lang w:val="fr-CH"/>
        </w:rPr>
        <w:t> Ce document a été traduit de l'anglais vers le français. En cas de divergence entre cette traduction et le document anglais original, le document anglais original prévaudra.</w:t>
      </w:r>
    </w:p>
    <w:p w14:paraId="218D542A" w14:textId="77777777" w:rsidR="005B0E83" w:rsidRPr="00F56F87" w:rsidRDefault="005B0E83" w:rsidP="005B0E83">
      <w:pPr>
        <w:pStyle w:val="NormalWeb"/>
        <w:shd w:val="clear" w:color="auto" w:fill="FFFFFF"/>
        <w:spacing w:before="0" w:beforeAutospacing="0" w:after="0" w:afterAutospacing="0"/>
        <w:jc w:val="center"/>
        <w:rPr>
          <w:rFonts w:ascii="Calibri" w:hAnsi="Calibri"/>
          <w:i/>
          <w:color w:val="000000"/>
          <w:lang w:val="fr-CH"/>
        </w:rPr>
      </w:pPr>
    </w:p>
    <w:p w14:paraId="2E12A791" w14:textId="77777777" w:rsidR="005B0E83" w:rsidRPr="00D03242" w:rsidRDefault="005B0E83">
      <w:pPr>
        <w:spacing w:after="0" w:line="259" w:lineRule="auto"/>
        <w:ind w:left="0" w:firstLine="0"/>
        <w:jc w:val="left"/>
        <w:rPr>
          <w:lang w:val="fr-FR"/>
        </w:rPr>
      </w:pPr>
    </w:p>
    <w:sectPr w:rsidR="005B0E83" w:rsidRPr="00D03242" w:rsidSect="005D5D2D">
      <w:headerReference w:type="even" r:id="rId12"/>
      <w:headerReference w:type="default" r:id="rId13"/>
      <w:footerReference w:type="even" r:id="rId14"/>
      <w:footerReference w:type="default" r:id="rId15"/>
      <w:headerReference w:type="first" r:id="rId16"/>
      <w:footerReference w:type="first" r:id="rId17"/>
      <w:pgSz w:w="12240" w:h="15840"/>
      <w:pgMar w:top="1483" w:right="1435" w:bottom="72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E57E8" w14:textId="77777777" w:rsidR="00197734" w:rsidRDefault="00197734" w:rsidP="00C10DF5">
      <w:pPr>
        <w:spacing w:after="0" w:line="240" w:lineRule="auto"/>
      </w:pPr>
      <w:r>
        <w:separator/>
      </w:r>
    </w:p>
  </w:endnote>
  <w:endnote w:type="continuationSeparator" w:id="0">
    <w:p w14:paraId="022262D4" w14:textId="77777777" w:rsidR="00197734" w:rsidRDefault="00197734" w:rsidP="00C10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20E89" w14:textId="77777777" w:rsidR="00D03242" w:rsidRDefault="00D032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78092" w14:textId="2CF12BAB" w:rsidR="001773A8" w:rsidRPr="000D1DE5" w:rsidRDefault="001773A8">
    <w:pPr>
      <w:pStyle w:val="Footer"/>
      <w:rPr>
        <w:lang w:val="fr-FR"/>
      </w:rPr>
    </w:pPr>
    <w:r w:rsidRPr="000D1DE5">
      <w:rPr>
        <w:lang w:val="fr-FR"/>
      </w:rPr>
      <w:t xml:space="preserve">Page </w:t>
    </w:r>
    <w:r w:rsidR="006B5C7C">
      <w:rPr>
        <w:b/>
      </w:rPr>
      <w:fldChar w:fldCharType="begin"/>
    </w:r>
    <w:r w:rsidRPr="000D1DE5">
      <w:rPr>
        <w:b/>
        <w:lang w:val="fr-FR"/>
      </w:rPr>
      <w:instrText xml:space="preserve"> PAGE  \* Arabic  \* MERGEFORMAT </w:instrText>
    </w:r>
    <w:r w:rsidR="006B5C7C">
      <w:rPr>
        <w:b/>
      </w:rPr>
      <w:fldChar w:fldCharType="separate"/>
    </w:r>
    <w:r w:rsidR="005B0E83" w:rsidRPr="000D1DE5">
      <w:rPr>
        <w:b/>
        <w:noProof/>
        <w:lang w:val="fr-FR"/>
      </w:rPr>
      <w:t>3</w:t>
    </w:r>
    <w:r w:rsidR="006B5C7C">
      <w:rPr>
        <w:b/>
      </w:rPr>
      <w:fldChar w:fldCharType="end"/>
    </w:r>
    <w:r w:rsidRPr="000D1DE5">
      <w:rPr>
        <w:lang w:val="fr-FR"/>
      </w:rPr>
      <w:t xml:space="preserve"> de </w:t>
    </w:r>
    <w:r w:rsidR="003D38D4">
      <w:fldChar w:fldCharType="begin"/>
    </w:r>
    <w:r w:rsidR="003D38D4" w:rsidRPr="000D1DE5">
      <w:rPr>
        <w:lang w:val="fr-FR"/>
      </w:rPr>
      <w:instrText xml:space="preserve"> NUMPAGES  \* Arabic  \* MERGEFORMAT </w:instrText>
    </w:r>
    <w:r w:rsidR="003D38D4">
      <w:fldChar w:fldCharType="separate"/>
    </w:r>
    <w:r w:rsidR="005B0E83" w:rsidRPr="000D1DE5">
      <w:rPr>
        <w:b/>
        <w:noProof/>
        <w:lang w:val="fr-FR"/>
      </w:rPr>
      <w:t>3</w:t>
    </w:r>
    <w:r w:rsidR="003D38D4">
      <w:rPr>
        <w:b/>
        <w:noProof/>
      </w:rPr>
      <w:fldChar w:fldCharType="end"/>
    </w:r>
    <w:r>
      <w:ptab w:relativeTo="margin" w:alignment="center" w:leader="none"/>
    </w:r>
    <w:r w:rsidRPr="000D1DE5">
      <w:rPr>
        <w:lang w:val="fr-FR"/>
      </w:rPr>
      <w:t>Date d</w:t>
    </w:r>
    <w:r w:rsidR="001B272D" w:rsidRPr="000D1DE5">
      <w:rPr>
        <w:lang w:val="fr-FR"/>
      </w:rPr>
      <w:t>’</w:t>
    </w:r>
    <w:r w:rsidRPr="000D1DE5">
      <w:rPr>
        <w:lang w:val="fr-FR"/>
      </w:rPr>
      <w:t xml:space="preserve">entrée en vigueur </w:t>
    </w:r>
    <w:sdt>
      <w:sdtPr>
        <w:rPr>
          <w:lang w:val="fr-FR"/>
        </w:rPr>
        <w:alias w:val="Date d’entrée en vigueur"/>
        <w:tag w:val="UNDP_POPP_EFFECTIVEDATE"/>
        <w:id w:val="563602331"/>
        <w:placeholder>
          <w:docPart w:val="4DE1A1570A7543F0BBAEED5760D3B0A1"/>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4CDC6E97-3B72-4DE0-8C7A-21C4E6F0EC29}"/>
        <w:date w:fullDate="2016-07-26T00:00:00Z">
          <w:dateFormat w:val="dd/MM/yyyy"/>
          <w:lid w:val="fr-FR"/>
          <w:storeMappedDataAs w:val="dateTime"/>
          <w:calendar w:val="gregorian"/>
        </w:date>
      </w:sdtPr>
      <w:sdtContent>
        <w:r w:rsidR="006327D0" w:rsidRPr="006327D0">
          <w:rPr>
            <w:lang w:val="fr-FR"/>
          </w:rPr>
          <w:t>26/07/2016</w:t>
        </w:r>
      </w:sdtContent>
    </w:sdt>
    <w:r>
      <w:ptab w:relativeTo="margin" w:alignment="right" w:leader="none"/>
    </w:r>
    <w:r w:rsidRPr="000D1DE5">
      <w:rPr>
        <w:lang w:val="fr-FR"/>
      </w:rPr>
      <w:t>Version n</w:t>
    </w:r>
    <w:r w:rsidR="003A0AA6" w:rsidRPr="000D1DE5">
      <w:rPr>
        <w:vertAlign w:val="superscript"/>
        <w:lang w:val="fr-FR"/>
      </w:rPr>
      <w:t>o</w:t>
    </w:r>
    <w:r w:rsidR="001B272D" w:rsidRPr="000D1DE5">
      <w:rPr>
        <w:lang w:val="fr-FR"/>
      </w:rPr>
      <w:t> :</w:t>
    </w:r>
    <w:r w:rsidRPr="000D1DE5">
      <w:rPr>
        <w:lang w:val="fr-FR"/>
      </w:rPr>
      <w:t xml:space="preserve"> </w:t>
    </w:r>
    <w:sdt>
      <w:sdtPr>
        <w:rPr>
          <w:lang w:val="fr-FR"/>
        </w:rPr>
        <w:alias w:val="POPPRefItemVersion"/>
        <w:tag w:val="UNDP_POPP_REFITEM_VERSION"/>
        <w:id w:val="1071767051"/>
        <w:placeholder>
          <w:docPart w:val="E72C464091034B0AB5E04D9E4F61D768"/>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4CDC6E97-3B72-4DE0-8C7A-21C4E6F0EC29}"/>
        <w:text/>
      </w:sdtPr>
      <w:sdtEndPr/>
      <w:sdtContent>
        <w:r w:rsidR="00F56F87">
          <w:rPr>
            <w:lang w:val="fr-FR"/>
          </w:rPr>
          <w:t>5</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3EBF3" w14:textId="77777777" w:rsidR="00D03242" w:rsidRDefault="00D032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3599A" w14:textId="77777777" w:rsidR="00197734" w:rsidRDefault="00197734" w:rsidP="00C10DF5">
      <w:pPr>
        <w:spacing w:after="0" w:line="240" w:lineRule="auto"/>
      </w:pPr>
      <w:r>
        <w:separator/>
      </w:r>
    </w:p>
  </w:footnote>
  <w:footnote w:type="continuationSeparator" w:id="0">
    <w:p w14:paraId="7B643DAF" w14:textId="77777777" w:rsidR="00197734" w:rsidRDefault="00197734" w:rsidP="00C10D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E9B0D" w14:textId="77777777" w:rsidR="00D03242" w:rsidRDefault="00D032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E4909" w14:textId="01959BA5" w:rsidR="001773A8" w:rsidRDefault="001773A8" w:rsidP="00C10DF5">
    <w:pPr>
      <w:pStyle w:val="Header"/>
      <w:jc w:val="right"/>
    </w:pPr>
    <w:r>
      <w:rPr>
        <w:noProof/>
        <w:lang w:val="en-US" w:eastAsia="en-US"/>
      </w:rPr>
      <w:drawing>
        <wp:inline distT="0" distB="0" distL="0" distR="0" wp14:anchorId="6C62F4C3" wp14:editId="2B193867">
          <wp:extent cx="304800" cy="585963"/>
          <wp:effectExtent l="0" t="0" r="0" b="508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6642"/>
                  <a:stretch/>
                </pic:blipFill>
                <pic:spPr bwMode="auto">
                  <a:xfrm>
                    <a:off x="0" y="0"/>
                    <a:ext cx="309373" cy="594754"/>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9DB2F" w14:textId="77777777" w:rsidR="00D03242" w:rsidRDefault="00D032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F058E"/>
    <w:multiLevelType w:val="hybridMultilevel"/>
    <w:tmpl w:val="9EC433F8"/>
    <w:lvl w:ilvl="0" w:tplc="0B2259C2">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AEC868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64306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FF0C54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A9ADCE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320C20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FA85C0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B70FF5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17E1C6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B137726"/>
    <w:multiLevelType w:val="hybridMultilevel"/>
    <w:tmpl w:val="79F2AE7A"/>
    <w:lvl w:ilvl="0" w:tplc="EC261E98">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61A4D66">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FFECD78">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33CD09E">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F04708C">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096785E">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E12B480">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A5AB9EE">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7C4B594">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0701BED"/>
    <w:multiLevelType w:val="hybridMultilevel"/>
    <w:tmpl w:val="1C0EA298"/>
    <w:lvl w:ilvl="0" w:tplc="4114F3FE">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1B2E674">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4808D3E">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348DAE0">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25E1C56">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012354C">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DB27E62">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5E058DE">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70855AC">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6357772"/>
    <w:multiLevelType w:val="hybridMultilevel"/>
    <w:tmpl w:val="693C7CEE"/>
    <w:lvl w:ilvl="0" w:tplc="5CCA4B0C">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D9A1F50">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A009870">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8F8C600">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3CCA7FC">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51C166C">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E2C2A0">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ED8A9F4">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7AC96F4">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719284487">
    <w:abstractNumId w:val="0"/>
  </w:num>
  <w:num w:numId="2" w16cid:durableId="1056246502">
    <w:abstractNumId w:val="3"/>
  </w:num>
  <w:num w:numId="3" w16cid:durableId="356853153">
    <w:abstractNumId w:val="1"/>
  </w:num>
  <w:num w:numId="4" w16cid:durableId="21025564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C44"/>
    <w:rsid w:val="000D1DE5"/>
    <w:rsid w:val="00120C44"/>
    <w:rsid w:val="001773A8"/>
    <w:rsid w:val="00197734"/>
    <w:rsid w:val="001B272D"/>
    <w:rsid w:val="00312E54"/>
    <w:rsid w:val="003A0AA6"/>
    <w:rsid w:val="003D38D4"/>
    <w:rsid w:val="005B0E83"/>
    <w:rsid w:val="005B4294"/>
    <w:rsid w:val="005D5D2D"/>
    <w:rsid w:val="006327D0"/>
    <w:rsid w:val="006B5C7C"/>
    <w:rsid w:val="00773BFF"/>
    <w:rsid w:val="009E540B"/>
    <w:rsid w:val="00A4043B"/>
    <w:rsid w:val="00AA1533"/>
    <w:rsid w:val="00AA6EFE"/>
    <w:rsid w:val="00B265AA"/>
    <w:rsid w:val="00B77149"/>
    <w:rsid w:val="00B862E5"/>
    <w:rsid w:val="00C10DF5"/>
    <w:rsid w:val="00CA1B74"/>
    <w:rsid w:val="00D03242"/>
    <w:rsid w:val="00D40D9F"/>
    <w:rsid w:val="00D72D61"/>
    <w:rsid w:val="00E86D56"/>
    <w:rsid w:val="00F56F87"/>
    <w:rsid w:val="09D22D6E"/>
    <w:rsid w:val="79F3A2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15D54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730" w:hanging="37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line="259" w:lineRule="auto"/>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paragraph" w:styleId="Header">
    <w:name w:val="header"/>
    <w:basedOn w:val="Normal"/>
    <w:link w:val="HeaderChar"/>
    <w:uiPriority w:val="99"/>
    <w:unhideWhenUsed/>
    <w:rsid w:val="00C10D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0DF5"/>
    <w:rPr>
      <w:rFonts w:ascii="Calibri" w:eastAsia="Calibri" w:hAnsi="Calibri" w:cs="Calibri"/>
      <w:color w:val="000000"/>
    </w:rPr>
  </w:style>
  <w:style w:type="paragraph" w:styleId="Footer">
    <w:name w:val="footer"/>
    <w:basedOn w:val="Normal"/>
    <w:link w:val="FooterChar"/>
    <w:uiPriority w:val="99"/>
    <w:unhideWhenUsed/>
    <w:rsid w:val="00C10D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0DF5"/>
    <w:rPr>
      <w:rFonts w:ascii="Calibri" w:eastAsia="Calibri" w:hAnsi="Calibri" w:cs="Calibri"/>
      <w:color w:val="000000"/>
    </w:rPr>
  </w:style>
  <w:style w:type="paragraph" w:styleId="BalloonText">
    <w:name w:val="Balloon Text"/>
    <w:basedOn w:val="Normal"/>
    <w:link w:val="BalloonTextChar"/>
    <w:uiPriority w:val="99"/>
    <w:semiHidden/>
    <w:unhideWhenUsed/>
    <w:rsid w:val="00C10D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0DF5"/>
    <w:rPr>
      <w:rFonts w:ascii="Tahoma" w:eastAsia="Calibri" w:hAnsi="Tahoma" w:cs="Tahoma"/>
      <w:color w:val="000000"/>
      <w:sz w:val="16"/>
      <w:szCs w:val="16"/>
    </w:rPr>
  </w:style>
  <w:style w:type="character" w:styleId="PlaceholderText">
    <w:name w:val="Placeholder Text"/>
    <w:basedOn w:val="DefaultParagraphFont"/>
    <w:uiPriority w:val="99"/>
    <w:semiHidden/>
    <w:rsid w:val="00C10DF5"/>
    <w:rPr>
      <w:color w:val="808080"/>
    </w:rPr>
  </w:style>
  <w:style w:type="paragraph" w:styleId="ListParagraph">
    <w:name w:val="List Paragraph"/>
    <w:basedOn w:val="Normal"/>
    <w:uiPriority w:val="34"/>
    <w:qFormat/>
    <w:rsid w:val="001773A8"/>
    <w:pPr>
      <w:ind w:left="720"/>
      <w:contextualSpacing/>
    </w:pPr>
  </w:style>
  <w:style w:type="paragraph" w:styleId="NormalWeb">
    <w:name w:val="Normal (Web)"/>
    <w:basedOn w:val="Normal"/>
    <w:uiPriority w:val="99"/>
    <w:semiHidden/>
    <w:unhideWhenUsed/>
    <w:rsid w:val="005B0E83"/>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E1A1570A7543F0BBAEED5760D3B0A1"/>
        <w:category>
          <w:name w:val="General"/>
          <w:gallery w:val="placeholder"/>
        </w:category>
        <w:types>
          <w:type w:val="bbPlcHdr"/>
        </w:types>
        <w:behaviors>
          <w:behavior w:val="content"/>
        </w:behaviors>
        <w:guid w:val="{74A792DF-4C80-4325-BC2A-CAD1086A1CB3}"/>
      </w:docPartPr>
      <w:docPartBody>
        <w:p w:rsidR="00C12689" w:rsidRDefault="00850789">
          <w:r w:rsidRPr="005A59E2">
            <w:rPr>
              <w:rStyle w:val="PlaceholderText"/>
            </w:rPr>
            <w:t>[Effective Date]</w:t>
          </w:r>
        </w:p>
      </w:docPartBody>
    </w:docPart>
    <w:docPart>
      <w:docPartPr>
        <w:name w:val="E72C464091034B0AB5E04D9E4F61D768"/>
        <w:category>
          <w:name w:val="General"/>
          <w:gallery w:val="placeholder"/>
        </w:category>
        <w:types>
          <w:type w:val="bbPlcHdr"/>
        </w:types>
        <w:behaviors>
          <w:behavior w:val="content"/>
        </w:behaviors>
        <w:guid w:val="{234B1F28-6C09-4F93-B694-0D75EE6046B3}"/>
      </w:docPartPr>
      <w:docPartBody>
        <w:p w:rsidR="00C12689" w:rsidRDefault="00850789">
          <w:r w:rsidRPr="005A59E2">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50789"/>
    <w:rsid w:val="00354175"/>
    <w:rsid w:val="00504250"/>
    <w:rsid w:val="007154E8"/>
    <w:rsid w:val="00850789"/>
    <w:rsid w:val="008F4FEB"/>
    <w:rsid w:val="00BB5072"/>
    <w:rsid w:val="00C126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6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078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_dlc_DocId xmlns="8264c5cc-ec60-4b56-8111-ce635d3d139a">UNITBMS-173-517</_dlc_DocId>
    <Location xmlns="e560140e-7b2f-4392-90df-e7567e3021a3">Public</Location>
    <UNDP_POPP_DOCUMENT_TYPE xmlns="8264c5cc-ec60-4b56-8111-ce635d3d139a">Policy</UNDP_POPP_DOCUMENT_TYPE>
    <UNDP_POPP_DOCUMENT_TEMPLATE xmlns="8264c5cc-ec60-4b56-8111-ce635d3d139a" xsi:nil="true"/>
    <TaxCatchAll xmlns="8264c5cc-ec60-4b56-8111-ce635d3d139a">
      <Value>353</Value>
    </TaxCatchAll>
    <UNDP_POPP_VERSION_COMMENTS xmlns="8264c5cc-ec60-4b56-8111-ce635d3d139a"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Administrative Services</TermName>
          <TermId xmlns="http://schemas.microsoft.com/office/infopath/2007/PartnerControls">a78f4201-2936-4934-95ba-30c4111d72d7</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2016-07-25T22:00:00+00:00</UNDP_POPP_EFFECTIVEDATE>
    <UNDP_POPP_FILEVERSION xmlns="8264c5cc-ec60-4b56-8111-ce635d3d139a">512</UNDP_POPP_FILEVERSION>
    <UNDP_POPP_REFITEM_VERSION xmlns="8264c5cc-ec60-4b56-8111-ce635d3d139a">5</UNDP_POPP_REFITEM_VERSION>
    <UNDP_POPP_TITLE_EN xmlns="8264c5cc-ec60-4b56-8111-ce635d3d139a">Amélioration locatives :Amortissement, rapprochements, rapports et fonctions centralisées</UNDP_POPP_TITLE_EN>
    <UNDP_POPP_ISACTIVE xmlns="8264c5cc-ec60-4b56-8111-ce635d3d139a">false</UNDP_POPP_ISACTIVE>
    <_dlc_DocIdUrl xmlns="8264c5cc-ec60-4b56-8111-ce635d3d139a">
      <Url>https://intranet.undp.org/unit/bms/dir/internal/init_popp/_layouts/15/DocIdRedir.aspx?ID=UNITBMS-173-517</Url>
      <Description>UNITBMS-173-517</Description>
    </_dlc_DocIdUrl>
    <DLCPolicyLabelLock xmlns="e560140e-7b2f-4392-90df-e7567e3021a3" xsi:nil="true"/>
    <DLCPolicyLabelClientValue xmlns="e560140e-7b2f-4392-90df-e7567e3021a3">Effective Date: 26/07/2016                                                Version #: 5.0</DLCPolicyLabelClientValue>
    <UNDP_POPP_BUSINESSUNITID_HIDDEN xmlns="8264c5cc-ec60-4b56-8111-ce635d3d139a" xsi:nil="true"/>
    <DLCPolicyLabelValue xmlns="e560140e-7b2f-4392-90df-e7567e3021a3">Effective Date: 26/07/2016                                                Version #: 5</DLCPolicyLabelVal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DC6E97-3B72-4DE0-8C7A-21C4E6F0EC29}">
  <ds:schemaRefs>
    <ds:schemaRef ds:uri="http://purl.org/dc/terms/"/>
    <ds:schemaRef ds:uri="http://schemas.microsoft.com/office/2006/metadata/properties"/>
    <ds:schemaRef ds:uri="e560140e-7b2f-4392-90df-e7567e3021a3"/>
    <ds:schemaRef ds:uri="http://purl.org/dc/dcmitype/"/>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8264c5cc-ec60-4b56-8111-ce635d3d139a"/>
    <ds:schemaRef ds:uri="http://schemas.microsoft.com/sharepoint/v3"/>
  </ds:schemaRefs>
</ds:datastoreItem>
</file>

<file path=customXml/itemProps2.xml><?xml version="1.0" encoding="utf-8"?>
<ds:datastoreItem xmlns:ds="http://schemas.openxmlformats.org/officeDocument/2006/customXml" ds:itemID="{46D2A200-6544-41E4-B382-E5B09D4C6254}">
  <ds:schemaRefs>
    <ds:schemaRef ds:uri="http://schemas.microsoft.com/sharepoint/v3/contenttype/forms"/>
  </ds:schemaRefs>
</ds:datastoreItem>
</file>

<file path=customXml/itemProps3.xml><?xml version="1.0" encoding="utf-8"?>
<ds:datastoreItem xmlns:ds="http://schemas.openxmlformats.org/officeDocument/2006/customXml" ds:itemID="{6EB12B85-17EB-429D-A52B-B471EA5F941A}">
  <ds:schemaRefs>
    <ds:schemaRef ds:uri="office.server.policy"/>
  </ds:schemaRefs>
</ds:datastoreItem>
</file>

<file path=customXml/itemProps4.xml><?xml version="1.0" encoding="utf-8"?>
<ds:datastoreItem xmlns:ds="http://schemas.openxmlformats.org/officeDocument/2006/customXml" ds:itemID="{BB68A998-54F5-44E0-8D14-7E744AD69D50}">
  <ds:schemaRefs>
    <ds:schemaRef ds:uri="http://schemas.microsoft.com/sharepoint/events"/>
  </ds:schemaRefs>
</ds:datastoreItem>
</file>

<file path=customXml/itemProps5.xml><?xml version="1.0" encoding="utf-8"?>
<ds:datastoreItem xmlns:ds="http://schemas.openxmlformats.org/officeDocument/2006/customXml" ds:itemID="{A188276F-97CA-49AB-BA14-B04E9A8DA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836</Words>
  <Characters>4767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Rieglerova</dc:creator>
  <cp:lastModifiedBy>Pablo Morete</cp:lastModifiedBy>
  <cp:revision>3</cp:revision>
  <dcterms:created xsi:type="dcterms:W3CDTF">2023-05-01T09:42:00Z</dcterms:created>
  <dcterms:modified xsi:type="dcterms:W3CDTF">2023-05-01T09:43:00Z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315362e3-264f-42d4-82eb-e42d8920f5b1</vt:lpwstr>
  </property>
  <property fmtid="{D5CDD505-2E9C-101B-9397-08002B2CF9AE}" pid="4" name="UNDP_POPP_BUSINESSUNIT">
    <vt:lpwstr>353;#Administrative Services|a78f4201-2936-4934-95ba-30c4111d72d7</vt:lpwstr>
  </property>
  <property fmtid="{D5CDD505-2E9C-101B-9397-08002B2CF9AE}" pid="5" name="POPPBusinessProcess">
    <vt:lpwstr/>
  </property>
  <property fmtid="{D5CDD505-2E9C-101B-9397-08002B2CF9AE}" pid="6" name="UNDPCountry">
    <vt:lpwstr/>
  </property>
  <property fmtid="{D5CDD505-2E9C-101B-9397-08002B2CF9AE}" pid="7" name="UndpDocTypeMM">
    <vt:lpwstr/>
  </property>
  <property fmtid="{D5CDD505-2E9C-101B-9397-08002B2CF9AE}" pid="8" name="UNDPDocumentCategory">
    <vt:lpwstr/>
  </property>
  <property fmtid="{D5CDD505-2E9C-101B-9397-08002B2CF9AE}" pid="9" name="UNDPFocusAreas">
    <vt:lpwstr/>
  </property>
  <property fmtid="{D5CDD505-2E9C-101B-9397-08002B2CF9AE}" pid="10" name="UN Languages">
    <vt:lpwstr/>
  </property>
  <property fmtid="{D5CDD505-2E9C-101B-9397-08002B2CF9AE}" pid="11" name="eRegFilingCodeMM">
    <vt:lpwstr/>
  </property>
  <property fmtid="{D5CDD505-2E9C-101B-9397-08002B2CF9AE}" pid="12" name="UndpUnitMM">
    <vt:lpwstr/>
  </property>
  <property fmtid="{D5CDD505-2E9C-101B-9397-08002B2CF9AE}" pid="13" name="UNDP_POPP_BUSINESSPROCESS_HIDDEN">
    <vt:lpwstr/>
  </property>
  <property fmtid="{D5CDD505-2E9C-101B-9397-08002B2CF9AE}" pid="14" name="l0e6ef0c43e74560bd7f3acd1f5e8571">
    <vt:lpwstr>Administrative Services|a78f4201-2936-4934-95ba-30c4111d72d7</vt:lpwstr>
  </property>
  <property fmtid="{D5CDD505-2E9C-101B-9397-08002B2CF9AE}" pid="15" name="Location">
    <vt:lpwstr>Public</vt:lpwstr>
  </property>
  <property fmtid="{D5CDD505-2E9C-101B-9397-08002B2CF9AE}" pid="16" name="UNDP_POPP_DOCUMENT_TYPE">
    <vt:lpwstr>Policy</vt:lpwstr>
  </property>
  <property fmtid="{D5CDD505-2E9C-101B-9397-08002B2CF9AE}" pid="17" name="UNDP_POPP_VERSION_COMMENTS">
    <vt:lpwstr/>
  </property>
  <property fmtid="{D5CDD505-2E9C-101B-9397-08002B2CF9AE}" pid="18" name="UNDP_POPP_DOCUMENT_LANGUAGE">
    <vt:lpwstr>French</vt:lpwstr>
  </property>
  <property fmtid="{D5CDD505-2E9C-101B-9397-08002B2CF9AE}" pid="19" name="UNDP_POPP_FILEVERSION">
    <vt:r8>512</vt:r8>
  </property>
  <property fmtid="{D5CDD505-2E9C-101B-9397-08002B2CF9AE}" pid="20" name="UNDP_POPP_REFITEM_VERSION">
    <vt:r8>2</vt:r8>
  </property>
  <property fmtid="{D5CDD505-2E9C-101B-9397-08002B2CF9AE}" pid="21" name="UndpDocStatus">
    <vt:lpwstr>Draft</vt:lpwstr>
  </property>
  <property fmtid="{D5CDD505-2E9C-101B-9397-08002B2CF9AE}" pid="22" name="UndpClassificationLevel">
    <vt:lpwstr>Internal Use Only</vt:lpwstr>
  </property>
  <property fmtid="{D5CDD505-2E9C-101B-9397-08002B2CF9AE}" pid="23" name="UndpIsTemplate">
    <vt:lpwstr>No</vt:lpwstr>
  </property>
</Properties>
</file>