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1B58" w14:textId="77777777" w:rsidR="002E592A" w:rsidRPr="002E592A" w:rsidRDefault="002E592A" w:rsidP="002E592A">
      <w:pPr>
        <w:spacing w:after="0" w:line="240" w:lineRule="auto"/>
        <w:rPr>
          <w:rFonts w:ascii="Calibri" w:eastAsia="Calibri" w:hAnsi="Calibri" w:cs="Calibri"/>
          <w:b/>
          <w:bCs/>
          <w:spacing w:val="-6"/>
          <w:kern w:val="0"/>
          <w:lang w:val="fr-FR"/>
          <w14:ligatures w14:val="none"/>
        </w:rPr>
      </w:pPr>
      <w:r w:rsidRPr="002E592A">
        <w:rPr>
          <w:rFonts w:ascii="Calibri" w:eastAsia="Calibri" w:hAnsi="Calibri" w:cs="Calibri"/>
          <w:b/>
          <w:bCs/>
          <w:spacing w:val="-6"/>
          <w:kern w:val="0"/>
          <w:lang w:val="fr-FR"/>
          <w14:ligatures w14:val="none"/>
        </w:rPr>
        <w:t>A1.1. Facilité d’engagement</w:t>
      </w:r>
    </w:p>
    <w:p w14:paraId="7E48DEE0" w14:textId="77777777" w:rsidR="002E592A" w:rsidRPr="002E592A" w:rsidRDefault="002E592A" w:rsidP="002E592A">
      <w:pPr>
        <w:spacing w:after="0" w:line="240" w:lineRule="auto"/>
        <w:rPr>
          <w:rFonts w:ascii="Calibri" w:eastAsia="Calibri" w:hAnsi="Calibri" w:cs="Calibri"/>
          <w:b/>
          <w:bCs/>
          <w:spacing w:val="-6"/>
          <w:kern w:val="0"/>
          <w:sz w:val="22"/>
          <w:szCs w:val="22"/>
          <w:lang w:val="fr-FR"/>
          <w14:ligatures w14:val="none"/>
        </w:rPr>
      </w:pPr>
      <w:r w:rsidRPr="002E592A">
        <w:rPr>
          <w:rFonts w:ascii="Calibri" w:eastAsia="Calibri" w:hAnsi="Calibri" w:cs="Calibri"/>
          <w:b/>
          <w:bCs/>
          <w:spacing w:val="-6"/>
          <w:kern w:val="0"/>
          <w:sz w:val="22"/>
          <w:szCs w:val="22"/>
          <w:lang w:val="fr-FR"/>
          <w14:ligatures w14:val="none"/>
        </w:rPr>
        <w:tab/>
      </w:r>
    </w:p>
    <w:p w14:paraId="4C9B2465" w14:textId="77777777" w:rsidR="002E592A" w:rsidRPr="002E592A" w:rsidRDefault="002E592A" w:rsidP="002E592A">
      <w:pPr>
        <w:spacing w:after="120" w:line="240" w:lineRule="auto"/>
        <w:jc w:val="both"/>
        <w:rPr>
          <w:rFonts w:ascii="Calibri" w:eastAsia="Calibri" w:hAnsi="Calibri" w:cs="Calibri"/>
          <w:b/>
          <w:bCs/>
          <w:spacing w:val="-6"/>
          <w:kern w:val="0"/>
          <w:sz w:val="22"/>
          <w:szCs w:val="22"/>
          <w:u w:val="single"/>
          <w:lang w:val="fr-FR"/>
          <w14:ligatures w14:val="none"/>
        </w:rPr>
      </w:pPr>
      <w:r w:rsidRPr="002E592A">
        <w:rPr>
          <w:rFonts w:ascii="Calibri" w:eastAsia="Calibri" w:hAnsi="Calibri" w:cs="Calibri"/>
          <w:b/>
          <w:bCs/>
          <w:spacing w:val="-6"/>
          <w:kern w:val="0"/>
          <w:sz w:val="22"/>
          <w:szCs w:val="22"/>
          <w:lang w:val="fr-FR"/>
          <w14:ligatures w14:val="none"/>
        </w:rPr>
        <w:t xml:space="preserve">2.0 Politique </w:t>
      </w:r>
    </w:p>
    <w:p w14:paraId="76D01B9E" w14:textId="77777777" w:rsidR="002E592A" w:rsidRPr="002E592A" w:rsidRDefault="002E592A" w:rsidP="002E592A">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2E592A">
        <w:rPr>
          <w:rFonts w:ascii="Calibri" w:eastAsia="Calibri" w:hAnsi="Calibri" w:cs="Calibri"/>
          <w:spacing w:val="-6"/>
          <w:kern w:val="0"/>
          <w:sz w:val="22"/>
          <w:szCs w:val="22"/>
          <w:lang w:val="fr-FR"/>
          <w14:ligatures w14:val="none"/>
        </w:rPr>
        <w:t>La facilité d’engagement fournit un mécanisme de réponse rapide et flexible pour appuyer les résultats des politiques en amont, l’évaluation et les bilans, les réponses aux crises et l’expérimentation des innovations présentant un potentiel de passage à l’échelle. Elle doit soutenir les résultats identifiés dans le plan stratégique du PNUD ainsi que dans les documents pertinents de programme pays ou de programme régional.</w:t>
      </w:r>
    </w:p>
    <w:p w14:paraId="28C06FF1" w14:textId="77777777" w:rsidR="002E592A" w:rsidRPr="002E592A" w:rsidRDefault="002E592A" w:rsidP="002E592A">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2E592A">
        <w:rPr>
          <w:rFonts w:ascii="Calibri" w:eastAsia="Calibri" w:hAnsi="Calibri" w:cs="Calibri"/>
          <w:spacing w:val="-6"/>
          <w:kern w:val="0"/>
          <w:sz w:val="22"/>
          <w:szCs w:val="22"/>
          <w:lang w:val="fr-FR"/>
          <w14:ligatures w14:val="none"/>
        </w:rPr>
        <w:t>Tout bureau pays, centre ou bureau régional peut mettre en place une ou plusieurs facilités d’engagement conformément à la présente politique. Les ressources peuvent être engagées par la ou le gestionnaire du programme/représentant∙e résident∙e, en signant le plan de travail pluriannuel mis à jour et maintenu aux fins de la facilité d’engagement. La facilité utilise toujours la mise en œuvre directe. Les termes de référence et les notes conceptuelles, le cas échéant, sont nécessaires pour justifier et détailler les résultats escomptés.</w:t>
      </w:r>
    </w:p>
    <w:p w14:paraId="7993279F" w14:textId="77777777" w:rsidR="002E592A" w:rsidRPr="002E592A" w:rsidRDefault="002E592A" w:rsidP="002E592A">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2E592A">
        <w:rPr>
          <w:rFonts w:ascii="Calibri" w:eastAsia="Calibri" w:hAnsi="Calibri" w:cs="Calibri"/>
          <w:spacing w:val="-6"/>
          <w:kern w:val="0"/>
          <w:sz w:val="22"/>
          <w:szCs w:val="22"/>
          <w:lang w:val="fr-FR"/>
          <w14:ligatures w14:val="none"/>
        </w:rPr>
        <w:t>Il n’existe pas de niveau maximal de financement prescrit en ce qui concerne la facilité d’engagement. Le financement peut provenir d’une limite annuelle de dépenses  (ASL, annual spending limit, pour ses sigles en anglais) pour la facilité (anciennement ASL du DSS), et de diverses ressources régulières/TRAC et  ressources non-régulières, comme le compte de partage des coûts des programmes (compte 11888), les contributions globales au programme pays, les lignes de ressources régulières régionales et mondiales du programme, les soldes résiduels des recettes provenant du partage des coûts (l’accord des donateurs doit être obtenu) et les contributions directes des gouvernements et des tiers au titre du partage des coûts. Tous les fonds admissibles restants à la fin du programme peuvent être transférés à la facilité d’engagement et utilisés pour le programme pays suivant.</w:t>
      </w:r>
    </w:p>
    <w:p w14:paraId="1D63EC02" w14:textId="77777777" w:rsidR="002E592A" w:rsidRPr="002E592A" w:rsidRDefault="002E592A" w:rsidP="002E592A">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2E592A">
        <w:rPr>
          <w:rFonts w:ascii="Calibri" w:eastAsia="Calibri" w:hAnsi="Calibri" w:cs="Calibri"/>
          <w:spacing w:val="-6"/>
          <w:kern w:val="0"/>
          <w:sz w:val="22"/>
          <w:szCs w:val="22"/>
          <w:lang w:val="fr-FR"/>
          <w14:ligatures w14:val="none"/>
        </w:rPr>
        <w:t xml:space="preserve">L’ensemble des politiques en matière d’entreprise et d’établissement de rapports à l’échelon institutionnel et national, de procédure d’examen préalable social et environnemental (PEPSE), d’audit et de gestion des risques s’appliquent également à la facilité d’engagement. </w:t>
      </w:r>
    </w:p>
    <w:p w14:paraId="1D61DC46" w14:textId="77777777" w:rsidR="002E592A" w:rsidRPr="002E592A" w:rsidRDefault="002E592A" w:rsidP="002E592A">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2E592A">
        <w:rPr>
          <w:rFonts w:ascii="Calibri" w:eastAsia="Calibri" w:hAnsi="Calibri" w:cs="Calibri"/>
          <w:spacing w:val="-6"/>
          <w:kern w:val="0"/>
          <w:sz w:val="22"/>
          <w:szCs w:val="22"/>
          <w:lang w:val="fr-FR"/>
          <w14:ligatures w14:val="none"/>
        </w:rPr>
        <w:t>Une liste des activités/dépenses susceptibles d’être financées ou non par la facilité d’engagement est fournie ci-dessous.</w:t>
      </w:r>
    </w:p>
    <w:tbl>
      <w:tblPr>
        <w:tblStyle w:val="TableGrid"/>
        <w:tblW w:w="9131" w:type="dxa"/>
        <w:tblInd w:w="108" w:type="dxa"/>
        <w:tblLook w:val="04A0" w:firstRow="1" w:lastRow="0" w:firstColumn="1" w:lastColumn="0" w:noHBand="0" w:noVBand="1"/>
      </w:tblPr>
      <w:tblGrid>
        <w:gridCol w:w="4567"/>
        <w:gridCol w:w="4564"/>
      </w:tblGrid>
      <w:tr w:rsidR="002E592A" w:rsidRPr="002E592A" w14:paraId="56909F66" w14:textId="77777777" w:rsidTr="0015395D">
        <w:trPr>
          <w:trHeight w:val="377"/>
        </w:trPr>
        <w:tc>
          <w:tcPr>
            <w:tcW w:w="4567" w:type="dxa"/>
          </w:tcPr>
          <w:p w14:paraId="4E4C3136" w14:textId="77777777" w:rsidR="002E592A" w:rsidRPr="002E592A" w:rsidRDefault="002E592A" w:rsidP="002E592A">
            <w:pPr>
              <w:spacing w:line="259" w:lineRule="auto"/>
              <w:jc w:val="center"/>
              <w:rPr>
                <w:rFonts w:ascii="Calibri" w:eastAsia="Calibri" w:hAnsi="Calibri" w:cs="Calibri"/>
                <w:b/>
                <w:bCs/>
                <w:spacing w:val="-6"/>
              </w:rPr>
            </w:pPr>
            <w:r w:rsidRPr="002E592A">
              <w:rPr>
                <w:rFonts w:ascii="Calibri" w:eastAsia="Calibri" w:hAnsi="Calibri" w:cs="Calibri"/>
                <w:b/>
                <w:bCs/>
                <w:spacing w:val="-6"/>
              </w:rPr>
              <w:t>Peut financer</w:t>
            </w:r>
          </w:p>
        </w:tc>
        <w:tc>
          <w:tcPr>
            <w:tcW w:w="4564" w:type="dxa"/>
          </w:tcPr>
          <w:p w14:paraId="5C08BEE8" w14:textId="77777777" w:rsidR="002E592A" w:rsidRPr="002E592A" w:rsidRDefault="002E592A" w:rsidP="002E592A">
            <w:pPr>
              <w:spacing w:line="259" w:lineRule="auto"/>
              <w:jc w:val="center"/>
              <w:rPr>
                <w:rFonts w:ascii="Calibri" w:eastAsia="Calibri" w:hAnsi="Calibri" w:cs="Calibri"/>
                <w:b/>
                <w:bCs/>
                <w:spacing w:val="-6"/>
              </w:rPr>
            </w:pPr>
            <w:r w:rsidRPr="002E592A">
              <w:rPr>
                <w:rFonts w:ascii="Calibri" w:eastAsia="Calibri" w:hAnsi="Calibri" w:cs="Calibri"/>
                <w:b/>
                <w:bCs/>
                <w:spacing w:val="-6"/>
              </w:rPr>
              <w:t>Ne peut financer</w:t>
            </w:r>
          </w:p>
        </w:tc>
      </w:tr>
      <w:tr w:rsidR="002E592A" w:rsidRPr="002E592A" w14:paraId="70FDEB6E" w14:textId="77777777" w:rsidTr="0015395D">
        <w:trPr>
          <w:trHeight w:val="692"/>
        </w:trPr>
        <w:tc>
          <w:tcPr>
            <w:tcW w:w="4567" w:type="dxa"/>
          </w:tcPr>
          <w:p w14:paraId="053FF316" w14:textId="77777777" w:rsidR="002E592A" w:rsidRPr="002E592A" w:rsidRDefault="002E592A" w:rsidP="002E592A">
            <w:pPr>
              <w:spacing w:line="259" w:lineRule="auto"/>
              <w:rPr>
                <w:rFonts w:ascii="Calibri" w:eastAsia="Calibri" w:hAnsi="Calibri" w:cs="Calibri"/>
                <w:bCs/>
                <w:spacing w:val="-6"/>
                <w:sz w:val="20"/>
                <w:szCs w:val="20"/>
              </w:rPr>
            </w:pPr>
            <w:r w:rsidRPr="002E592A">
              <w:rPr>
                <w:rFonts w:ascii="Calibri" w:eastAsia="Calibri" w:hAnsi="Calibri" w:cs="Calibri"/>
                <w:bCs/>
                <w:spacing w:val="-6"/>
                <w:sz w:val="20"/>
                <w:szCs w:val="20"/>
              </w:rPr>
              <w:t>Consultant·es, Volontaires des Nations Unies (VNU) à l’échelle locale, régionale et internationale</w:t>
            </w:r>
          </w:p>
        </w:tc>
        <w:tc>
          <w:tcPr>
            <w:tcW w:w="4564" w:type="dxa"/>
          </w:tcPr>
          <w:p w14:paraId="015D3D1B" w14:textId="77777777" w:rsidR="002E592A" w:rsidRPr="002E592A" w:rsidRDefault="002E592A" w:rsidP="002E592A">
            <w:pPr>
              <w:spacing w:line="259" w:lineRule="auto"/>
              <w:rPr>
                <w:rFonts w:ascii="Calibri" w:eastAsia="Calibri" w:hAnsi="Calibri" w:cs="Calibri"/>
                <w:bCs/>
                <w:spacing w:val="-6"/>
                <w:sz w:val="20"/>
                <w:szCs w:val="20"/>
              </w:rPr>
            </w:pPr>
            <w:r w:rsidRPr="002E592A">
              <w:rPr>
                <w:rFonts w:ascii="Calibri" w:eastAsia="Calibri" w:hAnsi="Calibri" w:cs="Calibri"/>
                <w:bCs/>
                <w:spacing w:val="-6"/>
                <w:sz w:val="20"/>
                <w:szCs w:val="20"/>
              </w:rPr>
              <w:t xml:space="preserve">Subventions de faible valeur ou pour </w:t>
            </w:r>
            <w:r w:rsidRPr="002E592A">
              <w:rPr>
                <w:rFonts w:ascii="Calibri" w:eastAsia="Calibri" w:hAnsi="Calibri" w:cs="Calibri"/>
                <w:b/>
                <w:bCs/>
                <w:spacing w:val="-6"/>
                <w:sz w:val="20"/>
                <w:szCs w:val="20"/>
              </w:rPr>
              <w:t>micro-investissements</w:t>
            </w:r>
          </w:p>
        </w:tc>
      </w:tr>
      <w:tr w:rsidR="002E592A" w:rsidRPr="002E592A" w14:paraId="5506A1A0" w14:textId="77777777" w:rsidTr="0015395D">
        <w:trPr>
          <w:trHeight w:val="1023"/>
        </w:trPr>
        <w:tc>
          <w:tcPr>
            <w:tcW w:w="4567" w:type="dxa"/>
          </w:tcPr>
          <w:p w14:paraId="583DC4C2" w14:textId="77777777" w:rsidR="002E592A" w:rsidRPr="002E592A" w:rsidRDefault="002E592A" w:rsidP="002E592A">
            <w:pPr>
              <w:spacing w:line="259" w:lineRule="auto"/>
              <w:rPr>
                <w:rFonts w:ascii="Calibri" w:eastAsia="Calibri" w:hAnsi="Calibri" w:cs="Calibri"/>
                <w:bCs/>
                <w:spacing w:val="-6"/>
                <w:sz w:val="20"/>
                <w:szCs w:val="20"/>
              </w:rPr>
            </w:pPr>
            <w:r w:rsidRPr="002E592A">
              <w:rPr>
                <w:rFonts w:ascii="Calibri" w:eastAsia="Calibri" w:hAnsi="Calibri" w:cs="Calibri"/>
                <w:bCs/>
                <w:spacing w:val="-6"/>
                <w:sz w:val="20"/>
                <w:szCs w:val="20"/>
              </w:rPr>
              <w:t>Personnel du PNUD appuyant directement les activités connexes</w:t>
            </w:r>
          </w:p>
        </w:tc>
        <w:tc>
          <w:tcPr>
            <w:tcW w:w="4564" w:type="dxa"/>
          </w:tcPr>
          <w:p w14:paraId="54B23E23" w14:textId="77777777" w:rsidR="002E592A" w:rsidRPr="002E592A" w:rsidRDefault="002E592A" w:rsidP="002E592A">
            <w:pPr>
              <w:spacing w:line="259" w:lineRule="auto"/>
              <w:rPr>
                <w:rFonts w:ascii="Calibri" w:eastAsia="Calibri" w:hAnsi="Calibri" w:cs="Calibri"/>
                <w:bCs/>
                <w:spacing w:val="-6"/>
                <w:sz w:val="20"/>
                <w:szCs w:val="20"/>
              </w:rPr>
            </w:pPr>
            <w:r w:rsidRPr="002E592A">
              <w:rPr>
                <w:rFonts w:ascii="Calibri" w:eastAsia="Calibri" w:hAnsi="Calibri" w:cs="Calibri"/>
                <w:spacing w:val="-6"/>
                <w:sz w:val="20"/>
                <w:szCs w:val="20"/>
              </w:rPr>
              <w:t>Activités non conformes aux autres politiques pertinentes du PNUD, dont les Normes environnementales et sociales (NES)</w:t>
            </w:r>
          </w:p>
        </w:tc>
      </w:tr>
      <w:tr w:rsidR="002E592A" w:rsidRPr="002E592A" w14:paraId="09701CD7" w14:textId="77777777" w:rsidTr="0015395D">
        <w:trPr>
          <w:trHeight w:val="346"/>
        </w:trPr>
        <w:tc>
          <w:tcPr>
            <w:tcW w:w="4567" w:type="dxa"/>
          </w:tcPr>
          <w:p w14:paraId="7A7359F4" w14:textId="77777777" w:rsidR="002E592A" w:rsidRPr="002E592A" w:rsidRDefault="002E592A" w:rsidP="002E592A">
            <w:pPr>
              <w:spacing w:line="259" w:lineRule="auto"/>
              <w:rPr>
                <w:rFonts w:ascii="Calibri" w:eastAsia="Calibri" w:hAnsi="Calibri" w:cs="Calibri"/>
                <w:bCs/>
                <w:spacing w:val="-6"/>
                <w:sz w:val="20"/>
                <w:szCs w:val="20"/>
              </w:rPr>
            </w:pPr>
            <w:r w:rsidRPr="002E592A">
              <w:rPr>
                <w:rFonts w:ascii="Calibri" w:eastAsia="Calibri" w:hAnsi="Calibri" w:cs="Calibri"/>
                <w:bCs/>
                <w:spacing w:val="-6"/>
                <w:sz w:val="20"/>
                <w:szCs w:val="20"/>
              </w:rPr>
              <w:t>Publications</w:t>
            </w:r>
          </w:p>
        </w:tc>
        <w:tc>
          <w:tcPr>
            <w:tcW w:w="4564" w:type="dxa"/>
          </w:tcPr>
          <w:p w14:paraId="364ED5E2" w14:textId="77777777" w:rsidR="002E592A" w:rsidRPr="002E592A" w:rsidRDefault="002E592A" w:rsidP="002E592A">
            <w:pPr>
              <w:spacing w:line="259" w:lineRule="auto"/>
              <w:rPr>
                <w:rFonts w:ascii="Calibri" w:eastAsia="Calibri" w:hAnsi="Calibri" w:cs="Calibri"/>
                <w:bCs/>
                <w:spacing w:val="-6"/>
                <w:sz w:val="20"/>
                <w:szCs w:val="20"/>
              </w:rPr>
            </w:pPr>
            <w:r w:rsidRPr="002E592A">
              <w:rPr>
                <w:rFonts w:ascii="Calibri" w:eastAsia="Calibri" w:hAnsi="Calibri" w:cs="Calibri"/>
                <w:bCs/>
                <w:spacing w:val="-6"/>
                <w:sz w:val="20"/>
                <w:szCs w:val="20"/>
              </w:rPr>
              <w:t>Infrastructure</w:t>
            </w:r>
          </w:p>
        </w:tc>
      </w:tr>
      <w:tr w:rsidR="002E592A" w:rsidRPr="002E592A" w14:paraId="1EFD4ADA" w14:textId="77777777" w:rsidTr="0015395D">
        <w:trPr>
          <w:trHeight w:val="346"/>
        </w:trPr>
        <w:tc>
          <w:tcPr>
            <w:tcW w:w="4567" w:type="dxa"/>
          </w:tcPr>
          <w:p w14:paraId="2D0F2080" w14:textId="77777777" w:rsidR="002E592A" w:rsidRPr="002E592A" w:rsidRDefault="002E592A" w:rsidP="002E592A">
            <w:pPr>
              <w:spacing w:line="259" w:lineRule="auto"/>
              <w:rPr>
                <w:rFonts w:ascii="Calibri" w:eastAsia="Calibri" w:hAnsi="Calibri" w:cs="Calibri"/>
                <w:bCs/>
                <w:spacing w:val="-6"/>
                <w:sz w:val="20"/>
                <w:szCs w:val="20"/>
              </w:rPr>
            </w:pPr>
            <w:r w:rsidRPr="002E592A">
              <w:rPr>
                <w:rFonts w:ascii="Calibri" w:eastAsia="Calibri" w:hAnsi="Calibri" w:cs="Calibri"/>
                <w:bCs/>
                <w:spacing w:val="-6"/>
                <w:sz w:val="20"/>
                <w:szCs w:val="20"/>
              </w:rPr>
              <w:t>Ateliers, conférences, activités d’apprentissage</w:t>
            </w:r>
          </w:p>
        </w:tc>
        <w:tc>
          <w:tcPr>
            <w:tcW w:w="4564" w:type="dxa"/>
          </w:tcPr>
          <w:p w14:paraId="385E9169" w14:textId="77777777" w:rsidR="002E592A" w:rsidRPr="002E592A" w:rsidRDefault="002E592A" w:rsidP="002E592A">
            <w:pPr>
              <w:spacing w:line="259" w:lineRule="auto"/>
              <w:rPr>
                <w:rFonts w:ascii="Calibri" w:eastAsia="Calibri" w:hAnsi="Calibri" w:cs="Calibri"/>
                <w:bCs/>
                <w:spacing w:val="-6"/>
                <w:sz w:val="20"/>
                <w:szCs w:val="20"/>
              </w:rPr>
            </w:pPr>
            <w:r w:rsidRPr="002E592A">
              <w:rPr>
                <w:rFonts w:ascii="Calibri" w:eastAsia="Calibri" w:hAnsi="Calibri" w:cs="Calibri"/>
                <w:bCs/>
                <w:spacing w:val="-6"/>
                <w:sz w:val="20"/>
                <w:szCs w:val="20"/>
              </w:rPr>
              <w:t>Transferts de fonds aux parties responsables</w:t>
            </w:r>
          </w:p>
        </w:tc>
      </w:tr>
      <w:tr w:rsidR="002E592A" w:rsidRPr="002E592A" w14:paraId="2D754FF7" w14:textId="77777777" w:rsidTr="0015395D">
        <w:trPr>
          <w:trHeight w:val="346"/>
        </w:trPr>
        <w:tc>
          <w:tcPr>
            <w:tcW w:w="4567" w:type="dxa"/>
          </w:tcPr>
          <w:p w14:paraId="762D61A3" w14:textId="77777777" w:rsidR="002E592A" w:rsidRPr="002E592A" w:rsidRDefault="002E592A" w:rsidP="002E592A">
            <w:pPr>
              <w:spacing w:line="259" w:lineRule="auto"/>
              <w:rPr>
                <w:rFonts w:ascii="Calibri" w:eastAsia="Calibri" w:hAnsi="Calibri" w:cs="Calibri"/>
                <w:bCs/>
                <w:spacing w:val="-6"/>
                <w:sz w:val="20"/>
                <w:szCs w:val="20"/>
              </w:rPr>
            </w:pPr>
            <w:r w:rsidRPr="002E592A">
              <w:rPr>
                <w:rFonts w:ascii="Calibri" w:eastAsia="Calibri" w:hAnsi="Calibri" w:cs="Calibri"/>
                <w:bCs/>
                <w:spacing w:val="-6"/>
                <w:sz w:val="20"/>
                <w:szCs w:val="20"/>
              </w:rPr>
              <w:t>Coopération Sud-Sud et/ou triangulaire</w:t>
            </w:r>
          </w:p>
        </w:tc>
        <w:tc>
          <w:tcPr>
            <w:tcW w:w="4564" w:type="dxa"/>
          </w:tcPr>
          <w:p w14:paraId="46079F41" w14:textId="77777777" w:rsidR="002E592A" w:rsidRPr="002E592A" w:rsidRDefault="002E592A" w:rsidP="002E592A">
            <w:pPr>
              <w:spacing w:line="259" w:lineRule="auto"/>
              <w:rPr>
                <w:rFonts w:ascii="Calibri" w:eastAsia="Calibri" w:hAnsi="Calibri" w:cs="Calibri"/>
                <w:bCs/>
                <w:spacing w:val="-6"/>
                <w:sz w:val="20"/>
                <w:szCs w:val="20"/>
              </w:rPr>
            </w:pPr>
          </w:p>
        </w:tc>
      </w:tr>
      <w:tr w:rsidR="002E592A" w:rsidRPr="002E592A" w14:paraId="1802C37B" w14:textId="77777777" w:rsidTr="0015395D">
        <w:trPr>
          <w:trHeight w:val="692"/>
        </w:trPr>
        <w:tc>
          <w:tcPr>
            <w:tcW w:w="4567" w:type="dxa"/>
          </w:tcPr>
          <w:p w14:paraId="088977EC" w14:textId="77777777" w:rsidR="002E592A" w:rsidRPr="002E592A" w:rsidRDefault="002E592A" w:rsidP="002E592A">
            <w:pPr>
              <w:spacing w:line="259" w:lineRule="auto"/>
              <w:rPr>
                <w:rFonts w:ascii="Calibri" w:eastAsia="Calibri" w:hAnsi="Calibri" w:cs="Calibri"/>
                <w:bCs/>
                <w:spacing w:val="-6"/>
                <w:sz w:val="20"/>
                <w:szCs w:val="20"/>
              </w:rPr>
            </w:pPr>
            <w:r w:rsidRPr="002E592A">
              <w:rPr>
                <w:rFonts w:ascii="Calibri" w:eastAsia="Calibri" w:hAnsi="Calibri" w:cs="Calibri"/>
                <w:bCs/>
                <w:spacing w:val="-6"/>
                <w:sz w:val="20"/>
                <w:szCs w:val="20"/>
              </w:rPr>
              <w:t>Liens politiques, universitaires ou de recherche entre les institutions</w:t>
            </w:r>
          </w:p>
        </w:tc>
        <w:tc>
          <w:tcPr>
            <w:tcW w:w="4564" w:type="dxa"/>
          </w:tcPr>
          <w:p w14:paraId="1CCA4D43" w14:textId="77777777" w:rsidR="002E592A" w:rsidRPr="002E592A" w:rsidRDefault="002E592A" w:rsidP="002E592A">
            <w:pPr>
              <w:spacing w:line="259" w:lineRule="auto"/>
              <w:rPr>
                <w:rFonts w:ascii="Calibri" w:eastAsia="Calibri" w:hAnsi="Calibri" w:cs="Calibri"/>
                <w:bCs/>
                <w:spacing w:val="-6"/>
                <w:sz w:val="20"/>
                <w:szCs w:val="20"/>
              </w:rPr>
            </w:pPr>
          </w:p>
        </w:tc>
      </w:tr>
      <w:tr w:rsidR="002E592A" w:rsidRPr="002E592A" w14:paraId="14B207F4" w14:textId="77777777" w:rsidTr="0015395D">
        <w:trPr>
          <w:trHeight w:val="330"/>
        </w:trPr>
        <w:tc>
          <w:tcPr>
            <w:tcW w:w="4567" w:type="dxa"/>
          </w:tcPr>
          <w:p w14:paraId="3D120BBE" w14:textId="77777777" w:rsidR="002E592A" w:rsidRPr="002E592A" w:rsidRDefault="002E592A" w:rsidP="002E592A">
            <w:pPr>
              <w:spacing w:line="259" w:lineRule="auto"/>
              <w:rPr>
                <w:rFonts w:ascii="Calibri" w:eastAsia="Calibri" w:hAnsi="Calibri" w:cs="Calibri"/>
                <w:bCs/>
                <w:spacing w:val="-6"/>
                <w:sz w:val="20"/>
                <w:szCs w:val="20"/>
              </w:rPr>
            </w:pPr>
            <w:r w:rsidRPr="002E592A">
              <w:rPr>
                <w:rFonts w:ascii="Calibri" w:eastAsia="Calibri" w:hAnsi="Calibri" w:cs="Calibri"/>
                <w:bCs/>
                <w:spacing w:val="-6"/>
                <w:sz w:val="20"/>
                <w:szCs w:val="20"/>
              </w:rPr>
              <w:t xml:space="preserve">Évaluations d’impact après la clôture du projet </w:t>
            </w:r>
          </w:p>
        </w:tc>
        <w:tc>
          <w:tcPr>
            <w:tcW w:w="4564" w:type="dxa"/>
          </w:tcPr>
          <w:p w14:paraId="78594B7E" w14:textId="77777777" w:rsidR="002E592A" w:rsidRPr="002E592A" w:rsidRDefault="002E592A" w:rsidP="002E592A">
            <w:pPr>
              <w:spacing w:line="259" w:lineRule="auto"/>
              <w:rPr>
                <w:rFonts w:ascii="Calibri" w:eastAsia="Calibri" w:hAnsi="Calibri" w:cs="Calibri"/>
                <w:bCs/>
                <w:spacing w:val="-6"/>
                <w:sz w:val="20"/>
                <w:szCs w:val="20"/>
              </w:rPr>
            </w:pPr>
          </w:p>
        </w:tc>
      </w:tr>
    </w:tbl>
    <w:p w14:paraId="0CE7D3C4" w14:textId="77777777" w:rsidR="002E592A" w:rsidRPr="0015395D" w:rsidRDefault="002E592A" w:rsidP="002E592A">
      <w:pPr>
        <w:spacing w:after="0" w:line="240" w:lineRule="auto"/>
        <w:rPr>
          <w:rFonts w:ascii="Calibri" w:eastAsia="Calibri" w:hAnsi="Calibri" w:cs="Calibri"/>
          <w:i/>
          <w:iCs/>
          <w:spacing w:val="-6"/>
          <w:kern w:val="0"/>
          <w:sz w:val="16"/>
          <w:szCs w:val="16"/>
          <w:lang w:val="fr-FR"/>
          <w14:ligatures w14:val="none"/>
        </w:rPr>
      </w:pPr>
    </w:p>
    <w:p w14:paraId="3CCB80D1" w14:textId="77777777" w:rsidR="002E592A" w:rsidRPr="002E592A" w:rsidRDefault="002E592A" w:rsidP="002E592A">
      <w:pPr>
        <w:shd w:val="clear" w:color="auto" w:fill="FFFFFF"/>
        <w:spacing w:after="0" w:line="240" w:lineRule="auto"/>
        <w:ind w:hanging="10"/>
        <w:jc w:val="both"/>
        <w:rPr>
          <w:rFonts w:ascii="Calibri" w:eastAsia="MS Mincho" w:hAnsi="Calibri" w:cs="Times New Roman"/>
          <w:i/>
          <w:iCs/>
          <w:color w:val="000000"/>
          <w:kern w:val="0"/>
          <w:sz w:val="22"/>
          <w:szCs w:val="22"/>
          <w:lang w:val="fr-FR"/>
          <w14:ligatures w14:val="none"/>
        </w:rPr>
      </w:pPr>
      <w:r w:rsidRPr="002E592A">
        <w:rPr>
          <w:rFonts w:ascii="Calibri" w:eastAsia="MS Mincho" w:hAnsi="Calibri" w:cs="Times New Roman"/>
          <w:b/>
          <w:bCs/>
          <w:i/>
          <w:iCs/>
          <w:color w:val="212121"/>
          <w:kern w:val="0"/>
          <w:sz w:val="22"/>
          <w:szCs w:val="22"/>
          <w:bdr w:val="none" w:sz="0" w:space="0" w:color="auto" w:frame="1"/>
          <w:lang w:val="fr-FR"/>
          <w14:ligatures w14:val="none"/>
        </w:rPr>
        <w:t>Avertissement :</w:t>
      </w:r>
      <w:r w:rsidRPr="002E592A">
        <w:rPr>
          <w:rFonts w:ascii="Calibri" w:eastAsia="MS Mincho" w:hAnsi="Calibri" w:cs="Times New Roman"/>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66199A01" w14:textId="77777777" w:rsidR="002E592A" w:rsidRPr="002E592A" w:rsidRDefault="002E592A" w:rsidP="002E592A">
      <w:pPr>
        <w:shd w:val="clear" w:color="auto" w:fill="FFFFFF"/>
        <w:spacing w:after="0" w:line="240" w:lineRule="auto"/>
        <w:ind w:hanging="10"/>
        <w:jc w:val="both"/>
        <w:rPr>
          <w:rFonts w:ascii="Calibri" w:eastAsia="MS Mincho" w:hAnsi="Calibri" w:cs="Times New Roman"/>
          <w:i/>
          <w:iCs/>
          <w:color w:val="000000"/>
          <w:kern w:val="0"/>
          <w:sz w:val="22"/>
          <w:szCs w:val="22"/>
          <w:lang w:val="fr-FR"/>
          <w14:ligatures w14:val="none"/>
        </w:rPr>
      </w:pPr>
      <w:r w:rsidRPr="002E592A">
        <w:rPr>
          <w:rFonts w:ascii="Calibri" w:eastAsia="MS Mincho" w:hAnsi="Calibri" w:cs="Times New Roman"/>
          <w:i/>
          <w:iCs/>
          <w:color w:val="212121"/>
          <w:kern w:val="0"/>
          <w:sz w:val="22"/>
          <w:szCs w:val="22"/>
          <w:bdr w:val="none" w:sz="0" w:space="0" w:color="auto" w:frame="1"/>
          <w:lang w:val="fr-FR"/>
          <w14:ligatures w14:val="none"/>
        </w:rPr>
        <w:t> </w:t>
      </w:r>
    </w:p>
    <w:p w14:paraId="7F360E86" w14:textId="77777777" w:rsidR="002E592A" w:rsidRPr="002E592A" w:rsidRDefault="002E592A" w:rsidP="002E592A">
      <w:pPr>
        <w:shd w:val="clear" w:color="auto" w:fill="FFFFFF"/>
        <w:spacing w:after="0" w:line="240" w:lineRule="auto"/>
        <w:ind w:hanging="10"/>
        <w:jc w:val="both"/>
        <w:rPr>
          <w:rFonts w:ascii="Calibri" w:eastAsia="Calibri" w:hAnsi="Calibri" w:cs="Calibri"/>
          <w:color w:val="000000"/>
          <w:kern w:val="0"/>
          <w:sz w:val="22"/>
          <w:szCs w:val="22"/>
          <w:lang w:val="fr-FR"/>
          <w14:ligatures w14:val="none"/>
        </w:rPr>
      </w:pPr>
      <w:r w:rsidRPr="002E592A">
        <w:rPr>
          <w:rFonts w:ascii="Calibri" w:eastAsia="MS Mincho" w:hAnsi="Calibri" w:cs="Times New Roman"/>
          <w:b/>
          <w:bCs/>
          <w:i/>
          <w:iCs/>
          <w:color w:val="000000"/>
          <w:kern w:val="0"/>
          <w:sz w:val="22"/>
          <w:szCs w:val="22"/>
          <w:bdr w:val="none" w:sz="0" w:space="0" w:color="auto" w:frame="1"/>
          <w:lang w:val="en-GB"/>
          <w14:ligatures w14:val="none"/>
        </w:rPr>
        <w:t>Disclaimer:</w:t>
      </w:r>
      <w:r w:rsidRPr="002E592A">
        <w:rPr>
          <w:rFonts w:ascii="Calibri" w:eastAsia="MS Mincho" w:hAnsi="Calibri" w:cs="Times New Roman"/>
          <w:i/>
          <w:iCs/>
          <w:color w:val="000000"/>
          <w:kern w:val="0"/>
          <w:sz w:val="22"/>
          <w:szCs w:val="22"/>
          <w:u w:val="single"/>
          <w:bdr w:val="none" w:sz="0" w:space="0" w:color="auto" w:frame="1"/>
          <w:lang w:val="en-GB"/>
          <w14:ligatures w14:val="none"/>
        </w:rPr>
        <w:t> </w:t>
      </w:r>
      <w:r w:rsidRPr="002E592A">
        <w:rPr>
          <w:rFonts w:ascii="Calibri" w:eastAsia="MS Mincho" w:hAnsi="Calibri" w:cs="Times New Roman"/>
          <w:i/>
          <w:iCs/>
          <w:color w:val="000000"/>
          <w:kern w:val="0"/>
          <w:sz w:val="22"/>
          <w:szCs w:val="22"/>
          <w:bdr w:val="none" w:sz="0" w:space="0" w:color="auto" w:frame="1"/>
          <w:lang w:val="en-GB"/>
          <w14:ligatures w14:val="none"/>
        </w:rPr>
        <w:t>This document was translated from English into French. In the event of any discrepancy between this translation and the original English document, the original English document shall prevail.</w:t>
      </w:r>
    </w:p>
    <w:p w14:paraId="1AB923C3" w14:textId="77777777" w:rsidR="002E592A" w:rsidRPr="002E592A" w:rsidRDefault="002E592A" w:rsidP="002E592A">
      <w:pPr>
        <w:spacing w:line="259" w:lineRule="auto"/>
        <w:rPr>
          <w:rFonts w:ascii="Calibri" w:eastAsia="Calibri" w:hAnsi="Calibri" w:cs="Calibri"/>
          <w:spacing w:val="-6"/>
          <w:kern w:val="0"/>
          <w:sz w:val="16"/>
          <w:szCs w:val="16"/>
          <w:lang w:val="en-GB"/>
          <w14:ligatures w14:val="none"/>
        </w:rPr>
      </w:pPr>
    </w:p>
    <w:p w14:paraId="734063F7" w14:textId="77777777" w:rsidR="00DA504D" w:rsidRPr="0015395D" w:rsidRDefault="00DA504D">
      <w:pPr>
        <w:rPr>
          <w:rFonts w:ascii="Calibri" w:hAnsi="Calibri" w:cs="Calibri"/>
        </w:rPr>
      </w:pPr>
    </w:p>
    <w:sectPr w:rsidR="00DA504D" w:rsidRPr="0015395D" w:rsidSect="002E592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EA31" w14:textId="77777777" w:rsidR="00935243" w:rsidRDefault="00935243" w:rsidP="002E592A">
      <w:pPr>
        <w:spacing w:after="0" w:line="240" w:lineRule="auto"/>
      </w:pPr>
      <w:r>
        <w:separator/>
      </w:r>
    </w:p>
  </w:endnote>
  <w:endnote w:type="continuationSeparator" w:id="0">
    <w:p w14:paraId="5D455601" w14:textId="77777777" w:rsidR="00935243" w:rsidRDefault="00935243" w:rsidP="002E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97EE" w14:textId="16F77616" w:rsidR="002E592A" w:rsidRPr="0015395D" w:rsidRDefault="002E592A" w:rsidP="009D6A86">
    <w:pPr>
      <w:pStyle w:val="Footer"/>
      <w:ind w:right="360"/>
      <w:jc w:val="center"/>
      <w:rPr>
        <w:rFonts w:ascii="Calibri" w:hAnsi="Calibri" w:cs="Calibri"/>
        <w:sz w:val="22"/>
        <w:szCs w:val="22"/>
        <w:lang w:val="en-GB"/>
      </w:rPr>
    </w:pPr>
    <w:r w:rsidRPr="0015395D">
      <w:rPr>
        <w:rFonts w:ascii="Calibri" w:hAnsi="Calibri" w:cs="Calibri"/>
        <w:sz w:val="22"/>
        <w:szCs w:val="22"/>
        <w:lang w:val="en-GB"/>
      </w:rPr>
      <w:t xml:space="preserve">Page </w:t>
    </w:r>
    <w:r w:rsidRPr="0015395D">
      <w:rPr>
        <w:rFonts w:ascii="Calibri" w:hAnsi="Calibri" w:cs="Calibri"/>
        <w:b/>
        <w:bCs/>
        <w:sz w:val="22"/>
        <w:szCs w:val="22"/>
      </w:rPr>
      <w:fldChar w:fldCharType="begin"/>
    </w:r>
    <w:r w:rsidRPr="0015395D">
      <w:rPr>
        <w:rFonts w:ascii="Calibri" w:hAnsi="Calibri" w:cs="Calibri"/>
        <w:b/>
        <w:bCs/>
        <w:sz w:val="22"/>
        <w:szCs w:val="22"/>
        <w:lang w:val="en-GB"/>
      </w:rPr>
      <w:instrText xml:space="preserve"> PAGE  \* Arabic  \* MERGEFORMAT </w:instrText>
    </w:r>
    <w:r w:rsidRPr="0015395D">
      <w:rPr>
        <w:rFonts w:ascii="Calibri" w:hAnsi="Calibri" w:cs="Calibri"/>
        <w:b/>
        <w:bCs/>
        <w:sz w:val="22"/>
        <w:szCs w:val="22"/>
      </w:rPr>
      <w:fldChar w:fldCharType="separate"/>
    </w:r>
    <w:r w:rsidRPr="0015395D">
      <w:rPr>
        <w:rFonts w:ascii="Calibri" w:hAnsi="Calibri" w:cs="Calibri"/>
        <w:b/>
        <w:bCs/>
        <w:sz w:val="22"/>
        <w:szCs w:val="22"/>
        <w:lang w:val="en-GB"/>
      </w:rPr>
      <w:t>1</w:t>
    </w:r>
    <w:r w:rsidRPr="0015395D">
      <w:rPr>
        <w:rFonts w:ascii="Calibri" w:hAnsi="Calibri" w:cs="Calibri"/>
        <w:b/>
        <w:bCs/>
        <w:sz w:val="22"/>
        <w:szCs w:val="22"/>
      </w:rPr>
      <w:fldChar w:fldCharType="end"/>
    </w:r>
    <w:r w:rsidRPr="0015395D">
      <w:rPr>
        <w:rFonts w:ascii="Calibri" w:hAnsi="Calibri" w:cs="Calibri"/>
        <w:sz w:val="22"/>
        <w:szCs w:val="22"/>
        <w:lang w:val="en-GB"/>
      </w:rPr>
      <w:t xml:space="preserve"> of </w:t>
    </w:r>
    <w:r w:rsidRPr="0015395D">
      <w:rPr>
        <w:rFonts w:ascii="Calibri" w:hAnsi="Calibri" w:cs="Calibri"/>
        <w:b/>
        <w:bCs/>
        <w:sz w:val="22"/>
        <w:szCs w:val="22"/>
      </w:rPr>
      <w:fldChar w:fldCharType="begin"/>
    </w:r>
    <w:r w:rsidRPr="0015395D">
      <w:rPr>
        <w:rFonts w:ascii="Calibri" w:hAnsi="Calibri" w:cs="Calibri"/>
        <w:b/>
        <w:bCs/>
        <w:sz w:val="22"/>
        <w:szCs w:val="22"/>
        <w:lang w:val="en-GB"/>
      </w:rPr>
      <w:instrText xml:space="preserve"> NUMPAGES  \* Arabic  \* MERGEFORMAT </w:instrText>
    </w:r>
    <w:r w:rsidRPr="0015395D">
      <w:rPr>
        <w:rFonts w:ascii="Calibri" w:hAnsi="Calibri" w:cs="Calibri"/>
        <w:b/>
        <w:bCs/>
        <w:sz w:val="22"/>
        <w:szCs w:val="22"/>
      </w:rPr>
      <w:fldChar w:fldCharType="separate"/>
    </w:r>
    <w:r w:rsidRPr="0015395D">
      <w:rPr>
        <w:rFonts w:ascii="Calibri" w:hAnsi="Calibri" w:cs="Calibri"/>
        <w:b/>
        <w:bCs/>
        <w:sz w:val="22"/>
        <w:szCs w:val="22"/>
        <w:lang w:val="en-GB"/>
      </w:rPr>
      <w:t>1</w:t>
    </w:r>
    <w:r w:rsidRPr="0015395D">
      <w:rPr>
        <w:rFonts w:ascii="Calibri" w:hAnsi="Calibri" w:cs="Calibri"/>
        <w:b/>
        <w:bCs/>
        <w:sz w:val="22"/>
        <w:szCs w:val="22"/>
      </w:rPr>
      <w:fldChar w:fldCharType="end"/>
    </w:r>
    <w:r w:rsidRPr="0015395D">
      <w:rPr>
        <w:rFonts w:ascii="Calibri" w:hAnsi="Calibri" w:cs="Calibri"/>
        <w:sz w:val="22"/>
        <w:szCs w:val="22"/>
      </w:rPr>
      <w:ptab w:relativeTo="margin" w:alignment="center" w:leader="none"/>
    </w:r>
    <w:r w:rsidRPr="0015395D">
      <w:rPr>
        <w:rFonts w:ascii="Calibri" w:hAnsi="Calibri" w:cs="Calibri"/>
        <w:sz w:val="22"/>
        <w:szCs w:val="22"/>
      </w:rPr>
      <w:t xml:space="preserve"> Date d’entrée en vigueur </w:t>
    </w:r>
    <w:r w:rsidRPr="0015395D">
      <w:rPr>
        <w:rFonts w:ascii="Calibri" w:hAnsi="Calibri" w:cs="Calibri"/>
        <w:sz w:val="22"/>
        <w:szCs w:val="22"/>
        <w:lang w:val="en-GB"/>
      </w:rPr>
      <w:t xml:space="preserve">: 05/06/2018 </w:t>
    </w:r>
    <w:r w:rsidRPr="0015395D">
      <w:rPr>
        <w:rFonts w:ascii="Calibri" w:hAnsi="Calibri" w:cs="Calibri"/>
        <w:sz w:val="22"/>
        <w:szCs w:val="22"/>
      </w:rPr>
      <w:ptab w:relativeTo="margin" w:alignment="right" w:leader="none"/>
    </w:r>
    <w:r w:rsidRPr="0015395D">
      <w:rPr>
        <w:rFonts w:ascii="Calibri" w:hAnsi="Calibri" w:cs="Calibri"/>
        <w:sz w:val="22"/>
        <w:szCs w:val="22"/>
      </w:rPr>
      <w:t xml:space="preserve"> Version</w:t>
    </w:r>
    <w:r w:rsidRPr="0015395D" w:rsidDel="002E592A">
      <w:rPr>
        <w:rFonts w:ascii="Calibri" w:hAnsi="Calibri" w:cs="Calibri"/>
        <w:sz w:val="22"/>
        <w:szCs w:val="22"/>
        <w:lang w:val="en-GB"/>
      </w:rPr>
      <w:t xml:space="preserve"> </w:t>
    </w:r>
    <w:r w:rsidRPr="0015395D">
      <w:rPr>
        <w:rFonts w:ascii="Calibri" w:hAnsi="Calibri" w:cs="Calibri"/>
        <w:sz w:val="22"/>
        <w:szCs w:val="22"/>
        <w:lang w:val="en-GB"/>
      </w:rPr>
      <w:t>#: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713B" w14:textId="77777777" w:rsidR="00935243" w:rsidRDefault="00935243" w:rsidP="002E592A">
      <w:pPr>
        <w:spacing w:after="0" w:line="240" w:lineRule="auto"/>
      </w:pPr>
      <w:r>
        <w:separator/>
      </w:r>
    </w:p>
  </w:footnote>
  <w:footnote w:type="continuationSeparator" w:id="0">
    <w:p w14:paraId="45BE7950" w14:textId="77777777" w:rsidR="00935243" w:rsidRDefault="00935243" w:rsidP="002E5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FF88" w14:textId="7493DC61" w:rsidR="002E592A" w:rsidRDefault="002E592A" w:rsidP="0015395D">
    <w:pPr>
      <w:pStyle w:val="Header"/>
      <w:jc w:val="right"/>
    </w:pPr>
    <w:r>
      <w:rPr>
        <w:noProof/>
      </w:rPr>
      <w:drawing>
        <wp:inline distT="0" distB="0" distL="0" distR="0" wp14:anchorId="677A6A46" wp14:editId="5E4BF524">
          <wp:extent cx="591279" cy="900000"/>
          <wp:effectExtent l="0" t="0" r="0" b="0"/>
          <wp:docPr id="16236345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3455"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81605"/>
    <w:multiLevelType w:val="hybridMultilevel"/>
    <w:tmpl w:val="DC5C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70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2A"/>
    <w:rsid w:val="00121D5C"/>
    <w:rsid w:val="0015395D"/>
    <w:rsid w:val="002361F1"/>
    <w:rsid w:val="002E592A"/>
    <w:rsid w:val="00935243"/>
    <w:rsid w:val="00A41D1F"/>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8D7A"/>
  <w15:chartTrackingRefBased/>
  <w15:docId w15:val="{A0E447A6-BB42-4FA5-87DA-42CE46A9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92A"/>
    <w:rPr>
      <w:rFonts w:eastAsiaTheme="majorEastAsia" w:cstheme="majorBidi"/>
      <w:color w:val="272727" w:themeColor="text1" w:themeTint="D8"/>
    </w:rPr>
  </w:style>
  <w:style w:type="paragraph" w:styleId="Title">
    <w:name w:val="Title"/>
    <w:basedOn w:val="Normal"/>
    <w:next w:val="Normal"/>
    <w:link w:val="TitleChar"/>
    <w:uiPriority w:val="10"/>
    <w:qFormat/>
    <w:rsid w:val="002E5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92A"/>
    <w:pPr>
      <w:spacing w:before="160"/>
      <w:jc w:val="center"/>
    </w:pPr>
    <w:rPr>
      <w:i/>
      <w:iCs/>
      <w:color w:val="404040" w:themeColor="text1" w:themeTint="BF"/>
    </w:rPr>
  </w:style>
  <w:style w:type="character" w:customStyle="1" w:styleId="QuoteChar">
    <w:name w:val="Quote Char"/>
    <w:basedOn w:val="DefaultParagraphFont"/>
    <w:link w:val="Quote"/>
    <w:uiPriority w:val="29"/>
    <w:rsid w:val="002E592A"/>
    <w:rPr>
      <w:i/>
      <w:iCs/>
      <w:color w:val="404040" w:themeColor="text1" w:themeTint="BF"/>
    </w:rPr>
  </w:style>
  <w:style w:type="paragraph" w:styleId="ListParagraph">
    <w:name w:val="List Paragraph"/>
    <w:basedOn w:val="Normal"/>
    <w:uiPriority w:val="34"/>
    <w:qFormat/>
    <w:rsid w:val="002E592A"/>
    <w:pPr>
      <w:ind w:left="720"/>
      <w:contextualSpacing/>
    </w:pPr>
  </w:style>
  <w:style w:type="character" w:styleId="IntenseEmphasis">
    <w:name w:val="Intense Emphasis"/>
    <w:basedOn w:val="DefaultParagraphFont"/>
    <w:uiPriority w:val="21"/>
    <w:qFormat/>
    <w:rsid w:val="002E592A"/>
    <w:rPr>
      <w:i/>
      <w:iCs/>
      <w:color w:val="0F4761" w:themeColor="accent1" w:themeShade="BF"/>
    </w:rPr>
  </w:style>
  <w:style w:type="paragraph" w:styleId="IntenseQuote">
    <w:name w:val="Intense Quote"/>
    <w:basedOn w:val="Normal"/>
    <w:next w:val="Normal"/>
    <w:link w:val="IntenseQuoteChar"/>
    <w:uiPriority w:val="30"/>
    <w:qFormat/>
    <w:rsid w:val="002E5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92A"/>
    <w:rPr>
      <w:i/>
      <w:iCs/>
      <w:color w:val="0F4761" w:themeColor="accent1" w:themeShade="BF"/>
    </w:rPr>
  </w:style>
  <w:style w:type="character" w:styleId="IntenseReference">
    <w:name w:val="Intense Reference"/>
    <w:basedOn w:val="DefaultParagraphFont"/>
    <w:uiPriority w:val="32"/>
    <w:qFormat/>
    <w:rsid w:val="002E592A"/>
    <w:rPr>
      <w:b/>
      <w:bCs/>
      <w:smallCaps/>
      <w:color w:val="0F4761" w:themeColor="accent1" w:themeShade="BF"/>
      <w:spacing w:val="5"/>
    </w:rPr>
  </w:style>
  <w:style w:type="paragraph" w:styleId="Header">
    <w:name w:val="header"/>
    <w:basedOn w:val="Normal"/>
    <w:link w:val="HeaderChar"/>
    <w:uiPriority w:val="99"/>
    <w:unhideWhenUsed/>
    <w:rsid w:val="002E5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92A"/>
  </w:style>
  <w:style w:type="paragraph" w:styleId="Footer">
    <w:name w:val="footer"/>
    <w:basedOn w:val="Normal"/>
    <w:link w:val="FooterChar"/>
    <w:uiPriority w:val="99"/>
    <w:unhideWhenUsed/>
    <w:rsid w:val="002E5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92A"/>
  </w:style>
  <w:style w:type="table" w:styleId="TableGrid">
    <w:name w:val="Table Grid"/>
    <w:basedOn w:val="TableNormal"/>
    <w:uiPriority w:val="39"/>
    <w:rsid w:val="002E592A"/>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5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2026-05-14T22:27:00Z</dcterms:created>
  <dcterms:modified xsi:type="dcterms:W3CDTF">2026-05-14T22:31:00Z</dcterms:modified>
</cp:coreProperties>
</file>