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8DE34" w14:textId="77777777" w:rsidR="003549D1" w:rsidRPr="003549D1" w:rsidRDefault="003549D1" w:rsidP="003549D1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3549D1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A1.1. Engagement Facility</w:t>
      </w:r>
    </w:p>
    <w:p w14:paraId="7EF164E0" w14:textId="77777777" w:rsidR="003549D1" w:rsidRPr="003549D1" w:rsidRDefault="003549D1" w:rsidP="003549D1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3549D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ab/>
      </w:r>
    </w:p>
    <w:p w14:paraId="0DB7EC79" w14:textId="77777777" w:rsidR="003549D1" w:rsidRPr="003549D1" w:rsidRDefault="003549D1" w:rsidP="003549D1">
      <w:pPr>
        <w:numPr>
          <w:ilvl w:val="0"/>
          <w:numId w:val="1"/>
        </w:numPr>
        <w:spacing w:after="120" w:line="240" w:lineRule="auto"/>
        <w:ind w:left="45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The engagement facility provides a rapid and flexible response mechanism to support upstream policy results, evaluation and assessments, crisis responses and the testing of innovations with scale-up potential. It must support results identified in the UNDP Strategic Plan and relevant country or regional </w:t>
      </w:r>
      <w:proofErr w:type="spell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documents.</w:t>
      </w:r>
    </w:p>
    <w:p w14:paraId="63F7A49D" w14:textId="77777777" w:rsidR="003549D1" w:rsidRPr="003549D1" w:rsidRDefault="003549D1" w:rsidP="003549D1">
      <w:pPr>
        <w:numPr>
          <w:ilvl w:val="0"/>
          <w:numId w:val="1"/>
        </w:numPr>
        <w:spacing w:after="120" w:line="240" w:lineRule="auto"/>
        <w:ind w:left="45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Any country office, regional hub or Bureau may establish one or more engagement facilities in accordance with this policy. Resources can be committed by the </w:t>
      </w:r>
      <w:proofErr w:type="spellStart"/>
      <w:r w:rsidRPr="003549D1">
        <w:rPr>
          <w:rFonts w:ascii="Calibri" w:eastAsia="Calibri" w:hAnsi="Calibri" w:cs="Calibri"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manager/Resident Representative</w:t>
      </w:r>
      <w:r w:rsidRPr="003549D1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by signing the updated multi-year workplan maintained for the engagement facility. The facility always uses direct implementation. Terms of reference and concept notes, as relevant, are required to justify and detail expected results.</w:t>
      </w:r>
    </w:p>
    <w:p w14:paraId="2E72FFE4" w14:textId="77777777" w:rsidR="003549D1" w:rsidRPr="003549D1" w:rsidRDefault="003549D1" w:rsidP="003549D1">
      <w:pPr>
        <w:numPr>
          <w:ilvl w:val="0"/>
          <w:numId w:val="1"/>
        </w:numPr>
        <w:spacing w:after="120" w:line="240" w:lineRule="auto"/>
        <w:ind w:left="45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There is no prescribed maximum funding level for the engagement facility. Funding may come from an annual spending limit (ASL) for the facility (formerly the DSS ASL), and from a variety of core/TRAC and non-core resources, such as the </w:t>
      </w:r>
      <w:proofErr w:type="spell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cost-sharing account (11888 account), blanket contributions to the country </w:t>
      </w:r>
      <w:proofErr w:type="spell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, regional and global core </w:t>
      </w:r>
      <w:proofErr w:type="spell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resource lines, residual cost-sharing income balances (donor agreement must be secured), and direct government and third-party cost-sharing contributions. Any eligible funds remaining at the end of the </w:t>
      </w:r>
      <w:proofErr w:type="spell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can be rolled into the engagement facility and used for the next </w:t>
      </w:r>
      <w:proofErr w:type="gram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country</w:t>
      </w:r>
      <w:proofErr w:type="gram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programme</w:t>
      </w:r>
      <w:proofErr w:type="spellEnd"/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.</w:t>
      </w:r>
    </w:p>
    <w:p w14:paraId="0CCF940A" w14:textId="77777777" w:rsidR="003549D1" w:rsidRPr="003549D1" w:rsidRDefault="003549D1" w:rsidP="003549D1">
      <w:pPr>
        <w:numPr>
          <w:ilvl w:val="0"/>
          <w:numId w:val="1"/>
        </w:numPr>
        <w:spacing w:after="120" w:line="240" w:lineRule="auto"/>
        <w:ind w:left="45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All policies on corporate and country-level reporting, the </w:t>
      </w:r>
      <w:r w:rsidRPr="003549D1">
        <w:rPr>
          <w:rFonts w:ascii="Calibri" w:eastAsia="Calibri" w:hAnsi="Calibri" w:cs="Calibri"/>
          <w:kern w:val="0"/>
          <w:sz w:val="22"/>
          <w:szCs w:val="22"/>
          <w14:ligatures w14:val="none"/>
        </w:rPr>
        <w:t>SESP</w:t>
      </w: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, audit and risk management equally apply to the engagement facility. </w:t>
      </w:r>
    </w:p>
    <w:p w14:paraId="126EFEAE" w14:textId="77777777" w:rsidR="003549D1" w:rsidRPr="003549D1" w:rsidRDefault="003549D1" w:rsidP="003549D1">
      <w:pPr>
        <w:numPr>
          <w:ilvl w:val="0"/>
          <w:numId w:val="1"/>
        </w:numPr>
        <w:spacing w:after="120" w:line="240" w:lineRule="auto"/>
        <w:ind w:left="45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3549D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The following is a list of activities/expenses that the engagement facility may and may not fund.</w:t>
      </w:r>
    </w:p>
    <w:tbl>
      <w:tblPr>
        <w:tblStyle w:val="TableGrid"/>
        <w:tblW w:w="8844" w:type="dxa"/>
        <w:tblInd w:w="108" w:type="dxa"/>
        <w:tblLook w:val="04A0" w:firstRow="1" w:lastRow="0" w:firstColumn="1" w:lastColumn="0" w:noHBand="0" w:noVBand="1"/>
      </w:tblPr>
      <w:tblGrid>
        <w:gridCol w:w="4422"/>
        <w:gridCol w:w="4422"/>
      </w:tblGrid>
      <w:tr w:rsidR="003549D1" w:rsidRPr="003549D1" w14:paraId="2C9593A1" w14:textId="77777777" w:rsidTr="00994382">
        <w:trPr>
          <w:trHeight w:val="402"/>
        </w:trPr>
        <w:tc>
          <w:tcPr>
            <w:tcW w:w="4422" w:type="dxa"/>
          </w:tcPr>
          <w:p w14:paraId="472D11C8" w14:textId="77777777" w:rsidR="003549D1" w:rsidRPr="003549D1" w:rsidRDefault="003549D1" w:rsidP="003549D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549D1">
              <w:rPr>
                <w:rFonts w:ascii="Calibri" w:eastAsia="Calibri" w:hAnsi="Calibri" w:cs="Calibri"/>
                <w:b/>
                <w:bCs/>
              </w:rPr>
              <w:t>Can Fund</w:t>
            </w:r>
          </w:p>
        </w:tc>
        <w:tc>
          <w:tcPr>
            <w:tcW w:w="4422" w:type="dxa"/>
          </w:tcPr>
          <w:p w14:paraId="271004D1" w14:textId="77777777" w:rsidR="003549D1" w:rsidRPr="003549D1" w:rsidRDefault="003549D1" w:rsidP="003549D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549D1">
              <w:rPr>
                <w:rFonts w:ascii="Calibri" w:eastAsia="Calibri" w:hAnsi="Calibri" w:cs="Calibri"/>
                <w:b/>
                <w:bCs/>
              </w:rPr>
              <w:t>Cannot Fund</w:t>
            </w:r>
          </w:p>
        </w:tc>
      </w:tr>
      <w:tr w:rsidR="003549D1" w:rsidRPr="003549D1" w14:paraId="622BB994" w14:textId="77777777" w:rsidTr="00994382">
        <w:trPr>
          <w:trHeight w:val="369"/>
        </w:trPr>
        <w:tc>
          <w:tcPr>
            <w:tcW w:w="4422" w:type="dxa"/>
          </w:tcPr>
          <w:p w14:paraId="014D48D4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Consultants, UNVs—local, regional or international</w:t>
            </w:r>
          </w:p>
        </w:tc>
        <w:tc>
          <w:tcPr>
            <w:tcW w:w="4422" w:type="dxa"/>
          </w:tcPr>
          <w:p w14:paraId="0CEFAF7B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Low-value or micro-capital grants</w:t>
            </w:r>
          </w:p>
        </w:tc>
      </w:tr>
      <w:tr w:rsidR="003549D1" w:rsidRPr="003549D1" w14:paraId="052B3785" w14:textId="77777777" w:rsidTr="00994382">
        <w:trPr>
          <w:trHeight w:val="738"/>
        </w:trPr>
        <w:tc>
          <w:tcPr>
            <w:tcW w:w="4422" w:type="dxa"/>
          </w:tcPr>
          <w:p w14:paraId="427B5B70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UNDP staff directly supporting related activities</w:t>
            </w:r>
          </w:p>
        </w:tc>
        <w:tc>
          <w:tcPr>
            <w:tcW w:w="4422" w:type="dxa"/>
          </w:tcPr>
          <w:p w14:paraId="116FB2CE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sz w:val="20"/>
                <w:szCs w:val="20"/>
              </w:rPr>
              <w:t>Activities not consistent with other relevant UNDP policies, including the SES</w:t>
            </w:r>
          </w:p>
        </w:tc>
      </w:tr>
      <w:tr w:rsidR="003549D1" w:rsidRPr="003549D1" w14:paraId="59FFDC2F" w14:textId="77777777" w:rsidTr="00994382">
        <w:trPr>
          <w:trHeight w:val="352"/>
        </w:trPr>
        <w:tc>
          <w:tcPr>
            <w:tcW w:w="4422" w:type="dxa"/>
          </w:tcPr>
          <w:p w14:paraId="65FDA302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Publications</w:t>
            </w:r>
          </w:p>
        </w:tc>
        <w:tc>
          <w:tcPr>
            <w:tcW w:w="4422" w:type="dxa"/>
          </w:tcPr>
          <w:p w14:paraId="4E637EAF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Infrastructure</w:t>
            </w:r>
          </w:p>
        </w:tc>
      </w:tr>
      <w:tr w:rsidR="003549D1" w:rsidRPr="003549D1" w14:paraId="1E6CE22D" w14:textId="77777777" w:rsidTr="00994382">
        <w:trPr>
          <w:trHeight w:val="369"/>
        </w:trPr>
        <w:tc>
          <w:tcPr>
            <w:tcW w:w="4422" w:type="dxa"/>
          </w:tcPr>
          <w:p w14:paraId="47AEE465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Workshops, conferences, learning events</w:t>
            </w:r>
          </w:p>
        </w:tc>
        <w:tc>
          <w:tcPr>
            <w:tcW w:w="4422" w:type="dxa"/>
          </w:tcPr>
          <w:p w14:paraId="1B7CD10F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Cash transfers to responsible parties</w:t>
            </w:r>
          </w:p>
        </w:tc>
      </w:tr>
      <w:tr w:rsidR="003549D1" w:rsidRPr="003549D1" w14:paraId="0C872951" w14:textId="77777777" w:rsidTr="00994382">
        <w:trPr>
          <w:trHeight w:val="369"/>
        </w:trPr>
        <w:tc>
          <w:tcPr>
            <w:tcW w:w="4422" w:type="dxa"/>
          </w:tcPr>
          <w:p w14:paraId="522D94E4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South-South and/or triangular cooperation</w:t>
            </w:r>
          </w:p>
        </w:tc>
        <w:tc>
          <w:tcPr>
            <w:tcW w:w="4422" w:type="dxa"/>
          </w:tcPr>
          <w:p w14:paraId="39B5BFAD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3549D1" w:rsidRPr="003549D1" w14:paraId="38F4FB06" w14:textId="77777777" w:rsidTr="00994382">
        <w:trPr>
          <w:trHeight w:val="738"/>
        </w:trPr>
        <w:tc>
          <w:tcPr>
            <w:tcW w:w="4422" w:type="dxa"/>
          </w:tcPr>
          <w:p w14:paraId="3848B742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>Policy, academic or research ties between institutions</w:t>
            </w:r>
          </w:p>
        </w:tc>
        <w:tc>
          <w:tcPr>
            <w:tcW w:w="4422" w:type="dxa"/>
          </w:tcPr>
          <w:p w14:paraId="58AB269B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3549D1" w:rsidRPr="003549D1" w14:paraId="37ED59A9" w14:textId="77777777" w:rsidTr="00994382">
        <w:trPr>
          <w:trHeight w:val="352"/>
        </w:trPr>
        <w:tc>
          <w:tcPr>
            <w:tcW w:w="4422" w:type="dxa"/>
          </w:tcPr>
          <w:p w14:paraId="294EF28B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549D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Impact evaluations after project closure </w:t>
            </w:r>
          </w:p>
        </w:tc>
        <w:tc>
          <w:tcPr>
            <w:tcW w:w="4422" w:type="dxa"/>
          </w:tcPr>
          <w:p w14:paraId="54BB7E69" w14:textId="77777777" w:rsidR="003549D1" w:rsidRPr="003549D1" w:rsidRDefault="003549D1" w:rsidP="003549D1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</w:tbl>
    <w:p w14:paraId="2795883B" w14:textId="77777777" w:rsidR="003549D1" w:rsidRPr="003549D1" w:rsidRDefault="003549D1" w:rsidP="003549D1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E2A8EBA" w14:textId="77777777" w:rsidR="00DA504D" w:rsidRDefault="00DA504D"/>
    <w:sectPr w:rsidR="00DA504D" w:rsidSect="003549D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0CFA" w14:textId="77777777" w:rsidR="004B63F3" w:rsidRDefault="004B63F3" w:rsidP="003549D1">
      <w:pPr>
        <w:spacing w:after="0" w:line="240" w:lineRule="auto"/>
      </w:pPr>
      <w:r>
        <w:separator/>
      </w:r>
    </w:p>
  </w:endnote>
  <w:endnote w:type="continuationSeparator" w:id="0">
    <w:p w14:paraId="55FDEF18" w14:textId="77777777" w:rsidR="004B63F3" w:rsidRDefault="004B63F3" w:rsidP="0035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6A2C" w14:textId="77777777" w:rsidR="003549D1" w:rsidRDefault="003549D1" w:rsidP="004079A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D81BFD" w14:textId="77777777" w:rsidR="003549D1" w:rsidRDefault="003549D1" w:rsidP="004459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59CE" w14:textId="0ED49FBE" w:rsidR="003549D1" w:rsidRPr="00994382" w:rsidRDefault="003549D1" w:rsidP="00942159">
    <w:pPr>
      <w:pStyle w:val="Footer"/>
      <w:ind w:right="360"/>
      <w:jc w:val="center"/>
      <w:rPr>
        <w:rFonts w:ascii="Calibri" w:hAnsi="Calibri" w:cs="Calibri"/>
      </w:rPr>
    </w:pPr>
    <w:r w:rsidRPr="00994382">
      <w:rPr>
        <w:rFonts w:ascii="Calibri" w:hAnsi="Calibri" w:cs="Calibri"/>
      </w:rPr>
      <w:t xml:space="preserve">Page </w:t>
    </w:r>
    <w:r w:rsidRPr="00994382">
      <w:rPr>
        <w:rFonts w:ascii="Calibri" w:hAnsi="Calibri" w:cs="Calibri"/>
        <w:b/>
        <w:bCs/>
      </w:rPr>
      <w:fldChar w:fldCharType="begin"/>
    </w:r>
    <w:r w:rsidRPr="00994382">
      <w:rPr>
        <w:rFonts w:ascii="Calibri" w:hAnsi="Calibri" w:cs="Calibri"/>
        <w:b/>
        <w:bCs/>
      </w:rPr>
      <w:instrText xml:space="preserve"> PAGE  \* Arabic  \* MERGEFORMAT </w:instrText>
    </w:r>
    <w:r w:rsidRPr="00994382">
      <w:rPr>
        <w:rFonts w:ascii="Calibri" w:hAnsi="Calibri" w:cs="Calibri"/>
        <w:b/>
        <w:bCs/>
      </w:rPr>
      <w:fldChar w:fldCharType="separate"/>
    </w:r>
    <w:r w:rsidRPr="00994382">
      <w:rPr>
        <w:rFonts w:ascii="Calibri" w:hAnsi="Calibri" w:cs="Calibri"/>
        <w:b/>
        <w:bCs/>
        <w:noProof/>
      </w:rPr>
      <w:t>1</w:t>
    </w:r>
    <w:r w:rsidRPr="00994382">
      <w:rPr>
        <w:rFonts w:ascii="Calibri" w:hAnsi="Calibri" w:cs="Calibri"/>
        <w:b/>
        <w:bCs/>
      </w:rPr>
      <w:fldChar w:fldCharType="end"/>
    </w:r>
    <w:r w:rsidRPr="00994382">
      <w:rPr>
        <w:rFonts w:ascii="Calibri" w:hAnsi="Calibri" w:cs="Calibri"/>
      </w:rPr>
      <w:t xml:space="preserve"> of </w:t>
    </w:r>
    <w:r w:rsidRPr="00994382">
      <w:rPr>
        <w:rFonts w:ascii="Calibri" w:hAnsi="Calibri" w:cs="Calibri"/>
        <w:b/>
        <w:bCs/>
      </w:rPr>
      <w:fldChar w:fldCharType="begin"/>
    </w:r>
    <w:r w:rsidRPr="00994382">
      <w:rPr>
        <w:rFonts w:ascii="Calibri" w:hAnsi="Calibri" w:cs="Calibri"/>
        <w:b/>
        <w:bCs/>
      </w:rPr>
      <w:instrText xml:space="preserve"> NUMPAGES  \* Arabic  \* MERGEFORMAT </w:instrText>
    </w:r>
    <w:r w:rsidRPr="00994382">
      <w:rPr>
        <w:rFonts w:ascii="Calibri" w:hAnsi="Calibri" w:cs="Calibri"/>
        <w:b/>
        <w:bCs/>
      </w:rPr>
      <w:fldChar w:fldCharType="separate"/>
    </w:r>
    <w:r w:rsidRPr="00994382">
      <w:rPr>
        <w:rFonts w:ascii="Calibri" w:hAnsi="Calibri" w:cs="Calibri"/>
        <w:b/>
        <w:bCs/>
        <w:noProof/>
      </w:rPr>
      <w:t>2</w:t>
    </w:r>
    <w:r w:rsidRPr="00994382">
      <w:rPr>
        <w:rFonts w:ascii="Calibri" w:hAnsi="Calibri" w:cs="Calibri"/>
        <w:b/>
        <w:bCs/>
      </w:rPr>
      <w:fldChar w:fldCharType="end"/>
    </w:r>
    <w:r w:rsidRPr="00994382">
      <w:rPr>
        <w:rFonts w:ascii="Calibri" w:hAnsi="Calibri" w:cs="Calibri"/>
      </w:rPr>
      <w:ptab w:relativeTo="margin" w:alignment="center" w:leader="none"/>
    </w:r>
    <w:r w:rsidRPr="00994382">
      <w:rPr>
        <w:rFonts w:ascii="Calibri" w:hAnsi="Calibri" w:cs="Calibri"/>
      </w:rPr>
      <w:t xml:space="preserve">Effective Date: 05/06/2018 </w:t>
    </w:r>
    <w:r w:rsidRPr="00994382">
      <w:rPr>
        <w:rFonts w:ascii="Calibri" w:hAnsi="Calibri" w:cs="Calibri"/>
      </w:rPr>
      <w:ptab w:relativeTo="margin" w:alignment="right" w:leader="none"/>
    </w:r>
    <w:r w:rsidRPr="00994382">
      <w:rPr>
        <w:rFonts w:ascii="Calibri" w:hAnsi="Calibri" w:cs="Calibri"/>
      </w:rPr>
      <w:t>Version #: 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32A0" w14:textId="77777777" w:rsidR="004B63F3" w:rsidRDefault="004B63F3" w:rsidP="003549D1">
      <w:pPr>
        <w:spacing w:after="0" w:line="240" w:lineRule="auto"/>
      </w:pPr>
      <w:r>
        <w:separator/>
      </w:r>
    </w:p>
  </w:footnote>
  <w:footnote w:type="continuationSeparator" w:id="0">
    <w:p w14:paraId="3C0C0F29" w14:textId="77777777" w:rsidR="004B63F3" w:rsidRDefault="004B63F3" w:rsidP="0035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B6FF" w14:textId="77777777" w:rsidR="003549D1" w:rsidRDefault="003549D1" w:rsidP="0044590D">
    <w:pPr>
      <w:pStyle w:val="Header"/>
      <w:jc w:val="right"/>
    </w:pPr>
    <w:r>
      <w:rPr>
        <w:noProof/>
      </w:rPr>
      <w:drawing>
        <wp:inline distT="0" distB="0" distL="0" distR="0" wp14:anchorId="2F267F11" wp14:editId="72E58C75">
          <wp:extent cx="304800" cy="601980"/>
          <wp:effectExtent l="0" t="0" r="0" b="762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8" b="14363"/>
                  <a:stretch/>
                </pic:blipFill>
                <pic:spPr bwMode="auto">
                  <a:xfrm>
                    <a:off x="0" y="0"/>
                    <a:ext cx="309373" cy="611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81605"/>
    <w:multiLevelType w:val="hybridMultilevel"/>
    <w:tmpl w:val="DC5C7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35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D1"/>
    <w:rsid w:val="00315AFF"/>
    <w:rsid w:val="003549D1"/>
    <w:rsid w:val="004B63F3"/>
    <w:rsid w:val="007925D9"/>
    <w:rsid w:val="00994382"/>
    <w:rsid w:val="00C61B9D"/>
    <w:rsid w:val="00D61E16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790F7"/>
  <w15:chartTrackingRefBased/>
  <w15:docId w15:val="{AFFF57A4-5443-4202-A78A-30DB2C3F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9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49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49D1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549D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49D1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549D1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549D1"/>
  </w:style>
  <w:style w:type="paragraph" w:styleId="Revision">
    <w:name w:val="Revision"/>
    <w:hidden/>
    <w:uiPriority w:val="99"/>
    <w:semiHidden/>
    <w:rsid w:val="00354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2026-05-14T22:22:00Z</dcterms:created>
  <dcterms:modified xsi:type="dcterms:W3CDTF">2026-05-14T22:31:00Z</dcterms:modified>
</cp:coreProperties>
</file>