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DE34" w14:textId="77777777" w:rsidR="003549D1" w:rsidRPr="003549D1" w:rsidRDefault="003549D1" w:rsidP="003549D1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3549D1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A1.1. Engagement Facility</w:t>
      </w:r>
    </w:p>
    <w:p w14:paraId="7EF164E0" w14:textId="77777777" w:rsidR="003549D1" w:rsidRPr="003549D1" w:rsidRDefault="003549D1" w:rsidP="003549D1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3549D1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ab/>
      </w:r>
    </w:p>
    <w:p w14:paraId="0DB7EC79" w14:textId="77777777" w:rsidR="003549D1" w:rsidRPr="003549D1" w:rsidRDefault="003549D1" w:rsidP="003549D1">
      <w:pPr>
        <w:numPr>
          <w:ilvl w:val="0"/>
          <w:numId w:val="1"/>
        </w:numPr>
        <w:spacing w:after="120" w:line="240" w:lineRule="auto"/>
        <w:ind w:left="450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The engagement facility provides a rapid and flexible response mechanism to support upstream policy results, evaluation and assessments, crisis responses and the testing of innovations with scale-up potential. It must support results identified in the UNDP Strategic Plan and relevant country or regional </w:t>
      </w:r>
      <w:proofErr w:type="spellStart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programme</w:t>
      </w:r>
      <w:proofErr w:type="spellEnd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documents.</w:t>
      </w:r>
    </w:p>
    <w:p w14:paraId="63F7A49D" w14:textId="77777777" w:rsidR="003549D1" w:rsidRPr="003549D1" w:rsidRDefault="003549D1" w:rsidP="003549D1">
      <w:pPr>
        <w:numPr>
          <w:ilvl w:val="0"/>
          <w:numId w:val="1"/>
        </w:numPr>
        <w:spacing w:after="120" w:line="240" w:lineRule="auto"/>
        <w:ind w:left="450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Any country office, regional hub or Bureau may establish one or more engagement facilities in accordance with this policy. Resources can be committed by the </w:t>
      </w:r>
      <w:proofErr w:type="spellStart"/>
      <w:r w:rsidRPr="003549D1">
        <w:rPr>
          <w:rFonts w:ascii="Calibri" w:eastAsia="Calibri" w:hAnsi="Calibri" w:cs="Calibri"/>
          <w:kern w:val="0"/>
          <w:sz w:val="22"/>
          <w:szCs w:val="22"/>
          <w14:ligatures w14:val="none"/>
        </w:rPr>
        <w:t>programme</w:t>
      </w:r>
      <w:proofErr w:type="spellEnd"/>
      <w:r w:rsidRPr="003549D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manager/Resident Representative</w:t>
      </w:r>
      <w:r w:rsidRPr="003549D1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by signing the updated multi-year workplan maintained for the engagement facility. The facility always uses direct implementation. Terms of reference and concept notes, as relevant, are required to justify and detail expected results.</w:t>
      </w:r>
    </w:p>
    <w:p w14:paraId="2E72FFE4" w14:textId="77777777" w:rsidR="003549D1" w:rsidRPr="003549D1" w:rsidRDefault="003549D1" w:rsidP="003549D1">
      <w:pPr>
        <w:numPr>
          <w:ilvl w:val="0"/>
          <w:numId w:val="1"/>
        </w:numPr>
        <w:spacing w:after="120" w:line="240" w:lineRule="auto"/>
        <w:ind w:left="450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There is no prescribed maximum funding level for the engagement facility. Funding may come from an annual spending limit (ASL) for the facility (formerly the DSS ASL), and from a variety of core/TRAC and non-core resources, such as the </w:t>
      </w:r>
      <w:proofErr w:type="spellStart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programme</w:t>
      </w:r>
      <w:proofErr w:type="spellEnd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cost-sharing account (11888 account), blanket contributions to the country </w:t>
      </w:r>
      <w:proofErr w:type="spellStart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programme</w:t>
      </w:r>
      <w:proofErr w:type="spellEnd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, regional and global core </w:t>
      </w:r>
      <w:proofErr w:type="spellStart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programme</w:t>
      </w:r>
      <w:proofErr w:type="spellEnd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resource lines, residual cost-sharing income balances (donor agreement must be secured), and direct government and third-party cost-sharing contributions. Any eligible funds remaining at the end of the </w:t>
      </w:r>
      <w:proofErr w:type="spellStart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programme</w:t>
      </w:r>
      <w:proofErr w:type="spellEnd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can be rolled into the engagement facility and used for the next </w:t>
      </w:r>
      <w:proofErr w:type="gramStart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country</w:t>
      </w:r>
      <w:proofErr w:type="gramEnd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programme</w:t>
      </w:r>
      <w:proofErr w:type="spellEnd"/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.</w:t>
      </w:r>
    </w:p>
    <w:p w14:paraId="0CCF940A" w14:textId="77777777" w:rsidR="003549D1" w:rsidRPr="003549D1" w:rsidRDefault="003549D1" w:rsidP="003549D1">
      <w:pPr>
        <w:numPr>
          <w:ilvl w:val="0"/>
          <w:numId w:val="1"/>
        </w:numPr>
        <w:spacing w:after="120" w:line="240" w:lineRule="auto"/>
        <w:ind w:left="450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All policies on corporate and country-level reporting, the </w:t>
      </w:r>
      <w:r w:rsidRPr="003549D1">
        <w:rPr>
          <w:rFonts w:ascii="Calibri" w:eastAsia="Calibri" w:hAnsi="Calibri" w:cs="Calibri"/>
          <w:kern w:val="0"/>
          <w:sz w:val="22"/>
          <w:szCs w:val="22"/>
          <w14:ligatures w14:val="none"/>
        </w:rPr>
        <w:t>SESP</w:t>
      </w:r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, audit and risk management equally apply to the engagement facility. </w:t>
      </w:r>
    </w:p>
    <w:p w14:paraId="126EFEAE" w14:textId="77777777" w:rsidR="003549D1" w:rsidRPr="003549D1" w:rsidRDefault="003549D1" w:rsidP="003549D1">
      <w:pPr>
        <w:numPr>
          <w:ilvl w:val="0"/>
          <w:numId w:val="1"/>
        </w:numPr>
        <w:spacing w:after="120" w:line="240" w:lineRule="auto"/>
        <w:ind w:left="450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3549D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The following is a list of activities/expenses that the engagement facility may and may not fund.</w:t>
      </w:r>
    </w:p>
    <w:tbl>
      <w:tblPr>
        <w:tblStyle w:val="TableGrid"/>
        <w:tblW w:w="8844" w:type="dxa"/>
        <w:tblInd w:w="108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3549D1" w:rsidRPr="003549D1" w14:paraId="2C9593A1" w14:textId="77777777" w:rsidTr="00994382">
        <w:trPr>
          <w:trHeight w:val="402"/>
        </w:trPr>
        <w:tc>
          <w:tcPr>
            <w:tcW w:w="4422" w:type="dxa"/>
          </w:tcPr>
          <w:p w14:paraId="472D11C8" w14:textId="77777777" w:rsidR="003549D1" w:rsidRPr="003549D1" w:rsidRDefault="003549D1" w:rsidP="003549D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549D1">
              <w:rPr>
                <w:rFonts w:ascii="Calibri" w:eastAsia="Calibri" w:hAnsi="Calibri" w:cs="Calibri"/>
                <w:b/>
                <w:bCs/>
              </w:rPr>
              <w:t>Can Fund</w:t>
            </w:r>
          </w:p>
        </w:tc>
        <w:tc>
          <w:tcPr>
            <w:tcW w:w="4422" w:type="dxa"/>
          </w:tcPr>
          <w:p w14:paraId="271004D1" w14:textId="77777777" w:rsidR="003549D1" w:rsidRPr="003549D1" w:rsidRDefault="003549D1" w:rsidP="003549D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549D1">
              <w:rPr>
                <w:rFonts w:ascii="Calibri" w:eastAsia="Calibri" w:hAnsi="Calibri" w:cs="Calibri"/>
                <w:b/>
                <w:bCs/>
              </w:rPr>
              <w:t>Cannot Fund</w:t>
            </w:r>
          </w:p>
        </w:tc>
      </w:tr>
      <w:tr w:rsidR="003549D1" w:rsidRPr="003549D1" w14:paraId="622BB994" w14:textId="77777777" w:rsidTr="00994382">
        <w:trPr>
          <w:trHeight w:val="369"/>
        </w:trPr>
        <w:tc>
          <w:tcPr>
            <w:tcW w:w="4422" w:type="dxa"/>
          </w:tcPr>
          <w:p w14:paraId="014D48D4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49D1">
              <w:rPr>
                <w:rFonts w:ascii="Calibri" w:eastAsia="Calibri" w:hAnsi="Calibri" w:cs="Calibri"/>
                <w:bCs/>
                <w:sz w:val="20"/>
                <w:szCs w:val="20"/>
              </w:rPr>
              <w:t>Consultants, UNVs—local, regional or international</w:t>
            </w:r>
          </w:p>
        </w:tc>
        <w:tc>
          <w:tcPr>
            <w:tcW w:w="4422" w:type="dxa"/>
          </w:tcPr>
          <w:p w14:paraId="0CEFAF7B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49D1">
              <w:rPr>
                <w:rFonts w:ascii="Calibri" w:eastAsia="Calibri" w:hAnsi="Calibri" w:cs="Calibri"/>
                <w:bCs/>
                <w:sz w:val="20"/>
                <w:szCs w:val="20"/>
              </w:rPr>
              <w:t>Low-value or micro-capital grants</w:t>
            </w:r>
          </w:p>
        </w:tc>
      </w:tr>
      <w:tr w:rsidR="003549D1" w:rsidRPr="003549D1" w14:paraId="052B3785" w14:textId="77777777" w:rsidTr="00994382">
        <w:trPr>
          <w:trHeight w:val="738"/>
        </w:trPr>
        <w:tc>
          <w:tcPr>
            <w:tcW w:w="4422" w:type="dxa"/>
          </w:tcPr>
          <w:p w14:paraId="427B5B70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49D1">
              <w:rPr>
                <w:rFonts w:ascii="Calibri" w:eastAsia="Calibri" w:hAnsi="Calibri" w:cs="Calibri"/>
                <w:bCs/>
                <w:sz w:val="20"/>
                <w:szCs w:val="20"/>
              </w:rPr>
              <w:t>UNDP staff directly supporting related activities</w:t>
            </w:r>
          </w:p>
        </w:tc>
        <w:tc>
          <w:tcPr>
            <w:tcW w:w="4422" w:type="dxa"/>
          </w:tcPr>
          <w:p w14:paraId="116FB2CE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49D1">
              <w:rPr>
                <w:rFonts w:ascii="Calibri" w:eastAsia="Calibri" w:hAnsi="Calibri" w:cs="Calibri"/>
                <w:sz w:val="20"/>
                <w:szCs w:val="20"/>
              </w:rPr>
              <w:t>Activities not consistent with other relevant UNDP policies, including the SES</w:t>
            </w:r>
          </w:p>
        </w:tc>
      </w:tr>
      <w:tr w:rsidR="003549D1" w:rsidRPr="003549D1" w14:paraId="59FFDC2F" w14:textId="77777777" w:rsidTr="00994382">
        <w:trPr>
          <w:trHeight w:val="352"/>
        </w:trPr>
        <w:tc>
          <w:tcPr>
            <w:tcW w:w="4422" w:type="dxa"/>
          </w:tcPr>
          <w:p w14:paraId="65FDA302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49D1">
              <w:rPr>
                <w:rFonts w:ascii="Calibri" w:eastAsia="Calibri" w:hAnsi="Calibri" w:cs="Calibri"/>
                <w:bCs/>
                <w:sz w:val="20"/>
                <w:szCs w:val="20"/>
              </w:rPr>
              <w:t>Publications</w:t>
            </w:r>
          </w:p>
        </w:tc>
        <w:tc>
          <w:tcPr>
            <w:tcW w:w="4422" w:type="dxa"/>
          </w:tcPr>
          <w:p w14:paraId="4E637EAF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49D1">
              <w:rPr>
                <w:rFonts w:ascii="Calibri" w:eastAsia="Calibri" w:hAnsi="Calibri" w:cs="Calibri"/>
                <w:bCs/>
                <w:sz w:val="20"/>
                <w:szCs w:val="20"/>
              </w:rPr>
              <w:t>Infrastructure</w:t>
            </w:r>
          </w:p>
        </w:tc>
      </w:tr>
      <w:tr w:rsidR="003549D1" w:rsidRPr="003549D1" w14:paraId="1E6CE22D" w14:textId="77777777" w:rsidTr="00994382">
        <w:trPr>
          <w:trHeight w:val="369"/>
        </w:trPr>
        <w:tc>
          <w:tcPr>
            <w:tcW w:w="4422" w:type="dxa"/>
          </w:tcPr>
          <w:p w14:paraId="47AEE465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49D1">
              <w:rPr>
                <w:rFonts w:ascii="Calibri" w:eastAsia="Calibri" w:hAnsi="Calibri" w:cs="Calibri"/>
                <w:bCs/>
                <w:sz w:val="20"/>
                <w:szCs w:val="20"/>
              </w:rPr>
              <w:t>Workshops, conferences, learning events</w:t>
            </w:r>
          </w:p>
        </w:tc>
        <w:tc>
          <w:tcPr>
            <w:tcW w:w="4422" w:type="dxa"/>
          </w:tcPr>
          <w:p w14:paraId="1B7CD10F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49D1">
              <w:rPr>
                <w:rFonts w:ascii="Calibri" w:eastAsia="Calibri" w:hAnsi="Calibri" w:cs="Calibri"/>
                <w:bCs/>
                <w:sz w:val="20"/>
                <w:szCs w:val="20"/>
              </w:rPr>
              <w:t>Cash transfers to responsible parties</w:t>
            </w:r>
          </w:p>
        </w:tc>
      </w:tr>
      <w:tr w:rsidR="003549D1" w:rsidRPr="003549D1" w14:paraId="0C872951" w14:textId="77777777" w:rsidTr="00994382">
        <w:trPr>
          <w:trHeight w:val="369"/>
        </w:trPr>
        <w:tc>
          <w:tcPr>
            <w:tcW w:w="4422" w:type="dxa"/>
          </w:tcPr>
          <w:p w14:paraId="522D94E4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49D1">
              <w:rPr>
                <w:rFonts w:ascii="Calibri" w:eastAsia="Calibri" w:hAnsi="Calibri" w:cs="Calibri"/>
                <w:bCs/>
                <w:sz w:val="20"/>
                <w:szCs w:val="20"/>
              </w:rPr>
              <w:t>South-South and/or triangular cooperation</w:t>
            </w:r>
          </w:p>
        </w:tc>
        <w:tc>
          <w:tcPr>
            <w:tcW w:w="4422" w:type="dxa"/>
          </w:tcPr>
          <w:p w14:paraId="39B5BFAD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549D1" w:rsidRPr="003549D1" w14:paraId="38F4FB06" w14:textId="77777777" w:rsidTr="00994382">
        <w:trPr>
          <w:trHeight w:val="738"/>
        </w:trPr>
        <w:tc>
          <w:tcPr>
            <w:tcW w:w="4422" w:type="dxa"/>
          </w:tcPr>
          <w:p w14:paraId="3848B742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49D1">
              <w:rPr>
                <w:rFonts w:ascii="Calibri" w:eastAsia="Calibri" w:hAnsi="Calibri" w:cs="Calibri"/>
                <w:bCs/>
                <w:sz w:val="20"/>
                <w:szCs w:val="20"/>
              </w:rPr>
              <w:t>Policy, academic or research ties between institutions</w:t>
            </w:r>
          </w:p>
        </w:tc>
        <w:tc>
          <w:tcPr>
            <w:tcW w:w="4422" w:type="dxa"/>
          </w:tcPr>
          <w:p w14:paraId="58AB269B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549D1" w:rsidRPr="003549D1" w14:paraId="37ED59A9" w14:textId="77777777" w:rsidTr="00994382">
        <w:trPr>
          <w:trHeight w:val="352"/>
        </w:trPr>
        <w:tc>
          <w:tcPr>
            <w:tcW w:w="4422" w:type="dxa"/>
          </w:tcPr>
          <w:p w14:paraId="294EF28B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549D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Impact evaluations after project closure </w:t>
            </w:r>
          </w:p>
        </w:tc>
        <w:tc>
          <w:tcPr>
            <w:tcW w:w="4422" w:type="dxa"/>
          </w:tcPr>
          <w:p w14:paraId="54BB7E69" w14:textId="77777777" w:rsidR="003549D1" w:rsidRPr="003549D1" w:rsidRDefault="003549D1" w:rsidP="003549D1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</w:tbl>
    <w:p w14:paraId="2795883B" w14:textId="77777777" w:rsidR="003549D1" w:rsidRPr="003549D1" w:rsidRDefault="003549D1" w:rsidP="003549D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E2A8EBA" w14:textId="77777777" w:rsidR="00DA504D" w:rsidRDefault="00DA504D"/>
    <w:sectPr w:rsidR="00DA504D" w:rsidSect="003549D1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0CFA" w14:textId="77777777" w:rsidR="004B63F3" w:rsidRDefault="004B63F3" w:rsidP="003549D1">
      <w:pPr>
        <w:spacing w:after="0" w:line="240" w:lineRule="auto"/>
      </w:pPr>
      <w:r>
        <w:separator/>
      </w:r>
    </w:p>
  </w:endnote>
  <w:endnote w:type="continuationSeparator" w:id="0">
    <w:p w14:paraId="55FDEF18" w14:textId="77777777" w:rsidR="004B63F3" w:rsidRDefault="004B63F3" w:rsidP="0035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6A2C" w14:textId="77777777" w:rsidR="003549D1" w:rsidRDefault="003549D1" w:rsidP="004079A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D81BFD" w14:textId="77777777" w:rsidR="003549D1" w:rsidRDefault="003549D1" w:rsidP="004459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59CE" w14:textId="0ED49FBE" w:rsidR="003549D1" w:rsidRPr="00994382" w:rsidRDefault="003549D1" w:rsidP="00942159">
    <w:pPr>
      <w:pStyle w:val="Footer"/>
      <w:ind w:right="360"/>
      <w:jc w:val="center"/>
      <w:rPr>
        <w:rFonts w:ascii="Calibri" w:hAnsi="Calibri" w:cs="Calibri"/>
      </w:rPr>
    </w:pPr>
    <w:r w:rsidRPr="00994382">
      <w:rPr>
        <w:rFonts w:ascii="Calibri" w:hAnsi="Calibri" w:cs="Calibri"/>
      </w:rPr>
      <w:t xml:space="preserve">Page </w:t>
    </w:r>
    <w:r w:rsidRPr="00994382">
      <w:rPr>
        <w:rFonts w:ascii="Calibri" w:hAnsi="Calibri" w:cs="Calibri"/>
        <w:b/>
        <w:bCs/>
      </w:rPr>
      <w:fldChar w:fldCharType="begin"/>
    </w:r>
    <w:r w:rsidRPr="00994382">
      <w:rPr>
        <w:rFonts w:ascii="Calibri" w:hAnsi="Calibri" w:cs="Calibri"/>
        <w:b/>
        <w:bCs/>
      </w:rPr>
      <w:instrText xml:space="preserve"> PAGE  \* Arabic  \* MERGEFORMAT </w:instrText>
    </w:r>
    <w:r w:rsidRPr="00994382">
      <w:rPr>
        <w:rFonts w:ascii="Calibri" w:hAnsi="Calibri" w:cs="Calibri"/>
        <w:b/>
        <w:bCs/>
      </w:rPr>
      <w:fldChar w:fldCharType="separate"/>
    </w:r>
    <w:r w:rsidRPr="00994382">
      <w:rPr>
        <w:rFonts w:ascii="Calibri" w:hAnsi="Calibri" w:cs="Calibri"/>
        <w:b/>
        <w:bCs/>
        <w:noProof/>
      </w:rPr>
      <w:t>1</w:t>
    </w:r>
    <w:r w:rsidRPr="00994382">
      <w:rPr>
        <w:rFonts w:ascii="Calibri" w:hAnsi="Calibri" w:cs="Calibri"/>
        <w:b/>
        <w:bCs/>
      </w:rPr>
      <w:fldChar w:fldCharType="end"/>
    </w:r>
    <w:r w:rsidRPr="00994382">
      <w:rPr>
        <w:rFonts w:ascii="Calibri" w:hAnsi="Calibri" w:cs="Calibri"/>
      </w:rPr>
      <w:t xml:space="preserve"> of </w:t>
    </w:r>
    <w:r w:rsidRPr="00994382">
      <w:rPr>
        <w:rFonts w:ascii="Calibri" w:hAnsi="Calibri" w:cs="Calibri"/>
        <w:b/>
        <w:bCs/>
      </w:rPr>
      <w:fldChar w:fldCharType="begin"/>
    </w:r>
    <w:r w:rsidRPr="00994382">
      <w:rPr>
        <w:rFonts w:ascii="Calibri" w:hAnsi="Calibri" w:cs="Calibri"/>
        <w:b/>
        <w:bCs/>
      </w:rPr>
      <w:instrText xml:space="preserve"> NUMPAGES  \* Arabic  \* MERGEFORMAT </w:instrText>
    </w:r>
    <w:r w:rsidRPr="00994382">
      <w:rPr>
        <w:rFonts w:ascii="Calibri" w:hAnsi="Calibri" w:cs="Calibri"/>
        <w:b/>
        <w:bCs/>
      </w:rPr>
      <w:fldChar w:fldCharType="separate"/>
    </w:r>
    <w:r w:rsidRPr="00994382">
      <w:rPr>
        <w:rFonts w:ascii="Calibri" w:hAnsi="Calibri" w:cs="Calibri"/>
        <w:b/>
        <w:bCs/>
        <w:noProof/>
      </w:rPr>
      <w:t>2</w:t>
    </w:r>
    <w:r w:rsidRPr="00994382">
      <w:rPr>
        <w:rFonts w:ascii="Calibri" w:hAnsi="Calibri" w:cs="Calibri"/>
        <w:b/>
        <w:bCs/>
      </w:rPr>
      <w:fldChar w:fldCharType="end"/>
    </w:r>
    <w:r w:rsidRPr="00994382">
      <w:rPr>
        <w:rFonts w:ascii="Calibri" w:hAnsi="Calibri" w:cs="Calibri"/>
      </w:rPr>
      <w:ptab w:relativeTo="margin" w:alignment="center" w:leader="none"/>
    </w:r>
    <w:r w:rsidRPr="00994382">
      <w:rPr>
        <w:rFonts w:ascii="Calibri" w:hAnsi="Calibri" w:cs="Calibri"/>
      </w:rPr>
      <w:t xml:space="preserve">Effective Date: 05/06/2018 </w:t>
    </w:r>
    <w:r w:rsidRPr="00994382">
      <w:rPr>
        <w:rFonts w:ascii="Calibri" w:hAnsi="Calibri" w:cs="Calibri"/>
      </w:rPr>
      <w:ptab w:relativeTo="margin" w:alignment="right" w:leader="none"/>
    </w:r>
    <w:r w:rsidRPr="00994382">
      <w:rPr>
        <w:rFonts w:ascii="Calibri" w:hAnsi="Calibri" w:cs="Calibri"/>
      </w:rPr>
      <w:t>Version #: 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32A0" w14:textId="77777777" w:rsidR="004B63F3" w:rsidRDefault="004B63F3" w:rsidP="003549D1">
      <w:pPr>
        <w:spacing w:after="0" w:line="240" w:lineRule="auto"/>
      </w:pPr>
      <w:r>
        <w:separator/>
      </w:r>
    </w:p>
  </w:footnote>
  <w:footnote w:type="continuationSeparator" w:id="0">
    <w:p w14:paraId="3C0C0F29" w14:textId="77777777" w:rsidR="004B63F3" w:rsidRDefault="004B63F3" w:rsidP="0035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B6FF" w14:textId="77777777" w:rsidR="003549D1" w:rsidRDefault="003549D1" w:rsidP="0044590D">
    <w:pPr>
      <w:pStyle w:val="Header"/>
      <w:jc w:val="right"/>
    </w:pPr>
    <w:r>
      <w:rPr>
        <w:noProof/>
      </w:rPr>
      <w:drawing>
        <wp:inline distT="0" distB="0" distL="0" distR="0" wp14:anchorId="2F267F11" wp14:editId="72E58C75">
          <wp:extent cx="304800" cy="601980"/>
          <wp:effectExtent l="0" t="0" r="0" b="762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ndp-30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8" b="14363"/>
                  <a:stretch/>
                </pic:blipFill>
                <pic:spPr bwMode="auto">
                  <a:xfrm>
                    <a:off x="0" y="0"/>
                    <a:ext cx="309373" cy="6110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81605"/>
    <w:multiLevelType w:val="hybridMultilevel"/>
    <w:tmpl w:val="DC5C7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D1"/>
    <w:rsid w:val="00315AFF"/>
    <w:rsid w:val="003549D1"/>
    <w:rsid w:val="004B63F3"/>
    <w:rsid w:val="007925D9"/>
    <w:rsid w:val="00994382"/>
    <w:rsid w:val="00C61B9D"/>
    <w:rsid w:val="00D61E16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90F7"/>
  <w15:chartTrackingRefBased/>
  <w15:docId w15:val="{AFFF57A4-5443-4202-A78A-30DB2C3F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9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49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9D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549D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49D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549D1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549D1"/>
  </w:style>
  <w:style w:type="paragraph" w:styleId="Revision">
    <w:name w:val="Revision"/>
    <w:hidden/>
    <w:uiPriority w:val="99"/>
    <w:semiHidden/>
    <w:rsid w:val="0035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2026-05-14T22:22:00Z</dcterms:created>
  <dcterms:modified xsi:type="dcterms:W3CDTF">2026-05-14T22:31:00Z</dcterms:modified>
</cp:coreProperties>
</file>