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2929" w14:textId="77777777" w:rsidR="00283351" w:rsidRPr="008E15A6" w:rsidRDefault="00283351" w:rsidP="00283351">
      <w:pPr>
        <w:shd w:val="clear" w:color="auto" w:fill="FFFFFF"/>
        <w:spacing w:after="0" w:line="240" w:lineRule="auto"/>
        <w:jc w:val="both"/>
        <w:textAlignment w:val="top"/>
        <w:rPr>
          <w:rFonts w:ascii="Calibri" w:eastAsia="MS Mincho"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Envío por traslado</w:t>
      </w:r>
    </w:p>
    <w:p w14:paraId="673AB92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2DEBE6D" w14:textId="3406A604" w:rsidR="00283351" w:rsidRPr="008E15A6" w:rsidRDefault="00283351" w:rsidP="00283351">
      <w:pPr>
        <w:shd w:val="clear" w:color="auto" w:fill="FFFFFF"/>
        <w:spacing w:after="0" w:line="240" w:lineRule="auto"/>
        <w:jc w:val="both"/>
        <w:textAlignment w:val="top"/>
        <w:rPr>
          <w:rFonts w:ascii="Calibri" w:eastAsia="Times New Roman" w:hAnsi="Calibri" w:cs="Arial"/>
          <w:vanish/>
          <w:kern w:val="0"/>
          <w:lang w:val="es-ES" w:eastAsia="es-ES" w:bidi="es-ES"/>
          <w14:ligatures w14:val="none"/>
        </w:rPr>
      </w:pPr>
      <w:r w:rsidRPr="008E15A6">
        <w:rPr>
          <w:rFonts w:ascii="Calibri" w:eastAsia="MS Mincho" w:hAnsi="Calibri" w:cs="Times New Roman"/>
          <w:vanish/>
          <w:kern w:val="0"/>
          <w:lang w:val="es-ES" w:eastAsia="es-ES" w:bidi="es-ES"/>
          <w14:ligatures w14:val="none"/>
        </w:rPr>
        <w:t>Element</w:t>
      </w:r>
      <w:r w:rsidR="009C35CD" w:rsidRPr="008E15A6">
        <w:rPr>
          <w:rFonts w:ascii="Calibri" w:eastAsia="MS Mincho" w:hAnsi="Calibri" w:cs="Times New Roman"/>
          <w:vanish/>
          <w:kern w:val="0"/>
          <w:lang w:val="es-ES" w:eastAsia="es-ES" w:bidi="es-ES"/>
          <w14:ligatures w14:val="none"/>
        </w:rPr>
        <w:t>o Estructura</w:t>
      </w:r>
      <w:r w:rsidRPr="008E15A6">
        <w:rPr>
          <w:rFonts w:ascii="Calibri" w:eastAsia="MS Mincho" w:hAnsi="Calibri" w:cs="Times New Roman"/>
          <w:vanish/>
          <w:kern w:val="0"/>
          <w:lang w:val="es-ES" w:eastAsia="es-ES" w:bidi="es-ES"/>
          <w14:ligatures w14:val="none"/>
        </w:rPr>
        <w:t xml:space="preserve"> - </w:t>
      </w:r>
      <w:r w:rsidR="009C35CD" w:rsidRPr="008E15A6">
        <w:rPr>
          <w:rFonts w:ascii="Calibri" w:eastAsia="MS Mincho" w:hAnsi="Calibri" w:cs="Times New Roman"/>
          <w:vanish/>
          <w:kern w:val="0"/>
          <w:lang w:val="es-ES" w:eastAsia="es-ES" w:bidi="es-ES"/>
          <w14:ligatures w14:val="none"/>
        </w:rPr>
        <w:t>Políticas Relevantes</w:t>
      </w:r>
    </w:p>
    <w:p w14:paraId="463C3596"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viajan por un nombramiento inicial, reasignación y repatriación reciben una prestación de envío por traslado en forma de una suma fija que se determina por la cantidad de familiares a cargo autorizados para viajar con el miembro del personal, si es que hay alguno. La suma fija se basa en el estado reconocido del miembro del personal en el momento del traslado y se paga en forma anticipada al traslado. </w:t>
      </w:r>
    </w:p>
    <w:p w14:paraId="0EE09B1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9AB059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Se espera que el personal que recibe la suma fija del envío por traslado coordine el envío por sus propios medios y gestione sus propios traslados junto con todos los gastos relacionados en los que incurra durante el traslado, incluidos los aranceles aduaneros o las primas del seguro.</w:t>
      </w:r>
    </w:p>
    <w:p w14:paraId="11026732" w14:textId="77777777" w:rsidR="00283351" w:rsidRPr="008E15A6" w:rsidRDefault="00283351" w:rsidP="00283351">
      <w:pPr>
        <w:ind w:left="720"/>
        <w:contextualSpacing/>
        <w:rPr>
          <w:rFonts w:ascii="Calibri" w:eastAsia="Times New Roman" w:hAnsi="Calibri" w:cs="Arial"/>
          <w:kern w:val="0"/>
          <w:lang w:val="es-ES" w:eastAsia="es-ES" w:bidi="es-ES"/>
          <w14:ligatures w14:val="none"/>
        </w:rPr>
      </w:pPr>
    </w:p>
    <w:p w14:paraId="243DADE0" w14:textId="4A67AB71"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se aplica la opción de suma fija, no deberá reconocerse ningún cambio en la prestación hasta el próximo traslado del miembro del personal. Por ejemplo, </w:t>
      </w:r>
      <w:r w:rsidR="008E15A6" w:rsidRPr="008E15A6">
        <w:rPr>
          <w:rFonts w:ascii="Calibri" w:eastAsia="MS Mincho" w:hAnsi="Calibri" w:cs="Times New Roman"/>
          <w:kern w:val="0"/>
          <w:lang w:val="es-ES" w:eastAsia="es-ES" w:bidi="es-ES"/>
          <w14:ligatures w14:val="none"/>
        </w:rPr>
        <w:t>si miembros</w:t>
      </w:r>
      <w:r w:rsidRPr="008E15A6">
        <w:rPr>
          <w:rFonts w:ascii="Calibri" w:eastAsia="MS Mincho" w:hAnsi="Calibri" w:cs="Times New Roman"/>
          <w:kern w:val="0"/>
          <w:lang w:val="es-ES" w:eastAsia="es-ES" w:bidi="es-ES"/>
          <w14:ligatures w14:val="none"/>
        </w:rPr>
        <w:t xml:space="preserve"> del personal se casa</w:t>
      </w:r>
      <w:r w:rsidR="00496FF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durante su asignación, la organización no proporcionará ningún dinero adicional para trasladar al cónyuge en medio de la asignación. Sin embargo, en el siguiente traslado oficial, se pagará el monto del familiar a cargo. </w:t>
      </w:r>
    </w:p>
    <w:p w14:paraId="6D44338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C78C07D"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PNUD (Programa de las Naciones Unidas para el Desarrollo) puede, de manera excepcional, realizar arreglos de envío en lugar de proporcionar la suma fija de envío por traslado. El envío excepcional asistido por la organización se basa en un contenedor de 20 pies y 40 pies para el personal con y sin familiares a cargo respectivamente. </w:t>
      </w:r>
      <w:r w:rsidRPr="008E15A6">
        <w:rPr>
          <w:rFonts w:ascii="Calibri" w:eastAsia="MS Mincho" w:hAnsi="Calibri" w:cs="Times New Roman"/>
          <w:b/>
          <w:kern w:val="0"/>
          <w:lang w:val="es-ES" w:eastAsia="es-ES" w:bidi="es-ES"/>
          <w14:ligatures w14:val="none"/>
        </w:rPr>
        <w:t>Esto no rige para mudanzas de un lugar de destino a otro dentro del mismo país.</w:t>
      </w:r>
    </w:p>
    <w:p w14:paraId="6F7D798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BAB8B6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para el envío no acompañado de efectos personales es la siguiente:</w:t>
      </w:r>
    </w:p>
    <w:p w14:paraId="3F0FCF2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sz w:val="18"/>
          <w:lang w:val="es-ES" w:eastAsia="es-ES" w:bidi="es-ES"/>
          <w14:ligatures w14:val="none"/>
        </w:rPr>
      </w:pPr>
    </w:p>
    <w:tbl>
      <w:tblPr>
        <w:tblW w:w="8640" w:type="dxa"/>
        <w:tblInd w:w="828" w:type="dxa"/>
        <w:tblLayout w:type="fixed"/>
        <w:tblCellMar>
          <w:left w:w="0" w:type="dxa"/>
          <w:right w:w="0" w:type="dxa"/>
        </w:tblCellMar>
        <w:tblLook w:val="04A0" w:firstRow="1" w:lastRow="0" w:firstColumn="1" w:lastColumn="0" w:noHBand="0" w:noVBand="1"/>
      </w:tblPr>
      <w:tblGrid>
        <w:gridCol w:w="2970"/>
        <w:gridCol w:w="4050"/>
        <w:gridCol w:w="1620"/>
      </w:tblGrid>
      <w:tr w:rsidR="008E15A6" w:rsidRPr="008E15A6" w14:paraId="39A4DD80" w14:textId="77777777" w:rsidTr="00283351">
        <w:trPr>
          <w:trHeight w:val="822"/>
          <w:tblHeader/>
        </w:trPr>
        <w:tc>
          <w:tcPr>
            <w:tcW w:w="29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8AD1C0" w14:textId="77777777" w:rsidR="00283351" w:rsidRPr="008E15A6" w:rsidRDefault="00283351" w:rsidP="00283351">
            <w:pPr>
              <w:spacing w:after="0" w:line="240" w:lineRule="auto"/>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Tipo de nombramiento/</w:t>
            </w:r>
          </w:p>
          <w:p w14:paraId="549D90A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Reasignación </w:t>
            </w:r>
          </w:p>
        </w:tc>
        <w:tc>
          <w:tcPr>
            <w:tcW w:w="40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C2878B"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Envío limitado o asistido por la organización</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D6C088" w14:textId="77777777" w:rsidR="00283351" w:rsidRPr="008E15A6" w:rsidRDefault="00283351" w:rsidP="00283351">
            <w:pPr>
              <w:spacing w:after="0" w:line="240" w:lineRule="auto"/>
              <w:rPr>
                <w:rFonts w:ascii="Calibri" w:eastAsia="Times New Roman" w:hAnsi="Calibri" w:cs="Arial"/>
                <w:kern w:val="0"/>
                <w:rtl/>
                <w:lang w:val="es-ES" w:eastAsia="es-ES" w:bidi="es-ES"/>
                <w14:ligatures w14:val="none"/>
              </w:rPr>
            </w:pPr>
            <w:r w:rsidRPr="008E15A6">
              <w:rPr>
                <w:rFonts w:ascii="Calibri" w:eastAsia="MS Mincho" w:hAnsi="Calibri" w:cs="Times New Roman"/>
                <w:b/>
                <w:kern w:val="0"/>
                <w:lang w:val="es-ES" w:eastAsia="es-ES" w:bidi="es-ES"/>
                <w14:ligatures w14:val="none"/>
              </w:rPr>
              <w:t>Suma fija</w:t>
            </w:r>
          </w:p>
        </w:tc>
      </w:tr>
      <w:tr w:rsidR="008E15A6" w:rsidRPr="008E15A6" w14:paraId="390DC8A4" w14:textId="77777777" w:rsidTr="009F5D71">
        <w:trPr>
          <w:trHeight w:val="50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244E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Reasignaciones dentro de la distancia al lugar de trabajo del lugar de destino actual.</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A1DC0"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3FB55"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r>
      <w:tr w:rsidR="008E15A6" w:rsidRPr="008E15A6" w14:paraId="07921D3E" w14:textId="77777777" w:rsidTr="009F5D71">
        <w:trPr>
          <w:trHeight w:val="925"/>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7107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 de un año o más (nombramiento de plazo fijo, FTA)</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FC41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40 pies (tarifa familiar)</w:t>
            </w:r>
          </w:p>
          <w:p w14:paraId="4D32101A"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20 pies (tarifa individual)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0914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18 000 (tarifa familiar)</w:t>
            </w:r>
          </w:p>
          <w:p w14:paraId="6EF351B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13 000 (tarifa individual)</w:t>
            </w:r>
          </w:p>
        </w:tc>
      </w:tr>
      <w:tr w:rsidR="008E15A6" w:rsidRPr="008E15A6" w14:paraId="5E7DB777" w14:textId="77777777" w:rsidTr="009F5D71">
        <w:trPr>
          <w:trHeight w:val="547"/>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88581" w14:textId="57F556B5"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Nombramiento/reasignación de menos de 1 año FTA o asignación temporal (TA) </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incluidos los funcionarios subalternos del cuadro orgánico (FSCO)</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93428" w14:textId="5C087F97" w:rsidR="00283351" w:rsidRPr="008E15A6" w:rsidRDefault="00283351" w:rsidP="008E15A6">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100 kg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2BDF2" w14:textId="01B78C02"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w:t>
            </w:r>
            <w:r w:rsidR="00AF5BAF" w:rsidRPr="008E15A6">
              <w:rPr>
                <w:rFonts w:ascii="Calibri" w:eastAsia="MS Mincho" w:hAnsi="Calibri" w:cs="Times New Roman"/>
                <w:kern w:val="0"/>
                <w:lang w:val="es-ES" w:eastAsia="es-ES" w:bidi="es-ES"/>
                <w14:ligatures w14:val="none"/>
              </w:rPr>
              <w:t>5</w:t>
            </w:r>
            <w:r w:rsidRPr="008E15A6">
              <w:rPr>
                <w:rFonts w:ascii="Calibri" w:eastAsia="MS Mincho" w:hAnsi="Calibri" w:cs="Times New Roman"/>
                <w:kern w:val="0"/>
                <w:lang w:val="es-ES" w:eastAsia="es-ES" w:bidi="es-ES"/>
                <w14:ligatures w14:val="none"/>
              </w:rPr>
              <w:t>00</w:t>
            </w:r>
          </w:p>
        </w:tc>
      </w:tr>
      <w:tr w:rsidR="008E15A6" w:rsidRPr="008E15A6" w14:paraId="11542196" w14:textId="77777777" w:rsidTr="009F5D71">
        <w:trPr>
          <w:trHeight w:val="183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4462C"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Nombramiento/reasignación dentro del país (FTA)</w:t>
            </w:r>
          </w:p>
          <w:p w14:paraId="1134B5B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(sin familia)</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BFC0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1000 kg para el miembro del personal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F99FD"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p w14:paraId="1C7360C5"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p>
        </w:tc>
      </w:tr>
      <w:tr w:rsidR="008E15A6" w:rsidRPr="008E15A6" w14:paraId="70C36DC1" w14:textId="77777777" w:rsidTr="009F5D71">
        <w:trPr>
          <w:trHeight w:val="1536"/>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93DEC"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Nombramiento/reasignación dentro del país (FTA)</w:t>
            </w:r>
          </w:p>
          <w:p w14:paraId="08E97D0D"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(lugares de destino aptos para familias)</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F07E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1000 kg para un miembro del personal </w:t>
            </w:r>
          </w:p>
          <w:p w14:paraId="3E9015B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500 kg para el 1.</w:t>
            </w:r>
            <w:r w:rsidRPr="008E15A6">
              <w:rPr>
                <w:rFonts w:ascii="Calibri" w:eastAsia="MS Mincho" w:hAnsi="Calibri" w:cs="Times New Roman"/>
                <w:kern w:val="0"/>
                <w:vertAlign w:val="superscript"/>
                <w:lang w:val="es-ES" w:eastAsia="es-ES" w:bidi="es-ES"/>
                <w14:ligatures w14:val="none"/>
              </w:rPr>
              <w:t>er</w:t>
            </w:r>
            <w:r w:rsidRPr="008E15A6">
              <w:rPr>
                <w:rFonts w:ascii="Calibri" w:eastAsia="MS Mincho" w:hAnsi="Calibri" w:cs="Times New Roman"/>
                <w:kern w:val="0"/>
                <w:lang w:val="es-ES" w:eastAsia="es-ES" w:bidi="es-ES"/>
                <w14:ligatures w14:val="none"/>
              </w:rPr>
              <w:t xml:space="preserve"> familiar a cargo</w:t>
            </w:r>
          </w:p>
          <w:p w14:paraId="389F0386"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 para el siguiente familiar a cargo</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7076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r>
      <w:tr w:rsidR="008E15A6" w:rsidRPr="008E15A6" w14:paraId="044DBD66" w14:textId="77777777" w:rsidTr="009F5D71">
        <w:trPr>
          <w:trHeight w:val="52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66A9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Nombramiento/reasignación (FSCO)</w:t>
            </w:r>
          </w:p>
        </w:tc>
        <w:tc>
          <w:tcPr>
            <w:tcW w:w="4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3146B"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 600 kg para FSCO</w:t>
            </w:r>
          </w:p>
          <w:p w14:paraId="72731B3E"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250 kg para el 1.</w:t>
            </w:r>
            <w:r w:rsidRPr="008E15A6">
              <w:rPr>
                <w:rFonts w:ascii="Calibri" w:eastAsia="MS Mincho" w:hAnsi="Calibri" w:cs="Times New Roman"/>
                <w:kern w:val="0"/>
                <w:vertAlign w:val="superscript"/>
                <w:lang w:val="es-ES" w:eastAsia="es-ES" w:bidi="es-ES"/>
                <w14:ligatures w14:val="none"/>
              </w:rPr>
              <w:t>er</w:t>
            </w:r>
            <w:r w:rsidRPr="008E15A6">
              <w:rPr>
                <w:rFonts w:ascii="Calibri" w:eastAsia="MS Mincho" w:hAnsi="Calibri" w:cs="Times New Roman"/>
                <w:kern w:val="0"/>
                <w:lang w:val="es-ES" w:eastAsia="es-ES" w:bidi="es-ES"/>
                <w14:ligatures w14:val="none"/>
              </w:rPr>
              <w:t xml:space="preserve"> familiar a cargo</w:t>
            </w:r>
          </w:p>
          <w:p w14:paraId="44E91993"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150 kg para cada familiar a cargo adicional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70694" w14:textId="6447C4C8"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10</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800</w:t>
            </w:r>
          </w:p>
          <w:p w14:paraId="00141E0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(tarifa familiar)</w:t>
            </w:r>
          </w:p>
          <w:p w14:paraId="1ECFD5B8" w14:textId="710E07BF"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7</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800</w:t>
            </w:r>
          </w:p>
          <w:p w14:paraId="2646C70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(tarifa individual)</w:t>
            </w:r>
          </w:p>
        </w:tc>
      </w:tr>
    </w:tbl>
    <w:p w14:paraId="1E058BB8" w14:textId="77777777" w:rsidR="00283351" w:rsidRPr="008E15A6" w:rsidRDefault="00283351" w:rsidP="00283351">
      <w:pPr>
        <w:shd w:val="clear" w:color="auto" w:fill="FFFFFF"/>
        <w:spacing w:after="0" w:line="240" w:lineRule="auto"/>
        <w:jc w:val="both"/>
        <w:textAlignment w:val="top"/>
        <w:rPr>
          <w:rFonts w:ascii="Arial" w:eastAsia="Times New Roman" w:hAnsi="Arial" w:cs="Arial"/>
          <w:kern w:val="0"/>
          <w:lang w:val="es-ES" w:eastAsia="es-ES" w:bidi="es-ES"/>
          <w14:ligatures w14:val="none"/>
        </w:rPr>
      </w:pPr>
    </w:p>
    <w:p w14:paraId="55CDD38E"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envío de un miembro del personal se considera dentro de la prestación si el envío o el total de los envíos están dentro del peso autorizado.</w:t>
      </w:r>
    </w:p>
    <w:p w14:paraId="5439D3E3"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49829B7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 prestación de envío se expresa en términos de </w:t>
      </w:r>
      <w:proofErr w:type="gramStart"/>
      <w:r w:rsidRPr="008E15A6">
        <w:rPr>
          <w:rFonts w:ascii="Calibri" w:eastAsia="MS Mincho" w:hAnsi="Calibri" w:cs="Times New Roman"/>
          <w:kern w:val="0"/>
          <w:lang w:val="es-ES" w:eastAsia="es-ES" w:bidi="es-ES"/>
          <w14:ligatures w14:val="none"/>
        </w:rPr>
        <w:t>peso neto o volumen neto</w:t>
      </w:r>
      <w:proofErr w:type="gramEnd"/>
      <w:r w:rsidRPr="008E15A6">
        <w:rPr>
          <w:rFonts w:ascii="Calibri" w:eastAsia="MS Mincho" w:hAnsi="Calibri" w:cs="Times New Roman"/>
          <w:kern w:val="0"/>
          <w:lang w:val="es-ES" w:eastAsia="es-ES" w:bidi="es-ES"/>
          <w14:ligatures w14:val="none"/>
        </w:rPr>
        <w:t xml:space="preserve">, que incluye el </w:t>
      </w:r>
      <w:proofErr w:type="gramStart"/>
      <w:r w:rsidRPr="008E15A6">
        <w:rPr>
          <w:rFonts w:ascii="Calibri" w:eastAsia="MS Mincho" w:hAnsi="Calibri" w:cs="Times New Roman"/>
          <w:kern w:val="0"/>
          <w:lang w:val="es-ES" w:eastAsia="es-ES" w:bidi="es-ES"/>
          <w14:ligatures w14:val="none"/>
        </w:rPr>
        <w:t>embalaje</w:t>
      </w:r>
      <w:proofErr w:type="gramEnd"/>
      <w:r w:rsidRPr="008E15A6">
        <w:rPr>
          <w:rFonts w:ascii="Calibri" w:eastAsia="MS Mincho" w:hAnsi="Calibri" w:cs="Times New Roman"/>
          <w:kern w:val="0"/>
          <w:lang w:val="es-ES" w:eastAsia="es-ES" w:bidi="es-ES"/>
          <w14:ligatures w14:val="none"/>
        </w:rPr>
        <w:t xml:space="preserve"> pero no el peso de jaulas y cajones.</w:t>
      </w:r>
    </w:p>
    <w:p w14:paraId="3293ACB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por traslado para el transporte total de efectos personales y bienes del hogar </w:t>
      </w:r>
    </w:p>
    <w:p w14:paraId="66563CC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565822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Puede otorgarse una prestación para el transporte total de efectos personales y bienes del hogar en los siguientes casos:</w:t>
      </w:r>
    </w:p>
    <w:p w14:paraId="723E8A99" w14:textId="77777777" w:rsidR="00283351" w:rsidRPr="008E15A6" w:rsidRDefault="00283351" w:rsidP="008E15A6">
      <w:pPr>
        <w:numPr>
          <w:ilvl w:val="0"/>
          <w:numId w:val="11"/>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 a un lugar de destino en la Sede, en el que no se espera que el miembro del personal sea reasignado, por un período continuo que se espera que sea de dos años o más; y</w:t>
      </w:r>
    </w:p>
    <w:p w14:paraId="64580285" w14:textId="77777777" w:rsidR="00283351" w:rsidRPr="008E15A6" w:rsidRDefault="00283351" w:rsidP="008E15A6">
      <w:pPr>
        <w:numPr>
          <w:ilvl w:val="0"/>
          <w:numId w:val="11"/>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Separación de un miembro del personal que tuvo un nombramiento de dos años o más o que completó dos años de servicio en un lugar de destino en la Sede, y en el que se estableció una prestación para el transporte total de efectos personales y bienes del hogar en el momento del nombramiento inicial. El envío dividido debe efectuarse antes de que transcurra un año a partir de la fecha de separación.</w:t>
      </w:r>
    </w:p>
    <w:p w14:paraId="1F659ABC" w14:textId="77777777" w:rsidR="00283351" w:rsidRDefault="00283351" w:rsidP="008E15A6">
      <w:pPr>
        <w:shd w:val="clear" w:color="auto" w:fill="FFFFFF"/>
        <w:spacing w:after="0" w:line="240" w:lineRule="auto"/>
        <w:ind w:left="1080" w:hanging="360"/>
        <w:jc w:val="both"/>
        <w:textAlignment w:val="top"/>
        <w:rPr>
          <w:rFonts w:ascii="Calibri" w:eastAsia="Times New Roman" w:hAnsi="Calibri" w:cs="Arial"/>
          <w:kern w:val="0"/>
          <w:lang w:val="es-ES" w:eastAsia="es-ES" w:bidi="es-ES"/>
          <w14:ligatures w14:val="none"/>
        </w:rPr>
      </w:pPr>
    </w:p>
    <w:p w14:paraId="17EDDFC9" w14:textId="77777777" w:rsidR="00283351" w:rsidRPr="008E15A6" w:rsidRDefault="00283351" w:rsidP="00E35885">
      <w:pPr>
        <w:numPr>
          <w:ilvl w:val="0"/>
          <w:numId w:val="14"/>
        </w:numPr>
        <w:shd w:val="clear" w:color="auto" w:fill="FFFFFF"/>
        <w:spacing w:after="0" w:line="240" w:lineRule="auto"/>
        <w:ind w:hanging="27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peso y/o volumen máximo para los cuales existe la prestación para el transporte a cargo del PNUD es el siguiente:</w:t>
      </w:r>
    </w:p>
    <w:p w14:paraId="1BAEF26C" w14:textId="219FBF45" w:rsidR="00283351" w:rsidRPr="008E15A6" w:rsidRDefault="00283351" w:rsidP="008B40D8">
      <w:pPr>
        <w:numPr>
          <w:ilvl w:val="0"/>
          <w:numId w:val="12"/>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un miembro del personal sin un cónyuge o hijo</w:t>
      </w:r>
      <w:r w:rsidR="00C76D05"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un contenedor de 20 pies (equivalente a 33.2 metros cúbicos), incluido el peso o el volumen del embalaje pero sin incluir jaulas y cajones; y</w:t>
      </w:r>
    </w:p>
    <w:p w14:paraId="2196C8E4" w14:textId="1763A88B" w:rsidR="00283351" w:rsidRPr="008E15A6" w:rsidRDefault="00283351" w:rsidP="008B40D8">
      <w:pPr>
        <w:numPr>
          <w:ilvl w:val="0"/>
          <w:numId w:val="12"/>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Para un miembro del personal con un cónyuge o hijo</w:t>
      </w:r>
      <w:r w:rsidR="00C76D05"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que reside en el lugar de destino oficial, un contenedor de 40 pies (equivalente a 67.7 metros cúbicos), incluido el peso o el volumen del embalaje pero sin incluir jaulas y cajones.</w:t>
      </w:r>
    </w:p>
    <w:p w14:paraId="30A59A6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C208D5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Un miembro del personal con derecho al transporte total puede convertir parte de la prestación en un envío anticipado de efectos personales, por el medio más económico, hasta un máximo, incluido el peso o el volumen del embalaje pero sin incluir jaulas y cajones, de lo siguiente:</w:t>
      </w:r>
    </w:p>
    <w:p w14:paraId="67DB70D0"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450 kg (990 lb) o 2.80 metros cúbicos (99 pies cúbicos) para el miembro del personal;</w:t>
      </w:r>
    </w:p>
    <w:p w14:paraId="6883C176"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 (660 lb) o 1.87 metros cúbicos (66 pies cúbicos) para el primer familiar que reúna las condiciones; y</w:t>
      </w:r>
    </w:p>
    <w:p w14:paraId="21A1CD45"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150 kg (330 lb) o 0.93 metros cúbicos (33 pies cúbicos) para cada familiar adicional que reúna las condiciones autorizado para viajar a cargo del PNUD.</w:t>
      </w:r>
    </w:p>
    <w:p w14:paraId="574C9E2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15BAF4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la conversión a transporte aéreo, véanse las disposiciones para el envío dividido más arriba. El peso de un envío anticipado se deducirá del peso o volumen máximo al cual tiene derecho el miembro del personal para el transporte de bienes del hogar.</w:t>
      </w:r>
    </w:p>
    <w:p w14:paraId="255F4B3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3D49D4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ambos cónyuges son miembros del personal del PNUD u otra organización del régimen común de las Naciones Unidas y cada uno tiene derecho al transporte total de los bienes del hogar, el peso o volumen máximo que puede transportarse a cargo del PNUD para ambos es el establecido para un miembro del personal con un cónyuge o hijo(s) a cargo que residen en el lugar de destino oficial. </w:t>
      </w:r>
    </w:p>
    <w:p w14:paraId="1EA3482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Almacenamiento de efectos personales y bienes del hogar</w:t>
      </w:r>
    </w:p>
    <w:p w14:paraId="79149879"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Times New Roman" w:hAnsi="Calibri" w:cs="Arial"/>
          <w:kern w:val="0"/>
          <w:u w:val="single"/>
          <w:lang w:val="es-ES" w:eastAsia="es-ES" w:bidi="es-ES"/>
          <w14:ligatures w14:val="none"/>
        </w:rPr>
        <w:br/>
      </w:r>
      <w:r w:rsidRPr="008E15A6">
        <w:rPr>
          <w:rFonts w:ascii="Calibri" w:eastAsia="MS Mincho" w:hAnsi="Calibri" w:cs="Times New Roman"/>
          <w:b/>
          <w:kern w:val="0"/>
          <w:lang w:val="es-ES" w:eastAsia="es-ES" w:bidi="es-ES"/>
          <w14:ligatures w14:val="none"/>
        </w:rPr>
        <w:t>Cargos de almacenamiento en casos de transporte total de efectos personales</w:t>
      </w:r>
    </w:p>
    <w:p w14:paraId="262A47A7"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F0BA88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un miembro del personal con una prestación de transporte total se asigna a un lugar de destino no apto para familias, el PNUD paga los costos de almacenamiento de los efectos personales y bienes del hogar y otros cargos pertinentes, incluido el costo del seguro, sujeto a las condiciones y hasta el máximo estipulados anteriormente. </w:t>
      </w:r>
    </w:p>
    <w:p w14:paraId="3D4C7112"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89AA45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cantidad de bienes autorizados para el almacenamiento no debe exceder la diferencia entre la prestación máxima de envío del miembro del personal y la cantidad realmente enviada.</w:t>
      </w:r>
    </w:p>
    <w:p w14:paraId="1F9E9D08" w14:textId="77777777" w:rsidR="00283351" w:rsidRPr="008E15A6" w:rsidRDefault="00283351" w:rsidP="00283351">
      <w:pPr>
        <w:ind w:left="720"/>
        <w:contextualSpacing/>
        <w:rPr>
          <w:rFonts w:ascii="Calibri" w:eastAsia="Times New Roman" w:hAnsi="Calibri" w:cs="Arial"/>
          <w:kern w:val="0"/>
          <w:lang w:val="es-ES" w:eastAsia="es-ES" w:bidi="es-ES"/>
          <w14:ligatures w14:val="none"/>
        </w:rPr>
      </w:pPr>
    </w:p>
    <w:p w14:paraId="22FAFB1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Si se autoriza el almacenamiento, el PNUD pagará los cargos de almacenamiento hasta cinco años después de la fecha de entrada en vigor de la asignación del miembro del personal. Cuando la asignación del miembro del personal se extiende por más de cinco años por un período de hasta dos años en el mismo lugar de destino, el PNUD continuará pagando los cargos de almacenamiento durante el período de dicha extensión. </w:t>
      </w:r>
    </w:p>
    <w:p w14:paraId="62138D6C" w14:textId="77777777" w:rsidR="00965E1E" w:rsidRDefault="00965E1E" w:rsidP="00283351">
      <w:pPr>
        <w:shd w:val="clear" w:color="auto" w:fill="FFFFFF"/>
        <w:spacing w:after="0" w:line="240" w:lineRule="auto"/>
        <w:ind w:left="720"/>
        <w:jc w:val="both"/>
        <w:textAlignment w:val="top"/>
        <w:rPr>
          <w:rFonts w:ascii="Calibri" w:eastAsia="MS Mincho" w:hAnsi="Calibri" w:cs="Times New Roman"/>
          <w:b/>
          <w:kern w:val="0"/>
          <w:lang w:val="es-ES" w:eastAsia="es-ES" w:bidi="es-ES"/>
          <w14:ligatures w14:val="none"/>
        </w:rPr>
      </w:pPr>
    </w:p>
    <w:p w14:paraId="117EC01A" w14:textId="16C36C04"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Cargos de almacenamiento en casos de transporte que no sea total</w:t>
      </w:r>
    </w:p>
    <w:p w14:paraId="469C61C3"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p>
    <w:p w14:paraId="785F5825" w14:textId="5985C02A"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PNUD puede pagar los costos de almacenamiento en el lugar de destino anterior </w:t>
      </w:r>
      <w:r w:rsidR="00410B9F" w:rsidRPr="008E15A6">
        <w:rPr>
          <w:rFonts w:ascii="Calibri" w:eastAsia="MS Mincho" w:hAnsi="Calibri" w:cs="Times New Roman"/>
          <w:kern w:val="0"/>
          <w:lang w:val="es-ES" w:eastAsia="es-ES" w:bidi="es-ES"/>
          <w14:ligatures w14:val="none"/>
        </w:rPr>
        <w:t>cuando miembros</w:t>
      </w:r>
      <w:r w:rsidRPr="008E15A6">
        <w:rPr>
          <w:rFonts w:ascii="Calibri" w:eastAsia="MS Mincho" w:hAnsi="Calibri" w:cs="Times New Roman"/>
          <w:kern w:val="0"/>
          <w:lang w:val="es-ES" w:eastAsia="es-ES" w:bidi="es-ES"/>
          <w14:ligatures w14:val="none"/>
        </w:rPr>
        <w:t xml:space="preserve"> del personal complete</w:t>
      </w:r>
      <w:r w:rsidR="00C76D05"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su asignación en un lugar de destino y abandone el lugar de </w:t>
      </w:r>
      <w:r w:rsidRPr="008E15A6">
        <w:rPr>
          <w:rFonts w:ascii="Calibri" w:eastAsia="MS Mincho" w:hAnsi="Calibri" w:cs="Times New Roman"/>
          <w:kern w:val="0"/>
          <w:lang w:val="es-ES" w:eastAsia="es-ES" w:bidi="es-ES"/>
          <w14:ligatures w14:val="none"/>
        </w:rPr>
        <w:lastRenderedPageBreak/>
        <w:t>destino por vacaciones en el país de origen o asignación temporal y aún no se haya determinado su próximo lugar de destino.</w:t>
      </w:r>
    </w:p>
    <w:p w14:paraId="7CC56944"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Arial" w:eastAsia="Times New Roman" w:hAnsi="Arial"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Otras condiciones relacionadas con los cargos de almacenamiento</w:t>
      </w:r>
    </w:p>
    <w:p w14:paraId="3C645036"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p>
    <w:p w14:paraId="6F6600D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 cargos de almacenamiento no se pagan en el caso de misión u otras asignaciones que no impliquen un cambio de lugar de destino oficial. Los cargos de almacenamiento con respecto al envío de efectos personales y bienes del hogar mencionados no se reembolsan a menos que sean directamente inherentes al transporte de la partida.</w:t>
      </w:r>
      <w:r w:rsidRPr="008E15A6">
        <w:rPr>
          <w:rFonts w:ascii="Calibri" w:eastAsia="MS Mincho" w:hAnsi="Calibri" w:cs="Times New Roman"/>
          <w:vanish/>
          <w:kern w:val="0"/>
          <w:lang w:val="es-ES" w:eastAsia="es-ES" w:bidi="es-ES"/>
          <w14:ligatures w14:val="none"/>
        </w:rPr>
        <w:t>Structure Element - Templates and Forms</w:t>
      </w:r>
    </w:p>
    <w:p w14:paraId="373BB83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916C3C4"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Pérdida de la prestación para el envío por traslado</w:t>
      </w:r>
    </w:p>
    <w:p w14:paraId="4960E901" w14:textId="77777777" w:rsidR="00283351" w:rsidRPr="008E15A6" w:rsidRDefault="00283351" w:rsidP="0028335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010"/>
          <w:tab w:val="left" w:pos="8730"/>
        </w:tabs>
        <w:suppressAutoHyphens/>
        <w:spacing w:after="0" w:line="120" w:lineRule="exact"/>
        <w:ind w:left="1267" w:right="1260"/>
        <w:jc w:val="both"/>
        <w:rPr>
          <w:rFonts w:ascii="Calibri" w:eastAsia="Calibri" w:hAnsi="Calibri" w:cs="Arial"/>
          <w:spacing w:val="4"/>
          <w:w w:val="103"/>
          <w:kern w:val="14"/>
          <w:lang w:val="es-ES" w:eastAsia="es-ES" w:bidi="es-ES"/>
          <w14:ligatures w14:val="none"/>
        </w:rPr>
      </w:pPr>
    </w:p>
    <w:p w14:paraId="25D7AB0C" w14:textId="77777777" w:rsidR="00283351" w:rsidRPr="008E15A6" w:rsidRDefault="00283351" w:rsidP="0028335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010"/>
          <w:tab w:val="left" w:pos="8730"/>
        </w:tabs>
        <w:suppressAutoHyphens/>
        <w:spacing w:after="0" w:line="120" w:lineRule="exact"/>
        <w:ind w:left="1267" w:right="1260"/>
        <w:jc w:val="both"/>
        <w:rPr>
          <w:rFonts w:ascii="Calibri" w:eastAsia="Calibri" w:hAnsi="Calibri" w:cs="Arial"/>
          <w:spacing w:val="4"/>
          <w:w w:val="103"/>
          <w:kern w:val="14"/>
          <w:lang w:val="es-ES" w:eastAsia="es-ES" w:bidi="es-ES"/>
          <w14:ligatures w14:val="none"/>
        </w:rPr>
      </w:pPr>
    </w:p>
    <w:p w14:paraId="5DC9C379" w14:textId="29610923" w:rsidR="00283351" w:rsidRPr="008E15A6" w:rsidRDefault="00C76D05"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M</w:t>
      </w:r>
      <w:r w:rsidR="00283351" w:rsidRPr="008E15A6">
        <w:rPr>
          <w:rFonts w:ascii="Calibri" w:eastAsia="MS Mincho" w:hAnsi="Calibri" w:cs="Times New Roman"/>
          <w:kern w:val="0"/>
          <w:lang w:val="es-ES" w:eastAsia="es-ES" w:bidi="es-ES"/>
          <w14:ligatures w14:val="none"/>
        </w:rPr>
        <w:t>iembro</w:t>
      </w:r>
      <w:r w:rsidRPr="008E15A6">
        <w:rPr>
          <w:rFonts w:ascii="Calibri" w:eastAsia="MS Mincho" w:hAnsi="Calibri" w:cs="Times New Roman"/>
          <w:kern w:val="0"/>
          <w:lang w:val="es-ES" w:eastAsia="es-ES" w:bidi="es-ES"/>
          <w14:ligatures w14:val="none"/>
        </w:rPr>
        <w:t>s</w:t>
      </w:r>
      <w:r w:rsidR="00283351" w:rsidRPr="008E15A6">
        <w:rPr>
          <w:rFonts w:ascii="Calibri" w:eastAsia="MS Mincho" w:hAnsi="Calibri" w:cs="Times New Roman"/>
          <w:kern w:val="0"/>
          <w:lang w:val="es-ES" w:eastAsia="es-ES" w:bidi="es-ES"/>
          <w14:ligatures w14:val="none"/>
        </w:rPr>
        <w:t xml:space="preserve"> del personal que, luego de la separación del servicio, no tiene derecho a recibir el pago de los gastos de viaje de retorno para </w:t>
      </w:r>
      <w:r w:rsidRPr="008E15A6">
        <w:rPr>
          <w:rFonts w:ascii="Calibri" w:eastAsia="MS Mincho" w:hAnsi="Calibri" w:cs="Times New Roman"/>
          <w:kern w:val="0"/>
          <w:lang w:val="es-ES" w:eastAsia="es-ES" w:bidi="es-ES"/>
          <w14:ligatures w14:val="none"/>
        </w:rPr>
        <w:t>ellos mismos</w:t>
      </w:r>
      <w:r w:rsidR="00283351" w:rsidRPr="008E15A6">
        <w:rPr>
          <w:rFonts w:ascii="Calibri" w:eastAsia="MS Mincho" w:hAnsi="Calibri" w:cs="Times New Roman"/>
          <w:kern w:val="0"/>
          <w:lang w:val="es-ES" w:eastAsia="es-ES" w:bidi="es-ES"/>
          <w14:ligatures w14:val="none"/>
        </w:rPr>
        <w:t>, y sus familiares</w:t>
      </w:r>
      <w:r w:rsidRPr="008E15A6">
        <w:rPr>
          <w:rFonts w:ascii="Calibri" w:eastAsia="MS Mincho" w:hAnsi="Calibri" w:cs="Times New Roman"/>
          <w:kern w:val="0"/>
          <w:lang w:val="es-ES" w:eastAsia="es-ES" w:bidi="es-ES"/>
          <w14:ligatures w14:val="none"/>
        </w:rPr>
        <w:t xml:space="preserve"> elegibles</w:t>
      </w:r>
      <w:r w:rsidR="00283351" w:rsidRPr="008E15A6">
        <w:rPr>
          <w:rFonts w:ascii="Calibri" w:eastAsia="MS Mincho" w:hAnsi="Calibri" w:cs="Times New Roman"/>
          <w:kern w:val="0"/>
          <w:lang w:val="es-ES" w:eastAsia="es-ES" w:bidi="es-ES"/>
          <w14:ligatures w14:val="none"/>
        </w:rPr>
        <w:t xml:space="preserve"> que </w:t>
      </w:r>
      <w:proofErr w:type="spellStart"/>
      <w:r w:rsidR="00283351" w:rsidRPr="008E15A6">
        <w:rPr>
          <w:rFonts w:ascii="Calibri" w:eastAsia="MS Mincho" w:hAnsi="Calibri" w:cs="Times New Roman"/>
          <w:kern w:val="0"/>
          <w:lang w:val="es-ES" w:eastAsia="es-ES" w:bidi="es-ES"/>
          <w14:ligatures w14:val="none"/>
        </w:rPr>
        <w:t>r</w:t>
      </w:r>
      <w:r w:rsidRPr="008E15A6">
        <w:rPr>
          <w:rFonts w:ascii="Calibri" w:eastAsia="MS Mincho" w:hAnsi="Calibri" w:cs="Times New Roman"/>
          <w:kern w:val="0"/>
          <w:lang w:val="es-ES" w:eastAsia="es-ES" w:bidi="es-ES"/>
          <w14:ligatures w14:val="none"/>
        </w:rPr>
        <w:t>euna</w:t>
      </w:r>
      <w:r w:rsidR="00283351" w:rsidRPr="008E15A6">
        <w:rPr>
          <w:rFonts w:ascii="Calibri" w:eastAsia="MS Mincho" w:hAnsi="Calibri" w:cs="Times New Roman"/>
          <w:kern w:val="0"/>
          <w:lang w:val="es-ES" w:eastAsia="es-ES" w:bidi="es-ES"/>
          <w14:ligatures w14:val="none"/>
        </w:rPr>
        <w:t>n</w:t>
      </w:r>
      <w:proofErr w:type="spellEnd"/>
      <w:r w:rsidR="00283351" w:rsidRPr="008E15A6">
        <w:rPr>
          <w:rFonts w:ascii="Calibri" w:eastAsia="MS Mincho" w:hAnsi="Calibri" w:cs="Times New Roman"/>
          <w:kern w:val="0"/>
          <w:lang w:val="es-ES" w:eastAsia="es-ES" w:bidi="es-ES"/>
          <w14:ligatures w14:val="none"/>
        </w:rPr>
        <w:t xml:space="preserve"> las </w:t>
      </w:r>
      <w:r w:rsidR="00410B9F" w:rsidRPr="008E15A6">
        <w:rPr>
          <w:rFonts w:ascii="Calibri" w:eastAsia="MS Mincho" w:hAnsi="Calibri" w:cs="Times New Roman"/>
          <w:kern w:val="0"/>
          <w:lang w:val="es-ES" w:eastAsia="es-ES" w:bidi="es-ES"/>
          <w14:ligatures w14:val="none"/>
        </w:rPr>
        <w:t>condiciones necesarias</w:t>
      </w:r>
      <w:r w:rsidR="00283351" w:rsidRPr="008E15A6">
        <w:rPr>
          <w:rFonts w:ascii="Calibri" w:eastAsia="MS Mincho" w:hAnsi="Calibri" w:cs="Times New Roman"/>
          <w:kern w:val="0"/>
          <w:lang w:val="es-ES" w:eastAsia="es-ES" w:bidi="es-ES"/>
          <w14:ligatures w14:val="none"/>
        </w:rPr>
        <w:t>, no tendrá</w:t>
      </w:r>
      <w:r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derecho al pago del envío por traslado.</w:t>
      </w:r>
    </w:p>
    <w:p w14:paraId="205CEA2D"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2790856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Luego de la separación del servicio, la prestación para el envío por traslado cesará cuando el pago del envío por traslado tuviera como consecuencia la duplicación de prestaciones.  </w:t>
      </w:r>
    </w:p>
    <w:p w14:paraId="6E5BB8EE"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4FD278D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Luego de la separación del servicio, la prestación para el envío por traslado cesará si el envío no ha comenzado dentro un período de dos años a partir de la fecha de la separación.</w:t>
      </w:r>
    </w:p>
    <w:p w14:paraId="5872F65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4D6276A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ambos cónyuges son miembros del personal y el cónyuge que se separa primero tiene derecho al envío por traslado, su prestación no cesará hasta dos años después de la fecha de la separación del otro cónyuge.</w:t>
      </w:r>
    </w:p>
    <w:p w14:paraId="556F8E5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3B52C26"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Una renuncia luego de completar menos de un año (o dos años de servicio para el personal con derecho al envío por traslado con transporte total) dará como resultado la pérdida del envío por traslado.</w:t>
      </w:r>
    </w:p>
    <w:p w14:paraId="486B87A5"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603F969D"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Normalmente, en casos en los que por motivos no atribuibles al PNUD, el miembro del personal no completa el período de servicio con respecto al cual el PNUD ha pagado un envío por traslado o suma fija, estos costos pueden ajustarse de manera proporcional y puede realizarse la recuperación. El Director de la ORH (Oficina de Recursos Humanos) puede determinar que hay circunstancias de peso que no justifican la pérdida o el ajuste de la prestación de envío por traslado.</w:t>
      </w:r>
    </w:p>
    <w:p w14:paraId="0281DE6E" w14:textId="77777777" w:rsidR="00283351" w:rsidRPr="00283351" w:rsidRDefault="00283351" w:rsidP="00283351">
      <w:pPr>
        <w:shd w:val="clear" w:color="auto" w:fill="FFFFFF"/>
        <w:tabs>
          <w:tab w:val="left" w:pos="8100"/>
          <w:tab w:val="left" w:pos="9360"/>
        </w:tabs>
        <w:spacing w:after="0" w:line="240" w:lineRule="auto"/>
        <w:jc w:val="both"/>
        <w:textAlignment w:val="top"/>
        <w:rPr>
          <w:rFonts w:ascii="Calibri" w:eastAsia="Times New Roman" w:hAnsi="Calibri" w:cs="Arial"/>
          <w:b/>
          <w:bCs/>
          <w:color w:val="333333"/>
          <w:kern w:val="0"/>
          <w:lang w:val="es-ES" w:eastAsia="es-ES" w:bidi="es-ES"/>
          <w14:ligatures w14:val="none"/>
        </w:rPr>
      </w:pPr>
    </w:p>
    <w:p w14:paraId="4B3EC9D3" w14:textId="77777777" w:rsidR="00283351" w:rsidRPr="00283351" w:rsidRDefault="00283351" w:rsidP="00283351">
      <w:pPr>
        <w:shd w:val="clear" w:color="auto" w:fill="FFFFFF"/>
        <w:tabs>
          <w:tab w:val="left" w:pos="8100"/>
          <w:tab w:val="left" w:pos="9360"/>
        </w:tabs>
        <w:spacing w:after="0" w:line="240" w:lineRule="auto"/>
        <w:jc w:val="both"/>
        <w:textAlignment w:val="top"/>
        <w:rPr>
          <w:rFonts w:ascii="Calibri" w:eastAsia="Times New Roman" w:hAnsi="Calibri" w:cs="Arial"/>
          <w:b/>
          <w:bCs/>
          <w:color w:val="333333"/>
          <w:kern w:val="0"/>
          <w:lang w:val="es-ES" w:eastAsia="es-ES" w:bidi="es-ES"/>
          <w14:ligatures w14:val="none"/>
        </w:rPr>
      </w:pPr>
      <w:r w:rsidRPr="00283351">
        <w:rPr>
          <w:rFonts w:ascii="Calibri" w:eastAsia="MS Mincho" w:hAnsi="Calibri" w:cs="Times New Roman"/>
          <w:b/>
          <w:color w:val="333333"/>
          <w:kern w:val="0"/>
          <w:lang w:val="es-ES" w:eastAsia="es-ES" w:bidi="es-ES"/>
          <w14:ligatures w14:val="none"/>
        </w:rPr>
        <w:t>Plantillas y Formularios</w:t>
      </w:r>
    </w:p>
    <w:p w14:paraId="42D16F68"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77ABCBC2" w14:textId="2BE0AAA5" w:rsidR="00283351" w:rsidRPr="00C85F1C" w:rsidRDefault="00283351" w:rsidP="00283351">
      <w:pPr>
        <w:shd w:val="clear" w:color="auto" w:fill="FFFFFF"/>
        <w:spacing w:after="0" w:line="240" w:lineRule="auto"/>
        <w:ind w:left="360"/>
        <w:jc w:val="both"/>
        <w:textAlignment w:val="top"/>
        <w:rPr>
          <w:rFonts w:ascii="Calibri" w:eastAsia="MS Mincho" w:hAnsi="Calibri" w:cs="Arial"/>
          <w:kern w:val="0"/>
          <w:lang w:val="es-ES" w:eastAsia="es-ES" w:bidi="es-ES"/>
          <w14:ligatures w14:val="none"/>
        </w:rPr>
      </w:pPr>
      <w:hyperlink r:id="rId7" w:history="1">
        <w:r w:rsidRPr="00283351">
          <w:rPr>
            <w:rFonts w:ascii="Calibri" w:eastAsia="MS Mincho" w:hAnsi="Calibri" w:cs="Times New Roman"/>
            <w:color w:val="0000FF"/>
            <w:kern w:val="0"/>
            <w:u w:val="single"/>
            <w:lang w:val="es-ES" w:eastAsia="es-ES" w:bidi="es-ES"/>
            <w14:ligatures w14:val="none"/>
          </w:rPr>
          <w:t>Certificación de Prima de Traslado</w:t>
        </w:r>
      </w:hyperlink>
      <w:r w:rsidRPr="00C85F1C">
        <w:rPr>
          <w:rFonts w:ascii="Calibri" w:eastAsia="MS Mincho" w:hAnsi="Calibri" w:cs="Times New Roman"/>
          <w:color w:val="0072BC"/>
          <w:kern w:val="0"/>
          <w:lang w:val="es-ES" w:eastAsia="es-ES" w:bidi="es-ES"/>
          <w14:ligatures w14:val="none"/>
        </w:rPr>
        <w:t xml:space="preserve"> </w:t>
      </w:r>
      <w:r w:rsidR="00965E1E" w:rsidRPr="00C85F1C">
        <w:rPr>
          <w:rFonts w:ascii="Calibri" w:eastAsia="MS Mincho" w:hAnsi="Calibri" w:cs="Arial"/>
          <w:kern w:val="0"/>
          <w:lang w:val="es-ES" w:eastAsia="es-ES" w:bidi="es-ES"/>
          <w14:ligatures w14:val="none"/>
        </w:rPr>
        <w:t>(en inglés)</w:t>
      </w:r>
    </w:p>
    <w:p w14:paraId="14B4CFA9" w14:textId="44DA6FDD" w:rsidR="00283351" w:rsidRPr="008E15A6" w:rsidRDefault="00283351" w:rsidP="00283351">
      <w:pPr>
        <w:spacing w:after="0" w:line="240" w:lineRule="auto"/>
        <w:ind w:left="360" w:firstLine="40"/>
        <w:jc w:val="both"/>
        <w:rPr>
          <w:rFonts w:ascii="Calibri" w:eastAsia="MS Mincho" w:hAnsi="Calibri" w:cs="Arial"/>
          <w:kern w:val="0"/>
          <w:lang w:val="es-ES" w:eastAsia="es-ES" w:bidi="es-ES"/>
          <w14:ligatures w14:val="none"/>
        </w:rPr>
      </w:pPr>
      <w:hyperlink r:id="rId8" w:history="1">
        <w:r w:rsidRPr="00283351">
          <w:rPr>
            <w:rFonts w:ascii="Calibri" w:eastAsia="MS Mincho" w:hAnsi="Calibri" w:cs="Arial"/>
            <w:color w:val="0000FF"/>
            <w:kern w:val="0"/>
            <w:u w:val="single"/>
            <w:lang w:val="es-ES" w:eastAsia="es-ES" w:bidi="es-ES"/>
            <w14:ligatures w14:val="none"/>
          </w:rPr>
          <w:t>PT 78</w:t>
        </w:r>
      </w:hyperlink>
      <w:r w:rsidR="00965E1E">
        <w:t xml:space="preserve"> (</w:t>
      </w:r>
      <w:proofErr w:type="spellStart"/>
      <w:r w:rsidR="00965E1E" w:rsidRPr="00965E1E">
        <w:t>en</w:t>
      </w:r>
      <w:proofErr w:type="spellEnd"/>
      <w:r w:rsidR="00965E1E">
        <w:t xml:space="preserve"> </w:t>
      </w:r>
      <w:proofErr w:type="spellStart"/>
      <w:r w:rsidR="00965E1E" w:rsidRPr="00965E1E">
        <w:t>inglés</w:t>
      </w:r>
      <w:proofErr w:type="spellEnd"/>
      <w:r w:rsidR="00965E1E">
        <w:t>)</w:t>
      </w:r>
      <w:r w:rsidRPr="00283351">
        <w:rPr>
          <w:rFonts w:ascii="Calibri" w:eastAsia="MS Mincho" w:hAnsi="Calibri" w:cs="Arial"/>
          <w:kern w:val="0"/>
          <w:lang w:val="es-ES" w:eastAsia="es-ES" w:bidi="es-ES"/>
          <w14:ligatures w14:val="none"/>
        </w:rPr>
        <w:t xml:space="preserve"> </w:t>
      </w:r>
      <w:r w:rsidRPr="008E15A6">
        <w:rPr>
          <w:rFonts w:ascii="Calibri" w:eastAsia="MS Mincho" w:hAnsi="Calibri" w:cs="Arial"/>
          <w:kern w:val="0"/>
          <w:lang w:val="es-ES" w:eastAsia="es-ES" w:bidi="es-ES"/>
          <w14:ligatures w14:val="none"/>
        </w:rPr>
        <w:t>(Inventario con valores detallado de efectos personales/Procedimiento de reclamaciones de seguro)</w:t>
      </w:r>
    </w:p>
    <w:p w14:paraId="778F355F" w14:textId="77777777" w:rsidR="00283351" w:rsidRPr="008E15A6" w:rsidRDefault="00283351" w:rsidP="00283351">
      <w:pPr>
        <w:spacing w:after="0" w:line="240" w:lineRule="auto"/>
        <w:ind w:left="360" w:firstLine="40"/>
        <w:jc w:val="both"/>
        <w:rPr>
          <w:rFonts w:ascii="Calibri" w:eastAsia="MS Mincho" w:hAnsi="Calibri" w:cs="Arial"/>
          <w:kern w:val="0"/>
          <w:lang w:val="es-ES" w:eastAsia="es-ES" w:bidi="es-ES"/>
          <w14:ligatures w14:val="none"/>
        </w:rPr>
      </w:pPr>
    </w:p>
    <w:p w14:paraId="3C35F482"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2BE581B0"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4CAADFEC"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4BFF7971" w14:textId="49C95ABD"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lastRenderedPageBreak/>
        <w:t xml:space="preserve">Información sobre envío excepcional organizado por el PNUD </w:t>
      </w:r>
    </w:p>
    <w:p w14:paraId="22E2CEA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21F888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costos normales de embalaje, jaulas y cajones, acarreo, y desembalaje correrán a cargo de la Organización. </w:t>
      </w:r>
    </w:p>
    <w:p w14:paraId="3EC5A066"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EA73E8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peso de las jaulas y los cajones pagadero por la Organización no excederá el cincuenta por ciento del peso neto del envío. Cualquier exceso de peso de jaulas y cajones se agregará el peso neto real.</w:t>
      </w:r>
    </w:p>
    <w:p w14:paraId="311764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tbl>
      <w:tblPr>
        <w:tblW w:w="0" w:type="auto"/>
        <w:tblInd w:w="710" w:type="dxa"/>
        <w:tblCellMar>
          <w:left w:w="0" w:type="dxa"/>
          <w:right w:w="0" w:type="dxa"/>
        </w:tblCellMar>
        <w:tblLook w:val="04A0" w:firstRow="1" w:lastRow="0" w:firstColumn="1" w:lastColumn="0" w:noHBand="0" w:noVBand="1"/>
      </w:tblPr>
      <w:tblGrid>
        <w:gridCol w:w="1259"/>
        <w:gridCol w:w="3744"/>
        <w:gridCol w:w="2789"/>
      </w:tblGrid>
      <w:tr w:rsidR="008E15A6" w:rsidRPr="008E15A6" w14:paraId="68CFE66F" w14:textId="77777777" w:rsidTr="00C85F1C">
        <w:trPr>
          <w:trHeight w:val="322"/>
        </w:trPr>
        <w:tc>
          <w:tcPr>
            <w:tcW w:w="12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9722604"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Ejemplo</w:t>
            </w:r>
          </w:p>
        </w:tc>
        <w:tc>
          <w:tcPr>
            <w:tcW w:w="37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B294650"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Peso real del envío</w:t>
            </w:r>
          </w:p>
        </w:tc>
        <w:tc>
          <w:tcPr>
            <w:tcW w:w="278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97B4340"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500 kg</w:t>
            </w:r>
          </w:p>
        </w:tc>
      </w:tr>
      <w:tr w:rsidR="008E15A6" w:rsidRPr="008E15A6" w14:paraId="7E4CA2EA"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817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394027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Embalaje máximo permitido</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6D3DFE2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250 kg</w:t>
            </w:r>
          </w:p>
        </w:tc>
      </w:tr>
      <w:tr w:rsidR="008E15A6" w:rsidRPr="008E15A6" w14:paraId="7BC7F8E6"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2EF68"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3A77411F"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0C0A2206"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r>
      <w:tr w:rsidR="008E15A6" w:rsidRPr="008E15A6" w14:paraId="7A95B6AE"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47C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w:t>
            </w: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5E4ED820"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Peso real del envío</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11C62C14"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500 kg</w:t>
            </w:r>
          </w:p>
        </w:tc>
      </w:tr>
      <w:tr w:rsidR="008E15A6" w:rsidRPr="008E15A6" w14:paraId="332F96EE"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E32FC"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5646DE76"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Peso real de jaulas y cajones</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77D14ACD"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w:t>
            </w:r>
          </w:p>
        </w:tc>
      </w:tr>
      <w:tr w:rsidR="008E15A6" w:rsidRPr="008E15A6" w14:paraId="2D6F70B1"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DF710"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69BBE90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Exceso de embalaje </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68E828B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 kg</w:t>
            </w:r>
          </w:p>
        </w:tc>
      </w:tr>
      <w:tr w:rsidR="00283351" w:rsidRPr="008E15A6" w14:paraId="0B8CCE43" w14:textId="77777777" w:rsidTr="00C85F1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2F93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ENTONCES:</w:t>
            </w:r>
          </w:p>
        </w:tc>
        <w:tc>
          <w:tcPr>
            <w:tcW w:w="3744" w:type="dxa"/>
            <w:tcBorders>
              <w:top w:val="nil"/>
              <w:left w:val="nil"/>
              <w:bottom w:val="single" w:sz="8" w:space="0" w:color="auto"/>
              <w:right w:val="single" w:sz="8" w:space="0" w:color="auto"/>
            </w:tcBorders>
            <w:tcMar>
              <w:top w:w="0" w:type="dxa"/>
              <w:left w:w="108" w:type="dxa"/>
              <w:bottom w:w="0" w:type="dxa"/>
              <w:right w:w="108" w:type="dxa"/>
            </w:tcMar>
            <w:hideMark/>
          </w:tcPr>
          <w:p w14:paraId="4F5F6E53"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Nuevo peso neto ajustado del envío</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1B183A99"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550 kg</w:t>
            </w:r>
          </w:p>
        </w:tc>
      </w:tr>
    </w:tbl>
    <w:p w14:paraId="33D1892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8885CF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 miembros del personal y los funcionarios del PNUD involucrados en los envíos organizados por la organización deben asegurar que la compañía de embalaje proporcione un certificado de peso con las cifras de peso y volumen en términos tanto netos como brutos.</w:t>
      </w:r>
    </w:p>
    <w:p w14:paraId="72632C7F"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61AEE9E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 la compañía de embalaje es absolutamente incapaz de proporcionar un peso neto, este se determinará sobre la base de dos tercios del peso o volumen bruto del envío que se muestra en la carta de porte aéreo, el conocimiento de embarque o el certificado de peso.</w:t>
      </w:r>
    </w:p>
    <w:p w14:paraId="0E4F9D15"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Si el peso bruto es de 900 kilogramos, el peso neto calculado sería de 600 kilogramos. </w:t>
      </w:r>
    </w:p>
    <w:p w14:paraId="1F49EC86"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los envíos aéreos, se tiene en cuenta el peso real y no el peso cobrable para determinar si el envío está dentro de la prestación.</w:t>
      </w:r>
    </w:p>
    <w:p w14:paraId="72038580" w14:textId="1AE2DB6D"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w:t>
      </w:r>
      <w:r w:rsidR="00410B9F" w:rsidRPr="008E15A6">
        <w:rPr>
          <w:rFonts w:ascii="Calibri" w:eastAsia="MS Mincho" w:hAnsi="Calibri" w:cs="Times New Roman"/>
          <w:kern w:val="0"/>
          <w:lang w:val="es-ES" w:eastAsia="es-ES" w:bidi="es-ES"/>
          <w14:ligatures w14:val="none"/>
        </w:rPr>
        <w:t>Para miembros</w:t>
      </w:r>
      <w:r w:rsidRPr="008E15A6">
        <w:rPr>
          <w:rFonts w:ascii="Calibri" w:eastAsia="MS Mincho" w:hAnsi="Calibri" w:cs="Times New Roman"/>
          <w:kern w:val="0"/>
          <w:lang w:val="es-ES" w:eastAsia="es-ES" w:bidi="es-ES"/>
          <w14:ligatures w14:val="none"/>
        </w:rPr>
        <w:t xml:space="preserve"> del personal cuya prestación es de 500 kilogramos por aire, si el peso neto real es de 400 kilogramos pero el peso cobrable es de 650 kilogramos, se consideraría que está</w:t>
      </w:r>
      <w:r w:rsidR="00122232"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dentro de la prestación. </w:t>
      </w:r>
    </w:p>
    <w:p w14:paraId="0C2581E1"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kern w:val="0"/>
          <w:lang w:val="es-ES" w:eastAsia="es-ES" w:bidi="es-ES"/>
          <w14:ligatures w14:val="none"/>
        </w:rPr>
      </w:pPr>
    </w:p>
    <w:p w14:paraId="15F44A51" w14:textId="43783CCE"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ambos cónyuges son miembros del personal y cada uno tiene derecho a un envío no acompañado de efectos personales, el peso máximo autorizado para ambos miembros del personal será el correspondiente a un miembro del personal con un cónyuge o hijo</w:t>
      </w:r>
      <w:r w:rsidR="00D15C58"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que reúne las condiciones que residen en el lugar de destino oficial. </w:t>
      </w:r>
    </w:p>
    <w:p w14:paraId="57D3B40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anticipado por aire: conversión del diez por ciento uno a uno </w:t>
      </w:r>
    </w:p>
    <w:p w14:paraId="6FAE6FF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20B625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permitirles a los miembros del personal recibir los bienes más esenciales necesarios para establecer un hogar inmediatamente después de llegar al destino, el diez por ciento de la prestación por tierra total puede convertirse a transporte aéreo en una base de uno a uno sin aprobación previa.  El resto de la prestación puede enviarse por tierra o por aire.</w:t>
      </w:r>
    </w:p>
    <w:p w14:paraId="59C8F2EE" w14:textId="77777777" w:rsidR="00283351" w:rsidRPr="008E15A6" w:rsidRDefault="00283351" w:rsidP="00283351">
      <w:pPr>
        <w:shd w:val="clear" w:color="auto" w:fill="FFFFFF"/>
        <w:spacing w:after="0" w:line="240" w:lineRule="auto"/>
        <w:ind w:left="720"/>
        <w:contextualSpacing/>
        <w:jc w:val="both"/>
        <w:textAlignment w:val="top"/>
        <w:rPr>
          <w:rFonts w:ascii="Arial" w:eastAsia="Times New Roman" w:hAnsi="Arial" w:cs="Arial"/>
          <w:kern w:val="0"/>
          <w:lang w:val="es-ES" w:eastAsia="es-ES" w:bidi="es-ES"/>
          <w14:ligatures w14:val="none"/>
        </w:rPr>
      </w:pPr>
    </w:p>
    <w:p w14:paraId="0D1C854E" w14:textId="77777777" w:rsidR="00283351" w:rsidRPr="008E15A6" w:rsidRDefault="00283351" w:rsidP="00283351">
      <w:p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lastRenderedPageBreak/>
        <w:t xml:space="preserve">Ejemplo: </w:t>
      </w:r>
      <w:r w:rsidRPr="008E15A6">
        <w:rPr>
          <w:rFonts w:ascii="Calibri" w:eastAsia="MS Mincho" w:hAnsi="Calibri" w:cs="Times New Roman"/>
          <w:kern w:val="0"/>
          <w:lang w:val="es-ES" w:eastAsia="es-ES" w:bidi="es-ES"/>
          <w14:ligatures w14:val="none"/>
        </w:rPr>
        <w:t>El diez por ciento de una prestación por tierra de 1000 kilogramos, o 100 kilogramos, puede enviarse como envío aéreo anticipado, lo que deja un saldo de 900 kilogramos por tierra o 450 kilogramos por aire (véase el párrafo a continuación).</w:t>
      </w:r>
    </w:p>
    <w:p w14:paraId="1A32C9F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979FCC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Conversión de la mitad del envío por tierra a envío por aire</w:t>
      </w:r>
    </w:p>
    <w:p w14:paraId="47E2B95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FED9CD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el envío por tierra no acompañado es el medio de transporte más económico, el miembro del personal puede optar por convertirlo en envío por aire no acompañado sobre la base de la mitad del peso de la prestación por tierra autorizada.</w:t>
      </w:r>
    </w:p>
    <w:p w14:paraId="39A6DA91"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Una prestación de envío por tierra no acompañado de 1000 kilogramos puede convertirse en envío por aire no acompañado de 500 kilogramos. </w:t>
      </w:r>
    </w:p>
    <w:p w14:paraId="511BCD2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329B5C1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Conversión total de envío por tierra a envío por aire </w:t>
      </w:r>
    </w:p>
    <w:p w14:paraId="0D29AEC9"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3231E3A"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Independientemente de la regla de la mitad del párrafo anterior, la conversión a transporte aéreo sobre la base del peso total puede autorizarse de manera excepcional en los siguientes casos:</w:t>
      </w:r>
    </w:p>
    <w:p w14:paraId="454B5C4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720EFE1"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el costo del transporte aéreo es inferior al envío por tierra;</w:t>
      </w:r>
    </w:p>
    <w:p w14:paraId="459F78E2"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hay un riesgo extraordinario de daño o pérdida del envío por tierra en tránsito; y/o</w:t>
      </w:r>
    </w:p>
    <w:p w14:paraId="11ED508B"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Para países sin litoral, en los que el tiempo de transporte entre el puerto de origen y el destino final (incluido el tiempo de transbordo) </w:t>
      </w:r>
      <w:r w:rsidRPr="008E15A6">
        <w:rPr>
          <w:rFonts w:ascii="Calibri" w:eastAsia="MS Mincho" w:hAnsi="Calibri" w:cs="Times New Roman"/>
          <w:b/>
          <w:kern w:val="0"/>
          <w:lang w:val="es-ES" w:eastAsia="es-ES" w:bidi="es-ES"/>
          <w14:ligatures w14:val="none"/>
        </w:rPr>
        <w:t>excederá los noventa días.</w:t>
      </w:r>
      <w:r w:rsidRPr="008E15A6">
        <w:rPr>
          <w:rFonts w:ascii="Calibri" w:eastAsia="MS Mincho" w:hAnsi="Calibri" w:cs="Times New Roman"/>
          <w:kern w:val="0"/>
          <w:lang w:val="es-ES" w:eastAsia="es-ES" w:bidi="es-ES"/>
          <w14:ligatures w14:val="none"/>
        </w:rPr>
        <w:t xml:space="preserve"> </w:t>
      </w:r>
    </w:p>
    <w:p w14:paraId="5837A13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92F8D3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Deberá enviarse una solicitud de autorización excepcional para la conversión total a envío por aire seis semanas antes de la fecha de la partida prevista del miembro del personal:</w:t>
      </w:r>
    </w:p>
    <w:p w14:paraId="604994E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1E34468" w14:textId="77777777" w:rsidR="00283351" w:rsidRPr="008E15A6" w:rsidRDefault="00283351" w:rsidP="00283351">
      <w:pPr>
        <w:numPr>
          <w:ilvl w:val="0"/>
          <w:numId w:val="2"/>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fuera de Nueva York, a la oficina de administración local; o</w:t>
      </w:r>
    </w:p>
    <w:p w14:paraId="06C40A60" w14:textId="77777777" w:rsidR="00283351" w:rsidRPr="008E15A6" w:rsidRDefault="00283351" w:rsidP="00283351">
      <w:pPr>
        <w:numPr>
          <w:ilvl w:val="0"/>
          <w:numId w:val="2"/>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en Nueva York, a la Sección de Servicios de Viaje (TSS) del PNUD, Operaciones Generales/Oficina de Abastecimiento y Operaciones/Dirección de Servicios de Gestión.</w:t>
      </w:r>
    </w:p>
    <w:p w14:paraId="29CEA805"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810998D"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solicitud debe especificar los motivos para obtener la excepción y, siempre que sea posible, debe estar acompañada por documentos de prueba que justifiquen la excepción.</w:t>
      </w:r>
    </w:p>
    <w:p w14:paraId="2FDFADB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Conversión total de envío por aire a envío por tierra </w:t>
      </w:r>
    </w:p>
    <w:p w14:paraId="3317647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3756100"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A menos que el costo de envío por aire sea más alto que el envío por tierra, un miembro del personal puede optar por convertir de aire a tierra sobre la base de uno a uno.</w:t>
      </w:r>
    </w:p>
    <w:p w14:paraId="691712F1"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Una prestación total de aire de 1000 kilogramos puede convertirse en un envío por tierra de 1000 kilogramos. </w:t>
      </w:r>
    </w:p>
    <w:p w14:paraId="353E8E8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dividido </w:t>
      </w:r>
    </w:p>
    <w:p w14:paraId="3BEDB4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92D5B4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Podrá otorgarse a los miembros del personal un envío dividido sujeto a las siguientes condiciones:</w:t>
      </w:r>
    </w:p>
    <w:p w14:paraId="4C12B609" w14:textId="77777777" w:rsidR="00283351" w:rsidRPr="008E15A6" w:rsidRDefault="00283351" w:rsidP="00283351">
      <w:pPr>
        <w:numPr>
          <w:ilvl w:val="0"/>
          <w:numId w:val="3"/>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 xml:space="preserve">no hay ningún costo adicional para la organización que exceda la prestación actual; y </w:t>
      </w:r>
    </w:p>
    <w:p w14:paraId="04DE66EB" w14:textId="77777777" w:rsidR="00283351" w:rsidRPr="008E15A6" w:rsidRDefault="00283351" w:rsidP="00283351">
      <w:pPr>
        <w:numPr>
          <w:ilvl w:val="0"/>
          <w:numId w:val="3"/>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 hay más de dos envíos. </w:t>
      </w:r>
    </w:p>
    <w:p w14:paraId="631EEB35" w14:textId="77777777" w:rsidR="00283351" w:rsidRPr="008E15A6" w:rsidRDefault="00283351" w:rsidP="00283351">
      <w:p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p>
    <w:p w14:paraId="3432460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Puede autorizarse un total de tres envíos solo para incluir un envío anticipado por aire del diez por ciento, si corresponde. Solamente puede dividirse la prestación de peso total en kilogramos y no el valor total de transporte.</w:t>
      </w:r>
    </w:p>
    <w:p w14:paraId="07B5DC28" w14:textId="1CFB748C"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w:t>
      </w:r>
      <w:r w:rsidR="00410B9F" w:rsidRPr="008E15A6">
        <w:rPr>
          <w:rFonts w:ascii="Calibri" w:eastAsia="MS Mincho" w:hAnsi="Calibri" w:cs="Times New Roman"/>
          <w:kern w:val="0"/>
          <w:lang w:val="es-ES" w:eastAsia="es-ES" w:bidi="es-ES"/>
          <w14:ligatures w14:val="none"/>
        </w:rPr>
        <w:t>Si miembros</w:t>
      </w:r>
      <w:r w:rsidRPr="008E15A6">
        <w:rPr>
          <w:rFonts w:ascii="Calibri" w:eastAsia="MS Mincho" w:hAnsi="Calibri" w:cs="Times New Roman"/>
          <w:kern w:val="0"/>
          <w:lang w:val="es-ES" w:eastAsia="es-ES" w:bidi="es-ES"/>
          <w14:ligatures w14:val="none"/>
        </w:rPr>
        <w:t xml:space="preserve"> del personal tiene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una prestación de 1000 kilogramos por tierra NY/Yakarta que costaría USD 8000, y envía 700 kilogramos de NY a Yakarta y 500 kilogramos de Hong Kong a Yakarta (el peso combinado es de 1200 kilogramos), se le</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cobrará a</w:t>
      </w:r>
      <w:r w:rsidR="00A52843" w:rsidRPr="008E15A6">
        <w:rPr>
          <w:rFonts w:ascii="Calibri" w:eastAsia="MS Mincho" w:hAnsi="Calibri" w:cs="Times New Roman"/>
          <w:kern w:val="0"/>
          <w:lang w:val="es-ES" w:eastAsia="es-ES" w:bidi="es-ES"/>
          <w14:ligatures w14:val="none"/>
        </w:rPr>
        <w:t xml:space="preserve"> </w:t>
      </w:r>
      <w:r w:rsidRPr="008E15A6">
        <w:rPr>
          <w:rFonts w:ascii="Calibri" w:eastAsia="MS Mincho" w:hAnsi="Calibri" w:cs="Times New Roman"/>
          <w:kern w:val="0"/>
          <w:lang w:val="es-ES" w:eastAsia="es-ES" w:bidi="es-ES"/>
          <w14:ligatures w14:val="none"/>
        </w:rPr>
        <w:t>l</w:t>
      </w:r>
      <w:r w:rsidR="00A52843" w:rsidRPr="008E15A6">
        <w:rPr>
          <w:rFonts w:ascii="Calibri" w:eastAsia="MS Mincho" w:hAnsi="Calibri" w:cs="Times New Roman"/>
          <w:kern w:val="0"/>
          <w:lang w:val="es-ES" w:eastAsia="es-ES" w:bidi="es-ES"/>
          <w14:ligatures w14:val="none"/>
        </w:rPr>
        <w:t>os</w:t>
      </w:r>
      <w:r w:rsidRPr="008E15A6">
        <w:rPr>
          <w:rFonts w:ascii="Calibri" w:eastAsia="MS Mincho" w:hAnsi="Calibri" w:cs="Times New Roman"/>
          <w:kern w:val="0"/>
          <w:lang w:val="es-ES" w:eastAsia="es-ES" w:bidi="es-ES"/>
          <w14:ligatures w14:val="none"/>
        </w:rPr>
        <w:t xml:space="preserve"> miembro</w:t>
      </w:r>
      <w:r w:rsidR="00BD502C"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por el exceso en la prestación de 200 kilogramos en el envío Yakarta/Hong Kong, por más que el costo total de ambos envíos es de USD 7500. </w:t>
      </w:r>
    </w:p>
    <w:p w14:paraId="66CB9AE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C03A9B4"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envío puede dividirse entre aire y tierra y/o entre puntos de partida y destino.</w:t>
      </w:r>
    </w:p>
    <w:p w14:paraId="239220EE"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Una prestación por tierra de 1800 kilogramos puede dividirse de diferentes maneras como: un envío anticipado por aire del 10 % de 180 kilogramos NY/Dakar, 1000 kilogramos por mar NY/Dakar, y el saldo de 620 kilogramos por tierra convertirse a una mitad, o 310 kilogramos por aire, Copenhague/Dakar.</w:t>
      </w:r>
    </w:p>
    <w:p w14:paraId="3806095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AA09E3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Las solicitudes de envío dividido deben enviarse para su aprobación, como mínimo cuatro semanas antes de la fecha de la partida prevista del miembro del personal:</w:t>
      </w:r>
    </w:p>
    <w:p w14:paraId="5EE1FDB1" w14:textId="77777777" w:rsidR="00283351" w:rsidRPr="008E15A6" w:rsidRDefault="00283351" w:rsidP="00283351">
      <w:pPr>
        <w:numPr>
          <w:ilvl w:val="1"/>
          <w:numId w:val="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fuera de Nueva York, a la oficina de administración local; o</w:t>
      </w:r>
    </w:p>
    <w:p w14:paraId="1ECE501C" w14:textId="77777777" w:rsidR="00283351" w:rsidRPr="008E15A6" w:rsidRDefault="00283351" w:rsidP="00283351">
      <w:pPr>
        <w:numPr>
          <w:ilvl w:val="1"/>
          <w:numId w:val="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en Nueva York, a la Sección de Servicios de Viaje (TSS) del PNUD, Operaciones Generales/Oficina de Abastecimiento y Operaciones/Dirección de Servicios de Gestión.</w:t>
      </w:r>
    </w:p>
    <w:p w14:paraId="6BE40FB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73C05F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envío dividido debe efectuarse dentro de un período de dos meses a partir de la llegada al lugar de destino o la recepción de la autorización de envío dividido. </w:t>
      </w:r>
    </w:p>
    <w:p w14:paraId="44BDEC4F" w14:textId="0C08ACFB"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Conversión de envío no acompañado en exceso de equipaje acompañado </w:t>
      </w:r>
    </w:p>
    <w:p w14:paraId="451F7E25"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4373D6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pueden optar por convertir una parte o la totalidad de su prestación de envío no acompañado en exceso de equipaje acompañado sobre la base de cinco a uno. </w:t>
      </w:r>
    </w:p>
    <w:p w14:paraId="363BDB88"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 xml:space="preserve">100 kilogramos de prestación de envío no acompañado por aire o tierra se convertirían en 20 kilogramos de exceso de equipaje acompañado. </w:t>
      </w:r>
    </w:p>
    <w:p w14:paraId="3161C9F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Conversión de exceso de equipaje acompañado en envío no acompañado </w:t>
      </w:r>
    </w:p>
    <w:p w14:paraId="0F8D251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4D433C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pueden optar por convertir su prestación de exceso de equipaje acompañado en envío no acompañado, sobre una base de uno a uno, mediante un medio de transporte por aire o tierra. </w:t>
      </w:r>
    </w:p>
    <w:p w14:paraId="4BD32605"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Una prestación de 25 kilogramos de exceso de equipaje acompañado se convertirá en un envío de 25 kilogramos no acompañado por aire o tierra.</w:t>
      </w:r>
    </w:p>
    <w:p w14:paraId="7E6667A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9A369B4"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La conversión de exceso de equipaje acompañado en envío no acompañado no se aplicará cuando la prima de equipaje acompañado para cualquier parte del viaje es calculada por las aerolíneas sobre la base de las piezas y el tamaño del equipaje.</w:t>
      </w:r>
    </w:p>
    <w:p w14:paraId="4D1AF7E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Pérdida de la prestación </w:t>
      </w:r>
    </w:p>
    <w:p w14:paraId="1EA641A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B305AA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de envío no acompañado se perderá si no se utiliza:</w:t>
      </w:r>
    </w:p>
    <w:p w14:paraId="3911EBF1" w14:textId="77777777" w:rsidR="00283351" w:rsidRPr="008E15A6" w:rsidRDefault="00283351" w:rsidP="00283351">
      <w:pPr>
        <w:numPr>
          <w:ilvl w:val="0"/>
          <w:numId w:val="5"/>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Para el nombramiento inicial, la reasignación y la separación,</w:t>
      </w:r>
      <w:r w:rsidRPr="008E15A6">
        <w:rPr>
          <w:rFonts w:ascii="Calibri" w:eastAsia="MS Mincho" w:hAnsi="Calibri" w:cs="Times New Roman"/>
          <w:kern w:val="0"/>
          <w:lang w:val="es-ES" w:eastAsia="es-ES" w:bidi="es-ES"/>
          <w14:ligatures w14:val="none"/>
        </w:rPr>
        <w:t xml:space="preserve"> dentro de un año del viaje desde o hacia el lugar de destino; y</w:t>
      </w:r>
    </w:p>
    <w:p w14:paraId="7F955663" w14:textId="77777777" w:rsidR="00283351" w:rsidRPr="008E15A6" w:rsidRDefault="00283351" w:rsidP="00283351">
      <w:pPr>
        <w:numPr>
          <w:ilvl w:val="0"/>
          <w:numId w:val="5"/>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Para la separación del servicio</w:t>
      </w:r>
      <w:r w:rsidRPr="008E15A6">
        <w:rPr>
          <w:rFonts w:ascii="Calibri" w:eastAsia="MS Mincho" w:hAnsi="Calibri" w:cs="Times New Roman"/>
          <w:kern w:val="0"/>
          <w:lang w:val="es-ES" w:eastAsia="es-ES" w:bidi="es-ES"/>
          <w14:ligatures w14:val="none"/>
        </w:rPr>
        <w:t>, dentro de dos años desde la fecha de la separación.</w:t>
      </w:r>
    </w:p>
    <w:p w14:paraId="1F200C0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B79358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Exclusión de la prestación </w:t>
      </w:r>
    </w:p>
    <w:p w14:paraId="6407CB4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A0EE61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Con excepción del despacho de aduanas y el envío a la residencia, la organización no pagará ciertos gastos incurridos en conexión con los envíos no acompañados de efectos personales, como los siguientes:</w:t>
      </w:r>
    </w:p>
    <w:p w14:paraId="489EFFFD"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Transporte de bienes normalmente no requeridos para uso personal, p. ej., animales, embarcaciones, motocicletas, remolques u otros medios de transporte motorizados, y materiales inflamables y peligrosos. Estos bienes no pueden incluirse en un envío organizado por el PNUD, pero pueden enviarse por separado por cuenta del miembro del personal si las normas gubernamentales lo permiten. (Los miembros del personal son responsables de verificar las restricciones de aduana en el lugar de destino);</w:t>
      </w:r>
    </w:p>
    <w:p w14:paraId="16CF66C1"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Reparación de artefactos, desmontaje o instalación de dispositivos; </w:t>
      </w:r>
    </w:p>
    <w:p w14:paraId="2DA5A56C"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Embalajes especiales; </w:t>
      </w:r>
    </w:p>
    <w:p w14:paraId="46C7F9A0"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Sobrestadía (es decir, una sanción por el retraso en el retiro de un envío del puerto o del aeropuerto en exceso del tiempo libre permitido);</w:t>
      </w:r>
    </w:p>
    <w:p w14:paraId="00C03D5B"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Almacenamiento (excepto cuando se autorice el almacenamiento en forma excepcional);</w:t>
      </w:r>
    </w:p>
    <w:p w14:paraId="69FE7172"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Entrega del depósito a la residencia (excepto cuando se autorice el almacenamiento en forma excepcional); y</w:t>
      </w:r>
    </w:p>
    <w:p w14:paraId="615314C1"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Derechos de importación y exportación.</w:t>
      </w:r>
    </w:p>
    <w:p w14:paraId="4B501C7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5B60A7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Arreglos de envío</w:t>
      </w:r>
    </w:p>
    <w:p w14:paraId="2601AC7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9416F7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Las responsabilidades del miembro del personal y del PNUD en la coordinación del envío y los procedimientos para coordinar envíos se describen en detalle en la sección «Procedimientos».</w:t>
      </w:r>
    </w:p>
    <w:p w14:paraId="4E5D670B"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7046E9C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Otros arreglos de envío además de los mencionados y aprobados en las Políticas y Procedimientos de Operaciones y Programas (POPP) del PNUD serán revisados por el Director del Centro Mundial de Servicios Compartidos (CMSC) o su delegado y aprobados excepcionalmente según las circunstancias descritas.</w:t>
      </w:r>
    </w:p>
    <w:p w14:paraId="6B83A739"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34B3226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Plazos </w:t>
      </w:r>
    </w:p>
    <w:p w14:paraId="573C9F04" w14:textId="77777777" w:rsidR="00283351" w:rsidRPr="008E15A6" w:rsidRDefault="00283351" w:rsidP="00283351">
      <w:pPr>
        <w:shd w:val="clear" w:color="auto" w:fill="FFFFFF"/>
        <w:spacing w:after="0" w:line="240" w:lineRule="auto"/>
        <w:jc w:val="both"/>
        <w:textAlignment w:val="top"/>
        <w:rPr>
          <w:rFonts w:ascii="Arial" w:eastAsia="Times New Roman" w:hAnsi="Arial" w:cs="Arial"/>
          <w:b/>
          <w:bCs/>
          <w:kern w:val="0"/>
          <w:lang w:val="es-ES" w:eastAsia="es-ES" w:bidi="es-ES"/>
          <w14:ligatures w14:val="none"/>
        </w:rPr>
      </w:pPr>
    </w:p>
    <w:p w14:paraId="4BAD3A1D"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miembro del personal debe obtener la autorización de viaje como mínimo tres (3) meses antes de la fecha prevista de viaje. </w:t>
      </w:r>
    </w:p>
    <w:p w14:paraId="4F9B4652"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Se requiere un plazo mínimo de tres (3) semanas desde la recepción de la autorización de viaje para facilitar el envío. El plazo real de envío varía según el punto de origen y de destino.</w:t>
      </w:r>
    </w:p>
    <w:p w14:paraId="12E5A530"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Una vez emitida la autorización de viaje, el inspector de la compañía de mudanzas contratada por el PNUD se pondrá en contacto con el miembro del personal dentro de un plazo de tres (3) días hábiles para lo siguiente: </w:t>
      </w:r>
    </w:p>
    <w:p w14:paraId="0EFEDD69"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concertar una cita para inspeccionar los bienes que deben enviarse, </w:t>
      </w:r>
    </w:p>
    <w:p w14:paraId="6280B6BF"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programar las fechas para el embalaje y </w:t>
      </w:r>
    </w:p>
    <w:p w14:paraId="7EEFA0AA"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reservar el envío. </w:t>
      </w:r>
    </w:p>
    <w:p w14:paraId="49F38D72"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 puede otorgarse ninguna garantía con respecto a la hora de llegada del envío al lugar final de entrega. </w:t>
      </w:r>
    </w:p>
    <w:p w14:paraId="1F8639A4" w14:textId="7296F439" w:rsidR="00283351" w:rsidRPr="008E15A6" w:rsidRDefault="00733716"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w:t>
      </w:r>
      <w:r w:rsidR="00283351" w:rsidRPr="008E15A6">
        <w:rPr>
          <w:rFonts w:ascii="Calibri" w:eastAsia="MS Mincho" w:hAnsi="Calibri" w:cs="Times New Roman"/>
          <w:kern w:val="0"/>
          <w:lang w:val="es-ES" w:eastAsia="es-ES" w:bidi="es-ES"/>
          <w14:ligatures w14:val="none"/>
        </w:rPr>
        <w:t xml:space="preserve"> miembro</w:t>
      </w:r>
      <w:r w:rsidRPr="008E15A6">
        <w:rPr>
          <w:rFonts w:ascii="Calibri" w:eastAsia="MS Mincho" w:hAnsi="Calibri" w:cs="Times New Roman"/>
          <w:kern w:val="0"/>
          <w:lang w:val="es-ES" w:eastAsia="es-ES" w:bidi="es-ES"/>
          <w14:ligatures w14:val="none"/>
        </w:rPr>
        <w:t>s</w:t>
      </w:r>
      <w:r w:rsidR="00283351" w:rsidRPr="008E15A6">
        <w:rPr>
          <w:rFonts w:ascii="Calibri" w:eastAsia="MS Mincho" w:hAnsi="Calibri" w:cs="Times New Roman"/>
          <w:kern w:val="0"/>
          <w:lang w:val="es-ES" w:eastAsia="es-ES" w:bidi="es-ES"/>
          <w14:ligatures w14:val="none"/>
        </w:rPr>
        <w:t xml:space="preserve"> del personal </w:t>
      </w:r>
      <w:r w:rsidR="00D43513" w:rsidRPr="008E15A6">
        <w:rPr>
          <w:rFonts w:ascii="Calibri" w:eastAsia="MS Mincho" w:hAnsi="Calibri" w:cs="Times New Roman"/>
          <w:kern w:val="0"/>
          <w:lang w:val="es-ES" w:eastAsia="es-ES" w:bidi="es-ES"/>
          <w14:ligatures w14:val="none"/>
        </w:rPr>
        <w:t>deben</w:t>
      </w:r>
      <w:r w:rsidR="00283351" w:rsidRPr="008E15A6">
        <w:rPr>
          <w:rFonts w:ascii="Calibri" w:eastAsia="MS Mincho" w:hAnsi="Calibri" w:cs="Times New Roman"/>
          <w:kern w:val="0"/>
          <w:lang w:val="es-ES" w:eastAsia="es-ES" w:bidi="es-ES"/>
          <w14:ligatures w14:val="none"/>
        </w:rPr>
        <w:t xml:space="preserve"> encontrarse en el destino antes de la llegada del envío para presentar ciertos documentos oficiales requeridos para el despacho de aduanas de importación (por ejemplo, entre otros, un certificado de residencia emitido por las autoridades municipales) y para recibir el envío en su residencia. </w:t>
      </w:r>
    </w:p>
    <w:p w14:paraId="7B5DF94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5F311B8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Estimaciones de peso </w:t>
      </w:r>
    </w:p>
    <w:p w14:paraId="79FA7BF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973603F" w14:textId="242418BC"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estimaciones no son vinculantes para la empresa de transitarios ni para el PNUD y solo sirven como guía para que </w:t>
      </w:r>
      <w:r w:rsidR="00A52843" w:rsidRPr="008E15A6">
        <w:rPr>
          <w:rFonts w:ascii="Calibri" w:eastAsia="MS Mincho" w:hAnsi="Calibri" w:cs="Times New Roman"/>
          <w:kern w:val="0"/>
          <w:lang w:val="es-ES" w:eastAsia="es-ES" w:bidi="es-ES"/>
          <w14:ligatures w14:val="none"/>
        </w:rPr>
        <w:t>los</w:t>
      </w:r>
      <w:r w:rsidRPr="008E15A6">
        <w:rPr>
          <w:rFonts w:ascii="Calibri" w:eastAsia="MS Mincho" w:hAnsi="Calibri" w:cs="Times New Roman"/>
          <w:kern w:val="0"/>
          <w:lang w:val="es-ES" w:eastAsia="es-ES" w:bidi="es-ES"/>
          <w14:ligatures w14:val="none"/>
        </w:rPr>
        <w:t xml:space="preserve"> 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planifique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el mejor uso de su prestación de envío. </w:t>
      </w:r>
    </w:p>
    <w:p w14:paraId="7A40015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4813AA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Independientemente del segundo párrafo en «Responsabilidades de la Oficina en el País del PNUD en el Punto de Origen» a continuación, una diferencia de no más del 15 % entre la estimación y las cifras reales se considera razonable, siempre que no haya habido ningún cambio en la lista original de bienes incluidos en la estimación. </w:t>
      </w:r>
    </w:p>
    <w:p w14:paraId="2D96310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Exceso de envío: cálculo y liquidación de exceso de prestaciones </w:t>
      </w:r>
    </w:p>
    <w:p w14:paraId="75E476C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8AE36FE"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Si el envío excede el peso máximo autorizado, los cargos que debe pagar el miembro del personal deberán liquidarse directamente con la compañía naviera. </w:t>
      </w:r>
    </w:p>
    <w:p w14:paraId="2E8081D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13011D1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Despacho de aduanas en destino </w:t>
      </w:r>
    </w:p>
    <w:p w14:paraId="2CC515D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FE33B2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realizan envíos al área </w:t>
      </w:r>
      <w:proofErr w:type="spellStart"/>
      <w:r w:rsidRPr="008E15A6">
        <w:rPr>
          <w:rFonts w:ascii="Calibri" w:eastAsia="MS Mincho" w:hAnsi="Calibri" w:cs="Times New Roman"/>
          <w:kern w:val="0"/>
          <w:lang w:val="es-ES" w:eastAsia="es-ES" w:bidi="es-ES"/>
          <w14:ligatures w14:val="none"/>
        </w:rPr>
        <w:t>triestatal</w:t>
      </w:r>
      <w:proofErr w:type="spellEnd"/>
      <w:r w:rsidRPr="008E15A6">
        <w:rPr>
          <w:rFonts w:ascii="Calibri" w:eastAsia="MS Mincho" w:hAnsi="Calibri" w:cs="Times New Roman"/>
          <w:kern w:val="0"/>
          <w:lang w:val="es-ES" w:eastAsia="es-ES" w:bidi="es-ES"/>
          <w14:ligatures w14:val="none"/>
        </w:rPr>
        <w:t xml:space="preserve"> de Nueva York deben pasar por la Sección de Viajes y Transporte (SVT) de las Naciones Unidas, dado que el Departamento de Estado de los EE. UU. requiere el registro de estos envíos. </w:t>
      </w:r>
    </w:p>
    <w:p w14:paraId="6B606E6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D774FB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oficinas en el país y otras dependencias comerciales del PNUD fuera de las Sedes continuarán asistiendo al personal, en el punto de recepción, con cualquier envío que decidan realizar. Sin embargo, todos los costos serán pagados por el miembro del personal involucrado. </w:t>
      </w:r>
    </w:p>
    <w:p w14:paraId="1539D64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Seguro en tránsito de efectos personales y bienes del hogar</w:t>
      </w:r>
    </w:p>
    <w:p w14:paraId="66DD4D0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2E2234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máxima de seguro para los envíos no acompañados de personal que presta servicios en un nombramiento de plazo fijo de un año o más será de USD 1600.</w:t>
      </w:r>
    </w:p>
    <w:p w14:paraId="4870F53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07B702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máxima para los envíos no acompañados de miembros del personal que prestan servicios en un contrato de plazo fijo asignado por un año o más será de lo siguiente:</w:t>
      </w:r>
    </w:p>
    <w:p w14:paraId="0A8A8514"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USD 16 000 para el miembro del personal individual;</w:t>
      </w:r>
    </w:p>
    <w:p w14:paraId="7F1FFBDF"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8000 para el primer familiar que reúne las condiciones; y</w:t>
      </w:r>
    </w:p>
    <w:p w14:paraId="090E8F47"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4800 para cada familiar adicional que reúne las condiciones.</w:t>
      </w:r>
    </w:p>
    <w:p w14:paraId="0E9B549D"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7809B8E3" w14:textId="0B023FE3"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Para los envíos por traslado conforme a la </w:t>
      </w:r>
      <w:hyperlink r:id="rId9" w:history="1">
        <w:r w:rsidRPr="00283351">
          <w:rPr>
            <w:rFonts w:ascii="Calibri" w:eastAsia="MS Mincho" w:hAnsi="Calibri" w:cs="Times New Roman"/>
            <w:color w:val="0000FF"/>
            <w:kern w:val="0"/>
            <w:u w:val="single"/>
            <w:lang w:val="es-ES" w:eastAsia="es-ES" w:bidi="es-ES"/>
            <w14:ligatures w14:val="none"/>
          </w:rPr>
          <w:t>Regla del Reglamento del Personal de las Naciones Unidas 7.16</w:t>
        </w:r>
      </w:hyperlink>
      <w:r w:rsidRPr="008E15A6">
        <w:rPr>
          <w:rFonts w:ascii="Calibri" w:eastAsia="MS Mincho" w:hAnsi="Calibri" w:cs="Times New Roman"/>
          <w:kern w:val="0"/>
          <w:lang w:val="es-ES" w:eastAsia="es-ES" w:bidi="es-ES"/>
          <w14:ligatures w14:val="none"/>
        </w:rPr>
        <w:t>, incluido cualquier envío anticipado, la cobertura máxima de seguro será de lo siguiente:</w:t>
      </w:r>
    </w:p>
    <w:p w14:paraId="2806E2F7" w14:textId="2E290E26" w:rsidR="00283351" w:rsidRPr="008E15A6" w:rsidRDefault="00283351" w:rsidP="00283351">
      <w:pPr>
        <w:numPr>
          <w:ilvl w:val="0"/>
          <w:numId w:val="10"/>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80 000 para un miembro del personal sin un cónyuge o hijo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o</w:t>
      </w:r>
    </w:p>
    <w:p w14:paraId="2B3DD302" w14:textId="17D598AD" w:rsidR="00283351" w:rsidRPr="008E15A6" w:rsidRDefault="00283351" w:rsidP="00283351">
      <w:pPr>
        <w:numPr>
          <w:ilvl w:val="0"/>
          <w:numId w:val="10"/>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130 000 para un miembro del personal con un cónyuge o hijo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w:t>
      </w:r>
    </w:p>
    <w:p w14:paraId="7DD4ACD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2F6DDD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Naciones Unidas acuerda la cobertura de seguro en tránsito que finaliza cuando el envío llega a destino (es decir, la residencia del miembro del personal o un depósito). </w:t>
      </w:r>
    </w:p>
    <w:p w14:paraId="33AA3E9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52F7EB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Un miembro del personal puede optar por que la organización coordine el seguro contra todo riesgo de pérdida física o daño por causas externas en envíos no acompañados autorizados para ser enviados y asegurados por cuenta del PNUD. </w:t>
      </w:r>
    </w:p>
    <w:p w14:paraId="2A1C3EB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89EDA5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 el miembro del personal no solicita una cobertura de seguro por el total del valor mostrado en el inventario, la responsabilidad de la compañía de seguros se reduce y cualquier reclamación de seguro resultante se liquidará sobre una base prorrateada reducida. Por ejemplo, si un envío no acompañado valuado en USD 50 000 se asegura por solo USD 25 000, el miembro del personal no recibirá más del 50 % del valor que figura en el inventario por cualquier bien perdido o dañado.</w:t>
      </w:r>
    </w:p>
    <w:p w14:paraId="212ABF4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FF8DCC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están sujetos al impuesto nacional sobre la renta con respecto a sus salarios de las Naciones Unidas deben contar con una cobertura de seguro adicional por la diferencia entre el valor total y la cobertura proporcionada por la organización por sus efectos personales y bienes del hogar mientras están en tránsito o en almacenamiento. </w:t>
      </w:r>
    </w:p>
    <w:p w14:paraId="093BDF1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8EB6DB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prestaciones de seguro mencionadas anteriormente no se aplican a los envíos coordinados por los miembros del personal que han optado por la Prima de Traslado. </w:t>
      </w:r>
    </w:p>
    <w:p w14:paraId="5ADD144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Extensión de la cobertura de seguro</w:t>
      </w:r>
    </w:p>
    <w:p w14:paraId="6E60630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2C3DEF6" w14:textId="45162A72" w:rsidR="00283351" w:rsidRPr="008E15A6" w:rsidRDefault="008E15A6"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 miembros</w:t>
      </w:r>
      <w:r w:rsidR="00283351" w:rsidRPr="008E15A6">
        <w:rPr>
          <w:rFonts w:ascii="Calibri" w:eastAsia="MS Mincho" w:hAnsi="Calibri" w:cs="Times New Roman"/>
          <w:kern w:val="0"/>
          <w:lang w:val="es-ES" w:eastAsia="es-ES" w:bidi="es-ES"/>
          <w14:ligatures w14:val="none"/>
        </w:rPr>
        <w:t xml:space="preserve"> del personal no puede</w:t>
      </w:r>
      <w:r w:rsidR="00A52843"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tomar posesión de sus pertenencias a su llegada al puerto o al aeropuerto y los bienes están almacenados, deberá</w:t>
      </w:r>
      <w:r w:rsidR="00A52843"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solicitar una extensión del seguro por su propia cuenta a la compañía que aseguró el envío para que los bienes estén protegidos en caso de una reclamación de seguro. </w:t>
      </w:r>
    </w:p>
    <w:p w14:paraId="2F4D278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DF36887" w14:textId="039CDC0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 prestación de seguro no incluirá artículos de valor especial para los cuales se cobran tasas de primas especiales. En estos casos, el costo que sea superior a la prima normal de seguro de artículos estándares deberá ser pagado por </w:t>
      </w:r>
      <w:r w:rsidR="00A52843" w:rsidRPr="008E15A6">
        <w:rPr>
          <w:rFonts w:ascii="Calibri" w:eastAsia="MS Mincho" w:hAnsi="Calibri" w:cs="Times New Roman"/>
          <w:kern w:val="0"/>
          <w:lang w:val="es-ES" w:eastAsia="es-ES" w:bidi="es-ES"/>
          <w14:ligatures w14:val="none"/>
        </w:rPr>
        <w:t>los</w:t>
      </w:r>
      <w:r w:rsidRPr="008E15A6">
        <w:rPr>
          <w:rFonts w:ascii="Calibri" w:eastAsia="MS Mincho" w:hAnsi="Calibri" w:cs="Times New Roman"/>
          <w:kern w:val="0"/>
          <w:lang w:val="es-ES" w:eastAsia="es-ES" w:bidi="es-ES"/>
          <w14:ligatures w14:val="none"/>
        </w:rPr>
        <w:t xml:space="preserve"> 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incluso si está dentro de la prestación total de seguro.</w:t>
      </w:r>
    </w:p>
    <w:p w14:paraId="613B350D" w14:textId="77777777" w:rsidR="008E15A6" w:rsidRPr="008E15A6" w:rsidRDefault="008E15A6" w:rsidP="00283351">
      <w:pPr>
        <w:shd w:val="clear" w:color="auto" w:fill="FFFFFF"/>
        <w:spacing w:after="0" w:line="240" w:lineRule="auto"/>
        <w:jc w:val="both"/>
        <w:textAlignment w:val="top"/>
        <w:rPr>
          <w:rFonts w:ascii="Calibri" w:eastAsia="Times New Roman" w:hAnsi="Calibri" w:cs="Arial"/>
          <w:kern w:val="0"/>
          <w:u w:val="single"/>
          <w:lang w:val="es-ES" w:eastAsia="es-ES" w:bidi="es-ES"/>
          <w14:ligatures w14:val="none"/>
        </w:rPr>
      </w:pPr>
    </w:p>
    <w:p w14:paraId="4C18CD94"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37D4909B"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58DADB0A" w14:textId="77777777" w:rsidR="00965E1E" w:rsidRDefault="00965E1E" w:rsidP="00283351">
      <w:pPr>
        <w:shd w:val="clear" w:color="auto" w:fill="FFFFFF"/>
        <w:spacing w:after="0" w:line="240" w:lineRule="auto"/>
        <w:jc w:val="both"/>
        <w:textAlignment w:val="top"/>
        <w:rPr>
          <w:rFonts w:ascii="Calibri" w:eastAsia="MS Mincho" w:hAnsi="Calibri" w:cs="Times New Roman"/>
          <w:b/>
          <w:kern w:val="0"/>
          <w:lang w:val="es-ES" w:eastAsia="es-ES" w:bidi="es-ES"/>
          <w14:ligatures w14:val="none"/>
        </w:rPr>
      </w:pPr>
    </w:p>
    <w:p w14:paraId="4C329CC0" w14:textId="3985B0C2"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lastRenderedPageBreak/>
        <w:t xml:space="preserve">Reclamaciones de seguro </w:t>
      </w:r>
    </w:p>
    <w:p w14:paraId="4CB45A33"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3DF5384F" w14:textId="26121E08"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283351">
        <w:rPr>
          <w:rFonts w:ascii="Calibri" w:eastAsia="MS Mincho" w:hAnsi="Calibri" w:cs="Times New Roman"/>
          <w:color w:val="333333"/>
          <w:kern w:val="0"/>
          <w:lang w:val="es-ES" w:eastAsia="es-ES" w:bidi="es-ES"/>
          <w14:ligatures w14:val="none"/>
        </w:rPr>
        <w:t xml:space="preserve">Si </w:t>
      </w:r>
      <w:r w:rsidRPr="008E15A6">
        <w:rPr>
          <w:rFonts w:ascii="Calibri" w:eastAsia="MS Mincho" w:hAnsi="Calibri" w:cs="Times New Roman"/>
          <w:kern w:val="0"/>
          <w:lang w:val="es-ES" w:eastAsia="es-ES" w:bidi="es-ES"/>
          <w14:ligatures w14:val="none"/>
        </w:rPr>
        <w:t>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ha</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coordinado una cobertura de seguro para su envío no acompañado de efectos personales y bienes del hogar a través de la SVT, puede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presentar una reclamación a través de esta sección en el caso de pérdida o daño de la totalidad o de una parte del envío. </w:t>
      </w:r>
    </w:p>
    <w:p w14:paraId="037E0A1E" w14:textId="77777777" w:rsidR="00283351" w:rsidRPr="008E15A6" w:rsidRDefault="00283351" w:rsidP="00283351">
      <w:pPr>
        <w:shd w:val="clear" w:color="auto" w:fill="FFFFFF"/>
        <w:spacing w:after="0" w:line="240" w:lineRule="auto"/>
        <w:jc w:val="center"/>
        <w:rPr>
          <w:rFonts w:ascii="Times New Roman" w:eastAsia="Times New Roman" w:hAnsi="Times New Roman" w:cs="Arial"/>
          <w:kern w:val="0"/>
          <w:sz w:val="24"/>
          <w:szCs w:val="24"/>
          <w:lang w:val="es-ES"/>
          <w14:ligatures w14:val="none"/>
        </w:rPr>
      </w:pPr>
    </w:p>
    <w:p w14:paraId="1556C517" w14:textId="77777777" w:rsidR="00283351" w:rsidRPr="008E15A6" w:rsidRDefault="00283351" w:rsidP="00C85F1C">
      <w:pPr>
        <w:shd w:val="clear" w:color="auto" w:fill="FFFFFF"/>
        <w:spacing w:after="0" w:line="240" w:lineRule="auto"/>
        <w:rPr>
          <w:rFonts w:ascii="Calibri" w:eastAsia="Times New Roman" w:hAnsi="Calibri" w:cs="Calibri"/>
          <w:kern w:val="0"/>
          <w:sz w:val="23"/>
          <w:szCs w:val="23"/>
          <w14:ligatures w14:val="none"/>
        </w:rPr>
      </w:pPr>
      <w:r w:rsidRPr="008E15A6">
        <w:rPr>
          <w:rFonts w:ascii="Times New Roman" w:eastAsia="Times New Roman" w:hAnsi="Times New Roman" w:cs="Arial"/>
          <w:kern w:val="0"/>
          <w:sz w:val="24"/>
          <w:szCs w:val="24"/>
          <w:lang w:val="it-IT"/>
          <w14:ligatures w14:val="none"/>
        </w:rPr>
        <w:br/>
      </w:r>
      <w:r w:rsidRPr="008E15A6">
        <w:rPr>
          <w:rFonts w:ascii="Calibri" w:eastAsia="Times New Roman" w:hAnsi="Calibri" w:cs="Calibri"/>
          <w:b/>
          <w:bCs/>
          <w:i/>
          <w:iCs/>
          <w:kern w:val="0"/>
          <w:bdr w:val="none" w:sz="0" w:space="0" w:color="auto" w:frame="1"/>
          <w14:ligatures w14:val="none"/>
        </w:rPr>
        <w:t>Disclaimer:</w:t>
      </w:r>
      <w:r w:rsidRPr="008E15A6">
        <w:rPr>
          <w:rFonts w:ascii="Calibri" w:eastAsia="Times New Roman" w:hAnsi="Calibri" w:cs="Calibri"/>
          <w:i/>
          <w:iCs/>
          <w:kern w:val="0"/>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3CD3D2EE" w14:textId="77777777" w:rsidR="00283351" w:rsidRPr="008E15A6" w:rsidRDefault="00283351" w:rsidP="00C85F1C">
      <w:pPr>
        <w:shd w:val="clear" w:color="auto" w:fill="FFFFFF"/>
        <w:spacing w:after="0" w:line="240" w:lineRule="auto"/>
        <w:rPr>
          <w:rFonts w:ascii="Calibri" w:eastAsia="Times New Roman" w:hAnsi="Calibri" w:cs="Calibri"/>
          <w:kern w:val="0"/>
          <w:sz w:val="23"/>
          <w:szCs w:val="23"/>
          <w14:ligatures w14:val="none"/>
        </w:rPr>
      </w:pPr>
      <w:r w:rsidRPr="008E15A6">
        <w:rPr>
          <w:rFonts w:ascii="Calibri" w:eastAsia="Times New Roman" w:hAnsi="Calibri" w:cs="Calibri"/>
          <w:i/>
          <w:iCs/>
          <w:kern w:val="0"/>
          <w:bdr w:val="none" w:sz="0" w:space="0" w:color="auto" w:frame="1"/>
          <w14:ligatures w14:val="none"/>
        </w:rPr>
        <w:t> </w:t>
      </w:r>
    </w:p>
    <w:p w14:paraId="254FCA8E" w14:textId="77777777" w:rsidR="00283351" w:rsidRPr="008E15A6" w:rsidRDefault="00283351" w:rsidP="00C85F1C">
      <w:pPr>
        <w:shd w:val="clear" w:color="auto" w:fill="FFFFFF"/>
        <w:spacing w:after="0" w:line="240" w:lineRule="auto"/>
        <w:rPr>
          <w:rFonts w:ascii="Calibri" w:eastAsia="Times New Roman" w:hAnsi="Calibri" w:cs="Calibri"/>
          <w:kern w:val="0"/>
          <w:sz w:val="23"/>
          <w:szCs w:val="23"/>
          <w:lang w:val="es-ES"/>
          <w14:ligatures w14:val="none"/>
        </w:rPr>
      </w:pPr>
      <w:r w:rsidRPr="008E15A6">
        <w:rPr>
          <w:rFonts w:ascii="Calibri" w:eastAsia="Times New Roman" w:hAnsi="Calibri" w:cs="Calibri"/>
          <w:b/>
          <w:bCs/>
          <w:i/>
          <w:iCs/>
          <w:kern w:val="0"/>
          <w:bdr w:val="none" w:sz="0" w:space="0" w:color="auto" w:frame="1"/>
          <w:shd w:val="clear" w:color="auto" w:fill="FFFFFF"/>
          <w:lang w:val="es-ES_tradnl"/>
          <w14:ligatures w14:val="none"/>
        </w:rPr>
        <w:t>Descargo de responsabilidad:</w:t>
      </w:r>
      <w:r w:rsidRPr="008E15A6">
        <w:rPr>
          <w:rFonts w:ascii="Calibri" w:eastAsia="Times New Roman" w:hAnsi="Calibri" w:cs="Calibri"/>
          <w:i/>
          <w:iCs/>
          <w:kern w:val="0"/>
          <w:bdr w:val="none" w:sz="0" w:space="0" w:color="auto" w:frame="1"/>
          <w:shd w:val="clear" w:color="auto" w:fill="FFFFFF"/>
          <w:lang w:val="es-ES_tradnl"/>
          <w14:ligatures w14:val="none"/>
        </w:rPr>
        <w:t xml:space="preserve"> esta es una traducción de un documento original en inglés. </w:t>
      </w:r>
      <w:r w:rsidRPr="008E15A6">
        <w:rPr>
          <w:rFonts w:ascii="Calibri" w:eastAsia="Times New Roman" w:hAnsi="Calibri" w:cs="Calibri"/>
          <w:i/>
          <w:iCs/>
          <w:kern w:val="0"/>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011A781D" w14:textId="77777777" w:rsidR="00283351" w:rsidRPr="008E15A6" w:rsidRDefault="00283351" w:rsidP="00283351">
      <w:pPr>
        <w:spacing w:after="0" w:line="240" w:lineRule="auto"/>
        <w:jc w:val="both"/>
        <w:rPr>
          <w:rFonts w:ascii="Arial" w:eastAsia="MS Mincho" w:hAnsi="Arial" w:cs="Arial"/>
          <w:kern w:val="0"/>
          <w:lang w:val="es-ES" w:eastAsia="es-ES" w:bidi="es-ES"/>
          <w14:ligatures w14:val="none"/>
        </w:rPr>
      </w:pPr>
    </w:p>
    <w:p w14:paraId="5386E05E" w14:textId="77777777" w:rsidR="00A31C56" w:rsidRPr="008E15A6" w:rsidRDefault="00A31C56">
      <w:pPr>
        <w:rPr>
          <w:lang w:val="es-ES"/>
        </w:rPr>
      </w:pPr>
    </w:p>
    <w:sectPr w:rsidR="00A31C56" w:rsidRPr="008E15A6" w:rsidSect="002833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59F9" w14:textId="77777777" w:rsidR="009D3E38" w:rsidRDefault="009D3E38" w:rsidP="00283351">
      <w:pPr>
        <w:spacing w:after="0" w:line="240" w:lineRule="auto"/>
      </w:pPr>
      <w:r>
        <w:separator/>
      </w:r>
    </w:p>
  </w:endnote>
  <w:endnote w:type="continuationSeparator" w:id="0">
    <w:p w14:paraId="1CD185CE" w14:textId="77777777" w:rsidR="009D3E38" w:rsidRDefault="009D3E38" w:rsidP="0028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190E" w14:textId="49F6A0C8" w:rsidR="0073637E" w:rsidRPr="00DA782C" w:rsidRDefault="00000000" w:rsidP="00B732B7">
    <w:pPr>
      <w:pStyle w:val="Footer"/>
      <w:tabs>
        <w:tab w:val="left" w:pos="7112"/>
      </w:tabs>
      <w:rPr>
        <w:rFonts w:ascii="Calibri" w:hAnsi="Calibri" w:cs="Calibri"/>
      </w:rPr>
    </w:pPr>
    <w:sdt>
      <w:sdtPr>
        <w:rPr>
          <w:rFonts w:ascii="Calibri" w:hAnsi="Calibri" w:cs="Calibri"/>
        </w:rPr>
        <w:id w:val="-1705238520"/>
        <w:docPartObj>
          <w:docPartGallery w:val="Page Numbers (Top of Page)"/>
          <w:docPartUnique/>
        </w:docPartObj>
      </w:sdtPr>
      <w:sdtContent>
        <w:r w:rsidR="00410B9F" w:rsidRPr="00DA782C">
          <w:rPr>
            <w:rFonts w:ascii="Calibri" w:hAnsi="Calibri" w:cs="Calibri"/>
          </w:rPr>
          <w:t xml:space="preserve">Página </w:t>
        </w:r>
        <w:r w:rsidR="00410B9F" w:rsidRPr="00DA782C">
          <w:rPr>
            <w:rFonts w:ascii="Calibri" w:hAnsi="Calibri" w:cs="Calibri"/>
            <w:bCs/>
          </w:rPr>
          <w:fldChar w:fldCharType="begin"/>
        </w:r>
        <w:r w:rsidR="00410B9F" w:rsidRPr="00DA782C">
          <w:rPr>
            <w:rFonts w:ascii="Calibri" w:hAnsi="Calibri" w:cs="Calibri"/>
            <w:bCs/>
          </w:rPr>
          <w:instrText xml:space="preserve"> PAGE </w:instrText>
        </w:r>
        <w:r w:rsidR="00410B9F" w:rsidRPr="00DA782C">
          <w:rPr>
            <w:rFonts w:ascii="Calibri" w:hAnsi="Calibri" w:cs="Calibri"/>
            <w:bCs/>
          </w:rPr>
          <w:fldChar w:fldCharType="separate"/>
        </w:r>
        <w:r w:rsidR="00410B9F" w:rsidRPr="00DA782C">
          <w:rPr>
            <w:rFonts w:ascii="Calibri" w:hAnsi="Calibri" w:cs="Calibri"/>
            <w:bCs/>
            <w:noProof/>
          </w:rPr>
          <w:t>11</w:t>
        </w:r>
        <w:r w:rsidR="00410B9F" w:rsidRPr="00DA782C">
          <w:rPr>
            <w:rFonts w:ascii="Calibri" w:hAnsi="Calibri" w:cs="Calibri"/>
            <w:bCs/>
          </w:rPr>
          <w:fldChar w:fldCharType="end"/>
        </w:r>
        <w:r w:rsidR="00410B9F" w:rsidRPr="00DA782C">
          <w:rPr>
            <w:rFonts w:ascii="Calibri" w:hAnsi="Calibri" w:cs="Calibri"/>
          </w:rPr>
          <w:t xml:space="preserve"> de </w:t>
        </w:r>
        <w:r w:rsidR="00410B9F" w:rsidRPr="00DA782C">
          <w:rPr>
            <w:rFonts w:ascii="Calibri" w:hAnsi="Calibri" w:cs="Calibri"/>
            <w:bCs/>
          </w:rPr>
          <w:fldChar w:fldCharType="begin"/>
        </w:r>
        <w:r w:rsidR="00410B9F" w:rsidRPr="00DA782C">
          <w:rPr>
            <w:rFonts w:ascii="Calibri" w:hAnsi="Calibri" w:cs="Calibri"/>
            <w:bCs/>
          </w:rPr>
          <w:instrText xml:space="preserve"> NUMPAGES  </w:instrText>
        </w:r>
        <w:r w:rsidR="00410B9F" w:rsidRPr="00DA782C">
          <w:rPr>
            <w:rFonts w:ascii="Calibri" w:hAnsi="Calibri" w:cs="Calibri"/>
            <w:bCs/>
          </w:rPr>
          <w:fldChar w:fldCharType="separate"/>
        </w:r>
        <w:r w:rsidR="00410B9F" w:rsidRPr="00DA782C">
          <w:rPr>
            <w:rFonts w:ascii="Calibri" w:hAnsi="Calibri" w:cs="Calibri"/>
            <w:bCs/>
            <w:noProof/>
          </w:rPr>
          <w:t>11</w:t>
        </w:r>
        <w:r w:rsidR="00410B9F" w:rsidRPr="00DA782C">
          <w:rPr>
            <w:rFonts w:ascii="Calibri" w:hAnsi="Calibri" w:cs="Calibri"/>
            <w:bCs/>
          </w:rPr>
          <w:fldChar w:fldCharType="end"/>
        </w:r>
        <w:r w:rsidR="00410B9F" w:rsidRPr="00DA782C">
          <w:rPr>
            <w:rFonts w:ascii="Calibri" w:hAnsi="Calibri" w:cs="Calibri"/>
          </w:rPr>
          <w:tab/>
        </w:r>
        <w:proofErr w:type="spellStart"/>
        <w:r w:rsidR="00410B9F" w:rsidRPr="00DA782C">
          <w:rPr>
            <w:rFonts w:ascii="Calibri" w:hAnsi="Calibri" w:cs="Calibri"/>
          </w:rPr>
          <w:t>Fecha</w:t>
        </w:r>
        <w:proofErr w:type="spellEnd"/>
        <w:r w:rsidR="00410B9F" w:rsidRPr="00DA782C">
          <w:rPr>
            <w:rFonts w:ascii="Calibri" w:hAnsi="Calibri" w:cs="Calibri"/>
          </w:rPr>
          <w:t xml:space="preserve"> de entrada </w:t>
        </w:r>
        <w:proofErr w:type="spellStart"/>
        <w:r w:rsidR="00410B9F" w:rsidRPr="00DA782C">
          <w:rPr>
            <w:rFonts w:ascii="Calibri" w:hAnsi="Calibri" w:cs="Calibri"/>
          </w:rPr>
          <w:t>en</w:t>
        </w:r>
        <w:proofErr w:type="spellEnd"/>
        <w:r w:rsidR="00410B9F" w:rsidRPr="00DA782C">
          <w:rPr>
            <w:rFonts w:ascii="Calibri" w:hAnsi="Calibri" w:cs="Calibri"/>
          </w:rPr>
          <w:t xml:space="preserve"> vigor: </w:t>
        </w:r>
        <w:r w:rsidR="00FE7AA6" w:rsidRPr="00DA782C">
          <w:rPr>
            <w:rFonts w:ascii="Calibri" w:hAnsi="Calibri" w:cs="Calibri"/>
            <w:bCs/>
            <w:lang w:val="es-ES"/>
          </w:rPr>
          <w:t>01/05/2025</w:t>
        </w:r>
      </w:sdtContent>
    </w:sdt>
    <w:r w:rsidR="00410B9F" w:rsidRPr="00DA782C">
      <w:rPr>
        <w:rFonts w:ascii="Calibri" w:hAnsi="Calibri" w:cs="Calibri"/>
      </w:rPr>
      <w:tab/>
    </w:r>
    <w:r w:rsidR="00410B9F" w:rsidRPr="00DA782C">
      <w:rPr>
        <w:rFonts w:ascii="Calibri" w:hAnsi="Calibri" w:cs="Calibri"/>
      </w:rPr>
      <w:tab/>
      <w:t xml:space="preserve"> </w:t>
    </w:r>
    <w:proofErr w:type="spellStart"/>
    <w:r w:rsidR="00410B9F" w:rsidRPr="00DA782C">
      <w:rPr>
        <w:rFonts w:ascii="Calibri" w:hAnsi="Calibri" w:cs="Calibri"/>
      </w:rPr>
      <w:t>Versión</w:t>
    </w:r>
    <w:proofErr w:type="spellEnd"/>
    <w:r w:rsidR="00410B9F" w:rsidRPr="00DA782C">
      <w:rPr>
        <w:rFonts w:ascii="Calibri" w:hAnsi="Calibri" w:cs="Calibri"/>
      </w:rPr>
      <w:t xml:space="preserve"> </w:t>
    </w:r>
    <w:r w:rsidR="00965E1E">
      <w:rPr>
        <w:rFonts w:ascii="Calibri" w:hAnsi="Calibri" w:cs="Calibri"/>
      </w:rPr>
      <w:t>#</w:t>
    </w:r>
    <w:r w:rsidR="00410B9F" w:rsidRPr="00DA782C">
      <w:rPr>
        <w:rFonts w:ascii="Calibri" w:hAnsi="Calibri" w:cs="Calibri"/>
      </w:rPr>
      <w:t xml:space="preserve">: </w:t>
    </w:r>
    <w:r w:rsidR="00AF5BAF" w:rsidRPr="00DA782C">
      <w:rPr>
        <w:rFonts w:ascii="Calibri" w:hAnsi="Calibri" w:cs="Calibri"/>
      </w:rPr>
      <w:t>2</w:t>
    </w:r>
  </w:p>
  <w:p w14:paraId="7E8BE933" w14:textId="77777777" w:rsidR="0073637E" w:rsidRDefault="0073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B96B" w14:textId="77777777" w:rsidR="009D3E38" w:rsidRDefault="009D3E38" w:rsidP="00283351">
      <w:pPr>
        <w:spacing w:after="0" w:line="240" w:lineRule="auto"/>
      </w:pPr>
      <w:r>
        <w:separator/>
      </w:r>
    </w:p>
  </w:footnote>
  <w:footnote w:type="continuationSeparator" w:id="0">
    <w:p w14:paraId="606220D4" w14:textId="77777777" w:rsidR="009D3E38" w:rsidRDefault="009D3E38" w:rsidP="0028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C0F7" w14:textId="5CCE967B" w:rsidR="0073637E" w:rsidRDefault="00410B9F" w:rsidP="008E15A6">
    <w:pPr>
      <w:pStyle w:val="Header"/>
      <w:jc w:val="right"/>
    </w:pPr>
    <w:r>
      <w:rPr>
        <w:noProof/>
      </w:rPr>
      <w:drawing>
        <wp:inline distT="0" distB="0" distL="0" distR="0" wp14:anchorId="01AE27CA" wp14:editId="15476CA5">
          <wp:extent cx="532765" cy="810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34361" cy="8133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B9"/>
    <w:multiLevelType w:val="hybridMultilevel"/>
    <w:tmpl w:val="620CC0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157C79"/>
    <w:multiLevelType w:val="hybridMultilevel"/>
    <w:tmpl w:val="F36C378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927347"/>
    <w:multiLevelType w:val="hybridMultilevel"/>
    <w:tmpl w:val="6E5AF5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C113FF"/>
    <w:multiLevelType w:val="hybridMultilevel"/>
    <w:tmpl w:val="4C6636F8"/>
    <w:lvl w:ilvl="0" w:tplc="CAC20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B5A24"/>
    <w:multiLevelType w:val="hybridMultilevel"/>
    <w:tmpl w:val="AACC03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C6662D5"/>
    <w:multiLevelType w:val="hybridMultilevel"/>
    <w:tmpl w:val="6E5AF5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A064E4"/>
    <w:multiLevelType w:val="hybridMultilevel"/>
    <w:tmpl w:val="A5040806"/>
    <w:lvl w:ilvl="0" w:tplc="CAC20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712AC4"/>
    <w:multiLevelType w:val="hybridMultilevel"/>
    <w:tmpl w:val="A662876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2B23FC"/>
    <w:multiLevelType w:val="hybridMultilevel"/>
    <w:tmpl w:val="4A46EC22"/>
    <w:lvl w:ilvl="0" w:tplc="9B42C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0F0DC3"/>
    <w:multiLevelType w:val="hybridMultilevel"/>
    <w:tmpl w:val="5CC8C726"/>
    <w:lvl w:ilvl="0" w:tplc="04090017">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0" w15:restartNumberingAfterBreak="0">
    <w:nsid w:val="73263A94"/>
    <w:multiLevelType w:val="hybridMultilevel"/>
    <w:tmpl w:val="DB6E8B92"/>
    <w:lvl w:ilvl="0" w:tplc="A7FC203A">
      <w:start w:val="1"/>
      <w:numFmt w:val="lowerRoman"/>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6A57822"/>
    <w:multiLevelType w:val="hybridMultilevel"/>
    <w:tmpl w:val="6BAC3738"/>
    <w:lvl w:ilvl="0" w:tplc="C7FECE8E">
      <w:start w:val="1"/>
      <w:numFmt w:val="decimal"/>
      <w:lvlText w:val="%1."/>
      <w:lvlJc w:val="left"/>
      <w:pPr>
        <w:ind w:left="720" w:hanging="360"/>
      </w:pPr>
      <w:rPr>
        <w:rFonts w:hint="default"/>
        <w:b w:val="0"/>
      </w:rPr>
    </w:lvl>
    <w:lvl w:ilvl="1" w:tplc="66CAC7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91DF1"/>
    <w:multiLevelType w:val="hybridMultilevel"/>
    <w:tmpl w:val="D3EE1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E0A66"/>
    <w:multiLevelType w:val="hybridMultilevel"/>
    <w:tmpl w:val="32182DF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523679">
    <w:abstractNumId w:val="8"/>
  </w:num>
  <w:num w:numId="2" w16cid:durableId="76833775">
    <w:abstractNumId w:val="3"/>
  </w:num>
  <w:num w:numId="3" w16cid:durableId="817913750">
    <w:abstractNumId w:val="6"/>
  </w:num>
  <w:num w:numId="4" w16cid:durableId="1956591923">
    <w:abstractNumId w:val="13"/>
  </w:num>
  <w:num w:numId="5" w16cid:durableId="160393207">
    <w:abstractNumId w:val="0"/>
  </w:num>
  <w:num w:numId="6" w16cid:durableId="1575778655">
    <w:abstractNumId w:val="1"/>
  </w:num>
  <w:num w:numId="7" w16cid:durableId="1656447825">
    <w:abstractNumId w:val="4"/>
  </w:num>
  <w:num w:numId="8" w16cid:durableId="377051547">
    <w:abstractNumId w:val="10"/>
  </w:num>
  <w:num w:numId="9" w16cid:durableId="1384021242">
    <w:abstractNumId w:val="2"/>
  </w:num>
  <w:num w:numId="10" w16cid:durableId="693270317">
    <w:abstractNumId w:val="5"/>
  </w:num>
  <w:num w:numId="11" w16cid:durableId="758646222">
    <w:abstractNumId w:val="7"/>
  </w:num>
  <w:num w:numId="12" w16cid:durableId="255528171">
    <w:abstractNumId w:val="9"/>
  </w:num>
  <w:num w:numId="13" w16cid:durableId="285625278">
    <w:abstractNumId w:val="12"/>
  </w:num>
  <w:num w:numId="14" w16cid:durableId="2079282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51"/>
    <w:rsid w:val="00063A2E"/>
    <w:rsid w:val="000C0236"/>
    <w:rsid w:val="000F3274"/>
    <w:rsid w:val="00122232"/>
    <w:rsid w:val="001577BB"/>
    <w:rsid w:val="001B7C21"/>
    <w:rsid w:val="00283351"/>
    <w:rsid w:val="00286AB2"/>
    <w:rsid w:val="003E1408"/>
    <w:rsid w:val="003F35A6"/>
    <w:rsid w:val="00405CA5"/>
    <w:rsid w:val="00410B9F"/>
    <w:rsid w:val="00440916"/>
    <w:rsid w:val="00487C63"/>
    <w:rsid w:val="004969F0"/>
    <w:rsid w:val="00496FF3"/>
    <w:rsid w:val="004C7FC3"/>
    <w:rsid w:val="0053635A"/>
    <w:rsid w:val="00601F5B"/>
    <w:rsid w:val="006D640F"/>
    <w:rsid w:val="00705B20"/>
    <w:rsid w:val="00733716"/>
    <w:rsid w:val="0073637E"/>
    <w:rsid w:val="00772690"/>
    <w:rsid w:val="007775B8"/>
    <w:rsid w:val="008767F5"/>
    <w:rsid w:val="008B40D8"/>
    <w:rsid w:val="008E15A6"/>
    <w:rsid w:val="008F1B3D"/>
    <w:rsid w:val="00930C27"/>
    <w:rsid w:val="00965E1E"/>
    <w:rsid w:val="009C041B"/>
    <w:rsid w:val="009C35CD"/>
    <w:rsid w:val="009D3E38"/>
    <w:rsid w:val="00A31C56"/>
    <w:rsid w:val="00A52843"/>
    <w:rsid w:val="00A9366F"/>
    <w:rsid w:val="00AF5BAF"/>
    <w:rsid w:val="00B2652F"/>
    <w:rsid w:val="00BB6105"/>
    <w:rsid w:val="00BD502C"/>
    <w:rsid w:val="00C76D05"/>
    <w:rsid w:val="00C85F1C"/>
    <w:rsid w:val="00C9737C"/>
    <w:rsid w:val="00D15C58"/>
    <w:rsid w:val="00D43513"/>
    <w:rsid w:val="00DA782C"/>
    <w:rsid w:val="00E1356D"/>
    <w:rsid w:val="00E347F0"/>
    <w:rsid w:val="00E35885"/>
    <w:rsid w:val="00F036CA"/>
    <w:rsid w:val="00FE0AB1"/>
    <w:rsid w:val="00FE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0426"/>
  <w15:chartTrackingRefBased/>
  <w15:docId w15:val="{717259E1-BD13-4172-BFF7-E9A598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51"/>
    <w:rPr>
      <w:rFonts w:eastAsiaTheme="majorEastAsia" w:cstheme="majorBidi"/>
      <w:color w:val="272727" w:themeColor="text1" w:themeTint="D8"/>
    </w:rPr>
  </w:style>
  <w:style w:type="paragraph" w:styleId="Title">
    <w:name w:val="Title"/>
    <w:basedOn w:val="Normal"/>
    <w:next w:val="Normal"/>
    <w:link w:val="TitleChar"/>
    <w:uiPriority w:val="10"/>
    <w:qFormat/>
    <w:rsid w:val="00283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51"/>
    <w:pPr>
      <w:spacing w:before="160"/>
      <w:jc w:val="center"/>
    </w:pPr>
    <w:rPr>
      <w:i/>
      <w:iCs/>
      <w:color w:val="404040" w:themeColor="text1" w:themeTint="BF"/>
    </w:rPr>
  </w:style>
  <w:style w:type="character" w:customStyle="1" w:styleId="QuoteChar">
    <w:name w:val="Quote Char"/>
    <w:basedOn w:val="DefaultParagraphFont"/>
    <w:link w:val="Quote"/>
    <w:uiPriority w:val="29"/>
    <w:rsid w:val="00283351"/>
    <w:rPr>
      <w:i/>
      <w:iCs/>
      <w:color w:val="404040" w:themeColor="text1" w:themeTint="BF"/>
    </w:rPr>
  </w:style>
  <w:style w:type="paragraph" w:styleId="ListParagraph">
    <w:name w:val="List Paragraph"/>
    <w:basedOn w:val="Normal"/>
    <w:uiPriority w:val="34"/>
    <w:qFormat/>
    <w:rsid w:val="00283351"/>
    <w:pPr>
      <w:ind w:left="720"/>
      <w:contextualSpacing/>
    </w:pPr>
  </w:style>
  <w:style w:type="character" w:styleId="IntenseEmphasis">
    <w:name w:val="Intense Emphasis"/>
    <w:basedOn w:val="DefaultParagraphFont"/>
    <w:uiPriority w:val="21"/>
    <w:qFormat/>
    <w:rsid w:val="00283351"/>
    <w:rPr>
      <w:i/>
      <w:iCs/>
      <w:color w:val="0F4761" w:themeColor="accent1" w:themeShade="BF"/>
    </w:rPr>
  </w:style>
  <w:style w:type="paragraph" w:styleId="IntenseQuote">
    <w:name w:val="Intense Quote"/>
    <w:basedOn w:val="Normal"/>
    <w:next w:val="Normal"/>
    <w:link w:val="IntenseQuoteChar"/>
    <w:uiPriority w:val="30"/>
    <w:qFormat/>
    <w:rsid w:val="00283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51"/>
    <w:rPr>
      <w:i/>
      <w:iCs/>
      <w:color w:val="0F4761" w:themeColor="accent1" w:themeShade="BF"/>
    </w:rPr>
  </w:style>
  <w:style w:type="character" w:styleId="IntenseReference">
    <w:name w:val="Intense Reference"/>
    <w:basedOn w:val="DefaultParagraphFont"/>
    <w:uiPriority w:val="32"/>
    <w:qFormat/>
    <w:rsid w:val="00283351"/>
    <w:rPr>
      <w:b/>
      <w:bCs/>
      <w:smallCaps/>
      <w:color w:val="0F4761" w:themeColor="accent1" w:themeShade="BF"/>
      <w:spacing w:val="5"/>
    </w:rPr>
  </w:style>
  <w:style w:type="paragraph" w:styleId="Header">
    <w:name w:val="header"/>
    <w:basedOn w:val="Normal"/>
    <w:link w:val="HeaderChar"/>
    <w:uiPriority w:val="99"/>
    <w:unhideWhenUsed/>
    <w:rsid w:val="0028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51"/>
  </w:style>
  <w:style w:type="paragraph" w:styleId="Footer">
    <w:name w:val="footer"/>
    <w:basedOn w:val="Normal"/>
    <w:link w:val="FooterChar"/>
    <w:uiPriority w:val="99"/>
    <w:unhideWhenUsed/>
    <w:rsid w:val="0028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51"/>
  </w:style>
  <w:style w:type="paragraph" w:styleId="Revision">
    <w:name w:val="Revision"/>
    <w:hidden/>
    <w:uiPriority w:val="99"/>
    <w:semiHidden/>
    <w:rsid w:val="00AF5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pt-78-form-itemized-valued-inventory-personal-effectsinsurance-claims-proced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61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library.un.org/record/4002120?ln=en&amp;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27</cp:revision>
  <dcterms:created xsi:type="dcterms:W3CDTF">2025-04-28T12:25:00Z</dcterms:created>
  <dcterms:modified xsi:type="dcterms:W3CDTF">2026-05-14T13:31:00Z</dcterms:modified>
</cp:coreProperties>
</file>