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4FE9" w14:textId="581A8D3F" w:rsidR="001A2146" w:rsidRPr="00A27A5E" w:rsidRDefault="001A2146" w:rsidP="00A27A5E">
      <w:pPr>
        <w:shd w:val="clear" w:color="auto" w:fill="FFFFFF"/>
        <w:spacing w:line="240" w:lineRule="auto"/>
        <w:jc w:val="both"/>
        <w:textAlignment w:val="top"/>
        <w:rPr>
          <w:rFonts w:eastAsia="Times New Roman" w:cstheme="minorHAnsi"/>
          <w:sz w:val="28"/>
          <w:szCs w:val="28"/>
        </w:rPr>
      </w:pPr>
      <w:r>
        <w:rPr>
          <w:b/>
          <w:bCs/>
          <w:sz w:val="28"/>
          <w:szCs w:val="28"/>
        </w:rPr>
        <w:t xml:space="preserve">Fermeture d’une implantation locale </w:t>
      </w:r>
    </w:p>
    <w:p w14:paraId="7280E03E" w14:textId="77777777" w:rsidR="001A2146" w:rsidRPr="00A27A5E" w:rsidRDefault="001A2146" w:rsidP="00A27A5E">
      <w:pPr>
        <w:pStyle w:val="ListParagraph"/>
        <w:numPr>
          <w:ilvl w:val="0"/>
          <w:numId w:val="6"/>
        </w:numPr>
        <w:shd w:val="clear" w:color="auto" w:fill="FFFFFF"/>
        <w:spacing w:after="0" w:line="240" w:lineRule="auto"/>
        <w:jc w:val="both"/>
        <w:textAlignment w:val="top"/>
        <w:rPr>
          <w:rFonts w:eastAsia="Times New Roman" w:cstheme="minorHAnsi"/>
        </w:rPr>
      </w:pPr>
      <w:r>
        <w:t>Cette section sert de guide aux bureaux de pays concernant le processus de fermeture des implantations locales en dehors du bureau principal. Par implantations locales l’on entend les bureaux relevant d’un bureau de pays situé dans le même pays : </w:t>
      </w:r>
    </w:p>
    <w:p w14:paraId="5294B4F3" w14:textId="77777777" w:rsidR="001A2146" w:rsidRPr="00A27A5E" w:rsidRDefault="001A2146" w:rsidP="00A27A5E">
      <w:pPr>
        <w:shd w:val="clear" w:color="auto" w:fill="FFFFFF"/>
        <w:spacing w:after="0" w:line="240" w:lineRule="auto"/>
        <w:jc w:val="both"/>
        <w:textAlignment w:val="top"/>
        <w:rPr>
          <w:rFonts w:eastAsia="Times New Roman" w:cstheme="minorHAnsi"/>
          <w:color w:val="333333"/>
        </w:rPr>
      </w:pPr>
      <w:r>
        <w:rPr>
          <w:color w:val="333333"/>
        </w:rPr>
        <w:t>  </w:t>
      </w:r>
    </w:p>
    <w:p w14:paraId="2064A398" w14:textId="77777777" w:rsidR="001A2146" w:rsidRPr="00D54941" w:rsidRDefault="001A2146" w:rsidP="00A27A5E">
      <w:pPr>
        <w:pStyle w:val="ListParagraph"/>
        <w:numPr>
          <w:ilvl w:val="0"/>
          <w:numId w:val="7"/>
        </w:numPr>
        <w:shd w:val="clear" w:color="auto" w:fill="FFFFFF"/>
        <w:spacing w:after="0" w:line="240" w:lineRule="auto"/>
        <w:jc w:val="both"/>
        <w:textAlignment w:val="top"/>
        <w:rPr>
          <w:rFonts w:eastAsia="Times New Roman" w:cstheme="minorHAnsi"/>
        </w:rPr>
      </w:pPr>
      <w:r>
        <w:t>Bureaux de projet</w:t>
      </w:r>
    </w:p>
    <w:p w14:paraId="4E2EF74E" w14:textId="77777777" w:rsidR="00582E1F" w:rsidRPr="00582E1F" w:rsidRDefault="001A2146" w:rsidP="00A27A5E">
      <w:pPr>
        <w:pStyle w:val="ListParagraph"/>
        <w:numPr>
          <w:ilvl w:val="0"/>
          <w:numId w:val="7"/>
        </w:numPr>
        <w:shd w:val="clear" w:color="auto" w:fill="FFFFFF"/>
        <w:spacing w:after="0" w:line="240" w:lineRule="auto"/>
        <w:jc w:val="both"/>
        <w:textAlignment w:val="top"/>
        <w:rPr>
          <w:rFonts w:eastAsia="Times New Roman" w:cstheme="minorHAnsi"/>
        </w:rPr>
      </w:pPr>
      <w:r>
        <w:t>Bureaux auxiliaires du PNUD</w:t>
      </w:r>
    </w:p>
    <w:p w14:paraId="6667700C" w14:textId="2400CFC1" w:rsidR="001A2146" w:rsidRPr="00582E1F" w:rsidRDefault="001A2146" w:rsidP="00582E1F">
      <w:pPr>
        <w:shd w:val="clear" w:color="auto" w:fill="FFFFFF"/>
        <w:spacing w:after="0" w:line="240" w:lineRule="auto"/>
        <w:ind w:left="1080"/>
        <w:jc w:val="both"/>
        <w:textAlignment w:val="top"/>
        <w:rPr>
          <w:rFonts w:eastAsia="Times New Roman" w:cstheme="minorHAnsi"/>
        </w:rPr>
      </w:pPr>
      <w:r w:rsidRPr="00582E1F">
        <w:rPr>
          <w:color w:val="000000"/>
        </w:rPr>
        <w:t> </w:t>
      </w:r>
    </w:p>
    <w:p w14:paraId="67719B31" w14:textId="5BF98D91" w:rsidR="001A2146" w:rsidRPr="00A27A5E" w:rsidRDefault="001A2146" w:rsidP="00A27A5E">
      <w:pPr>
        <w:pStyle w:val="ListParagraph"/>
        <w:numPr>
          <w:ilvl w:val="0"/>
          <w:numId w:val="6"/>
        </w:numPr>
        <w:shd w:val="clear" w:color="auto" w:fill="FFFFFF"/>
        <w:spacing w:after="0" w:line="240" w:lineRule="auto"/>
        <w:jc w:val="both"/>
        <w:textAlignment w:val="top"/>
        <w:rPr>
          <w:rFonts w:eastAsia="Times New Roman" w:cstheme="minorHAnsi"/>
        </w:rPr>
      </w:pPr>
      <w:r>
        <w:t>Les étapes du processus, qui fournissent une orientation pour la fermeture des bureaux de projet, doivent être respectées par les bureaux auxiliaires</w:t>
      </w:r>
      <w:r w:rsidR="00582E1F">
        <w:t>.</w:t>
      </w:r>
    </w:p>
    <w:p w14:paraId="31104ACB" w14:textId="77777777" w:rsidR="001A2146" w:rsidRPr="00A27A5E" w:rsidRDefault="001A2146" w:rsidP="00A27A5E">
      <w:pPr>
        <w:shd w:val="clear" w:color="auto" w:fill="FFFFFF"/>
        <w:spacing w:after="0" w:line="240" w:lineRule="auto"/>
        <w:jc w:val="both"/>
        <w:textAlignment w:val="top"/>
        <w:rPr>
          <w:rFonts w:eastAsia="Times New Roman" w:cstheme="minorHAnsi"/>
          <w:color w:val="333333"/>
        </w:rPr>
      </w:pPr>
      <w:r>
        <w:rPr>
          <w:color w:val="333333"/>
        </w:rPr>
        <w:t> </w:t>
      </w:r>
    </w:p>
    <w:p w14:paraId="7BF3D78D" w14:textId="01C37E20" w:rsidR="001A2146" w:rsidRDefault="00643554" w:rsidP="00A27A5E">
      <w:pPr>
        <w:shd w:val="clear" w:color="auto" w:fill="FFFFFF"/>
        <w:spacing w:after="0" w:line="240" w:lineRule="auto"/>
        <w:jc w:val="center"/>
        <w:textAlignment w:val="top"/>
        <w:rPr>
          <w:rFonts w:eastAsia="Times New Roman" w:cstheme="minorHAnsi"/>
          <w:color w:val="333333"/>
        </w:rPr>
      </w:pPr>
      <w:r w:rsidRPr="00643554">
        <w:rPr>
          <w:rFonts w:eastAsia="Times New Roman" w:cstheme="minorHAnsi"/>
          <w:noProof/>
          <w:color w:val="333333"/>
          <w:lang w:val="en-US" w:eastAsia="en-US"/>
        </w:rPr>
        <w:drawing>
          <wp:inline distT="0" distB="0" distL="0" distR="0" wp14:anchorId="0B31E877" wp14:editId="476B7DBC">
            <wp:extent cx="5080635" cy="3124835"/>
            <wp:effectExtent l="0" t="0" r="5715" b="0"/>
            <wp:docPr id="2" name="Imagen 2" descr="C:\Users\Usuario\Desktop\Nueva carpeta\Admin Service_Management of Local Presence_Closing Local Presence outside Country Office 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Nueva carpeta\Admin Service_Management of Local Presence_Closing Local Presence outside Country Office F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0635" cy="3124835"/>
                    </a:xfrm>
                    <a:prstGeom prst="rect">
                      <a:avLst/>
                    </a:prstGeom>
                    <a:noFill/>
                    <a:ln>
                      <a:noFill/>
                    </a:ln>
                  </pic:spPr>
                </pic:pic>
              </a:graphicData>
            </a:graphic>
          </wp:inline>
        </w:drawing>
      </w:r>
    </w:p>
    <w:p w14:paraId="7A544390" w14:textId="77777777" w:rsidR="00F23AFC" w:rsidRPr="00A27A5E" w:rsidRDefault="00F23AFC" w:rsidP="00A27A5E">
      <w:pPr>
        <w:shd w:val="clear" w:color="auto" w:fill="FFFFFF"/>
        <w:spacing w:after="0" w:line="240" w:lineRule="auto"/>
        <w:jc w:val="center"/>
        <w:textAlignment w:val="top"/>
        <w:rPr>
          <w:rFonts w:eastAsia="Times New Roman" w:cstheme="minorHAnsi"/>
          <w:color w:val="333333"/>
        </w:rPr>
      </w:pPr>
    </w:p>
    <w:p w14:paraId="6FF099CF" w14:textId="77777777" w:rsidR="001A2146" w:rsidRPr="00DD7EB7" w:rsidRDefault="00EB2D16" w:rsidP="00A27A5E">
      <w:pPr>
        <w:pStyle w:val="ListParagraph"/>
        <w:numPr>
          <w:ilvl w:val="0"/>
          <w:numId w:val="6"/>
        </w:numPr>
        <w:shd w:val="clear" w:color="auto" w:fill="FFFFFF"/>
        <w:spacing w:after="0" w:line="240" w:lineRule="auto"/>
        <w:jc w:val="both"/>
        <w:textAlignment w:val="top"/>
        <w:rPr>
          <w:rFonts w:eastAsia="Times New Roman" w:cstheme="minorHAnsi"/>
          <w:vanish/>
        </w:rPr>
      </w:pPr>
      <w:r>
        <w:t>Il y a trois étapes clés : :</w:t>
      </w:r>
    </w:p>
    <w:p w14:paraId="75407B59" w14:textId="77777777" w:rsidR="001A2146" w:rsidRPr="00DD7EB7" w:rsidRDefault="001A2146" w:rsidP="00A27A5E">
      <w:pPr>
        <w:numPr>
          <w:ilvl w:val="0"/>
          <w:numId w:val="2"/>
        </w:numPr>
        <w:shd w:val="clear" w:color="auto" w:fill="FFFFFF"/>
        <w:spacing w:before="100" w:beforeAutospacing="1" w:after="100" w:afterAutospacing="1" w:line="240" w:lineRule="auto"/>
        <w:ind w:left="1134"/>
        <w:jc w:val="both"/>
        <w:textAlignment w:val="top"/>
        <w:rPr>
          <w:rFonts w:eastAsia="Times New Roman" w:cstheme="minorHAnsi"/>
        </w:rPr>
      </w:pPr>
      <w:r>
        <w:rPr>
          <w:b/>
          <w:bCs/>
        </w:rPr>
        <w:t>La prise de décision :</w:t>
      </w:r>
      <w:r>
        <w:t xml:space="preserve"> La décision doit être éclairée par les recommandations d’un examen officiel, d’une évaluation des risques et de consultations avec les homologues.</w:t>
      </w:r>
    </w:p>
    <w:p w14:paraId="5E5E741D" w14:textId="77777777" w:rsidR="001A2146" w:rsidRPr="00DD7EB7" w:rsidRDefault="001A2146" w:rsidP="00A27A5E">
      <w:pPr>
        <w:numPr>
          <w:ilvl w:val="0"/>
          <w:numId w:val="2"/>
        </w:numPr>
        <w:shd w:val="clear" w:color="auto" w:fill="FFFFFF"/>
        <w:spacing w:before="100" w:beforeAutospacing="1" w:after="100" w:afterAutospacing="1" w:line="240" w:lineRule="auto"/>
        <w:ind w:left="1134"/>
        <w:jc w:val="both"/>
        <w:textAlignment w:val="top"/>
        <w:rPr>
          <w:rFonts w:eastAsia="Times New Roman" w:cstheme="minorHAnsi"/>
        </w:rPr>
      </w:pPr>
      <w:r>
        <w:rPr>
          <w:b/>
          <w:bCs/>
        </w:rPr>
        <w:t>La planification et les préparatifs :</w:t>
      </w:r>
      <w:r>
        <w:t xml:space="preserve"> Cette étape comprend les mesures d’atténuation des risques pertinents et l’élaboration d’un plan de fermeture détaillé. Le bureau de pays doit déployer tous les efforts possibles pour aider les fonctionnaires et les partenaires touchés par la fermeture.</w:t>
      </w:r>
    </w:p>
    <w:p w14:paraId="7147950A" w14:textId="77777777" w:rsidR="001A2146" w:rsidRPr="00DD7EB7" w:rsidRDefault="001A2146" w:rsidP="00A27A5E">
      <w:pPr>
        <w:numPr>
          <w:ilvl w:val="0"/>
          <w:numId w:val="2"/>
        </w:numPr>
        <w:shd w:val="clear" w:color="auto" w:fill="FFFFFF"/>
        <w:spacing w:before="100" w:beforeAutospacing="1" w:after="100" w:afterAutospacing="1" w:line="240" w:lineRule="auto"/>
        <w:ind w:left="1134"/>
        <w:jc w:val="both"/>
        <w:textAlignment w:val="top"/>
        <w:rPr>
          <w:rFonts w:eastAsia="Times New Roman" w:cstheme="minorHAnsi"/>
        </w:rPr>
      </w:pPr>
      <w:r>
        <w:rPr>
          <w:b/>
          <w:bCs/>
        </w:rPr>
        <w:t>L’exécution :</w:t>
      </w:r>
      <w:r>
        <w:t xml:space="preserve"> Cette étape comprend une évaluation des activités du programme et la gestion de la fermeture du programme ainsi que de ses aspects opérationnel et financier. En consultation avec le Bureau de l’audit et des investigations, un audit final des opérations et de la gestion pourrait être envisagé si les circonstances ou les préoccupations le justifient.</w:t>
      </w:r>
    </w:p>
    <w:p w14:paraId="3BD4F6B7" w14:textId="0FB8D682" w:rsidR="00A27A5E" w:rsidRPr="00DD7EB7" w:rsidRDefault="001A2146" w:rsidP="00A27A5E">
      <w:pPr>
        <w:pStyle w:val="ListParagraph"/>
        <w:numPr>
          <w:ilvl w:val="0"/>
          <w:numId w:val="6"/>
        </w:numPr>
        <w:shd w:val="clear" w:color="auto" w:fill="FFFFFF"/>
        <w:spacing w:after="0" w:line="240" w:lineRule="auto"/>
        <w:jc w:val="both"/>
        <w:textAlignment w:val="top"/>
        <w:rPr>
          <w:rFonts w:eastAsia="Times New Roman" w:cstheme="minorHAnsi"/>
        </w:rPr>
      </w:pPr>
      <w:r>
        <w:t xml:space="preserve">L’étape de la prise de décision est généralement déclenchée par des critères définis dans l’analyse de rentabilisation de l’implantation (« disposition sur la clôture » – Voir </w:t>
      </w:r>
      <w:hyperlink r:id="rId14" w:history="1">
        <w:r>
          <w:rPr>
            <w:rStyle w:val="Hyperlink"/>
          </w:rPr>
          <w:t>chapitre sur l’élaboration d’une analyse de rentabilisation</w:t>
        </w:r>
      </w:hyperlink>
      <w:r>
        <w:rPr>
          <w:color w:val="333333"/>
        </w:rPr>
        <w:t xml:space="preserve"> </w:t>
      </w:r>
      <w:r>
        <w:t xml:space="preserve">pour une implantation locale) et dure entre deux </w:t>
      </w:r>
      <w:r>
        <w:lastRenderedPageBreak/>
        <w:t xml:space="preserve">semaines et un mois. La prise de décision peut également être directement déclenchée par le Directeur régional (pour les bureaux auxiliaires et le Représentant résident (pour les bureaux de projet) en fonction de leur évaluation de la situation et/ou d’une recommandation du chef de l’implantation du PNUD. </w:t>
      </w:r>
    </w:p>
    <w:p w14:paraId="1B90B543" w14:textId="77777777" w:rsidR="00A27A5E" w:rsidRPr="00DD7EB7" w:rsidRDefault="00A27A5E" w:rsidP="00A27A5E">
      <w:pPr>
        <w:pStyle w:val="ListParagraph"/>
        <w:shd w:val="clear" w:color="auto" w:fill="FFFFFF"/>
        <w:spacing w:after="0" w:line="240" w:lineRule="auto"/>
        <w:jc w:val="both"/>
        <w:textAlignment w:val="top"/>
        <w:rPr>
          <w:rFonts w:eastAsia="Times New Roman" w:cstheme="minorHAnsi"/>
        </w:rPr>
      </w:pPr>
    </w:p>
    <w:p w14:paraId="68E81448" w14:textId="1A602EE9" w:rsidR="00A27A5E" w:rsidRPr="00DD7EB7" w:rsidRDefault="001A2146" w:rsidP="00A27A5E">
      <w:pPr>
        <w:pStyle w:val="ListParagraph"/>
        <w:numPr>
          <w:ilvl w:val="0"/>
          <w:numId w:val="6"/>
        </w:numPr>
        <w:shd w:val="clear" w:color="auto" w:fill="FFFFFF"/>
        <w:spacing w:after="0" w:line="240" w:lineRule="auto"/>
        <w:jc w:val="both"/>
        <w:textAlignment w:val="top"/>
        <w:rPr>
          <w:rFonts w:eastAsia="Times New Roman" w:cstheme="minorHAnsi"/>
        </w:rPr>
      </w:pPr>
      <w:r>
        <w:t xml:space="preserve">La phase de planification et des préparatifs débute lorsque la décision de fermer le bureau est officiellement prise et dure entre deux semaines et un mois. Le début de la phase d’exécution est défini par le plan de fermeture du bureau et ne peut être effectif que lorsque le plan de fermeture a été officiellement approuvé. Le durée minimale requise par l’institution pour cette phase est de trois mois. Au total, le </w:t>
      </w:r>
      <w:r>
        <w:rPr>
          <w:b/>
        </w:rPr>
        <w:t>durée minimale</w:t>
      </w:r>
      <w:r>
        <w:t xml:space="preserve"> requise pour une procédure de clôture est de </w:t>
      </w:r>
      <w:r>
        <w:rPr>
          <w:b/>
        </w:rPr>
        <w:t>quatre mois</w:t>
      </w:r>
      <w:r>
        <w:t>.</w:t>
      </w:r>
    </w:p>
    <w:p w14:paraId="53A6877B" w14:textId="77777777" w:rsidR="00A27A5E" w:rsidRPr="00DD7EB7" w:rsidRDefault="00A27A5E" w:rsidP="00A27A5E">
      <w:pPr>
        <w:pStyle w:val="ListParagraph"/>
        <w:rPr>
          <w:rFonts w:eastAsia="Times New Roman" w:cstheme="minorHAnsi"/>
        </w:rPr>
      </w:pPr>
    </w:p>
    <w:p w14:paraId="1BC33251" w14:textId="4014FE2E" w:rsidR="00A27A5E" w:rsidRPr="00DD7EB7" w:rsidRDefault="001A2146" w:rsidP="00A27A5E">
      <w:pPr>
        <w:pStyle w:val="ListParagraph"/>
        <w:numPr>
          <w:ilvl w:val="0"/>
          <w:numId w:val="6"/>
        </w:numPr>
        <w:shd w:val="clear" w:color="auto" w:fill="FFFFFF"/>
        <w:spacing w:after="0" w:line="240" w:lineRule="auto"/>
        <w:jc w:val="both"/>
        <w:textAlignment w:val="top"/>
        <w:rPr>
          <w:rFonts w:eastAsia="Times New Roman" w:cstheme="minorHAnsi"/>
        </w:rPr>
      </w:pPr>
      <w:r>
        <w:t xml:space="preserve">La fermeture de bureaux auxiliaires requiert une action systématique et coordonnée de plusieurs unités du bureau de pays, ainsi que l’examen simultané d’un certain nombre de facteurs. Le bureau de pays doit organiser le processus dans le cadre d’un projet, évaluer et allouer les ressources nécessaires (à gérer dans le cadre d’un projet de gestion propre à l’implantation dans </w:t>
      </w:r>
      <w:r w:rsidR="00582E1F">
        <w:t>Quantum</w:t>
      </w:r>
      <w:r>
        <w:t xml:space="preserve">) et désigner un responsable ainsi que des membres de l’équipe spéciale pour représenter toutes les unités impliquées. Sauf raisons impérieuses, le chef de l’implantation du PNUD sera désigné comme responsable de la fermeture. </w:t>
      </w:r>
    </w:p>
    <w:p w14:paraId="5BA794D2" w14:textId="77777777" w:rsidR="00A27A5E" w:rsidRPr="00DD7EB7" w:rsidRDefault="00A27A5E" w:rsidP="00A27A5E">
      <w:pPr>
        <w:pStyle w:val="ListParagraph"/>
        <w:rPr>
          <w:rFonts w:eastAsia="Times New Roman" w:cstheme="minorHAnsi"/>
        </w:rPr>
      </w:pPr>
    </w:p>
    <w:p w14:paraId="2A3DB77D" w14:textId="77777777" w:rsidR="001A2146" w:rsidRPr="00DD7EB7" w:rsidRDefault="001A2146" w:rsidP="00A27A5E">
      <w:pPr>
        <w:pStyle w:val="ListParagraph"/>
        <w:numPr>
          <w:ilvl w:val="0"/>
          <w:numId w:val="6"/>
        </w:numPr>
        <w:shd w:val="clear" w:color="auto" w:fill="FFFFFF"/>
        <w:spacing w:after="0" w:line="240" w:lineRule="auto"/>
        <w:jc w:val="both"/>
        <w:textAlignment w:val="top"/>
        <w:rPr>
          <w:rFonts w:eastAsia="Times New Roman" w:cstheme="minorHAnsi"/>
        </w:rPr>
      </w:pPr>
      <w:r>
        <w:t xml:space="preserve">Les représentants résidents sont chargés d’assurer des niveaux appropriés de transparence et d’information. Les produits requis sont les suivants : </w:t>
      </w:r>
    </w:p>
    <w:p w14:paraId="5A5AD1BF" w14:textId="77777777" w:rsidR="001A2146" w:rsidRPr="00DD7EB7" w:rsidRDefault="001A2146" w:rsidP="00A27A5E">
      <w:pPr>
        <w:shd w:val="clear" w:color="auto" w:fill="FFFFFF"/>
        <w:spacing w:after="0" w:line="240" w:lineRule="auto"/>
        <w:jc w:val="both"/>
        <w:textAlignment w:val="top"/>
        <w:rPr>
          <w:rFonts w:eastAsia="Times New Roman" w:cstheme="minorHAnsi"/>
        </w:rPr>
      </w:pPr>
    </w:p>
    <w:p w14:paraId="742F8BCD" w14:textId="39BCDA46" w:rsidR="001A2146" w:rsidRPr="00DD7EB7" w:rsidRDefault="00643554" w:rsidP="00A27A5E">
      <w:pPr>
        <w:pStyle w:val="ListParagraph"/>
        <w:numPr>
          <w:ilvl w:val="0"/>
          <w:numId w:val="9"/>
        </w:numPr>
        <w:shd w:val="clear" w:color="auto" w:fill="FFFFFF"/>
        <w:spacing w:after="0" w:line="240" w:lineRule="auto"/>
        <w:ind w:left="1134" w:hanging="317"/>
        <w:jc w:val="both"/>
        <w:textAlignment w:val="top"/>
        <w:rPr>
          <w:rFonts w:eastAsia="Times New Roman" w:cstheme="minorHAnsi"/>
        </w:rPr>
      </w:pPr>
      <w:r>
        <w:t>L</w:t>
      </w:r>
      <w:r w:rsidR="001A2146">
        <w:t>’évaluation des risques de fermeture approuvée</w:t>
      </w:r>
    </w:p>
    <w:p w14:paraId="5AB7E075" w14:textId="3AD72CBD" w:rsidR="001A2146" w:rsidRPr="00DD7EB7" w:rsidRDefault="00643554" w:rsidP="00A27A5E">
      <w:pPr>
        <w:pStyle w:val="ListParagraph"/>
        <w:numPr>
          <w:ilvl w:val="0"/>
          <w:numId w:val="9"/>
        </w:numPr>
        <w:shd w:val="clear" w:color="auto" w:fill="FFFFFF"/>
        <w:spacing w:after="0" w:line="240" w:lineRule="auto"/>
        <w:ind w:left="1134" w:hanging="317"/>
        <w:jc w:val="both"/>
        <w:textAlignment w:val="top"/>
        <w:rPr>
          <w:rFonts w:eastAsia="Times New Roman" w:cstheme="minorHAnsi"/>
        </w:rPr>
      </w:pPr>
      <w:r>
        <w:t>L</w:t>
      </w:r>
      <w:r w:rsidR="001A2146">
        <w:t>a stratégie de gestion du risque</w:t>
      </w:r>
    </w:p>
    <w:p w14:paraId="54365ADB" w14:textId="73EB86BB" w:rsidR="001A2146" w:rsidRPr="00DD7EB7" w:rsidRDefault="00643554" w:rsidP="00A27A5E">
      <w:pPr>
        <w:pStyle w:val="ListParagraph"/>
        <w:numPr>
          <w:ilvl w:val="0"/>
          <w:numId w:val="9"/>
        </w:numPr>
        <w:shd w:val="clear" w:color="auto" w:fill="FFFFFF"/>
        <w:spacing w:after="0" w:line="240" w:lineRule="auto"/>
        <w:ind w:left="1134" w:hanging="317"/>
        <w:jc w:val="both"/>
        <w:textAlignment w:val="top"/>
        <w:rPr>
          <w:rFonts w:eastAsia="Times New Roman" w:cstheme="minorHAnsi"/>
        </w:rPr>
      </w:pPr>
      <w:r>
        <w:t>L</w:t>
      </w:r>
      <w:r w:rsidR="001A2146">
        <w:t>’approbation du plan de fermeture</w:t>
      </w:r>
    </w:p>
    <w:p w14:paraId="3F0EF67C" w14:textId="12A4FE0A" w:rsidR="001A2146" w:rsidRPr="00DD7EB7" w:rsidRDefault="00643554" w:rsidP="00A27A5E">
      <w:pPr>
        <w:pStyle w:val="ListParagraph"/>
        <w:numPr>
          <w:ilvl w:val="0"/>
          <w:numId w:val="9"/>
        </w:numPr>
        <w:shd w:val="clear" w:color="auto" w:fill="FFFFFF"/>
        <w:spacing w:after="0" w:line="240" w:lineRule="auto"/>
        <w:ind w:left="1134" w:hanging="317"/>
        <w:jc w:val="both"/>
        <w:textAlignment w:val="top"/>
        <w:rPr>
          <w:rFonts w:eastAsia="Times New Roman" w:cstheme="minorHAnsi"/>
        </w:rPr>
      </w:pPr>
      <w:r>
        <w:t>L</w:t>
      </w:r>
      <w:r w:rsidR="001A2146">
        <w:t>’évaluation du programme</w:t>
      </w:r>
    </w:p>
    <w:p w14:paraId="04275325" w14:textId="2C023F17" w:rsidR="001A2146" w:rsidRPr="00DD7EB7" w:rsidRDefault="00643554" w:rsidP="00A27A5E">
      <w:pPr>
        <w:pStyle w:val="ListParagraph"/>
        <w:numPr>
          <w:ilvl w:val="0"/>
          <w:numId w:val="9"/>
        </w:numPr>
        <w:shd w:val="clear" w:color="auto" w:fill="FFFFFF"/>
        <w:spacing w:after="0" w:line="240" w:lineRule="auto"/>
        <w:ind w:left="1134" w:hanging="317"/>
        <w:jc w:val="both"/>
        <w:textAlignment w:val="top"/>
        <w:rPr>
          <w:rFonts w:eastAsia="Times New Roman" w:cstheme="minorHAnsi"/>
        </w:rPr>
      </w:pPr>
      <w:r>
        <w:t>L</w:t>
      </w:r>
      <w:r w:rsidR="001A2146">
        <w:t>’audit des opérations</w:t>
      </w:r>
    </w:p>
    <w:p w14:paraId="69F5C05F" w14:textId="2C59AC69" w:rsidR="00A27A5E" w:rsidRPr="00DD7EB7" w:rsidRDefault="00643554" w:rsidP="00A27A5E">
      <w:pPr>
        <w:pStyle w:val="ListParagraph"/>
        <w:numPr>
          <w:ilvl w:val="0"/>
          <w:numId w:val="8"/>
        </w:numPr>
        <w:shd w:val="clear" w:color="auto" w:fill="FFFFFF"/>
        <w:spacing w:after="0" w:line="240" w:lineRule="auto"/>
        <w:ind w:left="1134" w:hanging="317"/>
        <w:jc w:val="both"/>
        <w:textAlignment w:val="top"/>
        <w:rPr>
          <w:rFonts w:eastAsia="Times New Roman" w:cstheme="minorHAnsi"/>
        </w:rPr>
      </w:pPr>
      <w:r>
        <w:t>L</w:t>
      </w:r>
      <w:r w:rsidR="001A2146">
        <w:t>’approbation du rapport de fermeture</w:t>
      </w:r>
    </w:p>
    <w:p w14:paraId="20ECC71C" w14:textId="77777777" w:rsidR="00A27A5E" w:rsidRPr="00DD7EB7" w:rsidRDefault="001A2146" w:rsidP="00A27A5E">
      <w:pPr>
        <w:shd w:val="clear" w:color="auto" w:fill="FFFFFF"/>
        <w:spacing w:after="0" w:line="240" w:lineRule="auto"/>
        <w:jc w:val="both"/>
        <w:textAlignment w:val="top"/>
        <w:rPr>
          <w:rFonts w:eastAsia="Times New Roman" w:cstheme="minorHAnsi"/>
          <w:b/>
          <w:bCs/>
        </w:rPr>
      </w:pPr>
      <w:r>
        <w:br/>
      </w:r>
      <w:r>
        <w:rPr>
          <w:b/>
          <w:bCs/>
        </w:rPr>
        <w:t>La décision de fermeture</w:t>
      </w:r>
    </w:p>
    <w:p w14:paraId="7BCA4165" w14:textId="77777777" w:rsidR="00A27A5E" w:rsidRPr="00DD7EB7" w:rsidRDefault="00A27A5E" w:rsidP="00A27A5E">
      <w:pPr>
        <w:pStyle w:val="ListParagraph"/>
        <w:shd w:val="clear" w:color="auto" w:fill="FFFFFF"/>
        <w:spacing w:after="0" w:line="240" w:lineRule="auto"/>
        <w:jc w:val="both"/>
        <w:textAlignment w:val="top"/>
        <w:rPr>
          <w:rFonts w:eastAsia="Times New Roman" w:cstheme="minorHAnsi"/>
        </w:rPr>
      </w:pPr>
    </w:p>
    <w:p w14:paraId="651595C5" w14:textId="77777777" w:rsidR="00A27A5E" w:rsidRPr="00DD7EB7" w:rsidRDefault="001A2146" w:rsidP="00A27A5E">
      <w:pPr>
        <w:pStyle w:val="ListParagraph"/>
        <w:numPr>
          <w:ilvl w:val="0"/>
          <w:numId w:val="6"/>
        </w:numPr>
        <w:shd w:val="clear" w:color="auto" w:fill="FFFFFF"/>
        <w:spacing w:after="0" w:line="240" w:lineRule="auto"/>
        <w:jc w:val="both"/>
        <w:textAlignment w:val="top"/>
        <w:rPr>
          <w:rFonts w:eastAsia="Times New Roman" w:cstheme="minorHAnsi"/>
        </w:rPr>
      </w:pPr>
      <w:r>
        <w:t xml:space="preserve">La prise de décision sur la fermeture est déclenchée par l’atteinte des objectifs de l’implantation, des problèmes financiers et/ou la détérioration de la situation sécuritaire. Dans ce dernier cas, le Représentant résident pourrait être contraint, conformément au Cadre de responsabilité pour le système de gestion de la sécurité des organismes des Nations Unies, de retirer immédiatement le personnel d’un lieu à risque au moment du lancement de la procédure officielle de clôture. Cette décision doit être documentée, et le responsable de sécurité senior (SSM) du Siège du PNUD en être immédiatement informé. </w:t>
      </w:r>
    </w:p>
    <w:p w14:paraId="14A90972" w14:textId="77777777" w:rsidR="00A27A5E" w:rsidRPr="00DD7EB7" w:rsidRDefault="00A27A5E" w:rsidP="00A27A5E">
      <w:pPr>
        <w:pStyle w:val="ListParagraph"/>
        <w:shd w:val="clear" w:color="auto" w:fill="FFFFFF"/>
        <w:spacing w:after="0" w:line="240" w:lineRule="auto"/>
        <w:jc w:val="both"/>
        <w:textAlignment w:val="top"/>
        <w:rPr>
          <w:rFonts w:eastAsia="Times New Roman" w:cstheme="minorHAnsi"/>
        </w:rPr>
      </w:pPr>
    </w:p>
    <w:p w14:paraId="3D161D37" w14:textId="201D2890" w:rsidR="00A27A5E" w:rsidRPr="00DD7EB7" w:rsidRDefault="001A2146" w:rsidP="00A27A5E">
      <w:pPr>
        <w:pStyle w:val="ListParagraph"/>
        <w:numPr>
          <w:ilvl w:val="0"/>
          <w:numId w:val="6"/>
        </w:numPr>
        <w:shd w:val="clear" w:color="auto" w:fill="FFFFFF"/>
        <w:spacing w:after="0" w:line="240" w:lineRule="auto"/>
        <w:jc w:val="both"/>
        <w:textAlignment w:val="top"/>
        <w:rPr>
          <w:rFonts w:eastAsia="Times New Roman" w:cstheme="minorHAnsi"/>
        </w:rPr>
      </w:pPr>
      <w:r>
        <w:t xml:space="preserve">La prise de décision concernant la fermeture d’une implantation locale doit être fondée sur la stratégie de sortie et la disposition de fermeture définies dans l’analyse de rentabilisation de l’implantation, qui établissent sa durée prévue et les critères de fermeture. Ces critères peuvent être liés aux programmes ou aux opérations. Les implantations établies avant 2010 (avant la création du présent document d’orientation), la stratégie de sortie et les critères de fermeture doivent être définis au lancement du processus d’examen et de prise de décision (voir la </w:t>
      </w:r>
      <w:hyperlink r:id="rId15" w:history="1">
        <w:r>
          <w:rPr>
            <w:rStyle w:val="Hyperlink"/>
          </w:rPr>
          <w:t>note d’orientation</w:t>
        </w:r>
      </w:hyperlink>
      <w:r>
        <w:rPr>
          <w:color w:val="333333"/>
        </w:rPr>
        <w:t xml:space="preserve"> </w:t>
      </w:r>
      <w:r>
        <w:t>sur l’établissement des implantations locales).</w:t>
      </w:r>
    </w:p>
    <w:p w14:paraId="5629AC4B" w14:textId="77777777" w:rsidR="00A27A5E" w:rsidRPr="00A27A5E" w:rsidRDefault="00A27A5E" w:rsidP="00A27A5E">
      <w:pPr>
        <w:pStyle w:val="ListParagraph"/>
        <w:rPr>
          <w:rFonts w:eastAsia="Times New Roman" w:cstheme="minorHAnsi"/>
          <w:color w:val="333333"/>
        </w:rPr>
      </w:pPr>
    </w:p>
    <w:p w14:paraId="454C088C" w14:textId="3C250D7B" w:rsidR="00A27A5E" w:rsidRPr="00DD7EB7" w:rsidRDefault="001A2146" w:rsidP="00A27A5E">
      <w:pPr>
        <w:pStyle w:val="ListParagraph"/>
        <w:numPr>
          <w:ilvl w:val="0"/>
          <w:numId w:val="6"/>
        </w:numPr>
        <w:shd w:val="clear" w:color="auto" w:fill="FFFFFF"/>
        <w:spacing w:after="0" w:line="240" w:lineRule="auto"/>
        <w:jc w:val="both"/>
        <w:textAlignment w:val="top"/>
        <w:rPr>
          <w:rFonts w:eastAsia="Times New Roman" w:cstheme="minorHAnsi"/>
        </w:rPr>
      </w:pPr>
      <w:r>
        <w:t xml:space="preserve">Un </w:t>
      </w:r>
      <w:r>
        <w:rPr>
          <w:b/>
        </w:rPr>
        <w:t>examen formel</w:t>
      </w:r>
      <w:r>
        <w:t xml:space="preserve"> est engagé par le Représentant résident. L’examen, à effectuer par le bureau de pays doit confirmer que les critères définis sont réunis. Le Bureau régional et, dans le cas des bureaux auxiliaires, le Bureau de gestion doivent être informés avant le lancement de l’examen.</w:t>
      </w:r>
    </w:p>
    <w:p w14:paraId="24E995A4" w14:textId="77777777" w:rsidR="00A27A5E" w:rsidRPr="00DD7EB7" w:rsidRDefault="00A27A5E" w:rsidP="00A27A5E">
      <w:pPr>
        <w:pStyle w:val="ListParagraph"/>
        <w:rPr>
          <w:rFonts w:eastAsia="Times New Roman" w:cstheme="minorHAnsi"/>
        </w:rPr>
      </w:pPr>
    </w:p>
    <w:p w14:paraId="04CA9197" w14:textId="7482FFDF" w:rsidR="00A27A5E" w:rsidRPr="00DD7EB7" w:rsidRDefault="001A2146" w:rsidP="00A27A5E">
      <w:pPr>
        <w:pStyle w:val="ListParagraph"/>
        <w:numPr>
          <w:ilvl w:val="0"/>
          <w:numId w:val="6"/>
        </w:numPr>
        <w:shd w:val="clear" w:color="auto" w:fill="FFFFFF"/>
        <w:spacing w:after="0" w:line="240" w:lineRule="auto"/>
        <w:jc w:val="both"/>
        <w:textAlignment w:val="top"/>
        <w:rPr>
          <w:rFonts w:eastAsia="Times New Roman" w:cstheme="minorHAnsi"/>
        </w:rPr>
      </w:pPr>
      <w:r>
        <w:t xml:space="preserve">L’examen doit formuler des recommandations de fermeture concrètes et proposer un calendrier réaliste. Les recommandations de l’examen doivent être finalisées et approuvées par le Représentant résident et consignées dans les dossiers officiels du bureau de pays. </w:t>
      </w:r>
    </w:p>
    <w:p w14:paraId="13341CDA" w14:textId="77777777" w:rsidR="00A27A5E" w:rsidRPr="00DD7EB7" w:rsidRDefault="00A27A5E" w:rsidP="00A27A5E">
      <w:pPr>
        <w:pStyle w:val="ListParagraph"/>
        <w:rPr>
          <w:rFonts w:eastAsia="Times New Roman" w:cstheme="minorHAnsi"/>
        </w:rPr>
      </w:pPr>
    </w:p>
    <w:p w14:paraId="052F3B03" w14:textId="77777777" w:rsidR="00A27A5E" w:rsidRPr="00DD7EB7" w:rsidRDefault="001A2146" w:rsidP="00A27A5E">
      <w:pPr>
        <w:pStyle w:val="ListParagraph"/>
        <w:numPr>
          <w:ilvl w:val="0"/>
          <w:numId w:val="6"/>
        </w:numPr>
        <w:shd w:val="clear" w:color="auto" w:fill="FFFFFF"/>
        <w:spacing w:after="0" w:line="240" w:lineRule="auto"/>
        <w:jc w:val="both"/>
        <w:textAlignment w:val="top"/>
        <w:rPr>
          <w:rFonts w:eastAsia="Times New Roman" w:cstheme="minorHAnsi"/>
        </w:rPr>
      </w:pPr>
      <w:r>
        <w:t xml:space="preserve">L’examen doit être accompagné ou suivi d’une évaluation des risques de fermeture qui précise les aspects suivants : </w:t>
      </w:r>
    </w:p>
    <w:p w14:paraId="351EF7DE" w14:textId="17EBA40A" w:rsidR="00A27A5E" w:rsidRPr="00DD7EB7" w:rsidRDefault="00643554" w:rsidP="00A27A5E">
      <w:pPr>
        <w:pStyle w:val="ListParagraph"/>
        <w:numPr>
          <w:ilvl w:val="0"/>
          <w:numId w:val="11"/>
        </w:numPr>
        <w:shd w:val="clear" w:color="auto" w:fill="FFFFFF"/>
        <w:spacing w:after="0" w:line="240" w:lineRule="auto"/>
        <w:ind w:left="1276"/>
        <w:textAlignment w:val="top"/>
        <w:rPr>
          <w:rFonts w:eastAsia="Times New Roman" w:cstheme="minorHAnsi"/>
        </w:rPr>
      </w:pPr>
      <w:r>
        <w:t>L</w:t>
      </w:r>
      <w:r w:rsidR="001A2146">
        <w:t>’incidence financière sur le bureau de pays du PNUD</w:t>
      </w:r>
    </w:p>
    <w:p w14:paraId="32995A49" w14:textId="290AA27D" w:rsidR="00A27A5E" w:rsidRPr="00DD7EB7" w:rsidRDefault="00643554" w:rsidP="00A27A5E">
      <w:pPr>
        <w:pStyle w:val="ListParagraph"/>
        <w:numPr>
          <w:ilvl w:val="0"/>
          <w:numId w:val="11"/>
        </w:numPr>
        <w:shd w:val="clear" w:color="auto" w:fill="FFFFFF"/>
        <w:spacing w:after="0" w:line="240" w:lineRule="auto"/>
        <w:ind w:left="1276"/>
        <w:textAlignment w:val="top"/>
        <w:rPr>
          <w:rFonts w:eastAsia="Times New Roman" w:cstheme="minorHAnsi"/>
        </w:rPr>
      </w:pPr>
      <w:r>
        <w:t>L</w:t>
      </w:r>
      <w:r w:rsidR="001A2146">
        <w:t>es conséquences juridiques/responsabilités potentielles</w:t>
      </w:r>
    </w:p>
    <w:p w14:paraId="401E7009" w14:textId="335C653D" w:rsidR="00A27A5E" w:rsidRPr="00DD7EB7" w:rsidRDefault="00643554" w:rsidP="00A27A5E">
      <w:pPr>
        <w:pStyle w:val="ListParagraph"/>
        <w:numPr>
          <w:ilvl w:val="0"/>
          <w:numId w:val="11"/>
        </w:numPr>
        <w:shd w:val="clear" w:color="auto" w:fill="FFFFFF"/>
        <w:spacing w:after="0" w:line="240" w:lineRule="auto"/>
        <w:ind w:left="1276"/>
        <w:textAlignment w:val="top"/>
        <w:rPr>
          <w:rFonts w:eastAsia="Times New Roman" w:cstheme="minorHAnsi"/>
        </w:rPr>
      </w:pPr>
      <w:r>
        <w:t>L</w:t>
      </w:r>
      <w:r w:rsidR="001A2146">
        <w:t>a viabilité des résultats en matière de développement</w:t>
      </w:r>
    </w:p>
    <w:p w14:paraId="0A5D2FB5" w14:textId="190F9B8C" w:rsidR="00A27A5E" w:rsidRPr="00DD7EB7" w:rsidRDefault="00643554" w:rsidP="00A27A5E">
      <w:pPr>
        <w:pStyle w:val="ListParagraph"/>
        <w:numPr>
          <w:ilvl w:val="0"/>
          <w:numId w:val="11"/>
        </w:numPr>
        <w:shd w:val="clear" w:color="auto" w:fill="FFFFFF"/>
        <w:spacing w:after="0" w:line="240" w:lineRule="auto"/>
        <w:ind w:left="1276"/>
        <w:textAlignment w:val="top"/>
        <w:rPr>
          <w:rFonts w:eastAsia="Times New Roman" w:cstheme="minorHAnsi"/>
        </w:rPr>
      </w:pPr>
      <w:r>
        <w:t>L</w:t>
      </w:r>
      <w:r w:rsidR="001A2146">
        <w:t>es conséquences politiques/relations avec le gouvernement et les autorités locales</w:t>
      </w:r>
    </w:p>
    <w:p w14:paraId="274F50EB" w14:textId="563C60C4" w:rsidR="00A27A5E" w:rsidRPr="00DD7EB7" w:rsidRDefault="00643554" w:rsidP="00A27A5E">
      <w:pPr>
        <w:pStyle w:val="ListParagraph"/>
        <w:numPr>
          <w:ilvl w:val="0"/>
          <w:numId w:val="11"/>
        </w:numPr>
        <w:shd w:val="clear" w:color="auto" w:fill="FFFFFF"/>
        <w:spacing w:after="0" w:line="240" w:lineRule="auto"/>
        <w:ind w:left="1276"/>
        <w:textAlignment w:val="top"/>
        <w:rPr>
          <w:rFonts w:eastAsia="Times New Roman" w:cstheme="minorHAnsi"/>
        </w:rPr>
      </w:pPr>
      <w:r>
        <w:t>L</w:t>
      </w:r>
      <w:r w:rsidR="001A2146">
        <w:t>es conséquences pour le partenariat avec les acteurs nationaux et internationaux du développement</w:t>
      </w:r>
    </w:p>
    <w:p w14:paraId="4929BDCE" w14:textId="49EC9CCA" w:rsidR="00A27A5E" w:rsidRPr="00DD7EB7" w:rsidRDefault="00643554" w:rsidP="00A27A5E">
      <w:pPr>
        <w:pStyle w:val="ListParagraph"/>
        <w:numPr>
          <w:ilvl w:val="0"/>
          <w:numId w:val="11"/>
        </w:numPr>
        <w:shd w:val="clear" w:color="auto" w:fill="FFFFFF"/>
        <w:spacing w:after="0" w:line="240" w:lineRule="auto"/>
        <w:ind w:left="1276"/>
        <w:textAlignment w:val="top"/>
        <w:rPr>
          <w:rFonts w:eastAsia="Times New Roman" w:cstheme="minorHAnsi"/>
        </w:rPr>
      </w:pPr>
      <w:r>
        <w:t>L</w:t>
      </w:r>
      <w:r w:rsidR="001A2146">
        <w:t>es aspects opérationnels (actifs, locaux, ressources humaines, données et équipements électroniques)</w:t>
      </w:r>
    </w:p>
    <w:p w14:paraId="08D923B2" w14:textId="3520CAAE" w:rsidR="00A27A5E" w:rsidRPr="00DD7EB7" w:rsidRDefault="00643554" w:rsidP="00A27A5E">
      <w:pPr>
        <w:pStyle w:val="ListParagraph"/>
        <w:numPr>
          <w:ilvl w:val="0"/>
          <w:numId w:val="11"/>
        </w:numPr>
        <w:shd w:val="clear" w:color="auto" w:fill="FFFFFF"/>
        <w:spacing w:after="0" w:line="240" w:lineRule="auto"/>
        <w:ind w:left="1276"/>
        <w:textAlignment w:val="top"/>
        <w:rPr>
          <w:rFonts w:eastAsia="Times New Roman" w:cstheme="minorHAnsi"/>
        </w:rPr>
      </w:pPr>
      <w:r>
        <w:t>L</w:t>
      </w:r>
      <w:r w:rsidR="001A2146">
        <w:t>es conséquences pour les membres du personnel (emploi futur, situation socio-économique)</w:t>
      </w:r>
    </w:p>
    <w:p w14:paraId="2220EEFD" w14:textId="77777777" w:rsidR="00A27A5E" w:rsidRPr="00DD7EB7" w:rsidRDefault="00A27A5E" w:rsidP="00A27A5E">
      <w:pPr>
        <w:pStyle w:val="ListParagraph"/>
        <w:shd w:val="clear" w:color="auto" w:fill="FFFFFF"/>
        <w:spacing w:after="0" w:line="240" w:lineRule="auto"/>
        <w:ind w:left="1276"/>
        <w:textAlignment w:val="top"/>
        <w:rPr>
          <w:rFonts w:eastAsia="Times New Roman" w:cstheme="minorHAnsi"/>
        </w:rPr>
      </w:pPr>
    </w:p>
    <w:p w14:paraId="7197CC67" w14:textId="77777777" w:rsidR="00A27A5E" w:rsidRPr="00DD7EB7" w:rsidRDefault="001A2146" w:rsidP="00A27A5E">
      <w:pPr>
        <w:pStyle w:val="ListParagraph"/>
        <w:numPr>
          <w:ilvl w:val="0"/>
          <w:numId w:val="6"/>
        </w:numPr>
        <w:shd w:val="clear" w:color="auto" w:fill="FFFFFF"/>
        <w:spacing w:after="0" w:line="240" w:lineRule="auto"/>
        <w:jc w:val="both"/>
        <w:textAlignment w:val="top"/>
        <w:rPr>
          <w:rFonts w:eastAsia="Times New Roman" w:cstheme="minorHAnsi"/>
        </w:rPr>
      </w:pPr>
      <w:r>
        <w:t xml:space="preserve">Les ressources nécessaires au processus de fermeture doivent être déterminées lors de l’évaluation de l’incidence financière sur le bureau de pays. Il s’agit généralement (mais pas exclusivement) des coûts des évaluations, des transferts d’actifs, de l’entretien final des locaux et du versement des paiements de compensation au personnel. </w:t>
      </w:r>
    </w:p>
    <w:p w14:paraId="7BCBEBE7" w14:textId="77777777" w:rsidR="00A27A5E" w:rsidRPr="00DD7EB7" w:rsidRDefault="00A27A5E" w:rsidP="00A27A5E">
      <w:pPr>
        <w:pStyle w:val="ListParagraph"/>
        <w:shd w:val="clear" w:color="auto" w:fill="FFFFFF"/>
        <w:spacing w:after="0" w:line="240" w:lineRule="auto"/>
        <w:jc w:val="both"/>
        <w:textAlignment w:val="top"/>
        <w:rPr>
          <w:rFonts w:eastAsia="Times New Roman" w:cstheme="minorHAnsi"/>
        </w:rPr>
      </w:pPr>
    </w:p>
    <w:p w14:paraId="767FAB5F" w14:textId="36D00EC2" w:rsidR="00A27A5E" w:rsidRPr="00DD7EB7" w:rsidRDefault="001A2146" w:rsidP="00A27A5E">
      <w:pPr>
        <w:pStyle w:val="ListParagraph"/>
        <w:numPr>
          <w:ilvl w:val="0"/>
          <w:numId w:val="6"/>
        </w:numPr>
        <w:shd w:val="clear" w:color="auto" w:fill="FFFFFF"/>
        <w:spacing w:after="0" w:line="240" w:lineRule="auto"/>
        <w:jc w:val="both"/>
        <w:textAlignment w:val="top"/>
        <w:rPr>
          <w:rFonts w:eastAsia="Times New Roman" w:cstheme="minorHAnsi"/>
        </w:rPr>
      </w:pPr>
      <w:r>
        <w:t>Dans le cas des Bureaux de projet, il revient au Représentant résident de décider de la fermeture. Dans le cas des bureaux auxiliaires, le Directeur régional approuve la fermeture sur recommandation du Représentant résident respectivement, à l’issue de consultations avec le Bureau des Services de Gestion, les organismes partenaires et l’Équipe des directeurs régionaux/le Bureau de la coordination des activités de développement (DOCO), selon le cas. La disponibilité des fonds nécessaires à la fermeture doit être confirmée dans le cadre de la décision de fermeture.</w:t>
      </w:r>
    </w:p>
    <w:p w14:paraId="5DAB37B6" w14:textId="77777777" w:rsidR="00A27A5E" w:rsidRPr="00DD7EB7" w:rsidRDefault="00A27A5E" w:rsidP="00A27A5E">
      <w:pPr>
        <w:pStyle w:val="ListParagraph"/>
        <w:rPr>
          <w:rFonts w:eastAsia="Times New Roman" w:cstheme="minorHAnsi"/>
        </w:rPr>
      </w:pPr>
    </w:p>
    <w:p w14:paraId="1F157794" w14:textId="77777777" w:rsidR="00A27A5E" w:rsidRPr="00DD7EB7" w:rsidRDefault="001A2146" w:rsidP="00A27A5E">
      <w:pPr>
        <w:pStyle w:val="ListParagraph"/>
        <w:numPr>
          <w:ilvl w:val="0"/>
          <w:numId w:val="6"/>
        </w:numPr>
        <w:shd w:val="clear" w:color="auto" w:fill="FFFFFF"/>
        <w:spacing w:after="0" w:line="240" w:lineRule="auto"/>
        <w:jc w:val="both"/>
        <w:textAlignment w:val="top"/>
        <w:rPr>
          <w:rFonts w:eastAsia="Times New Roman" w:cstheme="minorHAnsi"/>
        </w:rPr>
      </w:pPr>
      <w:r>
        <w:t xml:space="preserve">Les homologues gouvernementaux et les autorités locales doivent être consultés et leur position documentée et incluse dans le processus décisionnel. Les partenaires au développement nationaux et internationaux peuvent être consultés si nécessaire. </w:t>
      </w:r>
    </w:p>
    <w:p w14:paraId="36B82B5D" w14:textId="77777777" w:rsidR="00A27A5E" w:rsidRPr="00DD7EB7" w:rsidRDefault="00A27A5E" w:rsidP="00A27A5E">
      <w:pPr>
        <w:pStyle w:val="ListParagraph"/>
        <w:rPr>
          <w:rFonts w:eastAsia="Times New Roman" w:cstheme="minorHAnsi"/>
        </w:rPr>
      </w:pPr>
    </w:p>
    <w:p w14:paraId="6F02BB16" w14:textId="2B6F0CBC" w:rsidR="00A27A5E" w:rsidRPr="00643554" w:rsidRDefault="001A2146" w:rsidP="00A27A5E">
      <w:pPr>
        <w:pStyle w:val="ListParagraph"/>
        <w:numPr>
          <w:ilvl w:val="0"/>
          <w:numId w:val="6"/>
        </w:numPr>
        <w:shd w:val="clear" w:color="auto" w:fill="FFFFFF"/>
        <w:spacing w:after="0" w:line="240" w:lineRule="auto"/>
        <w:jc w:val="both"/>
        <w:textAlignment w:val="top"/>
        <w:rPr>
          <w:rFonts w:eastAsia="Times New Roman" w:cstheme="minorHAnsi"/>
        </w:rPr>
      </w:pPr>
      <w:r>
        <w:t xml:space="preserve">Lorsque la décision de fermer le bureau est arrêtée, le Représentant résident désigne un responsable chargé de la procédure de fermeture et </w:t>
      </w:r>
      <w:r>
        <w:rPr>
          <w:b/>
        </w:rPr>
        <w:t>communique les éléments clés du processus de fermeture</w:t>
      </w:r>
      <w:r>
        <w:t xml:space="preserve"> à l’ensemble du personnel, au moins trois mois avant la date de fermeture officielle prévue. En outre, une communication officielle doit être transmise aux homologues gouvernementaux et, le cas échéant, aux autorités locales et aux partenaires au développement. </w:t>
      </w:r>
    </w:p>
    <w:p w14:paraId="123C2F26" w14:textId="77777777" w:rsidR="00643554" w:rsidRPr="00643554" w:rsidRDefault="00643554" w:rsidP="00643554">
      <w:pPr>
        <w:pStyle w:val="ListParagraph"/>
        <w:rPr>
          <w:rFonts w:eastAsia="Times New Roman" w:cstheme="minorHAnsi"/>
        </w:rPr>
      </w:pPr>
    </w:p>
    <w:p w14:paraId="484328C1" w14:textId="463D4588" w:rsidR="00A27A5E" w:rsidRPr="00DD7EB7" w:rsidRDefault="001A2146" w:rsidP="00A27A5E">
      <w:pPr>
        <w:shd w:val="clear" w:color="auto" w:fill="FFFFFF"/>
        <w:spacing w:after="0" w:line="240" w:lineRule="auto"/>
        <w:jc w:val="both"/>
        <w:textAlignment w:val="top"/>
        <w:rPr>
          <w:rFonts w:eastAsia="Times New Roman" w:cstheme="minorHAnsi"/>
          <w:b/>
          <w:bCs/>
        </w:rPr>
      </w:pPr>
      <w:r>
        <w:rPr>
          <w:b/>
          <w:bCs/>
        </w:rPr>
        <w:lastRenderedPageBreak/>
        <w:t>Planification et préparatifs</w:t>
      </w:r>
    </w:p>
    <w:p w14:paraId="7839E333" w14:textId="77777777" w:rsidR="00A27A5E" w:rsidRPr="00DD7EB7" w:rsidRDefault="00A27A5E" w:rsidP="00A27A5E">
      <w:pPr>
        <w:pStyle w:val="ListParagraph"/>
        <w:shd w:val="clear" w:color="auto" w:fill="FFFFFF"/>
        <w:spacing w:after="0" w:line="240" w:lineRule="auto"/>
        <w:jc w:val="both"/>
        <w:textAlignment w:val="top"/>
        <w:rPr>
          <w:rFonts w:eastAsia="Times New Roman" w:cstheme="minorHAnsi"/>
        </w:rPr>
      </w:pPr>
    </w:p>
    <w:p w14:paraId="2C3517CA" w14:textId="4063140C" w:rsidR="00A27A5E" w:rsidRPr="00643554" w:rsidRDefault="001A2146" w:rsidP="00A27A5E">
      <w:pPr>
        <w:pStyle w:val="ListParagraph"/>
        <w:numPr>
          <w:ilvl w:val="0"/>
          <w:numId w:val="6"/>
        </w:numPr>
        <w:shd w:val="clear" w:color="auto" w:fill="FFFFFF"/>
        <w:spacing w:after="0" w:line="240" w:lineRule="auto"/>
        <w:jc w:val="both"/>
        <w:textAlignment w:val="top"/>
        <w:rPr>
          <w:rFonts w:eastAsia="Times New Roman" w:cstheme="minorHAnsi"/>
        </w:rPr>
      </w:pPr>
      <w:r>
        <w:t>Le directeur désigné planifie et prépare la fermeture du bureau en étroite collaboration avec toutes les unités concernées du bureau de pays et, le cas échéant, au Siège. À cet effet, il élabore une stratégie de gestion des risques et finalise le plan de fermeture.</w:t>
      </w:r>
    </w:p>
    <w:p w14:paraId="3404E182" w14:textId="77777777" w:rsidR="00643554" w:rsidRPr="00DD7EB7" w:rsidRDefault="00643554" w:rsidP="00643554">
      <w:pPr>
        <w:pStyle w:val="ListParagraph"/>
        <w:shd w:val="clear" w:color="auto" w:fill="FFFFFF"/>
        <w:spacing w:after="0" w:line="240" w:lineRule="auto"/>
        <w:jc w:val="both"/>
        <w:textAlignment w:val="top"/>
        <w:rPr>
          <w:rFonts w:eastAsia="Times New Roman" w:cstheme="minorHAnsi"/>
        </w:rPr>
      </w:pPr>
    </w:p>
    <w:p w14:paraId="1943F920" w14:textId="77777777" w:rsidR="00DD7EB7" w:rsidRPr="00DD7EB7" w:rsidRDefault="001A2146" w:rsidP="00A27A5E">
      <w:pPr>
        <w:pStyle w:val="ListParagraph"/>
        <w:numPr>
          <w:ilvl w:val="0"/>
          <w:numId w:val="6"/>
        </w:numPr>
        <w:shd w:val="clear" w:color="auto" w:fill="FFFFFF"/>
        <w:spacing w:after="0" w:line="240" w:lineRule="auto"/>
        <w:jc w:val="both"/>
        <w:textAlignment w:val="top"/>
        <w:rPr>
          <w:rFonts w:eastAsia="Times New Roman" w:cstheme="minorHAnsi"/>
        </w:rPr>
      </w:pPr>
      <w:r>
        <w:t xml:space="preserve">La stratégie de gestion des risques détermine les mesures d’atténuation à prendre pour chacun des risques identifiés lors de l’examen de la clôture. Les échéanciers et les responsabilités relatifs à la mise en œuvre des mesures doivent être clairement établis et les activités intégrées dans le plan de fermeture. </w:t>
      </w:r>
    </w:p>
    <w:p w14:paraId="1A795F97" w14:textId="77777777" w:rsidR="00DD7EB7" w:rsidRPr="00DD7EB7" w:rsidRDefault="00DD7EB7" w:rsidP="00DD7EB7">
      <w:pPr>
        <w:pStyle w:val="ListParagraph"/>
        <w:shd w:val="clear" w:color="auto" w:fill="FFFFFF"/>
        <w:spacing w:after="0" w:line="240" w:lineRule="auto"/>
        <w:jc w:val="both"/>
        <w:textAlignment w:val="top"/>
        <w:rPr>
          <w:rFonts w:eastAsia="Times New Roman" w:cstheme="minorHAnsi"/>
        </w:rPr>
      </w:pPr>
    </w:p>
    <w:p w14:paraId="27587990" w14:textId="77777777" w:rsidR="00DD7EB7" w:rsidRPr="00DD7EB7" w:rsidRDefault="001A2146" w:rsidP="00A27A5E">
      <w:pPr>
        <w:pStyle w:val="ListParagraph"/>
        <w:numPr>
          <w:ilvl w:val="0"/>
          <w:numId w:val="6"/>
        </w:numPr>
        <w:shd w:val="clear" w:color="auto" w:fill="FFFFFF"/>
        <w:spacing w:after="0" w:line="240" w:lineRule="auto"/>
        <w:jc w:val="both"/>
        <w:textAlignment w:val="top"/>
        <w:rPr>
          <w:rFonts w:eastAsia="Times New Roman" w:cstheme="minorHAnsi"/>
        </w:rPr>
      </w:pPr>
      <w:r>
        <w:t xml:space="preserve">Une ébauche de plan de fermeture a déjà été élaborée dans le cadre de l’analyse de rentabilisation de l’implantation. Elle comprend généralement les aspects suivants : </w:t>
      </w:r>
    </w:p>
    <w:p w14:paraId="634A480C" w14:textId="35F2AC13" w:rsidR="00DD7EB7" w:rsidRPr="00DD7EB7" w:rsidRDefault="00643554" w:rsidP="00DD7EB7">
      <w:pPr>
        <w:pStyle w:val="ListParagraph"/>
        <w:numPr>
          <w:ilvl w:val="0"/>
          <w:numId w:val="13"/>
        </w:numPr>
        <w:shd w:val="clear" w:color="auto" w:fill="FFFFFF"/>
        <w:spacing w:after="0" w:line="240" w:lineRule="auto"/>
        <w:ind w:left="1134"/>
        <w:textAlignment w:val="top"/>
        <w:rPr>
          <w:rFonts w:eastAsia="Times New Roman" w:cstheme="minorHAnsi"/>
        </w:rPr>
      </w:pPr>
      <w:r>
        <w:t>L</w:t>
      </w:r>
      <w:r w:rsidR="001A2146">
        <w:t>es dispositions relatives à la couverture du programme après la fermeture de l’implantation locale</w:t>
      </w:r>
    </w:p>
    <w:p w14:paraId="6751364E" w14:textId="3E1E843C" w:rsidR="00DD7EB7" w:rsidRPr="00DD7EB7" w:rsidRDefault="00643554" w:rsidP="00DD7EB7">
      <w:pPr>
        <w:pStyle w:val="ListParagraph"/>
        <w:numPr>
          <w:ilvl w:val="0"/>
          <w:numId w:val="13"/>
        </w:numPr>
        <w:shd w:val="clear" w:color="auto" w:fill="FFFFFF"/>
        <w:spacing w:after="0" w:line="240" w:lineRule="auto"/>
        <w:ind w:left="1134"/>
        <w:textAlignment w:val="top"/>
        <w:rPr>
          <w:rFonts w:eastAsia="Times New Roman" w:cstheme="minorHAnsi"/>
        </w:rPr>
      </w:pPr>
      <w:r>
        <w:t>L</w:t>
      </w:r>
      <w:r w:rsidR="001A2146">
        <w:t>e démantèlement des locaux du bureau auxiliaire de l’implantation locale</w:t>
      </w:r>
    </w:p>
    <w:p w14:paraId="102383AF" w14:textId="1FD32462" w:rsidR="00DD7EB7" w:rsidRPr="00DD7EB7" w:rsidRDefault="00643554" w:rsidP="00DD7EB7">
      <w:pPr>
        <w:pStyle w:val="ListParagraph"/>
        <w:numPr>
          <w:ilvl w:val="0"/>
          <w:numId w:val="13"/>
        </w:numPr>
        <w:shd w:val="clear" w:color="auto" w:fill="FFFFFF"/>
        <w:spacing w:after="0" w:line="240" w:lineRule="auto"/>
        <w:ind w:left="1134"/>
        <w:textAlignment w:val="top"/>
        <w:rPr>
          <w:rFonts w:eastAsia="Times New Roman" w:cstheme="minorHAnsi"/>
        </w:rPr>
      </w:pPr>
      <w:r>
        <w:t>L</w:t>
      </w:r>
      <w:r w:rsidR="001A2146">
        <w:t>e départ ou le transfert du personnel</w:t>
      </w:r>
    </w:p>
    <w:p w14:paraId="00299628" w14:textId="4C5B042B" w:rsidR="00DD7EB7" w:rsidRPr="00DD7EB7" w:rsidRDefault="00643554" w:rsidP="00DD7EB7">
      <w:pPr>
        <w:pStyle w:val="ListParagraph"/>
        <w:numPr>
          <w:ilvl w:val="0"/>
          <w:numId w:val="13"/>
        </w:numPr>
        <w:shd w:val="clear" w:color="auto" w:fill="FFFFFF"/>
        <w:spacing w:after="0" w:line="240" w:lineRule="auto"/>
        <w:ind w:left="1134"/>
        <w:textAlignment w:val="top"/>
        <w:rPr>
          <w:rFonts w:eastAsia="Times New Roman" w:cstheme="minorHAnsi"/>
        </w:rPr>
      </w:pPr>
      <w:r>
        <w:t>L</w:t>
      </w:r>
      <w:r w:rsidR="001A2146">
        <w:t>es documents comptables et leur élimination</w:t>
      </w:r>
    </w:p>
    <w:p w14:paraId="0ADB040A" w14:textId="3E02C8CC" w:rsidR="00DD7EB7" w:rsidRPr="00DD7EB7" w:rsidRDefault="00643554" w:rsidP="00DD7EB7">
      <w:pPr>
        <w:pStyle w:val="ListParagraph"/>
        <w:numPr>
          <w:ilvl w:val="0"/>
          <w:numId w:val="13"/>
        </w:numPr>
        <w:shd w:val="clear" w:color="auto" w:fill="FFFFFF"/>
        <w:spacing w:after="0" w:line="240" w:lineRule="auto"/>
        <w:ind w:left="1134"/>
        <w:textAlignment w:val="top"/>
        <w:rPr>
          <w:rFonts w:eastAsia="Times New Roman" w:cstheme="minorHAnsi"/>
        </w:rPr>
      </w:pPr>
      <w:r>
        <w:t>L</w:t>
      </w:r>
      <w:r w:rsidR="001A2146">
        <w:t xml:space="preserve">a clôture des comptes bancaires et la désactivation de l’unité opérationnelle/département </w:t>
      </w:r>
      <w:r w:rsidR="00582E1F">
        <w:t>Quantum</w:t>
      </w:r>
    </w:p>
    <w:p w14:paraId="5A602ECC" w14:textId="67D4B810" w:rsidR="00DD7EB7" w:rsidRPr="00DD7EB7" w:rsidRDefault="00643554" w:rsidP="00DD7EB7">
      <w:pPr>
        <w:pStyle w:val="ListParagraph"/>
        <w:numPr>
          <w:ilvl w:val="0"/>
          <w:numId w:val="13"/>
        </w:numPr>
        <w:shd w:val="clear" w:color="auto" w:fill="FFFFFF"/>
        <w:spacing w:after="0" w:line="240" w:lineRule="auto"/>
        <w:ind w:left="1134"/>
        <w:textAlignment w:val="top"/>
        <w:rPr>
          <w:rFonts w:eastAsia="Times New Roman" w:cstheme="minorHAnsi"/>
        </w:rPr>
      </w:pPr>
      <w:r>
        <w:t>L</w:t>
      </w:r>
      <w:r w:rsidR="001A2146">
        <w:t>a compensation de toute transaction financière en suspens ou en cours</w:t>
      </w:r>
    </w:p>
    <w:p w14:paraId="382A5E22" w14:textId="3447CFA3" w:rsidR="00DD7EB7" w:rsidRPr="00DD7EB7" w:rsidRDefault="00643554" w:rsidP="00DD7EB7">
      <w:pPr>
        <w:pStyle w:val="ListParagraph"/>
        <w:numPr>
          <w:ilvl w:val="0"/>
          <w:numId w:val="13"/>
        </w:numPr>
        <w:shd w:val="clear" w:color="auto" w:fill="FFFFFF"/>
        <w:spacing w:after="0" w:line="240" w:lineRule="auto"/>
        <w:ind w:left="1134"/>
        <w:textAlignment w:val="top"/>
        <w:rPr>
          <w:rFonts w:eastAsia="Times New Roman" w:cstheme="minorHAnsi"/>
        </w:rPr>
      </w:pPr>
      <w:r>
        <w:t>L</w:t>
      </w:r>
      <w:r w:rsidR="001A2146">
        <w:t>a cession/le transfert d’actifs</w:t>
      </w:r>
    </w:p>
    <w:p w14:paraId="0834C7D2" w14:textId="35415990" w:rsidR="00DD7EB7" w:rsidRPr="00DD7EB7" w:rsidRDefault="00643554" w:rsidP="00DD7EB7">
      <w:pPr>
        <w:pStyle w:val="ListParagraph"/>
        <w:numPr>
          <w:ilvl w:val="0"/>
          <w:numId w:val="13"/>
        </w:numPr>
        <w:shd w:val="clear" w:color="auto" w:fill="FFFFFF"/>
        <w:spacing w:after="0" w:line="240" w:lineRule="auto"/>
        <w:ind w:left="1134"/>
        <w:textAlignment w:val="top"/>
        <w:rPr>
          <w:rFonts w:eastAsia="Times New Roman" w:cstheme="minorHAnsi"/>
        </w:rPr>
      </w:pPr>
      <w:r>
        <w:t>L</w:t>
      </w:r>
      <w:r w:rsidR="001A2146">
        <w:t>a sauvegarde ou l’élimination des dossiers</w:t>
      </w:r>
    </w:p>
    <w:p w14:paraId="2BFB8C7E" w14:textId="6DF5ACBE" w:rsidR="00DD7EB7" w:rsidRPr="00DD7EB7" w:rsidRDefault="00643554" w:rsidP="00DD7EB7">
      <w:pPr>
        <w:pStyle w:val="ListParagraph"/>
        <w:numPr>
          <w:ilvl w:val="0"/>
          <w:numId w:val="13"/>
        </w:numPr>
        <w:shd w:val="clear" w:color="auto" w:fill="FFFFFF"/>
        <w:spacing w:after="0" w:line="240" w:lineRule="auto"/>
        <w:ind w:left="1134"/>
        <w:textAlignment w:val="top"/>
        <w:rPr>
          <w:rFonts w:eastAsia="Times New Roman" w:cstheme="minorHAnsi"/>
        </w:rPr>
      </w:pPr>
      <w:r>
        <w:t>L</w:t>
      </w:r>
      <w:r w:rsidR="001A2146">
        <w:t>a sauvegarde, le transfert ou l’élimination des données et des équipements électroniques</w:t>
      </w:r>
    </w:p>
    <w:p w14:paraId="16EB6113" w14:textId="61806D64" w:rsidR="00DD7EB7" w:rsidRPr="00643554" w:rsidRDefault="00643554" w:rsidP="00DD7EB7">
      <w:pPr>
        <w:pStyle w:val="ListParagraph"/>
        <w:numPr>
          <w:ilvl w:val="0"/>
          <w:numId w:val="13"/>
        </w:numPr>
        <w:shd w:val="clear" w:color="auto" w:fill="FFFFFF"/>
        <w:spacing w:after="0" w:line="240" w:lineRule="auto"/>
        <w:ind w:left="1134"/>
        <w:textAlignment w:val="top"/>
        <w:rPr>
          <w:rFonts w:eastAsia="Times New Roman" w:cstheme="minorHAnsi"/>
        </w:rPr>
      </w:pPr>
      <w:r>
        <w:t>L</w:t>
      </w:r>
      <w:r w:rsidR="001A2146">
        <w:t>a transmission des avis de fermeture aux partenaires et la révision des mécanismes d’interaction</w:t>
      </w:r>
      <w:r>
        <w:t>.</w:t>
      </w:r>
    </w:p>
    <w:p w14:paraId="16F18A72" w14:textId="77777777" w:rsidR="00643554" w:rsidRPr="00DD7EB7" w:rsidRDefault="00643554" w:rsidP="00643554">
      <w:pPr>
        <w:pStyle w:val="ListParagraph"/>
        <w:shd w:val="clear" w:color="auto" w:fill="FFFFFF"/>
        <w:spacing w:after="0" w:line="240" w:lineRule="auto"/>
        <w:ind w:left="1134"/>
        <w:textAlignment w:val="top"/>
        <w:rPr>
          <w:rFonts w:eastAsia="Times New Roman" w:cstheme="minorHAnsi"/>
        </w:rPr>
      </w:pPr>
    </w:p>
    <w:p w14:paraId="16C623AC" w14:textId="77777777" w:rsidR="00DD7EB7" w:rsidRPr="00DD7EB7" w:rsidRDefault="00F06F92" w:rsidP="00DD7EB7">
      <w:pPr>
        <w:pStyle w:val="ListParagraph"/>
        <w:numPr>
          <w:ilvl w:val="0"/>
          <w:numId w:val="6"/>
        </w:numPr>
        <w:shd w:val="clear" w:color="auto" w:fill="FFFFFF"/>
        <w:spacing w:after="0" w:line="240" w:lineRule="auto"/>
        <w:jc w:val="both"/>
        <w:textAlignment w:val="top"/>
        <w:rPr>
          <w:rFonts w:eastAsia="Times New Roman" w:cstheme="minorHAnsi"/>
        </w:rPr>
      </w:pPr>
      <w:r>
        <w:t>Il importe de prêter tout particulièrement attention à la sauvegarde adéquate des documents électroniques, le PNUD ayant de plus en plus recours aux supports électroniques (courrier électronique, archivage électronique, etc.). L’élimination et/ou la sauvegarde appropriées des équipements électroniques s’avèrent essentielles, car ils pourraient encore contenir des données électroniques même après la suppression de tous les fichiers et dossiers.</w:t>
      </w:r>
    </w:p>
    <w:p w14:paraId="55B3F76E" w14:textId="77777777" w:rsidR="00DD7EB7" w:rsidRPr="00DD7EB7" w:rsidRDefault="00DD7EB7" w:rsidP="00DD7EB7">
      <w:pPr>
        <w:pStyle w:val="ListParagraph"/>
        <w:shd w:val="clear" w:color="auto" w:fill="FFFFFF"/>
        <w:spacing w:after="0" w:line="240" w:lineRule="auto"/>
        <w:jc w:val="both"/>
        <w:textAlignment w:val="top"/>
        <w:rPr>
          <w:rFonts w:eastAsia="Times New Roman" w:cstheme="minorHAnsi"/>
        </w:rPr>
      </w:pPr>
    </w:p>
    <w:p w14:paraId="4E774C78" w14:textId="793D27D0" w:rsidR="00DD7EB7" w:rsidRPr="00DD7EB7" w:rsidRDefault="001A2146" w:rsidP="00DD7EB7">
      <w:pPr>
        <w:pStyle w:val="ListParagraph"/>
        <w:numPr>
          <w:ilvl w:val="0"/>
          <w:numId w:val="6"/>
        </w:numPr>
        <w:shd w:val="clear" w:color="auto" w:fill="FFFFFF"/>
        <w:spacing w:after="0" w:line="240" w:lineRule="auto"/>
        <w:jc w:val="both"/>
        <w:textAlignment w:val="top"/>
        <w:rPr>
          <w:rFonts w:eastAsia="Times New Roman" w:cstheme="minorHAnsi"/>
        </w:rPr>
      </w:pPr>
      <w:r>
        <w:t>Au cours de la finalisation du plan, le directeur désigné doit communiquer avec les bureaux concernés à New York pour s’assurer qu’ils sont au courant du processus de fermeture. Il s’agit au minimum du Bureau régional, du Bureau des ressources humaines</w:t>
      </w:r>
      <w:r w:rsidR="00582E1F">
        <w:t xml:space="preserve"> et les Operations Générales</w:t>
      </w:r>
      <w:r>
        <w:t>.</w:t>
      </w:r>
      <w:r w:rsidR="00582E1F">
        <w:t>(GO)</w:t>
      </w:r>
      <w:r>
        <w:t xml:space="preserve"> Le coût de toutes les activités doit être chiffré et un budget annexé au plan de fermeture. Une fois finalisés, le plan de fermeture et le budget doivent être approuvés par le Représentant résident et, dans le cas des bureaux auxiliaires et des par le Bureau régional et le Bureau de gestion. </w:t>
      </w:r>
    </w:p>
    <w:p w14:paraId="66A43A72" w14:textId="77777777" w:rsidR="00DD7EB7" w:rsidRPr="00DD7EB7" w:rsidRDefault="00DD7EB7" w:rsidP="00DD7EB7">
      <w:pPr>
        <w:pStyle w:val="ListParagraph"/>
        <w:rPr>
          <w:rFonts w:eastAsia="Times New Roman" w:cstheme="minorHAnsi"/>
        </w:rPr>
      </w:pPr>
    </w:p>
    <w:p w14:paraId="290E3A89" w14:textId="65BA0859" w:rsidR="00DD7EB7" w:rsidRPr="00DD7EB7" w:rsidRDefault="001A2146" w:rsidP="00DD7EB7">
      <w:pPr>
        <w:pStyle w:val="ListParagraph"/>
        <w:numPr>
          <w:ilvl w:val="0"/>
          <w:numId w:val="6"/>
        </w:numPr>
        <w:shd w:val="clear" w:color="auto" w:fill="FFFFFF"/>
        <w:spacing w:after="0" w:line="240" w:lineRule="auto"/>
        <w:jc w:val="both"/>
        <w:textAlignment w:val="top"/>
        <w:rPr>
          <w:rFonts w:eastAsia="Times New Roman" w:cstheme="minorHAnsi"/>
        </w:rPr>
      </w:pPr>
      <w:r>
        <w:t xml:space="preserve">Pour une gestion transparente et efficace, les ressources nécessaires à la fermeture doivent être budgétisées dans un projet de gestion propre à l’implantation dans </w:t>
      </w:r>
      <w:r w:rsidR="00582E1F">
        <w:t>Quantum</w:t>
      </w:r>
      <w:r>
        <w:t xml:space="preserve"> (généralement le projet qui a été créé pour établir l’implantation locale). </w:t>
      </w:r>
    </w:p>
    <w:p w14:paraId="6A1F4773" w14:textId="77777777" w:rsidR="00DD7EB7" w:rsidRPr="00DD7EB7" w:rsidRDefault="00DD7EB7" w:rsidP="00DD7EB7">
      <w:pPr>
        <w:pStyle w:val="ListParagraph"/>
        <w:rPr>
          <w:rFonts w:eastAsia="Times New Roman" w:cstheme="minorHAnsi"/>
        </w:rPr>
      </w:pPr>
    </w:p>
    <w:p w14:paraId="4FFDA20A" w14:textId="77777777" w:rsidR="00DD7EB7" w:rsidRPr="00DD7EB7" w:rsidRDefault="001A2146" w:rsidP="00DD7EB7">
      <w:pPr>
        <w:pStyle w:val="ListParagraph"/>
        <w:numPr>
          <w:ilvl w:val="0"/>
          <w:numId w:val="6"/>
        </w:numPr>
        <w:shd w:val="clear" w:color="auto" w:fill="FFFFFF"/>
        <w:spacing w:after="0" w:line="240" w:lineRule="auto"/>
        <w:jc w:val="both"/>
        <w:textAlignment w:val="top"/>
        <w:rPr>
          <w:rFonts w:eastAsia="Times New Roman" w:cstheme="minorHAnsi"/>
        </w:rPr>
      </w:pPr>
      <w:r>
        <w:t xml:space="preserve">Il importe de prêter tout particulièrement attention aux conséquences personnelles et professionnelles subies par les membres du personnel et les autres personnes qui étaient </w:t>
      </w:r>
      <w:r>
        <w:lastRenderedPageBreak/>
        <w:t xml:space="preserve">étroitement engagés dans la mise en œuvre des activités gérées dans l’implantation locale. Les ressources humaines du bureau de pays doivent organiser des séances de conseil individuelles, afin d’examiner les perspectives professionnelles, au sein du PNUD et en dehors, du personnel touché par la décision de mettre fin à l’implantation. </w:t>
      </w:r>
    </w:p>
    <w:p w14:paraId="4CE03AE2" w14:textId="77777777" w:rsidR="00DD7EB7" w:rsidRPr="00DD7EB7" w:rsidRDefault="00DD7EB7" w:rsidP="00DD7EB7">
      <w:pPr>
        <w:shd w:val="clear" w:color="auto" w:fill="FFFFFF"/>
        <w:spacing w:after="0" w:line="240" w:lineRule="auto"/>
        <w:jc w:val="both"/>
        <w:textAlignment w:val="top"/>
        <w:rPr>
          <w:rFonts w:eastAsia="Times New Roman" w:cstheme="minorHAnsi"/>
          <w:b/>
          <w:bCs/>
        </w:rPr>
      </w:pPr>
    </w:p>
    <w:p w14:paraId="118E22A7" w14:textId="7B371716" w:rsidR="00DD7EB7" w:rsidRDefault="001A2146" w:rsidP="00DD7EB7">
      <w:pPr>
        <w:shd w:val="clear" w:color="auto" w:fill="FFFFFF"/>
        <w:spacing w:after="0" w:line="240" w:lineRule="auto"/>
        <w:jc w:val="both"/>
        <w:textAlignment w:val="top"/>
        <w:rPr>
          <w:b/>
          <w:bCs/>
        </w:rPr>
      </w:pPr>
      <w:r>
        <w:rPr>
          <w:b/>
          <w:bCs/>
        </w:rPr>
        <w:t>Exécution</w:t>
      </w:r>
    </w:p>
    <w:p w14:paraId="0B7D9C1C" w14:textId="77777777" w:rsidR="00643554" w:rsidRPr="00DD7EB7" w:rsidRDefault="00643554" w:rsidP="00DD7EB7">
      <w:pPr>
        <w:shd w:val="clear" w:color="auto" w:fill="FFFFFF"/>
        <w:spacing w:after="0" w:line="240" w:lineRule="auto"/>
        <w:jc w:val="both"/>
        <w:textAlignment w:val="top"/>
        <w:rPr>
          <w:rFonts w:eastAsia="Times New Roman" w:cstheme="minorHAnsi"/>
        </w:rPr>
      </w:pPr>
    </w:p>
    <w:p w14:paraId="4B5D3729" w14:textId="77777777" w:rsidR="00DD7EB7" w:rsidRPr="00DD7EB7" w:rsidRDefault="001A2146" w:rsidP="00DD7EB7">
      <w:pPr>
        <w:pStyle w:val="ListParagraph"/>
        <w:numPr>
          <w:ilvl w:val="0"/>
          <w:numId w:val="6"/>
        </w:numPr>
        <w:shd w:val="clear" w:color="auto" w:fill="FFFFFF"/>
        <w:spacing w:after="0" w:line="240" w:lineRule="auto"/>
        <w:jc w:val="both"/>
        <w:textAlignment w:val="top"/>
        <w:rPr>
          <w:rFonts w:eastAsia="Times New Roman" w:cstheme="minorHAnsi"/>
        </w:rPr>
      </w:pPr>
      <w:r>
        <w:t>Les règles et règlements du PNUD, comme énoncés dans les divers chapitres des POPP, s’appliquent à toutes les activités de fermeture programmatique, financière et opérationnelle. Les activités doivent être menées conformément au plan de fermeture approuvé et leur état d’avancement régulièrement examiné par le Représentant résident, en collaboration avec les unités compétentes des bureaux de pays.</w:t>
      </w:r>
    </w:p>
    <w:p w14:paraId="1CEE077F" w14:textId="77777777" w:rsidR="00DD7EB7" w:rsidRPr="00DD7EB7" w:rsidRDefault="00DD7EB7" w:rsidP="00DD7EB7">
      <w:pPr>
        <w:pStyle w:val="ListParagraph"/>
        <w:shd w:val="clear" w:color="auto" w:fill="FFFFFF"/>
        <w:spacing w:after="0" w:line="240" w:lineRule="auto"/>
        <w:jc w:val="both"/>
        <w:textAlignment w:val="top"/>
        <w:rPr>
          <w:rFonts w:eastAsia="Times New Roman" w:cstheme="minorHAnsi"/>
        </w:rPr>
      </w:pPr>
    </w:p>
    <w:p w14:paraId="128F86BD" w14:textId="77777777" w:rsidR="00DD7EB7" w:rsidRPr="00DD7EB7" w:rsidRDefault="001A2146" w:rsidP="00DD7EB7">
      <w:pPr>
        <w:pStyle w:val="ListParagraph"/>
        <w:numPr>
          <w:ilvl w:val="0"/>
          <w:numId w:val="6"/>
        </w:numPr>
        <w:shd w:val="clear" w:color="auto" w:fill="FFFFFF"/>
        <w:spacing w:after="0" w:line="240" w:lineRule="auto"/>
        <w:jc w:val="both"/>
        <w:textAlignment w:val="top"/>
        <w:rPr>
          <w:rFonts w:eastAsia="Times New Roman" w:cstheme="minorHAnsi"/>
        </w:rPr>
      </w:pPr>
      <w:r>
        <w:t>Une évaluation des activités du programme doit être effectuée avant la fermeture du bureau. En consultation avec le Bureau de l’audit et des investigations, un audit des activités opérationnelles gérées par l’implantation locale pourrait également être envisagé. En cas de raisons impérieuses (généralement liées à la sécurité du personnel), le Représentant résident peut décider du retrait immédiat du personnel. Cette décision et son processus doivent être documentés, et l’évaluation du programme ainsi que les autres étapes obligatoires doivent être effectuées a posteriori.</w:t>
      </w:r>
    </w:p>
    <w:p w14:paraId="6E29D477" w14:textId="77777777" w:rsidR="00DD7EB7" w:rsidRPr="00DD7EB7" w:rsidRDefault="00DD7EB7" w:rsidP="00DD7EB7">
      <w:pPr>
        <w:pStyle w:val="ListParagraph"/>
        <w:rPr>
          <w:rFonts w:eastAsia="Times New Roman" w:cstheme="minorHAnsi"/>
        </w:rPr>
      </w:pPr>
    </w:p>
    <w:p w14:paraId="2A6D1BBC" w14:textId="77777777" w:rsidR="00DD7EB7" w:rsidRPr="00DD7EB7" w:rsidRDefault="001A2146" w:rsidP="00DD7EB7">
      <w:pPr>
        <w:pStyle w:val="ListParagraph"/>
        <w:numPr>
          <w:ilvl w:val="0"/>
          <w:numId w:val="6"/>
        </w:numPr>
        <w:shd w:val="clear" w:color="auto" w:fill="FFFFFF"/>
        <w:spacing w:after="0" w:line="240" w:lineRule="auto"/>
        <w:jc w:val="both"/>
        <w:textAlignment w:val="top"/>
        <w:rPr>
          <w:rFonts w:eastAsia="Times New Roman" w:cstheme="minorHAnsi"/>
        </w:rPr>
      </w:pPr>
      <w:r>
        <w:t xml:space="preserve">Les politiques et lignes directrices suivantes doivent être consultées et utilisées au besoin : </w:t>
      </w:r>
    </w:p>
    <w:p w14:paraId="1E1F09AF" w14:textId="77777777" w:rsidR="00DD7EB7" w:rsidRPr="00DD7EB7" w:rsidRDefault="00DD7EB7" w:rsidP="00DD7EB7">
      <w:pPr>
        <w:pStyle w:val="ListParagraph"/>
        <w:rPr>
          <w:rFonts w:eastAsia="Times New Roman" w:cstheme="minorHAnsi"/>
          <w:color w:val="333333"/>
        </w:rPr>
      </w:pPr>
    </w:p>
    <w:p w14:paraId="46001E31" w14:textId="19A9D230" w:rsidR="00DD7EB7" w:rsidRPr="00DD7EB7" w:rsidRDefault="00000000" w:rsidP="00DD7EB7">
      <w:pPr>
        <w:pStyle w:val="ListParagraph"/>
        <w:numPr>
          <w:ilvl w:val="0"/>
          <w:numId w:val="14"/>
        </w:numPr>
        <w:shd w:val="clear" w:color="auto" w:fill="FFFFFF"/>
        <w:spacing w:after="0" w:line="240" w:lineRule="auto"/>
        <w:textAlignment w:val="top"/>
        <w:rPr>
          <w:rFonts w:eastAsia="Times New Roman" w:cstheme="minorHAnsi"/>
          <w:color w:val="333333"/>
        </w:rPr>
      </w:pPr>
      <w:hyperlink r:id="rId16" w:history="1">
        <w:r w:rsidR="00D35586">
          <w:rPr>
            <w:rStyle w:val="Hyperlink"/>
          </w:rPr>
          <w:t>Cession/transfert d’actifs (y compris le matériel informatique)</w:t>
        </w:r>
      </w:hyperlink>
    </w:p>
    <w:p w14:paraId="5DF0DE14" w14:textId="1D1410FB" w:rsidR="00DD7EB7" w:rsidRPr="00FF75D9" w:rsidRDefault="00000000" w:rsidP="00FF75D9">
      <w:pPr>
        <w:pStyle w:val="ListParagraph"/>
        <w:numPr>
          <w:ilvl w:val="0"/>
          <w:numId w:val="14"/>
        </w:numPr>
        <w:shd w:val="clear" w:color="auto" w:fill="FFFFFF"/>
        <w:spacing w:after="0" w:line="240" w:lineRule="auto"/>
        <w:textAlignment w:val="top"/>
        <w:rPr>
          <w:rStyle w:val="Hyperlink"/>
          <w:rFonts w:eastAsia="Times New Roman" w:cstheme="minorHAnsi"/>
          <w:color w:val="333333"/>
          <w:u w:val="none"/>
        </w:rPr>
      </w:pPr>
      <w:hyperlink r:id="rId17" w:history="1">
        <w:r w:rsidR="00D35586">
          <w:rPr>
            <w:rStyle w:val="Hyperlink"/>
          </w:rPr>
          <w:t>Suppression et sauvegarde des dossiers et des documents officiels (électroniques et papier)</w:t>
        </w:r>
      </w:hyperlink>
      <w:r w:rsidR="000B76F8" w:rsidRPr="00754963">
        <w:rPr>
          <w:rFonts w:eastAsia="Times New Roman" w:cstheme="minorHAnsi"/>
          <w:color w:val="0072BC"/>
          <w:highlight w:val="yellow"/>
        </w:rPr>
        <w:fldChar w:fldCharType="begin"/>
      </w:r>
      <w:r w:rsidR="000B76F8" w:rsidRPr="00FF75D9">
        <w:rPr>
          <w:rFonts w:eastAsia="Times New Roman" w:cstheme="minorHAnsi"/>
          <w:color w:val="0072BC"/>
          <w:highlight w:val="yellow"/>
        </w:rPr>
        <w:instrText xml:space="preserve"> HYPERLINK "https://intranet.undp.org/unit/office/oai/audits/SitePages/audits.aspx" </w:instrText>
      </w:r>
      <w:r w:rsidR="000B76F8" w:rsidRPr="00754963">
        <w:rPr>
          <w:rFonts w:eastAsia="Times New Roman" w:cstheme="minorHAnsi"/>
          <w:color w:val="0072BC"/>
          <w:highlight w:val="yellow"/>
        </w:rPr>
      </w:r>
      <w:r w:rsidR="000B76F8" w:rsidRPr="00754963">
        <w:rPr>
          <w:rFonts w:eastAsia="Times New Roman" w:cstheme="minorHAnsi"/>
          <w:color w:val="0072BC"/>
          <w:highlight w:val="yellow"/>
        </w:rPr>
        <w:fldChar w:fldCharType="separate"/>
      </w:r>
    </w:p>
    <w:p w14:paraId="4E136220" w14:textId="17B5A0AF" w:rsidR="00DD7EB7" w:rsidRPr="0023745B" w:rsidRDefault="000B76F8" w:rsidP="00DD7EB7">
      <w:pPr>
        <w:pStyle w:val="ListParagraph"/>
        <w:numPr>
          <w:ilvl w:val="0"/>
          <w:numId w:val="14"/>
        </w:numPr>
        <w:shd w:val="clear" w:color="auto" w:fill="FFFFFF"/>
        <w:textAlignment w:val="top"/>
        <w:rPr>
          <w:rStyle w:val="Hyperlink"/>
          <w:rFonts w:eastAsia="Times New Roman" w:cstheme="minorHAnsi"/>
        </w:rPr>
      </w:pPr>
      <w:r w:rsidRPr="00754963">
        <w:rPr>
          <w:rFonts w:eastAsia="Times New Roman" w:cstheme="minorHAnsi"/>
          <w:color w:val="0072BC"/>
          <w:highlight w:val="yellow"/>
        </w:rPr>
        <w:fldChar w:fldCharType="end"/>
      </w:r>
      <w:r w:rsidR="0023745B">
        <w:rPr>
          <w:rFonts w:eastAsia="Times New Roman" w:cstheme="minorHAnsi"/>
        </w:rPr>
        <w:fldChar w:fldCharType="begin"/>
      </w:r>
      <w:r w:rsidR="00F437B3">
        <w:rPr>
          <w:rFonts w:eastAsia="Times New Roman" w:cstheme="minorHAnsi"/>
        </w:rPr>
        <w:instrText>HYPERLINK "https://documents-dds-ny.un.org/doc/UNDOC/GEN/N19/206/01/pdf/N1920601.pdf?OpenElement"</w:instrText>
      </w:r>
      <w:r w:rsidR="0023745B">
        <w:rPr>
          <w:rFonts w:eastAsia="Times New Roman" w:cstheme="minorHAnsi"/>
        </w:rPr>
      </w:r>
      <w:r w:rsidR="0023745B">
        <w:rPr>
          <w:rFonts w:eastAsia="Times New Roman" w:cstheme="minorHAnsi"/>
        </w:rPr>
        <w:fldChar w:fldCharType="separate"/>
      </w:r>
      <w:r>
        <w:rPr>
          <w:rStyle w:val="Hyperlink"/>
        </w:rPr>
        <w:t>Évaluation programmatique</w:t>
      </w:r>
    </w:p>
    <w:p w14:paraId="0DE6838A" w14:textId="08EC246C" w:rsidR="00DD7EB7" w:rsidRPr="00DD7EB7" w:rsidRDefault="0023745B" w:rsidP="00DD7EB7">
      <w:pPr>
        <w:pStyle w:val="ListParagraph"/>
        <w:numPr>
          <w:ilvl w:val="0"/>
          <w:numId w:val="14"/>
        </w:numPr>
        <w:shd w:val="clear" w:color="auto" w:fill="FFFFFF"/>
        <w:textAlignment w:val="top"/>
        <w:rPr>
          <w:rFonts w:eastAsia="Times New Roman" w:cstheme="minorHAnsi"/>
          <w:color w:val="333333"/>
        </w:rPr>
      </w:pPr>
      <w:r>
        <w:rPr>
          <w:rFonts w:eastAsia="Times New Roman" w:cstheme="minorHAnsi"/>
        </w:rPr>
        <w:fldChar w:fldCharType="end"/>
      </w:r>
      <w:hyperlink r:id="rId18" w:history="1">
        <w:r>
          <w:rPr>
            <w:rStyle w:val="Hyperlink"/>
          </w:rPr>
          <w:t>Clôture financière et comptable</w:t>
        </w:r>
      </w:hyperlink>
    </w:p>
    <w:p w14:paraId="4D122558" w14:textId="663E0804" w:rsidR="00DD7EB7" w:rsidRPr="00351BC6" w:rsidRDefault="00351BC6" w:rsidP="00DD7EB7">
      <w:pPr>
        <w:pStyle w:val="ListParagraph"/>
        <w:numPr>
          <w:ilvl w:val="0"/>
          <w:numId w:val="14"/>
        </w:numPr>
        <w:shd w:val="clear" w:color="auto" w:fill="FFFFFF"/>
        <w:spacing w:after="0" w:line="240" w:lineRule="auto"/>
        <w:textAlignment w:val="top"/>
        <w:rPr>
          <w:rStyle w:val="Hyperlink"/>
          <w:rFonts w:eastAsia="Times New Roman" w:cstheme="minorHAnsi"/>
        </w:rPr>
      </w:pPr>
      <w:r>
        <w:rPr>
          <w:rFonts w:eastAsia="Times New Roman" w:cstheme="minorHAnsi"/>
        </w:rPr>
        <w:fldChar w:fldCharType="begin"/>
      </w:r>
      <w:r>
        <w:rPr>
          <w:rFonts w:eastAsia="Times New Roman" w:cstheme="minorHAnsi"/>
        </w:rPr>
        <w:instrText xml:space="preserve"> HYPERLINK "https://popp.undp.org/fr/node/10501" </w:instrText>
      </w:r>
      <w:r>
        <w:rPr>
          <w:rFonts w:eastAsia="Times New Roman" w:cstheme="minorHAnsi"/>
        </w:rPr>
      </w:r>
      <w:r>
        <w:rPr>
          <w:rFonts w:eastAsia="Times New Roman" w:cstheme="minorHAnsi"/>
        </w:rPr>
        <w:fldChar w:fldCharType="separate"/>
      </w:r>
      <w:r>
        <w:rPr>
          <w:rStyle w:val="Hyperlink"/>
        </w:rPr>
        <w:t>Clôture du programme/projet</w:t>
      </w:r>
    </w:p>
    <w:p w14:paraId="78B47DD9" w14:textId="74C677E9" w:rsidR="00DD7EB7" w:rsidRPr="00DD7EB7" w:rsidRDefault="00351BC6" w:rsidP="00DD7EB7">
      <w:pPr>
        <w:pStyle w:val="ListParagraph"/>
        <w:numPr>
          <w:ilvl w:val="0"/>
          <w:numId w:val="14"/>
        </w:numPr>
        <w:shd w:val="clear" w:color="auto" w:fill="FFFFFF"/>
        <w:textAlignment w:val="top"/>
        <w:rPr>
          <w:rFonts w:eastAsia="Times New Roman" w:cstheme="minorHAnsi"/>
          <w:color w:val="333333"/>
        </w:rPr>
      </w:pPr>
      <w:r>
        <w:rPr>
          <w:rFonts w:eastAsia="Times New Roman" w:cstheme="minorHAnsi"/>
        </w:rPr>
        <w:fldChar w:fldCharType="end"/>
      </w:r>
      <w:hyperlink r:id="rId19" w:history="1">
        <w:r>
          <w:rPr>
            <w:rStyle w:val="Hyperlink"/>
          </w:rPr>
          <w:t>Transfert/redéploiement du personnel</w:t>
        </w:r>
      </w:hyperlink>
    </w:p>
    <w:p w14:paraId="6B869876" w14:textId="7CF32C83" w:rsidR="00DD7EB7" w:rsidRDefault="00000000" w:rsidP="00DD7EB7">
      <w:pPr>
        <w:pStyle w:val="ListParagraph"/>
        <w:numPr>
          <w:ilvl w:val="0"/>
          <w:numId w:val="14"/>
        </w:numPr>
        <w:shd w:val="clear" w:color="auto" w:fill="FFFFFF"/>
        <w:spacing w:after="0" w:line="240" w:lineRule="auto"/>
        <w:textAlignment w:val="top"/>
        <w:rPr>
          <w:rFonts w:eastAsia="Times New Roman" w:cstheme="minorHAnsi"/>
          <w:color w:val="333333"/>
        </w:rPr>
      </w:pPr>
      <w:hyperlink r:id="rId20" w:history="1">
        <w:r w:rsidR="00D35586">
          <w:rPr>
            <w:rStyle w:val="Hyperlink"/>
          </w:rPr>
          <w:t>Départ du personnel</w:t>
        </w:r>
      </w:hyperlink>
    </w:p>
    <w:p w14:paraId="78BABD42" w14:textId="77777777" w:rsidR="00DD7EB7" w:rsidRDefault="00DD7EB7" w:rsidP="00DD7EB7">
      <w:pPr>
        <w:pStyle w:val="ListParagraph"/>
        <w:shd w:val="clear" w:color="auto" w:fill="FFFFFF"/>
        <w:spacing w:after="0" w:line="240" w:lineRule="auto"/>
        <w:ind w:left="1440"/>
        <w:textAlignment w:val="top"/>
        <w:rPr>
          <w:rFonts w:eastAsia="Times New Roman" w:cstheme="minorHAnsi"/>
          <w:color w:val="333333"/>
        </w:rPr>
      </w:pPr>
    </w:p>
    <w:p w14:paraId="5DD6C172" w14:textId="7E3C00BB" w:rsidR="001A2146" w:rsidRPr="00DD7EB7" w:rsidRDefault="001A2146" w:rsidP="00DD7EB7">
      <w:pPr>
        <w:pStyle w:val="ListParagraph"/>
        <w:numPr>
          <w:ilvl w:val="0"/>
          <w:numId w:val="6"/>
        </w:numPr>
        <w:shd w:val="clear" w:color="auto" w:fill="FFFFFF"/>
        <w:spacing w:after="0" w:line="240" w:lineRule="auto"/>
        <w:jc w:val="both"/>
        <w:textAlignment w:val="top"/>
        <w:rPr>
          <w:rFonts w:eastAsia="Times New Roman" w:cstheme="minorHAnsi"/>
        </w:rPr>
      </w:pPr>
      <w:r>
        <w:t xml:space="preserve">Le processus de fermeture sera officiellement clos par un bref rapport de fermeture approuvé par le Représentant résident et, dans le cas des bureaux auxiliaires, le Bureau régional et le Bureau de gestion. Le rapport fait également partie des documents officiels du bureau de pays. </w:t>
      </w:r>
    </w:p>
    <w:p w14:paraId="51D4AFD1" w14:textId="77777777" w:rsidR="001A2146" w:rsidRPr="00DD7EB7" w:rsidRDefault="001A2146" w:rsidP="00A27A5E">
      <w:pPr>
        <w:shd w:val="clear" w:color="auto" w:fill="FFFFFF"/>
        <w:spacing w:after="0" w:line="240" w:lineRule="auto"/>
        <w:jc w:val="both"/>
        <w:textAlignment w:val="top"/>
        <w:rPr>
          <w:rFonts w:eastAsia="Times New Roman" w:cstheme="minorHAnsi"/>
        </w:rPr>
      </w:pPr>
    </w:p>
    <w:p w14:paraId="4B4823FA" w14:textId="77777777" w:rsidR="001A2146" w:rsidRPr="00DD7EB7" w:rsidRDefault="001A2146" w:rsidP="00A27A5E">
      <w:pPr>
        <w:shd w:val="clear" w:color="auto" w:fill="FFFFFF"/>
        <w:spacing w:after="0" w:line="240" w:lineRule="auto"/>
        <w:jc w:val="both"/>
        <w:textAlignment w:val="top"/>
        <w:rPr>
          <w:rFonts w:eastAsia="Times New Roman" w:cstheme="minorHAnsi"/>
          <w:b/>
          <w:bCs/>
        </w:rPr>
      </w:pPr>
      <w:r>
        <w:rPr>
          <w:b/>
          <w:bCs/>
        </w:rPr>
        <w:t xml:space="preserve">Responsabilités et redevabilité </w:t>
      </w:r>
    </w:p>
    <w:p w14:paraId="0A33998D" w14:textId="5EF5016A" w:rsidR="001A2146" w:rsidRPr="00DD7EB7" w:rsidRDefault="001A2146" w:rsidP="00DD7EB7">
      <w:pPr>
        <w:numPr>
          <w:ilvl w:val="0"/>
          <w:numId w:val="3"/>
        </w:numPr>
        <w:shd w:val="clear" w:color="auto" w:fill="FFFFFF"/>
        <w:tabs>
          <w:tab w:val="left" w:pos="1985"/>
        </w:tabs>
        <w:spacing w:before="100" w:beforeAutospacing="1" w:after="100" w:afterAutospacing="1" w:line="240" w:lineRule="auto"/>
        <w:ind w:left="1418"/>
        <w:jc w:val="both"/>
        <w:textAlignment w:val="top"/>
        <w:rPr>
          <w:rFonts w:eastAsia="Times New Roman" w:cstheme="minorHAnsi"/>
        </w:rPr>
      </w:pPr>
      <w:r>
        <w:rPr>
          <w:i/>
          <w:iCs/>
        </w:rPr>
        <w:t xml:space="preserve">Représentant résident : </w:t>
      </w:r>
      <w:r>
        <w:t xml:space="preserve">Engage le processus décisionnel sur la fermeture conformément aux dispositions de fermeture définies dans l’analyse de rentabilisation, examine et approuve le rapport d’examen et les recommandations ; approuve la fermeture des Bureaux de projet et recommande la fermeture des bureaux auxiliaires; est responsable de l’application régulière de la procédure concernant les Bureaux de projet. </w:t>
      </w:r>
    </w:p>
    <w:p w14:paraId="1C744CE1" w14:textId="77777777" w:rsidR="001A2146" w:rsidRPr="00DD7EB7" w:rsidRDefault="001A2146" w:rsidP="00DD7EB7">
      <w:pPr>
        <w:numPr>
          <w:ilvl w:val="0"/>
          <w:numId w:val="3"/>
        </w:numPr>
        <w:shd w:val="clear" w:color="auto" w:fill="FFFFFF"/>
        <w:tabs>
          <w:tab w:val="left" w:pos="1985"/>
        </w:tabs>
        <w:spacing w:before="100" w:beforeAutospacing="1" w:after="100" w:afterAutospacing="1" w:line="240" w:lineRule="auto"/>
        <w:ind w:left="1418"/>
        <w:jc w:val="both"/>
        <w:textAlignment w:val="top"/>
        <w:rPr>
          <w:rFonts w:eastAsia="Times New Roman" w:cstheme="minorHAnsi"/>
        </w:rPr>
      </w:pPr>
      <w:r>
        <w:rPr>
          <w:i/>
          <w:iCs/>
        </w:rPr>
        <w:t xml:space="preserve">Directeur désigné : </w:t>
      </w:r>
      <w:r>
        <w:t>Dirige et gère l’ensemble du processus de fermeture.</w:t>
      </w:r>
    </w:p>
    <w:p w14:paraId="6EC98F01" w14:textId="6987263E" w:rsidR="001A2146" w:rsidRPr="00DD7EB7" w:rsidRDefault="001A2146" w:rsidP="00DD7EB7">
      <w:pPr>
        <w:numPr>
          <w:ilvl w:val="0"/>
          <w:numId w:val="3"/>
        </w:numPr>
        <w:shd w:val="clear" w:color="auto" w:fill="FFFFFF"/>
        <w:tabs>
          <w:tab w:val="left" w:pos="1985"/>
        </w:tabs>
        <w:spacing w:before="100" w:beforeAutospacing="1" w:after="100" w:afterAutospacing="1" w:line="240" w:lineRule="auto"/>
        <w:ind w:left="1418"/>
        <w:jc w:val="both"/>
        <w:textAlignment w:val="top"/>
        <w:rPr>
          <w:rFonts w:eastAsia="Times New Roman" w:cstheme="minorHAnsi"/>
        </w:rPr>
      </w:pPr>
      <w:r>
        <w:rPr>
          <w:i/>
          <w:iCs/>
        </w:rPr>
        <w:t>Bureau régional et Bureau de gestion :</w:t>
      </w:r>
      <w:r>
        <w:t xml:space="preserve"> Donne des conseils tout au long du processus, approuve les recommandations sur la fermeture des bureaux auxiliaires et est responsable de l’application régulière de la procédure concernant les bureaux auxiliaires. </w:t>
      </w:r>
    </w:p>
    <w:p w14:paraId="50AEC58F" w14:textId="0EB0BFD7" w:rsidR="001A2146" w:rsidRPr="00DD7EB7" w:rsidRDefault="001A2146" w:rsidP="00A27A5E">
      <w:pPr>
        <w:shd w:val="clear" w:color="auto" w:fill="FFFFFF"/>
        <w:spacing w:after="0" w:line="240" w:lineRule="auto"/>
        <w:jc w:val="both"/>
        <w:textAlignment w:val="top"/>
        <w:rPr>
          <w:rFonts w:eastAsia="Times New Roman" w:cstheme="minorHAnsi"/>
          <w:b/>
          <w:bCs/>
          <w:color w:val="333333"/>
        </w:rPr>
      </w:pPr>
      <w:r>
        <w:rPr>
          <w:b/>
          <w:bCs/>
        </w:rPr>
        <w:lastRenderedPageBreak/>
        <w:t>Modèles et formulaires</w:t>
      </w:r>
    </w:p>
    <w:p w14:paraId="19EC272B" w14:textId="17FF9BFF" w:rsidR="00DD7EB7" w:rsidRPr="00DD7EB7" w:rsidRDefault="00000000" w:rsidP="00F23AFC">
      <w:pPr>
        <w:pStyle w:val="ListParagraph"/>
        <w:numPr>
          <w:ilvl w:val="0"/>
          <w:numId w:val="15"/>
        </w:numPr>
        <w:shd w:val="clear" w:color="auto" w:fill="FFFFFF"/>
        <w:spacing w:before="60" w:after="100" w:afterAutospacing="1" w:line="240" w:lineRule="auto"/>
        <w:jc w:val="both"/>
        <w:textAlignment w:val="top"/>
        <w:rPr>
          <w:rFonts w:eastAsia="Times New Roman" w:cstheme="minorHAnsi"/>
          <w:color w:val="333333"/>
        </w:rPr>
      </w:pPr>
      <w:hyperlink r:id="rId21" w:history="1">
        <w:r w:rsidR="00D35586">
          <w:rPr>
            <w:rStyle w:val="Hyperlink"/>
          </w:rPr>
          <w:t>Exemple de matrice d’évaluation des risques</w:t>
        </w:r>
      </w:hyperlink>
      <w:r w:rsidR="00D35586">
        <w:rPr>
          <w:color w:val="333333"/>
        </w:rPr>
        <w:t xml:space="preserve"> </w:t>
      </w:r>
    </w:p>
    <w:p w14:paraId="459C3FE9" w14:textId="44104999" w:rsidR="001A2146" w:rsidRPr="00DD7EB7" w:rsidRDefault="00000000" w:rsidP="00DD7EB7">
      <w:pPr>
        <w:pStyle w:val="ListParagraph"/>
        <w:numPr>
          <w:ilvl w:val="0"/>
          <w:numId w:val="15"/>
        </w:numPr>
        <w:shd w:val="clear" w:color="auto" w:fill="FFFFFF"/>
        <w:spacing w:before="100" w:beforeAutospacing="1" w:after="100" w:afterAutospacing="1" w:line="240" w:lineRule="auto"/>
        <w:jc w:val="both"/>
        <w:textAlignment w:val="top"/>
        <w:rPr>
          <w:rFonts w:eastAsia="Times New Roman" w:cstheme="minorHAnsi"/>
          <w:color w:val="333333"/>
        </w:rPr>
      </w:pPr>
      <w:hyperlink r:id="rId22" w:history="1">
        <w:r w:rsidR="00D35586">
          <w:rPr>
            <w:rStyle w:val="Hyperlink"/>
          </w:rPr>
          <w:t>Modèle de plan de fermeture des bureaux</w:t>
        </w:r>
      </w:hyperlink>
    </w:p>
    <w:sectPr w:rsidR="001A2146" w:rsidRPr="00DD7EB7">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6D2A0" w14:textId="77777777" w:rsidR="002D2A2B" w:rsidRDefault="002D2A2B" w:rsidP="00A27A5E">
      <w:pPr>
        <w:spacing w:after="0" w:line="240" w:lineRule="auto"/>
      </w:pPr>
      <w:r>
        <w:separator/>
      </w:r>
    </w:p>
  </w:endnote>
  <w:endnote w:type="continuationSeparator" w:id="0">
    <w:p w14:paraId="2F2E8B10" w14:textId="77777777" w:rsidR="002D2A2B" w:rsidRDefault="002D2A2B" w:rsidP="00A2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60E89" w14:textId="77777777" w:rsidR="00035441" w:rsidRDefault="000354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2B1B" w14:textId="7CE20BD3" w:rsidR="00A27A5E" w:rsidRDefault="00F23AFC">
    <w:pPr>
      <w:pStyle w:val="Footer"/>
    </w:pPr>
    <w:r>
      <w:t xml:space="preserve">Page </w:t>
    </w:r>
    <w:r>
      <w:rPr>
        <w:b/>
      </w:rPr>
      <w:fldChar w:fldCharType="begin"/>
    </w:r>
    <w:r>
      <w:rPr>
        <w:b/>
      </w:rPr>
      <w:instrText xml:space="preserve"> PAGE  \* Arabic  \* MERGEFORMAT </w:instrText>
    </w:r>
    <w:r>
      <w:rPr>
        <w:b/>
      </w:rPr>
      <w:fldChar w:fldCharType="separate"/>
    </w:r>
    <w:r w:rsidR="00643554">
      <w:rPr>
        <w:b/>
        <w:noProof/>
      </w:rPr>
      <w:t>6</w:t>
    </w:r>
    <w:r>
      <w:rPr>
        <w:b/>
      </w:rPr>
      <w:fldChar w:fldCharType="end"/>
    </w:r>
    <w:r>
      <w:t xml:space="preserve"> sur </w:t>
    </w:r>
    <w:r>
      <w:rPr>
        <w:b/>
      </w:rPr>
      <w:fldChar w:fldCharType="begin"/>
    </w:r>
    <w:r>
      <w:rPr>
        <w:b/>
      </w:rPr>
      <w:instrText xml:space="preserve"> NUMPAGES  \* Arabic  \* MERGEFORMAT </w:instrText>
    </w:r>
    <w:r>
      <w:rPr>
        <w:b/>
      </w:rPr>
      <w:fldChar w:fldCharType="separate"/>
    </w:r>
    <w:r w:rsidR="00643554">
      <w:rPr>
        <w:b/>
        <w:noProof/>
      </w:rPr>
      <w:t>6</w:t>
    </w:r>
    <w:r>
      <w:rPr>
        <w:b/>
      </w:rPr>
      <w:fldChar w:fldCharType="end"/>
    </w:r>
    <w:r>
      <w:ptab w:relativeTo="margin" w:alignment="center" w:leader="none"/>
    </w:r>
    <w:r>
      <w:t>Date d’entrée en vigueur :</w:t>
    </w:r>
    <w:r w:rsidR="00603A60" w:rsidRPr="00603A60">
      <w:t xml:space="preserve"> </w:t>
    </w:r>
    <w:r w:rsidR="00603A60" w:rsidRPr="00603A60">
      <w:t>25/07/2016</w:t>
    </w:r>
    <w:r>
      <w:t xml:space="preserve"> </w:t>
    </w:r>
    <w:r>
      <w:ptab w:relativeTo="margin" w:alignment="right" w:leader="none"/>
    </w:r>
    <w:r>
      <w:t>Numéro de version :</w:t>
    </w:r>
    <w:r w:rsidR="00582E1F">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6292" w14:textId="77777777" w:rsidR="00035441" w:rsidRDefault="00035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D11B8" w14:textId="77777777" w:rsidR="002D2A2B" w:rsidRDefault="002D2A2B" w:rsidP="00A27A5E">
      <w:pPr>
        <w:spacing w:after="0" w:line="240" w:lineRule="auto"/>
      </w:pPr>
      <w:r>
        <w:separator/>
      </w:r>
    </w:p>
  </w:footnote>
  <w:footnote w:type="continuationSeparator" w:id="0">
    <w:p w14:paraId="0AA8FEB3" w14:textId="77777777" w:rsidR="002D2A2B" w:rsidRDefault="002D2A2B" w:rsidP="00A27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CDBF" w14:textId="77777777" w:rsidR="00035441" w:rsidRDefault="000354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901C" w14:textId="4AEEDACF" w:rsidR="00F23AFC" w:rsidRDefault="00035441" w:rsidP="00F23AFC">
    <w:pPr>
      <w:pStyle w:val="Header"/>
      <w:jc w:val="right"/>
    </w:pPr>
    <w:r>
      <w:rPr>
        <w:noProof/>
      </w:rPr>
      <w:drawing>
        <wp:inline distT="0" distB="0" distL="0" distR="0" wp14:anchorId="4533798B" wp14:editId="62CAA428">
          <wp:extent cx="304800" cy="59309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18" b="15579"/>
                  <a:stretch/>
                </pic:blipFill>
                <pic:spPr bwMode="auto">
                  <a:xfrm>
                    <a:off x="0" y="0"/>
                    <a:ext cx="304800" cy="59309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F843" w14:textId="77777777" w:rsidR="00035441" w:rsidRDefault="00035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ABE"/>
    <w:multiLevelType w:val="hybridMultilevel"/>
    <w:tmpl w:val="BA40D7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CDD35EE"/>
    <w:multiLevelType w:val="multilevel"/>
    <w:tmpl w:val="6BB4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34236"/>
    <w:multiLevelType w:val="hybridMultilevel"/>
    <w:tmpl w:val="BB16E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D06D2B"/>
    <w:multiLevelType w:val="hybridMultilevel"/>
    <w:tmpl w:val="CCB606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B8C5C03"/>
    <w:multiLevelType w:val="multilevel"/>
    <w:tmpl w:val="385E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EE7D99"/>
    <w:multiLevelType w:val="hybridMultilevel"/>
    <w:tmpl w:val="401A99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C667DA7"/>
    <w:multiLevelType w:val="hybridMultilevel"/>
    <w:tmpl w:val="DD98B4AA"/>
    <w:lvl w:ilvl="0" w:tplc="4B0C99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135355"/>
    <w:multiLevelType w:val="multilevel"/>
    <w:tmpl w:val="3B9E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602ABD"/>
    <w:multiLevelType w:val="multilevel"/>
    <w:tmpl w:val="52D077C0"/>
    <w:lvl w:ilvl="0">
      <w:start w:val="1"/>
      <w:numFmt w:val="upperRoman"/>
      <w:lvlText w:val="%1."/>
      <w:lvlJc w:val="left"/>
      <w:pPr>
        <w:ind w:left="1080" w:hanging="72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4A36BD3"/>
    <w:multiLevelType w:val="hybridMultilevel"/>
    <w:tmpl w:val="9E861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B74F26"/>
    <w:multiLevelType w:val="hybridMultilevel"/>
    <w:tmpl w:val="774AEF4A"/>
    <w:lvl w:ilvl="0" w:tplc="E01EA1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A7C6EB9"/>
    <w:multiLevelType w:val="hybridMultilevel"/>
    <w:tmpl w:val="798695AE"/>
    <w:lvl w:ilvl="0" w:tplc="67102832">
      <w:start w:val="3"/>
      <w:numFmt w:val="bullet"/>
      <w:lvlText w:val="•"/>
      <w:lvlJc w:val="left"/>
      <w:pPr>
        <w:ind w:left="1080" w:hanging="72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C2B0F40"/>
    <w:multiLevelType w:val="hybridMultilevel"/>
    <w:tmpl w:val="9872B98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718A178D"/>
    <w:multiLevelType w:val="multilevel"/>
    <w:tmpl w:val="71E6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D77367"/>
    <w:multiLevelType w:val="hybridMultilevel"/>
    <w:tmpl w:val="F4120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39422893">
    <w:abstractNumId w:val="4"/>
  </w:num>
  <w:num w:numId="2" w16cid:durableId="1012029309">
    <w:abstractNumId w:val="13"/>
  </w:num>
  <w:num w:numId="3" w16cid:durableId="411435894">
    <w:abstractNumId w:val="7"/>
  </w:num>
  <w:num w:numId="4" w16cid:durableId="273632748">
    <w:abstractNumId w:val="1"/>
  </w:num>
  <w:num w:numId="5" w16cid:durableId="1388719696">
    <w:abstractNumId w:val="8"/>
  </w:num>
  <w:num w:numId="6" w16cid:durableId="2074505765">
    <w:abstractNumId w:val="6"/>
  </w:num>
  <w:num w:numId="7" w16cid:durableId="697046445">
    <w:abstractNumId w:val="12"/>
  </w:num>
  <w:num w:numId="8" w16cid:durableId="1076560123">
    <w:abstractNumId w:val="14"/>
  </w:num>
  <w:num w:numId="9" w16cid:durableId="2071806866">
    <w:abstractNumId w:val="11"/>
  </w:num>
  <w:num w:numId="10" w16cid:durableId="616955964">
    <w:abstractNumId w:val="2"/>
  </w:num>
  <w:num w:numId="11" w16cid:durableId="1975134182">
    <w:abstractNumId w:val="9"/>
  </w:num>
  <w:num w:numId="12" w16cid:durableId="1309674356">
    <w:abstractNumId w:val="10"/>
  </w:num>
  <w:num w:numId="13" w16cid:durableId="68892600">
    <w:abstractNumId w:val="0"/>
  </w:num>
  <w:num w:numId="14" w16cid:durableId="1864434152">
    <w:abstractNumId w:val="5"/>
  </w:num>
  <w:num w:numId="15" w16cid:durableId="19363268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2146"/>
    <w:rsid w:val="00035441"/>
    <w:rsid w:val="0005671C"/>
    <w:rsid w:val="000B76F8"/>
    <w:rsid w:val="0012776A"/>
    <w:rsid w:val="00174439"/>
    <w:rsid w:val="001A2146"/>
    <w:rsid w:val="0023745B"/>
    <w:rsid w:val="002D0A6E"/>
    <w:rsid w:val="002D2A2B"/>
    <w:rsid w:val="003237DE"/>
    <w:rsid w:val="00351BC6"/>
    <w:rsid w:val="004F12A0"/>
    <w:rsid w:val="00582E1F"/>
    <w:rsid w:val="006022BE"/>
    <w:rsid w:val="00603A60"/>
    <w:rsid w:val="00643554"/>
    <w:rsid w:val="00754963"/>
    <w:rsid w:val="007B1B0E"/>
    <w:rsid w:val="00882BBE"/>
    <w:rsid w:val="00890705"/>
    <w:rsid w:val="008E0D9D"/>
    <w:rsid w:val="008F1ECD"/>
    <w:rsid w:val="00910E59"/>
    <w:rsid w:val="00942FCA"/>
    <w:rsid w:val="00956CA7"/>
    <w:rsid w:val="009F73DE"/>
    <w:rsid w:val="00A2358F"/>
    <w:rsid w:val="00A27A5E"/>
    <w:rsid w:val="00A610A2"/>
    <w:rsid w:val="00AC5787"/>
    <w:rsid w:val="00B0505E"/>
    <w:rsid w:val="00B2182E"/>
    <w:rsid w:val="00D35586"/>
    <w:rsid w:val="00D54941"/>
    <w:rsid w:val="00DD7EB7"/>
    <w:rsid w:val="00E902C7"/>
    <w:rsid w:val="00EB2D16"/>
    <w:rsid w:val="00EC62D6"/>
    <w:rsid w:val="00EE3F6B"/>
    <w:rsid w:val="00F06F92"/>
    <w:rsid w:val="00F23AFC"/>
    <w:rsid w:val="00F437B3"/>
    <w:rsid w:val="00FA543F"/>
    <w:rsid w:val="00FF7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620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2146"/>
    <w:rPr>
      <w:sz w:val="16"/>
      <w:szCs w:val="16"/>
    </w:rPr>
  </w:style>
  <w:style w:type="paragraph" w:styleId="CommentText">
    <w:name w:val="annotation text"/>
    <w:basedOn w:val="Normal"/>
    <w:link w:val="CommentTextChar"/>
    <w:uiPriority w:val="99"/>
    <w:semiHidden/>
    <w:unhideWhenUsed/>
    <w:rsid w:val="001A2146"/>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1A2146"/>
    <w:rPr>
      <w:rFonts w:eastAsiaTheme="minorHAnsi"/>
      <w:sz w:val="20"/>
      <w:szCs w:val="20"/>
      <w:lang w:eastAsia="en-US"/>
    </w:rPr>
  </w:style>
  <w:style w:type="paragraph" w:styleId="BalloonText">
    <w:name w:val="Balloon Text"/>
    <w:basedOn w:val="Normal"/>
    <w:link w:val="BalloonTextChar"/>
    <w:uiPriority w:val="99"/>
    <w:semiHidden/>
    <w:unhideWhenUsed/>
    <w:rsid w:val="001A2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146"/>
    <w:rPr>
      <w:rFonts w:ascii="Segoe UI" w:hAnsi="Segoe UI" w:cs="Segoe UI"/>
      <w:sz w:val="18"/>
      <w:szCs w:val="18"/>
    </w:rPr>
  </w:style>
  <w:style w:type="paragraph" w:styleId="ListParagraph">
    <w:name w:val="List Paragraph"/>
    <w:basedOn w:val="Normal"/>
    <w:uiPriority w:val="34"/>
    <w:qFormat/>
    <w:rsid w:val="00A27A5E"/>
    <w:pPr>
      <w:ind w:left="720"/>
      <w:contextualSpacing/>
    </w:pPr>
  </w:style>
  <w:style w:type="character" w:styleId="Hyperlink">
    <w:name w:val="Hyperlink"/>
    <w:basedOn w:val="DefaultParagraphFont"/>
    <w:uiPriority w:val="99"/>
    <w:unhideWhenUsed/>
    <w:rsid w:val="00A27A5E"/>
    <w:rPr>
      <w:color w:val="0563C1" w:themeColor="hyperlink"/>
      <w:u w:val="single"/>
    </w:rPr>
  </w:style>
  <w:style w:type="paragraph" w:styleId="Header">
    <w:name w:val="header"/>
    <w:basedOn w:val="Normal"/>
    <w:link w:val="HeaderChar"/>
    <w:uiPriority w:val="99"/>
    <w:unhideWhenUsed/>
    <w:rsid w:val="00A27A5E"/>
    <w:pPr>
      <w:tabs>
        <w:tab w:val="center" w:pos="4677"/>
        <w:tab w:val="right" w:pos="9355"/>
      </w:tabs>
      <w:spacing w:after="0" w:line="240" w:lineRule="auto"/>
    </w:pPr>
  </w:style>
  <w:style w:type="character" w:customStyle="1" w:styleId="HeaderChar">
    <w:name w:val="Header Char"/>
    <w:basedOn w:val="DefaultParagraphFont"/>
    <w:link w:val="Header"/>
    <w:uiPriority w:val="99"/>
    <w:rsid w:val="00A27A5E"/>
  </w:style>
  <w:style w:type="paragraph" w:styleId="Footer">
    <w:name w:val="footer"/>
    <w:basedOn w:val="Normal"/>
    <w:link w:val="FooterChar"/>
    <w:uiPriority w:val="99"/>
    <w:unhideWhenUsed/>
    <w:rsid w:val="00A27A5E"/>
    <w:pPr>
      <w:tabs>
        <w:tab w:val="center" w:pos="4677"/>
        <w:tab w:val="right" w:pos="9355"/>
      </w:tabs>
      <w:spacing w:after="0" w:line="240" w:lineRule="auto"/>
    </w:pPr>
  </w:style>
  <w:style w:type="character" w:customStyle="1" w:styleId="FooterChar">
    <w:name w:val="Footer Char"/>
    <w:basedOn w:val="DefaultParagraphFont"/>
    <w:link w:val="Footer"/>
    <w:uiPriority w:val="99"/>
    <w:rsid w:val="00A27A5E"/>
  </w:style>
  <w:style w:type="character" w:styleId="FollowedHyperlink">
    <w:name w:val="FollowedHyperlink"/>
    <w:basedOn w:val="DefaultParagraphFont"/>
    <w:uiPriority w:val="99"/>
    <w:semiHidden/>
    <w:unhideWhenUsed/>
    <w:rsid w:val="00D54941"/>
    <w:rPr>
      <w:color w:val="954F72" w:themeColor="followedHyperlink"/>
      <w:u w:val="single"/>
    </w:rPr>
  </w:style>
  <w:style w:type="character" w:styleId="PlaceholderText">
    <w:name w:val="Placeholder Text"/>
    <w:basedOn w:val="DefaultParagraphFont"/>
    <w:uiPriority w:val="99"/>
    <w:semiHidden/>
    <w:rsid w:val="00F23A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popp.undp.org/fr/node/10806"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popp.undp.org/node/6131"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fr/node/11416"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opp.undp.org/fr/node/10676" TargetMode="External"/><Relationship Id="rId20" Type="http://schemas.openxmlformats.org/officeDocument/2006/relationships/hyperlink" Target="https://popp.undp.org/fr/taxonomy/term/16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popp.undp.org/node/4651"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popp.undp.org/fr/taxonomy/term/126"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fr/node/10641" TargetMode="External"/><Relationship Id="rId22" Type="http://schemas.openxmlformats.org/officeDocument/2006/relationships/hyperlink" Target="https://popp.undp.org/node/6136"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Fermeture d’une implantation locale</UNDP_POPP_TITLE_EN>
    <UNDP_POPP_REFITEM_VERSION xmlns="8264c5cc-ec60-4b56-8111-ce635d3d139a">4</UNDP_POPP_REFITEM_VERSION>
    <TaxCatchAll xmlns="8264c5cc-ec60-4b56-8111-ce635d3d139a">
      <Value>353</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2016-07-24T22:00:00+00:00</UNDP_POPP_EFFECTIVEDATE>
    <DLCPolicyLabelLock xmlns="e560140e-7b2f-4392-90df-e7567e3021a3" xsi:nil="true"/>
    <DLCPolicyLabelClientValue xmlns="e560140e-7b2f-4392-90df-e7567e3021a3">Effective Date: 25/07/2016                                                Version #: 4.0</DLCPolicyLabelClientValue>
    <UNDP_POPP_BUSINESSUNITID_HIDDEN xmlns="8264c5cc-ec60-4b56-8111-ce635d3d139a" xsi:nil="true"/>
    <_dlc_DocId xmlns="8264c5cc-ec60-4b56-8111-ce635d3d139a">POPP-11-3661</_dlc_DocId>
    <_dlc_DocIdUrl xmlns="8264c5cc-ec60-4b56-8111-ce635d3d139a">
      <Url>https://popp.undp.org/_layouts/15/DocIdRedir.aspx?ID=POPP-11-3661</Url>
      <Description>POPP-11-3661</Description>
    </_dlc_DocIdUrl>
    <DLCPolicyLabelValue xmlns="e560140e-7b2f-4392-90df-e7567e3021a3">Effective Date: 25/07/2016                                                Version #: 4</DLCPolicyLabelVal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CE476-A755-4E5E-A47F-26102699E62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A24359B1-79B8-46B1-9F3A-3A567F941D7B}">
  <ds:schemaRefs>
    <ds:schemaRef ds:uri="http://schemas.microsoft.com/sharepoint/events"/>
  </ds:schemaRefs>
</ds:datastoreItem>
</file>

<file path=customXml/itemProps3.xml><?xml version="1.0" encoding="utf-8"?>
<ds:datastoreItem xmlns:ds="http://schemas.openxmlformats.org/officeDocument/2006/customXml" ds:itemID="{A8294A7E-8AEB-493B-99A7-C09ABC59AA24}">
  <ds:schemaRefs>
    <ds:schemaRef ds:uri="office.server.policy"/>
  </ds:schemaRefs>
</ds:datastoreItem>
</file>

<file path=customXml/itemProps4.xml><?xml version="1.0" encoding="utf-8"?>
<ds:datastoreItem xmlns:ds="http://schemas.openxmlformats.org/officeDocument/2006/customXml" ds:itemID="{65A8647A-2934-495F-89C4-68874EB5F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7545CE-4ADF-4726-AF68-DCC82FB66DAB}">
  <ds:schemaRefs>
    <ds:schemaRef ds:uri="http://schemas.microsoft.com/sharepoint/v3/contenttype/forms"/>
  </ds:schemaRefs>
</ds:datastoreItem>
</file>

<file path=customXml/itemProps6.xml><?xml version="1.0" encoding="utf-8"?>
<ds:datastoreItem xmlns:ds="http://schemas.openxmlformats.org/officeDocument/2006/customXml" ds:itemID="{973006BA-BAEF-404B-97F6-AB4F32852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2096</Words>
  <Characters>11953</Characters>
  <Application>Microsoft Office Word</Application>
  <DocSecurity>0</DocSecurity>
  <Lines>99</Lines>
  <Paragraphs>28</Paragraphs>
  <ScaleCrop>false</ScaleCrop>
  <HeadingPairs>
    <vt:vector size="6" baseType="variant">
      <vt:variant>
        <vt:lpstr>Title</vt:lpstr>
      </vt:variant>
      <vt:variant>
        <vt:i4>1</vt:i4>
      </vt:variant>
      <vt:variant>
        <vt:lpstr>Título</vt:lpstr>
      </vt:variant>
      <vt:variant>
        <vt:i4>1</vt:i4>
      </vt:variant>
      <vt:variant>
        <vt:lpstr>Название</vt:lpstr>
      </vt:variant>
      <vt:variant>
        <vt:i4>1</vt:i4>
      </vt:variant>
    </vt:vector>
  </HeadingPairs>
  <TitlesOfParts>
    <vt:vector size="3" baseType="lpstr">
      <vt:lpstr/>
      <vt:lpstr/>
      <vt:lpstr/>
    </vt:vector>
  </TitlesOfParts>
  <Company>Krokoz™</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Hideko Hadzialic</dc:creator>
  <cp:lastModifiedBy>Pablo Morete</cp:lastModifiedBy>
  <cp:revision>5</cp:revision>
  <cp:lastPrinted>2016-05-26T17:44:00Z</cp:lastPrinted>
  <dcterms:created xsi:type="dcterms:W3CDTF">2022-03-09T21:59:00Z</dcterms:created>
  <dcterms:modified xsi:type="dcterms:W3CDTF">2023-11-20T10:39:00Z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2f393c5c-f5e8-4c90-87be-872cd50b3b29</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y fmtid="{D5CDD505-2E9C-101B-9397-08002B2CF9AE}" pid="6" name="UNDP_POPP_BUSINESSPROCESS_HIDDEN">
    <vt:lpwstr/>
  </property>
  <property fmtid="{D5CDD505-2E9C-101B-9397-08002B2CF9AE}" pid="7" name="l0e6ef0c43e74560bd7f3acd1f5e8571">
    <vt:lpwstr>Administrative Services|a78f4201-2936-4934-95ba-30c4111d72d7</vt:lpwstr>
  </property>
  <property fmtid="{D5CDD505-2E9C-101B-9397-08002B2CF9AE}" pid="8" name="TaxCatchAll">
    <vt:lpwstr>353;#Administrative Services|a78f4201-2936-4934-95ba-30c4111d72d7</vt:lpwstr>
  </property>
  <property fmtid="{D5CDD505-2E9C-101B-9397-08002B2CF9AE}" pid="9" name="Location">
    <vt:lpwstr>Public</vt:lpwstr>
  </property>
</Properties>
</file>